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D7172B">
      <w:pPr>
        <w:spacing w:before="120" w:beforeLines="50" w:line="360" w:lineRule="auto"/>
        <w:jc w:val="center"/>
        <w:rPr>
          <w:rFonts w:hint="eastAsia"/>
          <w:color w:val="auto"/>
          <w:sz w:val="52"/>
          <w:szCs w:val="52"/>
          <w:highlight w:val="none"/>
        </w:rPr>
      </w:pPr>
    </w:p>
    <w:p w14:paraId="5A316238">
      <w:pPr>
        <w:spacing w:line="720" w:lineRule="exact"/>
        <w:jc w:val="center"/>
        <w:rPr>
          <w:rFonts w:hint="eastAsia" w:ascii="Times New Roman" w:hAnsi="Times New Roman" w:eastAsia="华文中宋" w:cs="华文中宋"/>
          <w:b w:val="0"/>
          <w:bCs/>
          <w:color w:val="auto"/>
          <w:sz w:val="52"/>
          <w:highlight w:val="none"/>
          <w14:shadow w14:blurRad="50800" w14:dist="38100" w14:dir="2700000" w14:sx="100000" w14:sy="100000" w14:kx="0" w14:ky="0" w14:algn="tl">
            <w14:srgbClr w14:val="000000">
              <w14:alpha w14:val="60000"/>
            </w14:srgbClr>
          </w14:shadow>
        </w:rPr>
      </w:pPr>
      <w:r>
        <w:rPr>
          <w:rFonts w:hint="eastAsia" w:ascii="Times New Roman" w:hAnsi="Times New Roman" w:eastAsia="华文中宋" w:cs="华文中宋"/>
          <w:b w:val="0"/>
          <w:bCs/>
          <w:color w:val="auto"/>
          <w:spacing w:val="45"/>
          <w:kern w:val="0"/>
          <w:sz w:val="52"/>
          <w:szCs w:val="52"/>
          <w:highlight w:val="none"/>
          <w:lang w:val="en-US" w:eastAsia="zh-CN" w:bidi="ar-SA"/>
          <w14:shadow w14:blurRad="50800" w14:dist="38100" w14:dir="2700000" w14:sx="100000" w14:sy="100000" w14:kx="0" w14:ky="0" w14:algn="tl">
            <w14:srgbClr w14:val="000000">
              <w14:alpha w14:val="60000"/>
            </w14:srgbClr>
          </w14:shadow>
        </w:rPr>
        <w:t>广西科联招标中心有限公司</w:t>
      </w:r>
      <w:r>
        <w:rPr>
          <w:rFonts w:hint="eastAsia" w:ascii="Times New Roman" w:hAnsi="Times New Roman" w:eastAsia="华文中宋" w:cs="华文中宋"/>
          <w:b w:val="0"/>
          <w:bCs/>
          <w:color w:val="auto"/>
          <w:kern w:val="0"/>
          <w:sz w:val="56"/>
          <w:szCs w:val="56"/>
          <w:highlight w:val="none"/>
          <w:lang w:val="en-US" w:eastAsia="zh-CN" w:bidi="ar-SA"/>
          <w14:shadow w14:blurRad="50800" w14:dist="38100" w14:dir="2700000" w14:sx="100000" w14:sy="100000" w14:kx="0" w14:ky="0" w14:algn="tl">
            <w14:srgbClr w14:val="000000">
              <w14:alpha w14:val="60000"/>
            </w14:srgbClr>
          </w14:shadow>
        </w:rPr>
        <w:cr/>
      </w:r>
    </w:p>
    <w:p w14:paraId="60FF2E92">
      <w:pPr>
        <w:snapToGrid w:val="0"/>
        <w:spacing w:before="120" w:beforeLines="50" w:line="360" w:lineRule="auto"/>
        <w:jc w:val="center"/>
        <w:outlineLvl w:val="0"/>
        <w:rPr>
          <w:rFonts w:hint="eastAsia" w:ascii="Times New Roman" w:hAnsi="Times New Roman" w:cs="宋体"/>
          <w:color w:val="auto"/>
          <w:sz w:val="44"/>
          <w:szCs w:val="44"/>
          <w:highlight w:val="none"/>
        </w:rPr>
      </w:pPr>
      <w:bookmarkStart w:id="0" w:name="_Toc13558"/>
      <w:bookmarkStart w:id="1" w:name="_Toc3095"/>
      <w:r>
        <w:rPr>
          <w:rFonts w:hint="eastAsia" w:ascii="Times New Roman" w:hAnsi="Times New Roman" w:eastAsia="华文中宋" w:cs="华文中宋"/>
          <w:b w:val="0"/>
          <w:bCs/>
          <w:color w:val="auto"/>
          <w:spacing w:val="20"/>
          <w:kern w:val="0"/>
          <w:sz w:val="56"/>
          <w:szCs w:val="56"/>
          <w:highlight w:val="none"/>
          <w14:shadow w14:blurRad="50800" w14:dist="38100" w14:dir="2700000" w14:sx="100000" w14:sy="100000" w14:kx="0" w14:ky="0" w14:algn="tl">
            <w14:srgbClr w14:val="000000">
              <w14:alpha w14:val="60000"/>
            </w14:srgbClr>
          </w14:shadow>
        </w:rPr>
        <w:t>竞争性磋商文件</w:t>
      </w:r>
      <w:bookmarkEnd w:id="0"/>
      <w:bookmarkEnd w:id="1"/>
    </w:p>
    <w:p w14:paraId="52740127">
      <w:pPr>
        <w:spacing w:before="240" w:beforeLines="100" w:after="120" w:afterLines="50" w:line="360" w:lineRule="auto"/>
        <w:jc w:val="center"/>
        <w:rPr>
          <w:rFonts w:hint="eastAsia" w:ascii="Times New Roman" w:hAnsi="Times New Roman" w:cs="宋体"/>
          <w:color w:val="auto"/>
          <w:sz w:val="22"/>
          <w:szCs w:val="22"/>
          <w:highlight w:val="none"/>
        </w:rPr>
      </w:pPr>
      <w:r>
        <w:rPr>
          <w:rFonts w:hint="eastAsia" w:ascii="Times New Roman" w:hAnsi="Times New Roman" w:cs="宋体"/>
          <w:color w:val="auto"/>
          <w:sz w:val="22"/>
          <w:szCs w:val="22"/>
          <w:highlight w:val="none"/>
        </w:rPr>
        <w:t>（全流程电子化评标）</w:t>
      </w:r>
    </w:p>
    <w:p w14:paraId="738637B9">
      <w:pPr>
        <w:spacing w:line="360" w:lineRule="auto"/>
        <w:rPr>
          <w:rFonts w:hint="eastAsia" w:ascii="Times New Roman" w:hAnsi="Times New Roman" w:cs="宋体"/>
          <w:b/>
          <w:color w:val="auto"/>
          <w:sz w:val="32"/>
          <w:szCs w:val="32"/>
          <w:highlight w:val="none"/>
        </w:rPr>
      </w:pPr>
    </w:p>
    <w:p w14:paraId="117123EF">
      <w:pPr>
        <w:snapToGrid w:val="0"/>
        <w:spacing w:before="50" w:after="120" w:line="360" w:lineRule="auto"/>
        <w:ind w:firstLine="1684" w:firstLineChars="559"/>
        <w:rPr>
          <w:rFonts w:hint="eastAsia" w:ascii="Times New Roman" w:hAnsi="Times New Roman" w:cs="宋体"/>
          <w:b/>
          <w:bCs/>
          <w:color w:val="auto"/>
          <w:kern w:val="0"/>
          <w:sz w:val="30"/>
          <w:szCs w:val="30"/>
          <w:highlight w:val="none"/>
        </w:rPr>
      </w:pPr>
    </w:p>
    <w:p w14:paraId="67CC3D65">
      <w:pPr>
        <w:ind w:left="3072" w:leftChars="723" w:hanging="1554" w:hangingChars="518"/>
        <w:jc w:val="both"/>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pPr>
      <w:r>
        <w:rPr>
          <w:rFonts w:hint="eastAsia" w:ascii="Times New Roman" w:hAnsi="Times New Roman" w:eastAsia="华文中宋" w:cs="华文中宋"/>
          <w:b w:val="0"/>
          <w:bCs w:val="0"/>
          <w:color w:val="auto"/>
          <w:spacing w:val="0"/>
          <w:sz w:val="30"/>
          <w:szCs w:val="30"/>
          <w:highlight w:val="none"/>
          <w14:shadow w14:blurRad="50800" w14:dist="38100" w14:dir="2700000" w14:sx="100000" w14:sy="100000" w14:kx="0" w14:ky="0" w14:algn="tl">
            <w14:srgbClr w14:val="000000">
              <w14:alpha w14:val="60000"/>
            </w14:srgbClr>
          </w14:shadow>
        </w:rPr>
        <w:t>项目名称：</w:t>
      </w:r>
      <w:r>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t>桂林航天工业学院新校区扩建项目科技活动中心附属工程</w:t>
      </w:r>
    </w:p>
    <w:p w14:paraId="06821B5A">
      <w:pPr>
        <w:ind w:left="3072" w:leftChars="723" w:hanging="1554" w:hangingChars="518"/>
        <w:jc w:val="both"/>
        <w:rPr>
          <w:rFonts w:hint="default" w:ascii="Times New Roman" w:hAnsi="Times New Roman" w:eastAsia="宋体"/>
          <w:b/>
          <w:bCs/>
          <w:color w:val="auto"/>
          <w:kern w:val="0"/>
          <w:sz w:val="30"/>
          <w:szCs w:val="30"/>
          <w:highlight w:val="yellow"/>
          <w:lang w:val="en-US" w:eastAsia="zh-CN"/>
        </w:rPr>
      </w:pPr>
      <w:r>
        <w:rPr>
          <w:rFonts w:hint="eastAsia" w:ascii="Times New Roman" w:hAnsi="Times New Roman" w:eastAsia="华文中宋" w:cs="华文中宋"/>
          <w:b w:val="0"/>
          <w:bCs w:val="0"/>
          <w:color w:val="auto"/>
          <w:spacing w:val="0"/>
          <w:sz w:val="30"/>
          <w:szCs w:val="30"/>
          <w:highlight w:val="none"/>
          <w:lang w:eastAsia="zh-CN"/>
          <w14:shadow w14:blurRad="50800" w14:dist="38100" w14:dir="2700000" w14:sx="100000" w14:sy="100000" w14:kx="0" w14:ky="0" w14:algn="tl">
            <w14:srgbClr w14:val="000000">
              <w14:alpha w14:val="60000"/>
            </w14:srgbClr>
          </w14:shadow>
        </w:rPr>
        <w:t>项目编号：</w:t>
      </w:r>
      <w:r>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t>GXZC2025-C2-003808-GXKL</w:t>
      </w:r>
    </w:p>
    <w:p w14:paraId="5331022A">
      <w:pPr>
        <w:snapToGrid w:val="0"/>
        <w:spacing w:before="50" w:after="120" w:line="360" w:lineRule="auto"/>
        <w:ind w:firstLine="1684" w:firstLineChars="559"/>
        <w:rPr>
          <w:rFonts w:ascii="Times New Roman" w:hAnsi="Times New Roman"/>
          <w:b/>
          <w:bCs/>
          <w:color w:val="auto"/>
          <w:kern w:val="0"/>
          <w:sz w:val="30"/>
          <w:szCs w:val="30"/>
          <w:highlight w:val="none"/>
        </w:rPr>
      </w:pPr>
    </w:p>
    <w:p w14:paraId="3F7B53AD">
      <w:pPr>
        <w:pStyle w:val="21"/>
        <w:rPr>
          <w:rFonts w:ascii="Times New Roman" w:hAnsi="Times New Roman"/>
          <w:b/>
          <w:bCs/>
          <w:color w:val="auto"/>
          <w:sz w:val="30"/>
          <w:szCs w:val="30"/>
          <w:highlight w:val="none"/>
        </w:rPr>
      </w:pPr>
    </w:p>
    <w:p w14:paraId="7CEB763F">
      <w:pPr>
        <w:pStyle w:val="21"/>
        <w:rPr>
          <w:rFonts w:ascii="Times New Roman" w:hAnsi="Times New Roman"/>
          <w:b/>
          <w:bCs/>
          <w:color w:val="auto"/>
          <w:sz w:val="30"/>
          <w:szCs w:val="30"/>
          <w:highlight w:val="none"/>
        </w:rPr>
      </w:pPr>
    </w:p>
    <w:p w14:paraId="44BB65DB">
      <w:pPr>
        <w:pStyle w:val="21"/>
        <w:rPr>
          <w:rFonts w:ascii="Times New Roman" w:hAnsi="Times New Roman"/>
          <w:b/>
          <w:bCs/>
          <w:color w:val="auto"/>
          <w:sz w:val="30"/>
          <w:szCs w:val="30"/>
          <w:highlight w:val="none"/>
        </w:rPr>
      </w:pPr>
    </w:p>
    <w:p w14:paraId="5E285DE1">
      <w:pPr>
        <w:snapToGrid w:val="0"/>
        <w:spacing w:before="50" w:after="120" w:line="360" w:lineRule="auto"/>
        <w:ind w:firstLine="1807" w:firstLineChars="600"/>
        <w:jc w:val="left"/>
        <w:rPr>
          <w:rFonts w:ascii="Times New Roman" w:hAnsi="Times New Roman"/>
          <w:b/>
          <w:bCs/>
          <w:color w:val="auto"/>
          <w:kern w:val="0"/>
          <w:sz w:val="30"/>
          <w:szCs w:val="30"/>
          <w:highlight w:val="none"/>
        </w:rPr>
      </w:pPr>
    </w:p>
    <w:p w14:paraId="756AF042">
      <w:pPr>
        <w:keepNext w:val="0"/>
        <w:keepLines w:val="0"/>
        <w:pageBreakBefore w:val="0"/>
        <w:widowControl w:val="0"/>
        <w:kinsoku/>
        <w:wordWrap/>
        <w:overflowPunct/>
        <w:topLinePunct w:val="0"/>
        <w:autoSpaceDE/>
        <w:autoSpaceDN/>
        <w:bidi w:val="0"/>
        <w:adjustRightInd/>
        <w:snapToGrid/>
        <w:spacing w:line="360" w:lineRule="auto"/>
        <w:ind w:left="2832" w:leftChars="977" w:hanging="780" w:hangingChars="260"/>
        <w:jc w:val="both"/>
        <w:textAlignment w:val="auto"/>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pPr>
      <w:r>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t>采购人：桂林航天工业学院</w:t>
      </w:r>
    </w:p>
    <w:p w14:paraId="133C3C25">
      <w:pPr>
        <w:keepNext w:val="0"/>
        <w:keepLines w:val="0"/>
        <w:pageBreakBefore w:val="0"/>
        <w:widowControl w:val="0"/>
        <w:kinsoku/>
        <w:wordWrap/>
        <w:overflowPunct/>
        <w:topLinePunct w:val="0"/>
        <w:autoSpaceDE/>
        <w:autoSpaceDN/>
        <w:bidi w:val="0"/>
        <w:adjustRightInd/>
        <w:snapToGrid/>
        <w:spacing w:line="360" w:lineRule="auto"/>
        <w:ind w:left="2832" w:leftChars="977" w:hanging="780" w:hangingChars="260"/>
        <w:jc w:val="both"/>
        <w:textAlignment w:val="auto"/>
        <w:rPr>
          <w:rFonts w:hint="eastAsia" w:ascii="Times New Roman" w:hAnsi="Times New Roman" w:eastAsia="华文中宋" w:cs="华文中宋"/>
          <w:b w:val="0"/>
          <w:bCs w:val="0"/>
          <w:color w:val="auto"/>
          <w:spacing w:val="0"/>
          <w:sz w:val="30"/>
          <w:szCs w:val="30"/>
          <w:highlight w:val="none"/>
          <w:lang w:val="en-US"/>
          <w14:shadow w14:blurRad="50800" w14:dist="38100" w14:dir="2700000" w14:sx="100000" w14:sy="100000" w14:kx="0" w14:ky="0" w14:algn="tl">
            <w14:srgbClr w14:val="000000">
              <w14:alpha w14:val="60000"/>
            </w14:srgbClr>
          </w14:shadow>
        </w:rPr>
      </w:pPr>
      <w:r>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t>采购</w:t>
      </w:r>
      <w:r>
        <w:rPr>
          <w:rFonts w:hint="eastAsia" w:ascii="Times New Roman" w:hAnsi="Times New Roman" w:eastAsia="华文中宋" w:cs="华文中宋"/>
          <w:b w:val="0"/>
          <w:bCs w:val="0"/>
          <w:color w:val="auto"/>
          <w:spacing w:val="0"/>
          <w:sz w:val="30"/>
          <w:szCs w:val="30"/>
          <w:highlight w:val="none"/>
          <w14:shadow w14:blurRad="50800" w14:dist="38100" w14:dir="2700000" w14:sx="100000" w14:sy="100000" w14:kx="0" w14:ky="0" w14:algn="tl">
            <w14:srgbClr w14:val="000000">
              <w14:alpha w14:val="60000"/>
            </w14:srgbClr>
          </w14:shadow>
        </w:rPr>
        <w:t>代理机构：</w:t>
      </w:r>
      <w:r>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t>广西科联招标中心有限公司</w:t>
      </w:r>
    </w:p>
    <w:p w14:paraId="40910C0C">
      <w:pPr>
        <w:keepNext w:val="0"/>
        <w:keepLines w:val="0"/>
        <w:pageBreakBefore w:val="0"/>
        <w:widowControl w:val="0"/>
        <w:kinsoku/>
        <w:wordWrap/>
        <w:overflowPunct/>
        <w:topLinePunct w:val="0"/>
        <w:autoSpaceDE/>
        <w:autoSpaceDN/>
        <w:bidi w:val="0"/>
        <w:adjustRightInd/>
        <w:snapToGrid/>
        <w:spacing w:line="360" w:lineRule="auto"/>
        <w:ind w:left="2832" w:leftChars="977" w:hanging="780" w:hangingChars="260"/>
        <w:jc w:val="both"/>
        <w:textAlignment w:val="auto"/>
        <w:rPr>
          <w:b w:val="0"/>
          <w:bCs w:val="0"/>
          <w:color w:val="auto"/>
          <w:w w:val="95"/>
          <w:kern w:val="0"/>
          <w:sz w:val="30"/>
          <w:szCs w:val="30"/>
          <w:highlight w:val="none"/>
        </w:rPr>
      </w:pPr>
      <w:r>
        <w:rPr>
          <w:rFonts w:hint="eastAsia" w:ascii="Times New Roman" w:hAnsi="Times New Roman" w:eastAsia="华文中宋" w:cs="华文中宋"/>
          <w:b w:val="0"/>
          <w:bCs w:val="0"/>
          <w:color w:val="auto"/>
          <w:spacing w:val="0"/>
          <w:sz w:val="30"/>
          <w:szCs w:val="30"/>
          <w:highlight w:val="none"/>
          <w:lang w:val="en-US" w:eastAsia="zh-CN"/>
          <w14:shadow w14:blurRad="50800" w14:dist="38100" w14:dir="2700000" w14:sx="100000" w14:sy="100000" w14:kx="0" w14:ky="0" w14:algn="tl">
            <w14:srgbClr w14:val="000000">
              <w14:alpha w14:val="60000"/>
            </w14:srgbClr>
          </w14:shadow>
        </w:rPr>
        <w:t>日期：2025年12月8日</w:t>
      </w:r>
    </w:p>
    <w:p w14:paraId="5FFDECF2">
      <w:pPr>
        <w:pStyle w:val="11"/>
        <w:ind w:firstLine="803"/>
        <w:jc w:val="center"/>
        <w:rPr>
          <w:rFonts w:hint="eastAsia" w:ascii="宋体" w:hAnsi="宋体" w:cs="宋体"/>
          <w:b/>
          <w:bCs/>
          <w:color w:val="auto"/>
          <w:w w:val="95"/>
          <w:sz w:val="30"/>
          <w:szCs w:val="30"/>
          <w:highlight w:val="none"/>
        </w:rPr>
        <w:sectPr>
          <w:headerReference r:id="rId5" w:type="first"/>
          <w:headerReference r:id="rId3" w:type="default"/>
          <w:footerReference r:id="rId6" w:type="default"/>
          <w:headerReference r:id="rId4" w:type="even"/>
          <w:footerReference r:id="rId7" w:type="even"/>
          <w:pgSz w:w="11911" w:h="16838"/>
          <w:pgMar w:top="1440" w:right="1080" w:bottom="1440" w:left="1080" w:header="720" w:footer="720" w:gutter="0"/>
          <w:pgNumType w:start="1"/>
          <w:cols w:space="720" w:num="1"/>
          <w:titlePg/>
          <w:docGrid w:linePitch="331" w:charSpace="0"/>
        </w:sectPr>
      </w:pPr>
    </w:p>
    <w:p w14:paraId="2441A17F">
      <w:pPr>
        <w:pStyle w:val="23"/>
        <w:tabs>
          <w:tab w:val="right" w:leader="dot" w:pos="9751"/>
        </w:tabs>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fldChar w:fldCharType="begin"/>
      </w:r>
      <w:r>
        <w:rPr>
          <w:rFonts w:hint="eastAsia" w:ascii="宋体" w:hAnsi="宋体" w:eastAsia="宋体" w:cs="宋体"/>
          <w:b/>
          <w:bCs/>
          <w:color w:val="auto"/>
          <w:sz w:val="24"/>
          <w:szCs w:val="24"/>
          <w:highlight w:val="none"/>
        </w:rPr>
        <w:instrText xml:space="preserve">TOC \o "1-1" \h \u </w:instrText>
      </w:r>
      <w:r>
        <w:rPr>
          <w:rFonts w:hint="eastAsia" w:ascii="宋体" w:hAnsi="宋体" w:eastAsia="宋体" w:cs="宋体"/>
          <w:b/>
          <w:bCs/>
          <w:color w:val="auto"/>
          <w:sz w:val="24"/>
          <w:szCs w:val="24"/>
          <w:highlight w:val="none"/>
        </w:rPr>
        <w:fldChar w:fldCharType="separate"/>
      </w:r>
    </w:p>
    <w:sdt>
      <w:sdtPr>
        <w:rPr>
          <w:rFonts w:ascii="宋体" w:hAnsi="宋体" w:eastAsia="宋体" w:cs="Times New Roman"/>
          <w:color w:val="auto"/>
          <w:kern w:val="2"/>
          <w:sz w:val="21"/>
          <w:szCs w:val="24"/>
          <w:lang w:val="en-US" w:eastAsia="zh-CN" w:bidi="ar-SA"/>
        </w:rPr>
        <w:id w:val="147481933"/>
        <w15:color w:val="DBDBDB"/>
        <w:docPartObj>
          <w:docPartGallery w:val="Table of Contents"/>
          <w:docPartUnique/>
        </w:docPartObj>
      </w:sdtPr>
      <w:sdtEndPr>
        <w:rPr>
          <w:rFonts w:ascii="Times New Roman" w:hAnsi="Times New Roman" w:eastAsia="宋体" w:cs="Times New Roman"/>
          <w:color w:val="auto"/>
          <w:kern w:val="2"/>
          <w:sz w:val="21"/>
          <w:szCs w:val="24"/>
          <w:lang w:val="en-US" w:eastAsia="zh-CN" w:bidi="ar-SA"/>
        </w:rPr>
      </w:sdtEndPr>
      <w:sdtContent>
        <w:p w14:paraId="07355FE4">
          <w:pPr>
            <w:keepNext w:val="0"/>
            <w:keepLines w:val="0"/>
            <w:pageBreakBefore w:val="0"/>
            <w:widowControl w:val="0"/>
            <w:kinsoku/>
            <w:wordWrap/>
            <w:overflowPunct/>
            <w:topLinePunct w:val="0"/>
            <w:autoSpaceDE/>
            <w:autoSpaceDN/>
            <w:bidi w:val="0"/>
            <w:adjustRightInd/>
            <w:snapToGrid/>
            <w:spacing w:before="0" w:after="0" w:line="380" w:lineRule="exact"/>
            <w:ind w:left="0" w:leftChars="0" w:right="0" w:rightChars="0" w:firstLine="0" w:firstLineChars="0"/>
            <w:jc w:val="center"/>
            <w:textAlignment w:val="auto"/>
            <w:rPr>
              <w:b/>
              <w:bCs/>
              <w:color w:val="auto"/>
              <w:sz w:val="21"/>
              <w:szCs w:val="21"/>
            </w:rPr>
          </w:pPr>
          <w:r>
            <w:rPr>
              <w:rFonts w:ascii="宋体" w:hAnsi="宋体" w:eastAsia="宋体"/>
              <w:b/>
              <w:bCs/>
              <w:color w:val="auto"/>
              <w:sz w:val="21"/>
              <w:szCs w:val="21"/>
            </w:rPr>
            <w:t>目</w:t>
          </w:r>
          <w:r>
            <w:rPr>
              <w:rFonts w:hint="eastAsia" w:ascii="宋体" w:hAnsi="宋体" w:eastAsia="宋体"/>
              <w:b/>
              <w:bCs/>
              <w:color w:val="auto"/>
              <w:sz w:val="21"/>
              <w:szCs w:val="21"/>
              <w:lang w:val="en-US" w:eastAsia="zh-CN"/>
            </w:rPr>
            <w:t xml:space="preserve"> </w:t>
          </w:r>
          <w:r>
            <w:rPr>
              <w:rFonts w:ascii="宋体" w:hAnsi="宋体" w:eastAsia="宋体"/>
              <w:b/>
              <w:bCs/>
              <w:color w:val="auto"/>
              <w:sz w:val="21"/>
              <w:szCs w:val="21"/>
            </w:rPr>
            <w:t>录</w:t>
          </w:r>
        </w:p>
        <w:p w14:paraId="4134002D">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TOC \o "1-3" \h \u </w:instrText>
          </w:r>
          <w:r>
            <w:rPr>
              <w:color w:val="auto"/>
              <w:sz w:val="21"/>
              <w:szCs w:val="21"/>
            </w:rPr>
            <w:fldChar w:fldCharType="separate"/>
          </w:r>
          <w:r>
            <w:rPr>
              <w:color w:val="auto"/>
              <w:sz w:val="21"/>
              <w:szCs w:val="21"/>
            </w:rPr>
            <w:fldChar w:fldCharType="begin"/>
          </w:r>
          <w:r>
            <w:rPr>
              <w:color w:val="auto"/>
              <w:sz w:val="21"/>
              <w:szCs w:val="21"/>
            </w:rPr>
            <w:instrText xml:space="preserve"> HYPERLINK \l _Toc13116 </w:instrText>
          </w:r>
          <w:r>
            <w:rPr>
              <w:color w:val="auto"/>
              <w:sz w:val="21"/>
              <w:szCs w:val="21"/>
            </w:rPr>
            <w:fldChar w:fldCharType="separate"/>
          </w:r>
          <w:r>
            <w:rPr>
              <w:rFonts w:hint="eastAsia" w:ascii="华文中宋" w:hAnsi="华文中宋" w:eastAsia="华文中宋" w:cs="华文中宋"/>
              <w:color w:val="auto"/>
              <w:sz w:val="21"/>
              <w:szCs w:val="21"/>
            </w:rPr>
            <w:t xml:space="preserve">第一章 </w:t>
          </w:r>
          <w:r>
            <w:rPr>
              <w:rFonts w:hint="eastAsia" w:ascii="华文中宋" w:hAnsi="华文中宋" w:eastAsia="华文中宋" w:cs="华文中宋"/>
              <w:color w:val="auto"/>
              <w:sz w:val="21"/>
              <w:szCs w:val="21"/>
              <w:lang w:val="en-US" w:eastAsia="zh-CN"/>
            </w:rPr>
            <w:t xml:space="preserve"> </w:t>
          </w:r>
          <w:r>
            <w:rPr>
              <w:rFonts w:hint="eastAsia" w:ascii="华文中宋" w:hAnsi="华文中宋" w:eastAsia="华文中宋" w:cs="华文中宋"/>
              <w:color w:val="auto"/>
              <w:sz w:val="21"/>
              <w:szCs w:val="21"/>
            </w:rPr>
            <w:t>竞争性磋商公告</w:t>
          </w:r>
          <w:r>
            <w:rPr>
              <w:color w:val="auto"/>
              <w:sz w:val="21"/>
              <w:szCs w:val="21"/>
            </w:rPr>
            <w:tab/>
          </w:r>
          <w:r>
            <w:rPr>
              <w:color w:val="auto"/>
              <w:sz w:val="21"/>
              <w:szCs w:val="21"/>
            </w:rPr>
            <w:fldChar w:fldCharType="begin"/>
          </w:r>
          <w:r>
            <w:rPr>
              <w:color w:val="auto"/>
              <w:sz w:val="21"/>
              <w:szCs w:val="21"/>
            </w:rPr>
            <w:instrText xml:space="preserve"> PAGEREF _Toc13116 \h </w:instrText>
          </w:r>
          <w:r>
            <w:rPr>
              <w:color w:val="auto"/>
              <w:sz w:val="21"/>
              <w:szCs w:val="21"/>
            </w:rPr>
            <w:fldChar w:fldCharType="separate"/>
          </w:r>
          <w:r>
            <w:rPr>
              <w:color w:val="auto"/>
              <w:sz w:val="21"/>
              <w:szCs w:val="21"/>
            </w:rPr>
            <w:t>1</w:t>
          </w:r>
          <w:r>
            <w:rPr>
              <w:color w:val="auto"/>
              <w:sz w:val="21"/>
              <w:szCs w:val="21"/>
            </w:rPr>
            <w:fldChar w:fldCharType="end"/>
          </w:r>
          <w:r>
            <w:rPr>
              <w:color w:val="auto"/>
              <w:sz w:val="21"/>
              <w:szCs w:val="21"/>
            </w:rPr>
            <w:fldChar w:fldCharType="end"/>
          </w:r>
        </w:p>
        <w:p w14:paraId="1D8D7123">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_Toc933 </w:instrText>
          </w:r>
          <w:r>
            <w:rPr>
              <w:color w:val="auto"/>
              <w:sz w:val="21"/>
              <w:szCs w:val="21"/>
            </w:rPr>
            <w:fldChar w:fldCharType="separate"/>
          </w:r>
          <w:r>
            <w:rPr>
              <w:rFonts w:hint="eastAsia" w:ascii="华文中宋" w:hAnsi="华文中宋" w:eastAsia="华文中宋" w:cs="华文中宋"/>
              <w:color w:val="auto"/>
              <w:sz w:val="21"/>
              <w:szCs w:val="21"/>
            </w:rPr>
            <w:t xml:space="preserve">第二章 </w:t>
          </w:r>
          <w:r>
            <w:rPr>
              <w:rFonts w:hint="eastAsia" w:ascii="华文中宋" w:hAnsi="华文中宋" w:eastAsia="华文中宋" w:cs="华文中宋"/>
              <w:color w:val="auto"/>
              <w:sz w:val="21"/>
              <w:szCs w:val="21"/>
              <w:lang w:val="en-US" w:eastAsia="zh-CN"/>
            </w:rPr>
            <w:t xml:space="preserve"> </w:t>
          </w:r>
          <w:r>
            <w:rPr>
              <w:rFonts w:hint="eastAsia" w:ascii="华文中宋" w:hAnsi="华文中宋" w:eastAsia="华文中宋" w:cs="华文中宋"/>
              <w:color w:val="auto"/>
              <w:sz w:val="21"/>
              <w:szCs w:val="21"/>
            </w:rPr>
            <w:t>采购需求</w:t>
          </w:r>
          <w:r>
            <w:rPr>
              <w:color w:val="auto"/>
              <w:sz w:val="21"/>
              <w:szCs w:val="21"/>
            </w:rPr>
            <w:tab/>
          </w:r>
          <w:r>
            <w:rPr>
              <w:color w:val="auto"/>
              <w:sz w:val="21"/>
              <w:szCs w:val="21"/>
            </w:rPr>
            <w:fldChar w:fldCharType="begin"/>
          </w:r>
          <w:r>
            <w:rPr>
              <w:color w:val="auto"/>
              <w:sz w:val="21"/>
              <w:szCs w:val="21"/>
            </w:rPr>
            <w:instrText xml:space="preserve"> PAGEREF _Toc933 \h </w:instrText>
          </w:r>
          <w:r>
            <w:rPr>
              <w:color w:val="auto"/>
              <w:sz w:val="21"/>
              <w:szCs w:val="21"/>
            </w:rPr>
            <w:fldChar w:fldCharType="separate"/>
          </w:r>
          <w:r>
            <w:rPr>
              <w:color w:val="auto"/>
              <w:sz w:val="21"/>
              <w:szCs w:val="21"/>
            </w:rPr>
            <w:t>4</w:t>
          </w:r>
          <w:r>
            <w:rPr>
              <w:color w:val="auto"/>
              <w:sz w:val="21"/>
              <w:szCs w:val="21"/>
            </w:rPr>
            <w:fldChar w:fldCharType="end"/>
          </w:r>
          <w:r>
            <w:rPr>
              <w:color w:val="auto"/>
              <w:sz w:val="21"/>
              <w:szCs w:val="21"/>
            </w:rPr>
            <w:fldChar w:fldCharType="end"/>
          </w:r>
        </w:p>
        <w:p w14:paraId="7F2576B6">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_Toc28406 </w:instrText>
          </w:r>
          <w:r>
            <w:rPr>
              <w:color w:val="auto"/>
              <w:sz w:val="21"/>
              <w:szCs w:val="21"/>
            </w:rPr>
            <w:fldChar w:fldCharType="separate"/>
          </w:r>
          <w:r>
            <w:rPr>
              <w:rFonts w:hint="eastAsia" w:ascii="华文中宋" w:hAnsi="华文中宋" w:eastAsia="华文中宋" w:cs="华文中宋"/>
              <w:color w:val="auto"/>
              <w:sz w:val="21"/>
              <w:szCs w:val="21"/>
            </w:rPr>
            <w:t xml:space="preserve">第三章 </w:t>
          </w:r>
          <w:r>
            <w:rPr>
              <w:rFonts w:hint="eastAsia" w:ascii="华文中宋" w:hAnsi="华文中宋" w:eastAsia="华文中宋" w:cs="华文中宋"/>
              <w:color w:val="auto"/>
              <w:sz w:val="21"/>
              <w:szCs w:val="21"/>
              <w:lang w:val="en-US" w:eastAsia="zh-CN"/>
            </w:rPr>
            <w:t xml:space="preserve"> </w:t>
          </w:r>
          <w:r>
            <w:rPr>
              <w:rFonts w:hint="eastAsia" w:ascii="华文中宋" w:hAnsi="华文中宋" w:eastAsia="华文中宋" w:cs="华文中宋"/>
              <w:color w:val="auto"/>
              <w:sz w:val="21"/>
              <w:szCs w:val="21"/>
            </w:rPr>
            <w:t>供应商须知</w:t>
          </w:r>
          <w:r>
            <w:rPr>
              <w:color w:val="auto"/>
              <w:sz w:val="21"/>
              <w:szCs w:val="21"/>
            </w:rPr>
            <w:tab/>
          </w:r>
          <w:r>
            <w:rPr>
              <w:color w:val="auto"/>
              <w:sz w:val="21"/>
              <w:szCs w:val="21"/>
            </w:rPr>
            <w:fldChar w:fldCharType="begin"/>
          </w:r>
          <w:r>
            <w:rPr>
              <w:color w:val="auto"/>
              <w:sz w:val="21"/>
              <w:szCs w:val="21"/>
            </w:rPr>
            <w:instrText xml:space="preserve"> PAGEREF _Toc28406 \h </w:instrText>
          </w:r>
          <w:r>
            <w:rPr>
              <w:color w:val="auto"/>
              <w:sz w:val="21"/>
              <w:szCs w:val="21"/>
            </w:rPr>
            <w:fldChar w:fldCharType="separate"/>
          </w:r>
          <w:r>
            <w:rPr>
              <w:color w:val="auto"/>
              <w:sz w:val="21"/>
              <w:szCs w:val="21"/>
            </w:rPr>
            <w:t>12</w:t>
          </w:r>
          <w:r>
            <w:rPr>
              <w:color w:val="auto"/>
              <w:sz w:val="21"/>
              <w:szCs w:val="21"/>
            </w:rPr>
            <w:fldChar w:fldCharType="end"/>
          </w:r>
          <w:r>
            <w:rPr>
              <w:color w:val="auto"/>
              <w:sz w:val="21"/>
              <w:szCs w:val="21"/>
            </w:rPr>
            <w:fldChar w:fldCharType="end"/>
          </w:r>
        </w:p>
        <w:p w14:paraId="03B04605">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_Toc30571 </w:instrText>
          </w:r>
          <w:r>
            <w:rPr>
              <w:color w:val="auto"/>
              <w:sz w:val="21"/>
              <w:szCs w:val="21"/>
            </w:rPr>
            <w:fldChar w:fldCharType="separate"/>
          </w:r>
          <w:r>
            <w:rPr>
              <w:rFonts w:hint="eastAsia" w:ascii="宋体" w:hAnsi="宋体" w:eastAsia="宋体" w:cs="宋体"/>
              <w:bCs/>
              <w:color w:val="auto"/>
              <w:sz w:val="21"/>
              <w:szCs w:val="21"/>
              <w:highlight w:val="none"/>
            </w:rPr>
            <w:t xml:space="preserve">第一节 </w:t>
          </w:r>
          <w:r>
            <w:rPr>
              <w:rFonts w:hint="eastAsia" w:ascii="宋体" w:hAnsi="宋体" w:cs="宋体"/>
              <w:bCs/>
              <w:color w:val="auto"/>
              <w:sz w:val="21"/>
              <w:szCs w:val="21"/>
              <w:highlight w:val="none"/>
              <w:lang w:val="en-US" w:eastAsia="zh-CN"/>
            </w:rPr>
            <w:t xml:space="preserve"> </w:t>
          </w:r>
          <w:r>
            <w:rPr>
              <w:rFonts w:hint="eastAsia" w:ascii="宋体" w:hAnsi="宋体" w:eastAsia="宋体" w:cs="宋体"/>
              <w:bCs/>
              <w:color w:val="auto"/>
              <w:sz w:val="21"/>
              <w:szCs w:val="21"/>
              <w:highlight w:val="none"/>
            </w:rPr>
            <w:t>供应商须知前附表</w:t>
          </w:r>
          <w:r>
            <w:rPr>
              <w:color w:val="auto"/>
              <w:sz w:val="21"/>
              <w:szCs w:val="21"/>
            </w:rPr>
            <w:tab/>
          </w:r>
          <w:r>
            <w:rPr>
              <w:color w:val="auto"/>
              <w:sz w:val="21"/>
              <w:szCs w:val="21"/>
            </w:rPr>
            <w:fldChar w:fldCharType="begin"/>
          </w:r>
          <w:r>
            <w:rPr>
              <w:color w:val="auto"/>
              <w:sz w:val="21"/>
              <w:szCs w:val="21"/>
            </w:rPr>
            <w:instrText xml:space="preserve"> PAGEREF _Toc30571 \h </w:instrText>
          </w:r>
          <w:r>
            <w:rPr>
              <w:color w:val="auto"/>
              <w:sz w:val="21"/>
              <w:szCs w:val="21"/>
            </w:rPr>
            <w:fldChar w:fldCharType="separate"/>
          </w:r>
          <w:r>
            <w:rPr>
              <w:color w:val="auto"/>
              <w:sz w:val="21"/>
              <w:szCs w:val="21"/>
            </w:rPr>
            <w:t>12</w:t>
          </w:r>
          <w:r>
            <w:rPr>
              <w:color w:val="auto"/>
              <w:sz w:val="21"/>
              <w:szCs w:val="21"/>
            </w:rPr>
            <w:fldChar w:fldCharType="end"/>
          </w:r>
          <w:r>
            <w:rPr>
              <w:color w:val="auto"/>
              <w:sz w:val="21"/>
              <w:szCs w:val="21"/>
            </w:rPr>
            <w:fldChar w:fldCharType="end"/>
          </w:r>
        </w:p>
        <w:p w14:paraId="451E10C3">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_Toc25106 </w:instrText>
          </w:r>
          <w:r>
            <w:rPr>
              <w:color w:val="auto"/>
              <w:sz w:val="21"/>
              <w:szCs w:val="21"/>
            </w:rPr>
            <w:fldChar w:fldCharType="separate"/>
          </w:r>
          <w:r>
            <w:rPr>
              <w:rFonts w:hint="eastAsia" w:ascii="宋体" w:hAnsi="宋体" w:eastAsia="宋体" w:cs="宋体"/>
              <w:bCs/>
              <w:color w:val="auto"/>
              <w:sz w:val="21"/>
              <w:szCs w:val="21"/>
              <w:highlight w:val="none"/>
              <w:lang w:val="en-US" w:eastAsia="zh-CN"/>
            </w:rPr>
            <w:t>第二节  供应商须知正文</w:t>
          </w:r>
          <w:r>
            <w:rPr>
              <w:color w:val="auto"/>
              <w:sz w:val="21"/>
              <w:szCs w:val="21"/>
            </w:rPr>
            <w:tab/>
          </w:r>
          <w:r>
            <w:rPr>
              <w:color w:val="auto"/>
              <w:sz w:val="21"/>
              <w:szCs w:val="21"/>
            </w:rPr>
            <w:fldChar w:fldCharType="begin"/>
          </w:r>
          <w:r>
            <w:rPr>
              <w:color w:val="auto"/>
              <w:sz w:val="21"/>
              <w:szCs w:val="21"/>
            </w:rPr>
            <w:instrText xml:space="preserve"> PAGEREF _Toc25106 \h </w:instrText>
          </w:r>
          <w:r>
            <w:rPr>
              <w:color w:val="auto"/>
              <w:sz w:val="21"/>
              <w:szCs w:val="21"/>
            </w:rPr>
            <w:fldChar w:fldCharType="separate"/>
          </w:r>
          <w:r>
            <w:rPr>
              <w:color w:val="auto"/>
              <w:sz w:val="21"/>
              <w:szCs w:val="21"/>
            </w:rPr>
            <w:t>21</w:t>
          </w:r>
          <w:r>
            <w:rPr>
              <w:color w:val="auto"/>
              <w:sz w:val="21"/>
              <w:szCs w:val="21"/>
            </w:rPr>
            <w:fldChar w:fldCharType="end"/>
          </w:r>
          <w:r>
            <w:rPr>
              <w:color w:val="auto"/>
              <w:sz w:val="21"/>
              <w:szCs w:val="21"/>
            </w:rPr>
            <w:fldChar w:fldCharType="end"/>
          </w:r>
        </w:p>
        <w:p w14:paraId="74850E10">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_Toc26491 </w:instrText>
          </w:r>
          <w:r>
            <w:rPr>
              <w:color w:val="auto"/>
              <w:sz w:val="21"/>
              <w:szCs w:val="21"/>
            </w:rPr>
            <w:fldChar w:fldCharType="separate"/>
          </w:r>
          <w:r>
            <w:rPr>
              <w:rFonts w:hint="eastAsia" w:ascii="宋体" w:hAnsi="宋体" w:eastAsia="宋体" w:cs="宋体"/>
              <w:bCs w:val="0"/>
              <w:color w:val="auto"/>
              <w:sz w:val="21"/>
              <w:szCs w:val="21"/>
              <w:highlight w:val="none"/>
            </w:rPr>
            <w:t>一、总则</w:t>
          </w:r>
          <w:r>
            <w:rPr>
              <w:color w:val="auto"/>
              <w:sz w:val="21"/>
              <w:szCs w:val="21"/>
            </w:rPr>
            <w:tab/>
          </w:r>
          <w:r>
            <w:rPr>
              <w:color w:val="auto"/>
              <w:sz w:val="21"/>
              <w:szCs w:val="21"/>
            </w:rPr>
            <w:fldChar w:fldCharType="begin"/>
          </w:r>
          <w:r>
            <w:rPr>
              <w:color w:val="auto"/>
              <w:sz w:val="21"/>
              <w:szCs w:val="21"/>
            </w:rPr>
            <w:instrText xml:space="preserve"> PAGEREF _Toc26491 \h </w:instrText>
          </w:r>
          <w:r>
            <w:rPr>
              <w:color w:val="auto"/>
              <w:sz w:val="21"/>
              <w:szCs w:val="21"/>
            </w:rPr>
            <w:fldChar w:fldCharType="separate"/>
          </w:r>
          <w:r>
            <w:rPr>
              <w:color w:val="auto"/>
              <w:sz w:val="21"/>
              <w:szCs w:val="21"/>
            </w:rPr>
            <w:t>21</w:t>
          </w:r>
          <w:r>
            <w:rPr>
              <w:color w:val="auto"/>
              <w:sz w:val="21"/>
              <w:szCs w:val="21"/>
            </w:rPr>
            <w:fldChar w:fldCharType="end"/>
          </w:r>
          <w:r>
            <w:rPr>
              <w:color w:val="auto"/>
              <w:sz w:val="21"/>
              <w:szCs w:val="21"/>
            </w:rPr>
            <w:fldChar w:fldCharType="end"/>
          </w:r>
        </w:p>
        <w:p w14:paraId="59912AC6">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_Toc21204 </w:instrText>
          </w:r>
          <w:r>
            <w:rPr>
              <w:color w:val="auto"/>
              <w:sz w:val="21"/>
              <w:szCs w:val="21"/>
            </w:rPr>
            <w:fldChar w:fldCharType="separate"/>
          </w:r>
          <w:r>
            <w:rPr>
              <w:rFonts w:hint="eastAsia" w:ascii="宋体" w:hAnsi="宋体" w:eastAsia="宋体" w:cs="宋体"/>
              <w:bCs/>
              <w:color w:val="auto"/>
              <w:sz w:val="21"/>
              <w:szCs w:val="21"/>
              <w:highlight w:val="none"/>
            </w:rPr>
            <w:t>1.适用范围</w:t>
          </w:r>
          <w:r>
            <w:rPr>
              <w:color w:val="auto"/>
              <w:sz w:val="21"/>
              <w:szCs w:val="21"/>
            </w:rPr>
            <w:tab/>
          </w:r>
          <w:r>
            <w:rPr>
              <w:color w:val="auto"/>
              <w:sz w:val="21"/>
              <w:szCs w:val="21"/>
            </w:rPr>
            <w:fldChar w:fldCharType="begin"/>
          </w:r>
          <w:r>
            <w:rPr>
              <w:color w:val="auto"/>
              <w:sz w:val="21"/>
              <w:szCs w:val="21"/>
            </w:rPr>
            <w:instrText xml:space="preserve"> PAGEREF _Toc21204 \h </w:instrText>
          </w:r>
          <w:r>
            <w:rPr>
              <w:color w:val="auto"/>
              <w:sz w:val="21"/>
              <w:szCs w:val="21"/>
            </w:rPr>
            <w:fldChar w:fldCharType="separate"/>
          </w:r>
          <w:r>
            <w:rPr>
              <w:color w:val="auto"/>
              <w:sz w:val="21"/>
              <w:szCs w:val="21"/>
            </w:rPr>
            <w:t>21</w:t>
          </w:r>
          <w:r>
            <w:rPr>
              <w:color w:val="auto"/>
              <w:sz w:val="21"/>
              <w:szCs w:val="21"/>
            </w:rPr>
            <w:fldChar w:fldCharType="end"/>
          </w:r>
          <w:r>
            <w:rPr>
              <w:color w:val="auto"/>
              <w:sz w:val="21"/>
              <w:szCs w:val="21"/>
            </w:rPr>
            <w:fldChar w:fldCharType="end"/>
          </w:r>
        </w:p>
        <w:p w14:paraId="7A3E44A6">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_Toc31489 </w:instrText>
          </w:r>
          <w:r>
            <w:rPr>
              <w:color w:val="auto"/>
              <w:sz w:val="21"/>
              <w:szCs w:val="21"/>
            </w:rPr>
            <w:fldChar w:fldCharType="separate"/>
          </w:r>
          <w:r>
            <w:rPr>
              <w:rFonts w:hint="eastAsia" w:ascii="宋体" w:hAnsi="宋体" w:eastAsia="宋体" w:cs="宋体"/>
              <w:bCs/>
              <w:color w:val="auto"/>
              <w:sz w:val="21"/>
              <w:szCs w:val="21"/>
              <w:highlight w:val="none"/>
            </w:rPr>
            <w:t>2.定义</w:t>
          </w:r>
          <w:r>
            <w:rPr>
              <w:color w:val="auto"/>
              <w:sz w:val="21"/>
              <w:szCs w:val="21"/>
            </w:rPr>
            <w:tab/>
          </w:r>
          <w:r>
            <w:rPr>
              <w:color w:val="auto"/>
              <w:sz w:val="21"/>
              <w:szCs w:val="21"/>
            </w:rPr>
            <w:fldChar w:fldCharType="begin"/>
          </w:r>
          <w:r>
            <w:rPr>
              <w:color w:val="auto"/>
              <w:sz w:val="21"/>
              <w:szCs w:val="21"/>
            </w:rPr>
            <w:instrText xml:space="preserve"> PAGEREF _Toc31489 \h </w:instrText>
          </w:r>
          <w:r>
            <w:rPr>
              <w:color w:val="auto"/>
              <w:sz w:val="21"/>
              <w:szCs w:val="21"/>
            </w:rPr>
            <w:fldChar w:fldCharType="separate"/>
          </w:r>
          <w:r>
            <w:rPr>
              <w:color w:val="auto"/>
              <w:sz w:val="21"/>
              <w:szCs w:val="21"/>
            </w:rPr>
            <w:t>21</w:t>
          </w:r>
          <w:r>
            <w:rPr>
              <w:color w:val="auto"/>
              <w:sz w:val="21"/>
              <w:szCs w:val="21"/>
            </w:rPr>
            <w:fldChar w:fldCharType="end"/>
          </w:r>
          <w:r>
            <w:rPr>
              <w:color w:val="auto"/>
              <w:sz w:val="21"/>
              <w:szCs w:val="21"/>
            </w:rPr>
            <w:fldChar w:fldCharType="end"/>
          </w:r>
        </w:p>
        <w:p w14:paraId="0D5ADBFE">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_Toc27905 </w:instrText>
          </w:r>
          <w:r>
            <w:rPr>
              <w:color w:val="auto"/>
              <w:sz w:val="21"/>
              <w:szCs w:val="21"/>
            </w:rPr>
            <w:fldChar w:fldCharType="separate"/>
          </w:r>
          <w:r>
            <w:rPr>
              <w:rFonts w:hint="eastAsia" w:ascii="宋体" w:hAnsi="宋体" w:eastAsia="宋体" w:cs="宋体"/>
              <w:bCs/>
              <w:color w:val="auto"/>
              <w:sz w:val="21"/>
              <w:szCs w:val="21"/>
              <w:highlight w:val="none"/>
            </w:rPr>
            <w:t>3.供应商的资格条件</w:t>
          </w:r>
          <w:r>
            <w:rPr>
              <w:color w:val="auto"/>
              <w:sz w:val="21"/>
              <w:szCs w:val="21"/>
            </w:rPr>
            <w:tab/>
          </w:r>
          <w:r>
            <w:rPr>
              <w:color w:val="auto"/>
              <w:sz w:val="21"/>
              <w:szCs w:val="21"/>
            </w:rPr>
            <w:fldChar w:fldCharType="begin"/>
          </w:r>
          <w:r>
            <w:rPr>
              <w:color w:val="auto"/>
              <w:sz w:val="21"/>
              <w:szCs w:val="21"/>
            </w:rPr>
            <w:instrText xml:space="preserve"> PAGEREF _Toc27905 \h </w:instrText>
          </w:r>
          <w:r>
            <w:rPr>
              <w:color w:val="auto"/>
              <w:sz w:val="21"/>
              <w:szCs w:val="21"/>
            </w:rPr>
            <w:fldChar w:fldCharType="separate"/>
          </w:r>
          <w:r>
            <w:rPr>
              <w:color w:val="auto"/>
              <w:sz w:val="21"/>
              <w:szCs w:val="21"/>
            </w:rPr>
            <w:t>21</w:t>
          </w:r>
          <w:r>
            <w:rPr>
              <w:color w:val="auto"/>
              <w:sz w:val="21"/>
              <w:szCs w:val="21"/>
            </w:rPr>
            <w:fldChar w:fldCharType="end"/>
          </w:r>
          <w:r>
            <w:rPr>
              <w:color w:val="auto"/>
              <w:sz w:val="21"/>
              <w:szCs w:val="21"/>
            </w:rPr>
            <w:fldChar w:fldCharType="end"/>
          </w:r>
        </w:p>
        <w:p w14:paraId="5F96DB6B">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_Toc7134 </w:instrText>
          </w:r>
          <w:r>
            <w:rPr>
              <w:color w:val="auto"/>
              <w:sz w:val="21"/>
              <w:szCs w:val="21"/>
            </w:rPr>
            <w:fldChar w:fldCharType="separate"/>
          </w:r>
          <w:r>
            <w:rPr>
              <w:rFonts w:hint="eastAsia" w:ascii="宋体" w:hAnsi="宋体" w:eastAsia="宋体" w:cs="宋体"/>
              <w:bCs/>
              <w:color w:val="auto"/>
              <w:sz w:val="21"/>
              <w:szCs w:val="21"/>
              <w:highlight w:val="none"/>
            </w:rPr>
            <w:t>4.磋商费用</w:t>
          </w:r>
          <w:r>
            <w:rPr>
              <w:color w:val="auto"/>
              <w:sz w:val="21"/>
              <w:szCs w:val="21"/>
            </w:rPr>
            <w:tab/>
          </w:r>
          <w:r>
            <w:rPr>
              <w:color w:val="auto"/>
              <w:sz w:val="21"/>
              <w:szCs w:val="21"/>
            </w:rPr>
            <w:fldChar w:fldCharType="begin"/>
          </w:r>
          <w:r>
            <w:rPr>
              <w:color w:val="auto"/>
              <w:sz w:val="21"/>
              <w:szCs w:val="21"/>
            </w:rPr>
            <w:instrText xml:space="preserve"> PAGEREF _Toc7134 \h </w:instrText>
          </w:r>
          <w:r>
            <w:rPr>
              <w:color w:val="auto"/>
              <w:sz w:val="21"/>
              <w:szCs w:val="21"/>
            </w:rPr>
            <w:fldChar w:fldCharType="separate"/>
          </w:r>
          <w:r>
            <w:rPr>
              <w:color w:val="auto"/>
              <w:sz w:val="21"/>
              <w:szCs w:val="21"/>
            </w:rPr>
            <w:t>21</w:t>
          </w:r>
          <w:r>
            <w:rPr>
              <w:color w:val="auto"/>
              <w:sz w:val="21"/>
              <w:szCs w:val="21"/>
            </w:rPr>
            <w:fldChar w:fldCharType="end"/>
          </w:r>
          <w:r>
            <w:rPr>
              <w:color w:val="auto"/>
              <w:sz w:val="21"/>
              <w:szCs w:val="21"/>
            </w:rPr>
            <w:fldChar w:fldCharType="end"/>
          </w:r>
        </w:p>
        <w:p w14:paraId="4540E3BF">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_Toc29535 </w:instrText>
          </w:r>
          <w:r>
            <w:rPr>
              <w:color w:val="auto"/>
              <w:sz w:val="21"/>
              <w:szCs w:val="21"/>
            </w:rPr>
            <w:fldChar w:fldCharType="separate"/>
          </w:r>
          <w:r>
            <w:rPr>
              <w:rFonts w:hint="eastAsia" w:ascii="宋体" w:hAnsi="宋体" w:eastAsia="宋体" w:cs="宋体"/>
              <w:bCs/>
              <w:color w:val="auto"/>
              <w:sz w:val="21"/>
              <w:szCs w:val="21"/>
              <w:highlight w:val="none"/>
            </w:rPr>
            <w:t>5.联合体竞标</w:t>
          </w:r>
          <w:r>
            <w:rPr>
              <w:color w:val="auto"/>
              <w:sz w:val="21"/>
              <w:szCs w:val="21"/>
            </w:rPr>
            <w:tab/>
          </w:r>
          <w:r>
            <w:rPr>
              <w:color w:val="auto"/>
              <w:sz w:val="21"/>
              <w:szCs w:val="21"/>
            </w:rPr>
            <w:fldChar w:fldCharType="begin"/>
          </w:r>
          <w:r>
            <w:rPr>
              <w:color w:val="auto"/>
              <w:sz w:val="21"/>
              <w:szCs w:val="21"/>
            </w:rPr>
            <w:instrText xml:space="preserve"> PAGEREF _Toc29535 \h </w:instrText>
          </w:r>
          <w:r>
            <w:rPr>
              <w:color w:val="auto"/>
              <w:sz w:val="21"/>
              <w:szCs w:val="21"/>
            </w:rPr>
            <w:fldChar w:fldCharType="separate"/>
          </w:r>
          <w:r>
            <w:rPr>
              <w:color w:val="auto"/>
              <w:sz w:val="21"/>
              <w:szCs w:val="21"/>
            </w:rPr>
            <w:t>22</w:t>
          </w:r>
          <w:r>
            <w:rPr>
              <w:color w:val="auto"/>
              <w:sz w:val="21"/>
              <w:szCs w:val="21"/>
            </w:rPr>
            <w:fldChar w:fldCharType="end"/>
          </w:r>
          <w:r>
            <w:rPr>
              <w:color w:val="auto"/>
              <w:sz w:val="21"/>
              <w:szCs w:val="21"/>
            </w:rPr>
            <w:fldChar w:fldCharType="end"/>
          </w:r>
        </w:p>
        <w:p w14:paraId="712D702D">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_Toc10368 </w:instrText>
          </w:r>
          <w:r>
            <w:rPr>
              <w:color w:val="auto"/>
              <w:sz w:val="21"/>
              <w:szCs w:val="21"/>
            </w:rPr>
            <w:fldChar w:fldCharType="separate"/>
          </w:r>
          <w:r>
            <w:rPr>
              <w:rFonts w:hint="eastAsia" w:ascii="宋体" w:hAnsi="宋体" w:eastAsia="宋体" w:cs="宋体"/>
              <w:bCs/>
              <w:color w:val="auto"/>
              <w:sz w:val="21"/>
              <w:szCs w:val="21"/>
              <w:highlight w:val="none"/>
            </w:rPr>
            <w:t>6.转包与分包</w:t>
          </w:r>
          <w:r>
            <w:rPr>
              <w:color w:val="auto"/>
              <w:sz w:val="21"/>
              <w:szCs w:val="21"/>
            </w:rPr>
            <w:tab/>
          </w:r>
          <w:r>
            <w:rPr>
              <w:color w:val="auto"/>
              <w:sz w:val="21"/>
              <w:szCs w:val="21"/>
            </w:rPr>
            <w:fldChar w:fldCharType="begin"/>
          </w:r>
          <w:r>
            <w:rPr>
              <w:color w:val="auto"/>
              <w:sz w:val="21"/>
              <w:szCs w:val="21"/>
            </w:rPr>
            <w:instrText xml:space="preserve"> PAGEREF _Toc10368 \h </w:instrText>
          </w:r>
          <w:r>
            <w:rPr>
              <w:color w:val="auto"/>
              <w:sz w:val="21"/>
              <w:szCs w:val="21"/>
            </w:rPr>
            <w:fldChar w:fldCharType="separate"/>
          </w:r>
          <w:r>
            <w:rPr>
              <w:color w:val="auto"/>
              <w:sz w:val="21"/>
              <w:szCs w:val="21"/>
            </w:rPr>
            <w:t>22</w:t>
          </w:r>
          <w:r>
            <w:rPr>
              <w:color w:val="auto"/>
              <w:sz w:val="21"/>
              <w:szCs w:val="21"/>
            </w:rPr>
            <w:fldChar w:fldCharType="end"/>
          </w:r>
          <w:r>
            <w:rPr>
              <w:color w:val="auto"/>
              <w:sz w:val="21"/>
              <w:szCs w:val="21"/>
            </w:rPr>
            <w:fldChar w:fldCharType="end"/>
          </w:r>
        </w:p>
        <w:p w14:paraId="58BA28CA">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_Toc24160 </w:instrText>
          </w:r>
          <w:r>
            <w:rPr>
              <w:color w:val="auto"/>
              <w:sz w:val="21"/>
              <w:szCs w:val="21"/>
            </w:rPr>
            <w:fldChar w:fldCharType="separate"/>
          </w:r>
          <w:r>
            <w:rPr>
              <w:rFonts w:hint="eastAsia" w:ascii="宋体" w:hAnsi="宋体" w:eastAsia="宋体" w:cs="宋体"/>
              <w:bCs/>
              <w:color w:val="auto"/>
              <w:sz w:val="21"/>
              <w:szCs w:val="21"/>
              <w:highlight w:val="none"/>
            </w:rPr>
            <w:t>7.特别说明</w:t>
          </w:r>
          <w:r>
            <w:rPr>
              <w:color w:val="auto"/>
              <w:sz w:val="21"/>
              <w:szCs w:val="21"/>
            </w:rPr>
            <w:tab/>
          </w:r>
          <w:r>
            <w:rPr>
              <w:color w:val="auto"/>
              <w:sz w:val="21"/>
              <w:szCs w:val="21"/>
            </w:rPr>
            <w:fldChar w:fldCharType="begin"/>
          </w:r>
          <w:r>
            <w:rPr>
              <w:color w:val="auto"/>
              <w:sz w:val="21"/>
              <w:szCs w:val="21"/>
            </w:rPr>
            <w:instrText xml:space="preserve"> PAGEREF _Toc24160 \h </w:instrText>
          </w:r>
          <w:r>
            <w:rPr>
              <w:color w:val="auto"/>
              <w:sz w:val="21"/>
              <w:szCs w:val="21"/>
            </w:rPr>
            <w:fldChar w:fldCharType="separate"/>
          </w:r>
          <w:r>
            <w:rPr>
              <w:color w:val="auto"/>
              <w:sz w:val="21"/>
              <w:szCs w:val="21"/>
            </w:rPr>
            <w:t>22</w:t>
          </w:r>
          <w:r>
            <w:rPr>
              <w:color w:val="auto"/>
              <w:sz w:val="21"/>
              <w:szCs w:val="21"/>
            </w:rPr>
            <w:fldChar w:fldCharType="end"/>
          </w:r>
          <w:r>
            <w:rPr>
              <w:color w:val="auto"/>
              <w:sz w:val="21"/>
              <w:szCs w:val="21"/>
            </w:rPr>
            <w:fldChar w:fldCharType="end"/>
          </w:r>
        </w:p>
        <w:p w14:paraId="5D19DF3E">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_Toc25702 </w:instrText>
          </w:r>
          <w:r>
            <w:rPr>
              <w:color w:val="auto"/>
              <w:sz w:val="21"/>
              <w:szCs w:val="21"/>
            </w:rPr>
            <w:fldChar w:fldCharType="separate"/>
          </w:r>
          <w:r>
            <w:rPr>
              <w:rFonts w:hint="eastAsia" w:ascii="宋体" w:hAnsi="宋体" w:eastAsia="宋体" w:cs="宋体"/>
              <w:bCs w:val="0"/>
              <w:color w:val="auto"/>
              <w:sz w:val="21"/>
              <w:szCs w:val="21"/>
              <w:highlight w:val="none"/>
            </w:rPr>
            <w:t>二、磋商文件</w:t>
          </w:r>
          <w:r>
            <w:rPr>
              <w:color w:val="auto"/>
              <w:sz w:val="21"/>
              <w:szCs w:val="21"/>
            </w:rPr>
            <w:tab/>
          </w:r>
          <w:r>
            <w:rPr>
              <w:color w:val="auto"/>
              <w:sz w:val="21"/>
              <w:szCs w:val="21"/>
            </w:rPr>
            <w:fldChar w:fldCharType="begin"/>
          </w:r>
          <w:r>
            <w:rPr>
              <w:color w:val="auto"/>
              <w:sz w:val="21"/>
              <w:szCs w:val="21"/>
            </w:rPr>
            <w:instrText xml:space="preserve"> PAGEREF _Toc25702 \h </w:instrText>
          </w:r>
          <w:r>
            <w:rPr>
              <w:color w:val="auto"/>
              <w:sz w:val="21"/>
              <w:szCs w:val="21"/>
            </w:rPr>
            <w:fldChar w:fldCharType="separate"/>
          </w:r>
          <w:r>
            <w:rPr>
              <w:color w:val="auto"/>
              <w:sz w:val="21"/>
              <w:szCs w:val="21"/>
            </w:rPr>
            <w:t>23</w:t>
          </w:r>
          <w:r>
            <w:rPr>
              <w:color w:val="auto"/>
              <w:sz w:val="21"/>
              <w:szCs w:val="21"/>
            </w:rPr>
            <w:fldChar w:fldCharType="end"/>
          </w:r>
          <w:r>
            <w:rPr>
              <w:color w:val="auto"/>
              <w:sz w:val="21"/>
              <w:szCs w:val="21"/>
            </w:rPr>
            <w:fldChar w:fldCharType="end"/>
          </w:r>
        </w:p>
        <w:p w14:paraId="7B8E6D98">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_Toc9490 </w:instrText>
          </w:r>
          <w:r>
            <w:rPr>
              <w:color w:val="auto"/>
              <w:sz w:val="21"/>
              <w:szCs w:val="21"/>
            </w:rPr>
            <w:fldChar w:fldCharType="separate"/>
          </w:r>
          <w:r>
            <w:rPr>
              <w:rFonts w:hint="eastAsia" w:ascii="宋体" w:hAnsi="宋体" w:eastAsia="宋体" w:cs="宋体"/>
              <w:bCs/>
              <w:color w:val="auto"/>
              <w:sz w:val="21"/>
              <w:szCs w:val="21"/>
              <w:highlight w:val="none"/>
            </w:rPr>
            <w:t>8.磋商文件的构成</w:t>
          </w:r>
          <w:r>
            <w:rPr>
              <w:color w:val="auto"/>
              <w:sz w:val="21"/>
              <w:szCs w:val="21"/>
            </w:rPr>
            <w:tab/>
          </w:r>
          <w:r>
            <w:rPr>
              <w:color w:val="auto"/>
              <w:sz w:val="21"/>
              <w:szCs w:val="21"/>
            </w:rPr>
            <w:fldChar w:fldCharType="begin"/>
          </w:r>
          <w:r>
            <w:rPr>
              <w:color w:val="auto"/>
              <w:sz w:val="21"/>
              <w:szCs w:val="21"/>
            </w:rPr>
            <w:instrText xml:space="preserve"> PAGEREF _Toc9490 \h </w:instrText>
          </w:r>
          <w:r>
            <w:rPr>
              <w:color w:val="auto"/>
              <w:sz w:val="21"/>
              <w:szCs w:val="21"/>
            </w:rPr>
            <w:fldChar w:fldCharType="separate"/>
          </w:r>
          <w:r>
            <w:rPr>
              <w:color w:val="auto"/>
              <w:sz w:val="21"/>
              <w:szCs w:val="21"/>
            </w:rPr>
            <w:t>23</w:t>
          </w:r>
          <w:r>
            <w:rPr>
              <w:color w:val="auto"/>
              <w:sz w:val="21"/>
              <w:szCs w:val="21"/>
            </w:rPr>
            <w:fldChar w:fldCharType="end"/>
          </w:r>
          <w:r>
            <w:rPr>
              <w:color w:val="auto"/>
              <w:sz w:val="21"/>
              <w:szCs w:val="21"/>
            </w:rPr>
            <w:fldChar w:fldCharType="end"/>
          </w:r>
        </w:p>
        <w:p w14:paraId="774CA7D0">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_Toc19913 </w:instrText>
          </w:r>
          <w:r>
            <w:rPr>
              <w:color w:val="auto"/>
              <w:sz w:val="21"/>
              <w:szCs w:val="21"/>
            </w:rPr>
            <w:fldChar w:fldCharType="separate"/>
          </w:r>
          <w:r>
            <w:rPr>
              <w:rFonts w:hint="eastAsia" w:ascii="宋体" w:hAnsi="宋体" w:eastAsia="宋体" w:cs="宋体"/>
              <w:bCs/>
              <w:color w:val="auto"/>
              <w:sz w:val="21"/>
              <w:szCs w:val="21"/>
              <w:highlight w:val="none"/>
            </w:rPr>
            <w:t>9.供应商的询问</w:t>
          </w:r>
          <w:r>
            <w:rPr>
              <w:color w:val="auto"/>
              <w:sz w:val="21"/>
              <w:szCs w:val="21"/>
            </w:rPr>
            <w:tab/>
          </w:r>
          <w:r>
            <w:rPr>
              <w:color w:val="auto"/>
              <w:sz w:val="21"/>
              <w:szCs w:val="21"/>
            </w:rPr>
            <w:fldChar w:fldCharType="begin"/>
          </w:r>
          <w:r>
            <w:rPr>
              <w:color w:val="auto"/>
              <w:sz w:val="21"/>
              <w:szCs w:val="21"/>
            </w:rPr>
            <w:instrText xml:space="preserve"> PAGEREF _Toc19913 \h </w:instrText>
          </w:r>
          <w:r>
            <w:rPr>
              <w:color w:val="auto"/>
              <w:sz w:val="21"/>
              <w:szCs w:val="21"/>
            </w:rPr>
            <w:fldChar w:fldCharType="separate"/>
          </w:r>
          <w:r>
            <w:rPr>
              <w:color w:val="auto"/>
              <w:sz w:val="21"/>
              <w:szCs w:val="21"/>
            </w:rPr>
            <w:t>23</w:t>
          </w:r>
          <w:r>
            <w:rPr>
              <w:color w:val="auto"/>
              <w:sz w:val="21"/>
              <w:szCs w:val="21"/>
            </w:rPr>
            <w:fldChar w:fldCharType="end"/>
          </w:r>
          <w:r>
            <w:rPr>
              <w:color w:val="auto"/>
              <w:sz w:val="21"/>
              <w:szCs w:val="21"/>
            </w:rPr>
            <w:fldChar w:fldCharType="end"/>
          </w:r>
        </w:p>
        <w:p w14:paraId="0CD4FC64">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_Toc2452 </w:instrText>
          </w:r>
          <w:r>
            <w:rPr>
              <w:color w:val="auto"/>
              <w:sz w:val="21"/>
              <w:szCs w:val="21"/>
            </w:rPr>
            <w:fldChar w:fldCharType="separate"/>
          </w:r>
          <w:r>
            <w:rPr>
              <w:rFonts w:hint="eastAsia" w:ascii="宋体" w:hAnsi="宋体" w:eastAsia="宋体" w:cs="宋体"/>
              <w:bCs/>
              <w:color w:val="auto"/>
              <w:sz w:val="21"/>
              <w:szCs w:val="21"/>
              <w:highlight w:val="none"/>
            </w:rPr>
            <w:t>10.磋商文件的澄清和修改</w:t>
          </w:r>
          <w:r>
            <w:rPr>
              <w:color w:val="auto"/>
              <w:sz w:val="21"/>
              <w:szCs w:val="21"/>
            </w:rPr>
            <w:tab/>
          </w:r>
          <w:r>
            <w:rPr>
              <w:color w:val="auto"/>
              <w:sz w:val="21"/>
              <w:szCs w:val="21"/>
            </w:rPr>
            <w:fldChar w:fldCharType="begin"/>
          </w:r>
          <w:r>
            <w:rPr>
              <w:color w:val="auto"/>
              <w:sz w:val="21"/>
              <w:szCs w:val="21"/>
            </w:rPr>
            <w:instrText xml:space="preserve"> PAGEREF _Toc2452 \h </w:instrText>
          </w:r>
          <w:r>
            <w:rPr>
              <w:color w:val="auto"/>
              <w:sz w:val="21"/>
              <w:szCs w:val="21"/>
            </w:rPr>
            <w:fldChar w:fldCharType="separate"/>
          </w:r>
          <w:r>
            <w:rPr>
              <w:color w:val="auto"/>
              <w:sz w:val="21"/>
              <w:szCs w:val="21"/>
            </w:rPr>
            <w:t>23</w:t>
          </w:r>
          <w:r>
            <w:rPr>
              <w:color w:val="auto"/>
              <w:sz w:val="21"/>
              <w:szCs w:val="21"/>
            </w:rPr>
            <w:fldChar w:fldCharType="end"/>
          </w:r>
          <w:r>
            <w:rPr>
              <w:color w:val="auto"/>
              <w:sz w:val="21"/>
              <w:szCs w:val="21"/>
            </w:rPr>
            <w:fldChar w:fldCharType="end"/>
          </w:r>
        </w:p>
        <w:p w14:paraId="18810B29">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_Toc23798 </w:instrText>
          </w:r>
          <w:r>
            <w:rPr>
              <w:color w:val="auto"/>
              <w:sz w:val="21"/>
              <w:szCs w:val="21"/>
            </w:rPr>
            <w:fldChar w:fldCharType="separate"/>
          </w:r>
          <w:r>
            <w:rPr>
              <w:rFonts w:hint="eastAsia" w:ascii="宋体" w:hAnsi="宋体" w:eastAsia="宋体" w:cs="宋体"/>
              <w:bCs w:val="0"/>
              <w:color w:val="auto"/>
              <w:sz w:val="21"/>
              <w:szCs w:val="21"/>
              <w:highlight w:val="none"/>
            </w:rPr>
            <w:t>三、响应文件的编制</w:t>
          </w:r>
          <w:r>
            <w:rPr>
              <w:color w:val="auto"/>
              <w:sz w:val="21"/>
              <w:szCs w:val="21"/>
            </w:rPr>
            <w:tab/>
          </w:r>
          <w:r>
            <w:rPr>
              <w:color w:val="auto"/>
              <w:sz w:val="21"/>
              <w:szCs w:val="21"/>
            </w:rPr>
            <w:fldChar w:fldCharType="begin"/>
          </w:r>
          <w:r>
            <w:rPr>
              <w:color w:val="auto"/>
              <w:sz w:val="21"/>
              <w:szCs w:val="21"/>
            </w:rPr>
            <w:instrText xml:space="preserve"> PAGEREF _Toc23798 \h </w:instrText>
          </w:r>
          <w:r>
            <w:rPr>
              <w:color w:val="auto"/>
              <w:sz w:val="21"/>
              <w:szCs w:val="21"/>
            </w:rPr>
            <w:fldChar w:fldCharType="separate"/>
          </w:r>
          <w:r>
            <w:rPr>
              <w:color w:val="auto"/>
              <w:sz w:val="21"/>
              <w:szCs w:val="21"/>
            </w:rPr>
            <w:t>24</w:t>
          </w:r>
          <w:r>
            <w:rPr>
              <w:color w:val="auto"/>
              <w:sz w:val="21"/>
              <w:szCs w:val="21"/>
            </w:rPr>
            <w:fldChar w:fldCharType="end"/>
          </w:r>
          <w:r>
            <w:rPr>
              <w:color w:val="auto"/>
              <w:sz w:val="21"/>
              <w:szCs w:val="21"/>
            </w:rPr>
            <w:fldChar w:fldCharType="end"/>
          </w:r>
        </w:p>
        <w:p w14:paraId="48A14B28">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_Toc24592 </w:instrText>
          </w:r>
          <w:r>
            <w:rPr>
              <w:color w:val="auto"/>
              <w:sz w:val="21"/>
              <w:szCs w:val="21"/>
            </w:rPr>
            <w:fldChar w:fldCharType="separate"/>
          </w:r>
          <w:r>
            <w:rPr>
              <w:rFonts w:hint="eastAsia" w:ascii="宋体" w:hAnsi="宋体" w:eastAsia="宋体" w:cs="宋体"/>
              <w:bCs/>
              <w:color w:val="auto"/>
              <w:sz w:val="21"/>
              <w:szCs w:val="21"/>
              <w:highlight w:val="none"/>
            </w:rPr>
            <w:t>11.响应文件的编制原则</w:t>
          </w:r>
          <w:r>
            <w:rPr>
              <w:color w:val="auto"/>
              <w:sz w:val="21"/>
              <w:szCs w:val="21"/>
            </w:rPr>
            <w:tab/>
          </w:r>
          <w:r>
            <w:rPr>
              <w:color w:val="auto"/>
              <w:sz w:val="21"/>
              <w:szCs w:val="21"/>
            </w:rPr>
            <w:fldChar w:fldCharType="begin"/>
          </w:r>
          <w:r>
            <w:rPr>
              <w:color w:val="auto"/>
              <w:sz w:val="21"/>
              <w:szCs w:val="21"/>
            </w:rPr>
            <w:instrText xml:space="preserve"> PAGEREF _Toc24592 \h </w:instrText>
          </w:r>
          <w:r>
            <w:rPr>
              <w:color w:val="auto"/>
              <w:sz w:val="21"/>
              <w:szCs w:val="21"/>
            </w:rPr>
            <w:fldChar w:fldCharType="separate"/>
          </w:r>
          <w:r>
            <w:rPr>
              <w:color w:val="auto"/>
              <w:sz w:val="21"/>
              <w:szCs w:val="21"/>
            </w:rPr>
            <w:t>24</w:t>
          </w:r>
          <w:r>
            <w:rPr>
              <w:color w:val="auto"/>
              <w:sz w:val="21"/>
              <w:szCs w:val="21"/>
            </w:rPr>
            <w:fldChar w:fldCharType="end"/>
          </w:r>
          <w:r>
            <w:rPr>
              <w:color w:val="auto"/>
              <w:sz w:val="21"/>
              <w:szCs w:val="21"/>
            </w:rPr>
            <w:fldChar w:fldCharType="end"/>
          </w:r>
        </w:p>
        <w:p w14:paraId="6866550E">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_Toc13618 </w:instrText>
          </w:r>
          <w:r>
            <w:rPr>
              <w:color w:val="auto"/>
              <w:sz w:val="21"/>
              <w:szCs w:val="21"/>
            </w:rPr>
            <w:fldChar w:fldCharType="separate"/>
          </w:r>
          <w:r>
            <w:rPr>
              <w:rFonts w:hint="eastAsia" w:ascii="宋体" w:hAnsi="宋体" w:eastAsia="宋体" w:cs="宋体"/>
              <w:bCs/>
              <w:color w:val="auto"/>
              <w:sz w:val="21"/>
              <w:szCs w:val="21"/>
              <w:highlight w:val="none"/>
            </w:rPr>
            <w:t>12.响应文件的组成</w:t>
          </w:r>
          <w:r>
            <w:rPr>
              <w:color w:val="auto"/>
              <w:sz w:val="21"/>
              <w:szCs w:val="21"/>
            </w:rPr>
            <w:tab/>
          </w:r>
          <w:r>
            <w:rPr>
              <w:color w:val="auto"/>
              <w:sz w:val="21"/>
              <w:szCs w:val="21"/>
            </w:rPr>
            <w:fldChar w:fldCharType="begin"/>
          </w:r>
          <w:r>
            <w:rPr>
              <w:color w:val="auto"/>
              <w:sz w:val="21"/>
              <w:szCs w:val="21"/>
            </w:rPr>
            <w:instrText xml:space="preserve"> PAGEREF _Toc13618 \h </w:instrText>
          </w:r>
          <w:r>
            <w:rPr>
              <w:color w:val="auto"/>
              <w:sz w:val="21"/>
              <w:szCs w:val="21"/>
            </w:rPr>
            <w:fldChar w:fldCharType="separate"/>
          </w:r>
          <w:r>
            <w:rPr>
              <w:color w:val="auto"/>
              <w:sz w:val="21"/>
              <w:szCs w:val="21"/>
            </w:rPr>
            <w:t>24</w:t>
          </w:r>
          <w:r>
            <w:rPr>
              <w:color w:val="auto"/>
              <w:sz w:val="21"/>
              <w:szCs w:val="21"/>
            </w:rPr>
            <w:fldChar w:fldCharType="end"/>
          </w:r>
          <w:r>
            <w:rPr>
              <w:color w:val="auto"/>
              <w:sz w:val="21"/>
              <w:szCs w:val="21"/>
            </w:rPr>
            <w:fldChar w:fldCharType="end"/>
          </w:r>
        </w:p>
        <w:p w14:paraId="615C8D91">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_Toc22507 </w:instrText>
          </w:r>
          <w:r>
            <w:rPr>
              <w:color w:val="auto"/>
              <w:sz w:val="21"/>
              <w:szCs w:val="21"/>
            </w:rPr>
            <w:fldChar w:fldCharType="separate"/>
          </w:r>
          <w:r>
            <w:rPr>
              <w:rFonts w:hint="eastAsia" w:ascii="宋体" w:hAnsi="宋体" w:eastAsia="宋体" w:cs="宋体"/>
              <w:bCs/>
              <w:color w:val="auto"/>
              <w:sz w:val="21"/>
              <w:szCs w:val="21"/>
              <w:highlight w:val="none"/>
            </w:rPr>
            <w:t>13.计量单位</w:t>
          </w:r>
          <w:r>
            <w:rPr>
              <w:color w:val="auto"/>
              <w:sz w:val="21"/>
              <w:szCs w:val="21"/>
            </w:rPr>
            <w:tab/>
          </w:r>
          <w:r>
            <w:rPr>
              <w:color w:val="auto"/>
              <w:sz w:val="21"/>
              <w:szCs w:val="21"/>
            </w:rPr>
            <w:fldChar w:fldCharType="begin"/>
          </w:r>
          <w:r>
            <w:rPr>
              <w:color w:val="auto"/>
              <w:sz w:val="21"/>
              <w:szCs w:val="21"/>
            </w:rPr>
            <w:instrText xml:space="preserve"> PAGEREF _Toc22507 \h </w:instrText>
          </w:r>
          <w:r>
            <w:rPr>
              <w:color w:val="auto"/>
              <w:sz w:val="21"/>
              <w:szCs w:val="21"/>
            </w:rPr>
            <w:fldChar w:fldCharType="separate"/>
          </w:r>
          <w:r>
            <w:rPr>
              <w:color w:val="auto"/>
              <w:sz w:val="21"/>
              <w:szCs w:val="21"/>
            </w:rPr>
            <w:t>24</w:t>
          </w:r>
          <w:r>
            <w:rPr>
              <w:color w:val="auto"/>
              <w:sz w:val="21"/>
              <w:szCs w:val="21"/>
            </w:rPr>
            <w:fldChar w:fldCharType="end"/>
          </w:r>
          <w:r>
            <w:rPr>
              <w:color w:val="auto"/>
              <w:sz w:val="21"/>
              <w:szCs w:val="21"/>
            </w:rPr>
            <w:fldChar w:fldCharType="end"/>
          </w:r>
        </w:p>
        <w:p w14:paraId="035FA510">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_Toc4373 </w:instrText>
          </w:r>
          <w:r>
            <w:rPr>
              <w:color w:val="auto"/>
              <w:sz w:val="21"/>
              <w:szCs w:val="21"/>
            </w:rPr>
            <w:fldChar w:fldCharType="separate"/>
          </w:r>
          <w:r>
            <w:rPr>
              <w:rFonts w:hint="eastAsia" w:ascii="宋体" w:hAnsi="宋体" w:eastAsia="宋体" w:cs="宋体"/>
              <w:bCs/>
              <w:color w:val="auto"/>
              <w:sz w:val="21"/>
              <w:szCs w:val="21"/>
              <w:highlight w:val="none"/>
            </w:rPr>
            <w:t>14.竞标的风险</w:t>
          </w:r>
          <w:r>
            <w:rPr>
              <w:color w:val="auto"/>
              <w:sz w:val="21"/>
              <w:szCs w:val="21"/>
            </w:rPr>
            <w:tab/>
          </w:r>
          <w:r>
            <w:rPr>
              <w:color w:val="auto"/>
              <w:sz w:val="21"/>
              <w:szCs w:val="21"/>
            </w:rPr>
            <w:fldChar w:fldCharType="begin"/>
          </w:r>
          <w:r>
            <w:rPr>
              <w:color w:val="auto"/>
              <w:sz w:val="21"/>
              <w:szCs w:val="21"/>
            </w:rPr>
            <w:instrText xml:space="preserve"> PAGEREF _Toc4373 \h </w:instrText>
          </w:r>
          <w:r>
            <w:rPr>
              <w:color w:val="auto"/>
              <w:sz w:val="21"/>
              <w:szCs w:val="21"/>
            </w:rPr>
            <w:fldChar w:fldCharType="separate"/>
          </w:r>
          <w:r>
            <w:rPr>
              <w:color w:val="auto"/>
              <w:sz w:val="21"/>
              <w:szCs w:val="21"/>
            </w:rPr>
            <w:t>24</w:t>
          </w:r>
          <w:r>
            <w:rPr>
              <w:color w:val="auto"/>
              <w:sz w:val="21"/>
              <w:szCs w:val="21"/>
            </w:rPr>
            <w:fldChar w:fldCharType="end"/>
          </w:r>
          <w:r>
            <w:rPr>
              <w:color w:val="auto"/>
              <w:sz w:val="21"/>
              <w:szCs w:val="21"/>
            </w:rPr>
            <w:fldChar w:fldCharType="end"/>
          </w:r>
        </w:p>
        <w:p w14:paraId="418D9BA5">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_Toc10885 </w:instrText>
          </w:r>
          <w:r>
            <w:rPr>
              <w:color w:val="auto"/>
              <w:sz w:val="21"/>
              <w:szCs w:val="21"/>
            </w:rPr>
            <w:fldChar w:fldCharType="separate"/>
          </w:r>
          <w:r>
            <w:rPr>
              <w:rFonts w:hint="eastAsia" w:ascii="宋体" w:hAnsi="宋体" w:eastAsia="宋体" w:cs="宋体"/>
              <w:bCs/>
              <w:color w:val="auto"/>
              <w:sz w:val="21"/>
              <w:szCs w:val="21"/>
              <w:highlight w:val="none"/>
            </w:rPr>
            <w:t>15.响应报价要求和构成</w:t>
          </w:r>
          <w:r>
            <w:rPr>
              <w:color w:val="auto"/>
              <w:sz w:val="21"/>
              <w:szCs w:val="21"/>
            </w:rPr>
            <w:tab/>
          </w:r>
          <w:r>
            <w:rPr>
              <w:color w:val="auto"/>
              <w:sz w:val="21"/>
              <w:szCs w:val="21"/>
            </w:rPr>
            <w:fldChar w:fldCharType="begin"/>
          </w:r>
          <w:r>
            <w:rPr>
              <w:color w:val="auto"/>
              <w:sz w:val="21"/>
              <w:szCs w:val="21"/>
            </w:rPr>
            <w:instrText xml:space="preserve"> PAGEREF _Toc10885 \h </w:instrText>
          </w:r>
          <w:r>
            <w:rPr>
              <w:color w:val="auto"/>
              <w:sz w:val="21"/>
              <w:szCs w:val="21"/>
            </w:rPr>
            <w:fldChar w:fldCharType="separate"/>
          </w:r>
          <w:r>
            <w:rPr>
              <w:color w:val="auto"/>
              <w:sz w:val="21"/>
              <w:szCs w:val="21"/>
            </w:rPr>
            <w:t>24</w:t>
          </w:r>
          <w:r>
            <w:rPr>
              <w:color w:val="auto"/>
              <w:sz w:val="21"/>
              <w:szCs w:val="21"/>
            </w:rPr>
            <w:fldChar w:fldCharType="end"/>
          </w:r>
          <w:r>
            <w:rPr>
              <w:color w:val="auto"/>
              <w:sz w:val="21"/>
              <w:szCs w:val="21"/>
            </w:rPr>
            <w:fldChar w:fldCharType="end"/>
          </w:r>
        </w:p>
        <w:p w14:paraId="4B82E362">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_Toc21655 </w:instrText>
          </w:r>
          <w:r>
            <w:rPr>
              <w:color w:val="auto"/>
              <w:sz w:val="21"/>
              <w:szCs w:val="21"/>
            </w:rPr>
            <w:fldChar w:fldCharType="separate"/>
          </w:r>
          <w:r>
            <w:rPr>
              <w:rFonts w:hint="eastAsia" w:ascii="宋体" w:hAnsi="宋体" w:eastAsia="宋体" w:cs="宋体"/>
              <w:bCs/>
              <w:color w:val="auto"/>
              <w:sz w:val="21"/>
              <w:szCs w:val="21"/>
              <w:highlight w:val="none"/>
            </w:rPr>
            <w:t>16.竞标有效期</w:t>
          </w:r>
          <w:r>
            <w:rPr>
              <w:color w:val="auto"/>
              <w:sz w:val="21"/>
              <w:szCs w:val="21"/>
            </w:rPr>
            <w:tab/>
          </w:r>
          <w:r>
            <w:rPr>
              <w:color w:val="auto"/>
              <w:sz w:val="21"/>
              <w:szCs w:val="21"/>
            </w:rPr>
            <w:fldChar w:fldCharType="begin"/>
          </w:r>
          <w:r>
            <w:rPr>
              <w:color w:val="auto"/>
              <w:sz w:val="21"/>
              <w:szCs w:val="21"/>
            </w:rPr>
            <w:instrText xml:space="preserve"> PAGEREF _Toc21655 \h </w:instrText>
          </w:r>
          <w:r>
            <w:rPr>
              <w:color w:val="auto"/>
              <w:sz w:val="21"/>
              <w:szCs w:val="21"/>
            </w:rPr>
            <w:fldChar w:fldCharType="separate"/>
          </w:r>
          <w:r>
            <w:rPr>
              <w:color w:val="auto"/>
              <w:sz w:val="21"/>
              <w:szCs w:val="21"/>
            </w:rPr>
            <w:t>25</w:t>
          </w:r>
          <w:r>
            <w:rPr>
              <w:color w:val="auto"/>
              <w:sz w:val="21"/>
              <w:szCs w:val="21"/>
            </w:rPr>
            <w:fldChar w:fldCharType="end"/>
          </w:r>
          <w:r>
            <w:rPr>
              <w:color w:val="auto"/>
              <w:sz w:val="21"/>
              <w:szCs w:val="21"/>
            </w:rPr>
            <w:fldChar w:fldCharType="end"/>
          </w:r>
        </w:p>
        <w:p w14:paraId="6A4D7450">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_Toc25519 </w:instrText>
          </w:r>
          <w:r>
            <w:rPr>
              <w:color w:val="auto"/>
              <w:sz w:val="21"/>
              <w:szCs w:val="21"/>
            </w:rPr>
            <w:fldChar w:fldCharType="separate"/>
          </w:r>
          <w:r>
            <w:rPr>
              <w:rFonts w:hint="eastAsia" w:ascii="宋体" w:hAnsi="宋体" w:eastAsia="宋体" w:cs="宋体"/>
              <w:bCs/>
              <w:color w:val="auto"/>
              <w:sz w:val="21"/>
              <w:szCs w:val="21"/>
              <w:highlight w:val="none"/>
            </w:rPr>
            <w:t>17.磋商保证金</w:t>
          </w:r>
          <w:r>
            <w:rPr>
              <w:color w:val="auto"/>
              <w:sz w:val="21"/>
              <w:szCs w:val="21"/>
            </w:rPr>
            <w:tab/>
          </w:r>
          <w:r>
            <w:rPr>
              <w:color w:val="auto"/>
              <w:sz w:val="21"/>
              <w:szCs w:val="21"/>
            </w:rPr>
            <w:fldChar w:fldCharType="begin"/>
          </w:r>
          <w:r>
            <w:rPr>
              <w:color w:val="auto"/>
              <w:sz w:val="21"/>
              <w:szCs w:val="21"/>
            </w:rPr>
            <w:instrText xml:space="preserve"> PAGEREF _Toc25519 \h </w:instrText>
          </w:r>
          <w:r>
            <w:rPr>
              <w:color w:val="auto"/>
              <w:sz w:val="21"/>
              <w:szCs w:val="21"/>
            </w:rPr>
            <w:fldChar w:fldCharType="separate"/>
          </w:r>
          <w:r>
            <w:rPr>
              <w:color w:val="auto"/>
              <w:sz w:val="21"/>
              <w:szCs w:val="21"/>
            </w:rPr>
            <w:t>25</w:t>
          </w:r>
          <w:r>
            <w:rPr>
              <w:color w:val="auto"/>
              <w:sz w:val="21"/>
              <w:szCs w:val="21"/>
            </w:rPr>
            <w:fldChar w:fldCharType="end"/>
          </w:r>
          <w:r>
            <w:rPr>
              <w:color w:val="auto"/>
              <w:sz w:val="21"/>
              <w:szCs w:val="21"/>
            </w:rPr>
            <w:fldChar w:fldCharType="end"/>
          </w:r>
        </w:p>
        <w:p w14:paraId="31673A4D">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_Toc32050 </w:instrText>
          </w:r>
          <w:r>
            <w:rPr>
              <w:color w:val="auto"/>
              <w:sz w:val="21"/>
              <w:szCs w:val="21"/>
            </w:rPr>
            <w:fldChar w:fldCharType="separate"/>
          </w:r>
          <w:r>
            <w:rPr>
              <w:rFonts w:hint="eastAsia" w:ascii="宋体" w:hAnsi="宋体" w:eastAsia="宋体" w:cs="宋体"/>
              <w:bCs/>
              <w:color w:val="auto"/>
              <w:sz w:val="21"/>
              <w:szCs w:val="21"/>
              <w:highlight w:val="none"/>
            </w:rPr>
            <w:t>18.响应文件编制的要求</w:t>
          </w:r>
          <w:r>
            <w:rPr>
              <w:color w:val="auto"/>
              <w:sz w:val="21"/>
              <w:szCs w:val="21"/>
            </w:rPr>
            <w:tab/>
          </w:r>
          <w:r>
            <w:rPr>
              <w:color w:val="auto"/>
              <w:sz w:val="21"/>
              <w:szCs w:val="21"/>
            </w:rPr>
            <w:fldChar w:fldCharType="begin"/>
          </w:r>
          <w:r>
            <w:rPr>
              <w:color w:val="auto"/>
              <w:sz w:val="21"/>
              <w:szCs w:val="21"/>
            </w:rPr>
            <w:instrText xml:space="preserve"> PAGEREF _Toc32050 \h </w:instrText>
          </w:r>
          <w:r>
            <w:rPr>
              <w:color w:val="auto"/>
              <w:sz w:val="21"/>
              <w:szCs w:val="21"/>
            </w:rPr>
            <w:fldChar w:fldCharType="separate"/>
          </w:r>
          <w:r>
            <w:rPr>
              <w:color w:val="auto"/>
              <w:sz w:val="21"/>
              <w:szCs w:val="21"/>
            </w:rPr>
            <w:t>25</w:t>
          </w:r>
          <w:r>
            <w:rPr>
              <w:color w:val="auto"/>
              <w:sz w:val="21"/>
              <w:szCs w:val="21"/>
            </w:rPr>
            <w:fldChar w:fldCharType="end"/>
          </w:r>
          <w:r>
            <w:rPr>
              <w:color w:val="auto"/>
              <w:sz w:val="21"/>
              <w:szCs w:val="21"/>
            </w:rPr>
            <w:fldChar w:fldCharType="end"/>
          </w:r>
        </w:p>
        <w:p w14:paraId="477C1AF5">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_Toc20532 </w:instrText>
          </w:r>
          <w:r>
            <w:rPr>
              <w:color w:val="auto"/>
              <w:sz w:val="21"/>
              <w:szCs w:val="21"/>
            </w:rPr>
            <w:fldChar w:fldCharType="separate"/>
          </w:r>
          <w:r>
            <w:rPr>
              <w:rFonts w:hint="eastAsia" w:ascii="宋体" w:hAnsi="宋体" w:eastAsia="宋体" w:cs="宋体"/>
              <w:bCs/>
              <w:color w:val="auto"/>
              <w:sz w:val="21"/>
              <w:szCs w:val="21"/>
              <w:highlight w:val="none"/>
            </w:rPr>
            <w:t>19.响应文件的密封和标记</w:t>
          </w:r>
          <w:r>
            <w:rPr>
              <w:color w:val="auto"/>
              <w:sz w:val="21"/>
              <w:szCs w:val="21"/>
            </w:rPr>
            <w:tab/>
          </w:r>
          <w:r>
            <w:rPr>
              <w:color w:val="auto"/>
              <w:sz w:val="21"/>
              <w:szCs w:val="21"/>
            </w:rPr>
            <w:fldChar w:fldCharType="begin"/>
          </w:r>
          <w:r>
            <w:rPr>
              <w:color w:val="auto"/>
              <w:sz w:val="21"/>
              <w:szCs w:val="21"/>
            </w:rPr>
            <w:instrText xml:space="preserve"> PAGEREF _Toc20532 \h </w:instrText>
          </w:r>
          <w:r>
            <w:rPr>
              <w:color w:val="auto"/>
              <w:sz w:val="21"/>
              <w:szCs w:val="21"/>
            </w:rPr>
            <w:fldChar w:fldCharType="separate"/>
          </w:r>
          <w:r>
            <w:rPr>
              <w:color w:val="auto"/>
              <w:sz w:val="21"/>
              <w:szCs w:val="21"/>
            </w:rPr>
            <w:t>26</w:t>
          </w:r>
          <w:r>
            <w:rPr>
              <w:color w:val="auto"/>
              <w:sz w:val="21"/>
              <w:szCs w:val="21"/>
            </w:rPr>
            <w:fldChar w:fldCharType="end"/>
          </w:r>
          <w:r>
            <w:rPr>
              <w:color w:val="auto"/>
              <w:sz w:val="21"/>
              <w:szCs w:val="21"/>
            </w:rPr>
            <w:fldChar w:fldCharType="end"/>
          </w:r>
        </w:p>
        <w:p w14:paraId="09A8DBB0">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_Toc23739 </w:instrText>
          </w:r>
          <w:r>
            <w:rPr>
              <w:color w:val="auto"/>
              <w:sz w:val="21"/>
              <w:szCs w:val="21"/>
            </w:rPr>
            <w:fldChar w:fldCharType="separate"/>
          </w:r>
          <w:r>
            <w:rPr>
              <w:rFonts w:hint="eastAsia" w:ascii="宋体" w:hAnsi="宋体" w:eastAsia="宋体" w:cs="宋体"/>
              <w:bCs/>
              <w:color w:val="auto"/>
              <w:sz w:val="21"/>
              <w:szCs w:val="21"/>
              <w:highlight w:val="none"/>
            </w:rPr>
            <w:t>20.响应文件的提交</w:t>
          </w:r>
          <w:r>
            <w:rPr>
              <w:color w:val="auto"/>
              <w:sz w:val="21"/>
              <w:szCs w:val="21"/>
            </w:rPr>
            <w:tab/>
          </w:r>
          <w:r>
            <w:rPr>
              <w:color w:val="auto"/>
              <w:sz w:val="21"/>
              <w:szCs w:val="21"/>
            </w:rPr>
            <w:fldChar w:fldCharType="begin"/>
          </w:r>
          <w:r>
            <w:rPr>
              <w:color w:val="auto"/>
              <w:sz w:val="21"/>
              <w:szCs w:val="21"/>
            </w:rPr>
            <w:instrText xml:space="preserve"> PAGEREF _Toc23739 \h </w:instrText>
          </w:r>
          <w:r>
            <w:rPr>
              <w:color w:val="auto"/>
              <w:sz w:val="21"/>
              <w:szCs w:val="21"/>
            </w:rPr>
            <w:fldChar w:fldCharType="separate"/>
          </w:r>
          <w:r>
            <w:rPr>
              <w:color w:val="auto"/>
              <w:sz w:val="21"/>
              <w:szCs w:val="21"/>
            </w:rPr>
            <w:t>26</w:t>
          </w:r>
          <w:r>
            <w:rPr>
              <w:color w:val="auto"/>
              <w:sz w:val="21"/>
              <w:szCs w:val="21"/>
            </w:rPr>
            <w:fldChar w:fldCharType="end"/>
          </w:r>
          <w:r>
            <w:rPr>
              <w:color w:val="auto"/>
              <w:sz w:val="21"/>
              <w:szCs w:val="21"/>
            </w:rPr>
            <w:fldChar w:fldCharType="end"/>
          </w:r>
        </w:p>
        <w:p w14:paraId="6B3FA7B9">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_Toc14829 </w:instrText>
          </w:r>
          <w:r>
            <w:rPr>
              <w:color w:val="auto"/>
              <w:sz w:val="21"/>
              <w:szCs w:val="21"/>
            </w:rPr>
            <w:fldChar w:fldCharType="separate"/>
          </w:r>
          <w:r>
            <w:rPr>
              <w:rFonts w:hint="eastAsia" w:ascii="宋体" w:hAnsi="宋体" w:eastAsia="宋体" w:cs="宋体"/>
              <w:bCs/>
              <w:color w:val="auto"/>
              <w:sz w:val="21"/>
              <w:szCs w:val="21"/>
              <w:highlight w:val="none"/>
            </w:rPr>
            <w:t>21.首次响应文件的补充、修改与撤回</w:t>
          </w:r>
          <w:r>
            <w:rPr>
              <w:color w:val="auto"/>
              <w:sz w:val="21"/>
              <w:szCs w:val="21"/>
            </w:rPr>
            <w:tab/>
          </w:r>
          <w:r>
            <w:rPr>
              <w:color w:val="auto"/>
              <w:sz w:val="21"/>
              <w:szCs w:val="21"/>
            </w:rPr>
            <w:fldChar w:fldCharType="begin"/>
          </w:r>
          <w:r>
            <w:rPr>
              <w:color w:val="auto"/>
              <w:sz w:val="21"/>
              <w:szCs w:val="21"/>
            </w:rPr>
            <w:instrText xml:space="preserve"> PAGEREF _Toc14829 \h </w:instrText>
          </w:r>
          <w:r>
            <w:rPr>
              <w:color w:val="auto"/>
              <w:sz w:val="21"/>
              <w:szCs w:val="21"/>
            </w:rPr>
            <w:fldChar w:fldCharType="separate"/>
          </w:r>
          <w:r>
            <w:rPr>
              <w:color w:val="auto"/>
              <w:sz w:val="21"/>
              <w:szCs w:val="21"/>
            </w:rPr>
            <w:t>26</w:t>
          </w:r>
          <w:r>
            <w:rPr>
              <w:color w:val="auto"/>
              <w:sz w:val="21"/>
              <w:szCs w:val="21"/>
            </w:rPr>
            <w:fldChar w:fldCharType="end"/>
          </w:r>
          <w:r>
            <w:rPr>
              <w:color w:val="auto"/>
              <w:sz w:val="21"/>
              <w:szCs w:val="21"/>
            </w:rPr>
            <w:fldChar w:fldCharType="end"/>
          </w:r>
        </w:p>
        <w:p w14:paraId="5BCC6B8B">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_Toc8119 </w:instrText>
          </w:r>
          <w:r>
            <w:rPr>
              <w:color w:val="auto"/>
              <w:sz w:val="21"/>
              <w:szCs w:val="21"/>
            </w:rPr>
            <w:fldChar w:fldCharType="separate"/>
          </w:r>
          <w:r>
            <w:rPr>
              <w:rFonts w:hint="eastAsia" w:ascii="宋体" w:hAnsi="宋体" w:eastAsia="宋体" w:cs="宋体"/>
              <w:bCs/>
              <w:color w:val="auto"/>
              <w:sz w:val="21"/>
              <w:szCs w:val="21"/>
              <w:highlight w:val="none"/>
            </w:rPr>
            <w:t>2</w:t>
          </w:r>
          <w:r>
            <w:rPr>
              <w:rFonts w:hint="eastAsia" w:ascii="宋体" w:hAnsi="宋体" w:eastAsia="宋体" w:cs="宋体"/>
              <w:bCs/>
              <w:color w:val="auto"/>
              <w:sz w:val="21"/>
              <w:szCs w:val="21"/>
              <w:highlight w:val="none"/>
              <w:lang w:val="en-US" w:eastAsia="zh-CN"/>
            </w:rPr>
            <w:t>2</w:t>
          </w:r>
          <w:r>
            <w:rPr>
              <w:rFonts w:hint="eastAsia" w:ascii="宋体" w:hAnsi="宋体" w:eastAsia="宋体" w:cs="宋体"/>
              <w:bCs/>
              <w:color w:val="auto"/>
              <w:sz w:val="21"/>
              <w:szCs w:val="21"/>
              <w:highlight w:val="none"/>
            </w:rPr>
            <w:t>.截止时间后的撤回</w:t>
          </w:r>
          <w:r>
            <w:rPr>
              <w:color w:val="auto"/>
              <w:sz w:val="21"/>
              <w:szCs w:val="21"/>
            </w:rPr>
            <w:tab/>
          </w:r>
          <w:r>
            <w:rPr>
              <w:color w:val="auto"/>
              <w:sz w:val="21"/>
              <w:szCs w:val="21"/>
            </w:rPr>
            <w:fldChar w:fldCharType="begin"/>
          </w:r>
          <w:r>
            <w:rPr>
              <w:color w:val="auto"/>
              <w:sz w:val="21"/>
              <w:szCs w:val="21"/>
            </w:rPr>
            <w:instrText xml:space="preserve"> PAGEREF _Toc8119 \h </w:instrText>
          </w:r>
          <w:r>
            <w:rPr>
              <w:color w:val="auto"/>
              <w:sz w:val="21"/>
              <w:szCs w:val="21"/>
            </w:rPr>
            <w:fldChar w:fldCharType="separate"/>
          </w:r>
          <w:r>
            <w:rPr>
              <w:color w:val="auto"/>
              <w:sz w:val="21"/>
              <w:szCs w:val="21"/>
            </w:rPr>
            <w:t>26</w:t>
          </w:r>
          <w:r>
            <w:rPr>
              <w:color w:val="auto"/>
              <w:sz w:val="21"/>
              <w:szCs w:val="21"/>
            </w:rPr>
            <w:fldChar w:fldCharType="end"/>
          </w:r>
          <w:r>
            <w:rPr>
              <w:color w:val="auto"/>
              <w:sz w:val="21"/>
              <w:szCs w:val="21"/>
            </w:rPr>
            <w:fldChar w:fldCharType="end"/>
          </w:r>
        </w:p>
        <w:p w14:paraId="5C9CD643">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_Toc9514 </w:instrText>
          </w:r>
          <w:r>
            <w:rPr>
              <w:color w:val="auto"/>
              <w:sz w:val="21"/>
              <w:szCs w:val="21"/>
            </w:rPr>
            <w:fldChar w:fldCharType="separate"/>
          </w:r>
          <w:r>
            <w:rPr>
              <w:rFonts w:hint="eastAsia" w:ascii="宋体" w:hAnsi="宋体" w:eastAsia="宋体" w:cs="宋体"/>
              <w:bCs w:val="0"/>
              <w:color w:val="auto"/>
              <w:sz w:val="21"/>
              <w:szCs w:val="21"/>
              <w:highlight w:val="none"/>
            </w:rPr>
            <w:t>四、评审及磋商</w:t>
          </w:r>
          <w:r>
            <w:rPr>
              <w:color w:val="auto"/>
              <w:sz w:val="21"/>
              <w:szCs w:val="21"/>
            </w:rPr>
            <w:tab/>
          </w:r>
          <w:r>
            <w:rPr>
              <w:color w:val="auto"/>
              <w:sz w:val="21"/>
              <w:szCs w:val="21"/>
            </w:rPr>
            <w:fldChar w:fldCharType="begin"/>
          </w:r>
          <w:r>
            <w:rPr>
              <w:color w:val="auto"/>
              <w:sz w:val="21"/>
              <w:szCs w:val="21"/>
            </w:rPr>
            <w:instrText xml:space="preserve"> PAGEREF _Toc9514 \h </w:instrText>
          </w:r>
          <w:r>
            <w:rPr>
              <w:color w:val="auto"/>
              <w:sz w:val="21"/>
              <w:szCs w:val="21"/>
            </w:rPr>
            <w:fldChar w:fldCharType="separate"/>
          </w:r>
          <w:r>
            <w:rPr>
              <w:color w:val="auto"/>
              <w:sz w:val="21"/>
              <w:szCs w:val="21"/>
            </w:rPr>
            <w:t>26</w:t>
          </w:r>
          <w:r>
            <w:rPr>
              <w:color w:val="auto"/>
              <w:sz w:val="21"/>
              <w:szCs w:val="21"/>
            </w:rPr>
            <w:fldChar w:fldCharType="end"/>
          </w:r>
          <w:r>
            <w:rPr>
              <w:color w:val="auto"/>
              <w:sz w:val="21"/>
              <w:szCs w:val="21"/>
            </w:rPr>
            <w:fldChar w:fldCharType="end"/>
          </w:r>
        </w:p>
        <w:p w14:paraId="520D24C2">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_Toc9096 </w:instrText>
          </w:r>
          <w:r>
            <w:rPr>
              <w:color w:val="auto"/>
              <w:sz w:val="21"/>
              <w:szCs w:val="21"/>
            </w:rPr>
            <w:fldChar w:fldCharType="separate"/>
          </w:r>
          <w:r>
            <w:rPr>
              <w:rFonts w:hint="eastAsia" w:ascii="宋体" w:hAnsi="宋体" w:eastAsia="宋体" w:cs="宋体"/>
              <w:bCs/>
              <w:color w:val="auto"/>
              <w:sz w:val="21"/>
              <w:szCs w:val="21"/>
              <w:highlight w:val="none"/>
            </w:rPr>
            <w:t>2</w:t>
          </w:r>
          <w:r>
            <w:rPr>
              <w:rFonts w:hint="eastAsia" w:ascii="宋体" w:hAnsi="宋体" w:eastAsia="宋体" w:cs="宋体"/>
              <w:bCs/>
              <w:color w:val="auto"/>
              <w:sz w:val="21"/>
              <w:szCs w:val="21"/>
              <w:highlight w:val="none"/>
              <w:lang w:val="en-US" w:eastAsia="zh-CN"/>
            </w:rPr>
            <w:t>3</w:t>
          </w:r>
          <w:r>
            <w:rPr>
              <w:rFonts w:hint="eastAsia" w:ascii="宋体" w:hAnsi="宋体" w:eastAsia="宋体" w:cs="宋体"/>
              <w:bCs/>
              <w:color w:val="auto"/>
              <w:sz w:val="21"/>
              <w:szCs w:val="21"/>
              <w:highlight w:val="none"/>
            </w:rPr>
            <w:t>.磋商小组成立</w:t>
          </w:r>
          <w:r>
            <w:rPr>
              <w:color w:val="auto"/>
              <w:sz w:val="21"/>
              <w:szCs w:val="21"/>
            </w:rPr>
            <w:tab/>
          </w:r>
          <w:r>
            <w:rPr>
              <w:color w:val="auto"/>
              <w:sz w:val="21"/>
              <w:szCs w:val="21"/>
            </w:rPr>
            <w:fldChar w:fldCharType="begin"/>
          </w:r>
          <w:r>
            <w:rPr>
              <w:color w:val="auto"/>
              <w:sz w:val="21"/>
              <w:szCs w:val="21"/>
            </w:rPr>
            <w:instrText xml:space="preserve"> PAGEREF _Toc9096 \h </w:instrText>
          </w:r>
          <w:r>
            <w:rPr>
              <w:color w:val="auto"/>
              <w:sz w:val="21"/>
              <w:szCs w:val="21"/>
            </w:rPr>
            <w:fldChar w:fldCharType="separate"/>
          </w:r>
          <w:r>
            <w:rPr>
              <w:color w:val="auto"/>
              <w:sz w:val="21"/>
              <w:szCs w:val="21"/>
            </w:rPr>
            <w:t>26</w:t>
          </w:r>
          <w:r>
            <w:rPr>
              <w:color w:val="auto"/>
              <w:sz w:val="21"/>
              <w:szCs w:val="21"/>
            </w:rPr>
            <w:fldChar w:fldCharType="end"/>
          </w:r>
          <w:r>
            <w:rPr>
              <w:color w:val="auto"/>
              <w:sz w:val="21"/>
              <w:szCs w:val="21"/>
            </w:rPr>
            <w:fldChar w:fldCharType="end"/>
          </w:r>
        </w:p>
        <w:p w14:paraId="6D751CCF">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_Toc8891 </w:instrText>
          </w:r>
          <w:r>
            <w:rPr>
              <w:color w:val="auto"/>
              <w:sz w:val="21"/>
              <w:szCs w:val="21"/>
            </w:rPr>
            <w:fldChar w:fldCharType="separate"/>
          </w:r>
          <w:r>
            <w:rPr>
              <w:rFonts w:hint="eastAsia" w:ascii="宋体" w:hAnsi="宋体" w:eastAsia="宋体" w:cs="宋体"/>
              <w:bCs/>
              <w:color w:val="auto"/>
              <w:sz w:val="21"/>
              <w:szCs w:val="21"/>
              <w:highlight w:val="none"/>
            </w:rPr>
            <w:t>2</w:t>
          </w:r>
          <w:r>
            <w:rPr>
              <w:rFonts w:hint="eastAsia" w:ascii="宋体" w:hAnsi="宋体" w:eastAsia="宋体" w:cs="宋体"/>
              <w:bCs/>
              <w:color w:val="auto"/>
              <w:sz w:val="21"/>
              <w:szCs w:val="21"/>
              <w:highlight w:val="none"/>
              <w:lang w:val="en-US" w:eastAsia="zh-CN"/>
            </w:rPr>
            <w:t>4</w:t>
          </w:r>
          <w:r>
            <w:rPr>
              <w:rFonts w:hint="eastAsia" w:ascii="宋体" w:hAnsi="宋体" w:eastAsia="宋体" w:cs="宋体"/>
              <w:bCs/>
              <w:color w:val="auto"/>
              <w:sz w:val="21"/>
              <w:szCs w:val="21"/>
              <w:highlight w:val="none"/>
            </w:rPr>
            <w:t>.首次响应文件的开启</w:t>
          </w:r>
          <w:r>
            <w:rPr>
              <w:color w:val="auto"/>
              <w:sz w:val="21"/>
              <w:szCs w:val="21"/>
            </w:rPr>
            <w:tab/>
          </w:r>
          <w:r>
            <w:rPr>
              <w:color w:val="auto"/>
              <w:sz w:val="21"/>
              <w:szCs w:val="21"/>
            </w:rPr>
            <w:fldChar w:fldCharType="begin"/>
          </w:r>
          <w:r>
            <w:rPr>
              <w:color w:val="auto"/>
              <w:sz w:val="21"/>
              <w:szCs w:val="21"/>
            </w:rPr>
            <w:instrText xml:space="preserve"> PAGEREF _Toc8891 \h </w:instrText>
          </w:r>
          <w:r>
            <w:rPr>
              <w:color w:val="auto"/>
              <w:sz w:val="21"/>
              <w:szCs w:val="21"/>
            </w:rPr>
            <w:fldChar w:fldCharType="separate"/>
          </w:r>
          <w:r>
            <w:rPr>
              <w:color w:val="auto"/>
              <w:sz w:val="21"/>
              <w:szCs w:val="21"/>
            </w:rPr>
            <w:t>27</w:t>
          </w:r>
          <w:r>
            <w:rPr>
              <w:color w:val="auto"/>
              <w:sz w:val="21"/>
              <w:szCs w:val="21"/>
            </w:rPr>
            <w:fldChar w:fldCharType="end"/>
          </w:r>
          <w:r>
            <w:rPr>
              <w:color w:val="auto"/>
              <w:sz w:val="21"/>
              <w:szCs w:val="21"/>
            </w:rPr>
            <w:fldChar w:fldCharType="end"/>
          </w:r>
        </w:p>
        <w:p w14:paraId="44BDCEBA">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_Toc751 </w:instrText>
          </w:r>
          <w:r>
            <w:rPr>
              <w:color w:val="auto"/>
              <w:sz w:val="21"/>
              <w:szCs w:val="21"/>
            </w:rPr>
            <w:fldChar w:fldCharType="separate"/>
          </w:r>
          <w:r>
            <w:rPr>
              <w:rFonts w:hint="eastAsia" w:ascii="宋体" w:hAnsi="宋体" w:eastAsia="宋体" w:cs="宋体"/>
              <w:bCs/>
              <w:color w:val="auto"/>
              <w:sz w:val="21"/>
              <w:szCs w:val="21"/>
              <w:highlight w:val="none"/>
            </w:rPr>
            <w:t>2</w:t>
          </w:r>
          <w:r>
            <w:rPr>
              <w:rFonts w:hint="eastAsia" w:ascii="宋体" w:hAnsi="宋体" w:eastAsia="宋体" w:cs="宋体"/>
              <w:bCs/>
              <w:color w:val="auto"/>
              <w:sz w:val="21"/>
              <w:szCs w:val="21"/>
              <w:highlight w:val="none"/>
              <w:lang w:val="en-US" w:eastAsia="zh-CN"/>
            </w:rPr>
            <w:t>5</w:t>
          </w:r>
          <w:r>
            <w:rPr>
              <w:rFonts w:hint="eastAsia" w:ascii="宋体" w:hAnsi="宋体" w:eastAsia="宋体" w:cs="宋体"/>
              <w:bCs/>
              <w:color w:val="auto"/>
              <w:sz w:val="21"/>
              <w:szCs w:val="21"/>
              <w:highlight w:val="none"/>
            </w:rPr>
            <w:t>.评审程序、评审方法和评审标准</w:t>
          </w:r>
          <w:r>
            <w:rPr>
              <w:color w:val="auto"/>
              <w:sz w:val="21"/>
              <w:szCs w:val="21"/>
            </w:rPr>
            <w:tab/>
          </w:r>
          <w:r>
            <w:rPr>
              <w:color w:val="auto"/>
              <w:sz w:val="21"/>
              <w:szCs w:val="21"/>
            </w:rPr>
            <w:fldChar w:fldCharType="begin"/>
          </w:r>
          <w:r>
            <w:rPr>
              <w:color w:val="auto"/>
              <w:sz w:val="21"/>
              <w:szCs w:val="21"/>
            </w:rPr>
            <w:instrText xml:space="preserve"> PAGEREF _Toc751 \h </w:instrText>
          </w:r>
          <w:r>
            <w:rPr>
              <w:color w:val="auto"/>
              <w:sz w:val="21"/>
              <w:szCs w:val="21"/>
            </w:rPr>
            <w:fldChar w:fldCharType="separate"/>
          </w:r>
          <w:r>
            <w:rPr>
              <w:color w:val="auto"/>
              <w:sz w:val="21"/>
              <w:szCs w:val="21"/>
            </w:rPr>
            <w:t>27</w:t>
          </w:r>
          <w:r>
            <w:rPr>
              <w:color w:val="auto"/>
              <w:sz w:val="21"/>
              <w:szCs w:val="21"/>
            </w:rPr>
            <w:fldChar w:fldCharType="end"/>
          </w:r>
          <w:r>
            <w:rPr>
              <w:color w:val="auto"/>
              <w:sz w:val="21"/>
              <w:szCs w:val="21"/>
            </w:rPr>
            <w:fldChar w:fldCharType="end"/>
          </w:r>
        </w:p>
        <w:p w14:paraId="65ECB68E">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_Toc8922 </w:instrText>
          </w:r>
          <w:r>
            <w:rPr>
              <w:color w:val="auto"/>
              <w:sz w:val="21"/>
              <w:szCs w:val="21"/>
            </w:rPr>
            <w:fldChar w:fldCharType="separate"/>
          </w:r>
          <w:r>
            <w:rPr>
              <w:rFonts w:hint="eastAsia" w:ascii="宋体" w:hAnsi="宋体" w:eastAsia="宋体" w:cs="宋体"/>
              <w:bCs w:val="0"/>
              <w:color w:val="auto"/>
              <w:sz w:val="21"/>
              <w:szCs w:val="21"/>
              <w:highlight w:val="none"/>
            </w:rPr>
            <w:t>五、成交及合同</w:t>
          </w:r>
          <w:r>
            <w:rPr>
              <w:color w:val="auto"/>
              <w:sz w:val="21"/>
              <w:szCs w:val="21"/>
            </w:rPr>
            <w:tab/>
          </w:r>
          <w:r>
            <w:rPr>
              <w:color w:val="auto"/>
              <w:sz w:val="21"/>
              <w:szCs w:val="21"/>
            </w:rPr>
            <w:fldChar w:fldCharType="begin"/>
          </w:r>
          <w:r>
            <w:rPr>
              <w:color w:val="auto"/>
              <w:sz w:val="21"/>
              <w:szCs w:val="21"/>
            </w:rPr>
            <w:instrText xml:space="preserve"> PAGEREF _Toc8922 \h </w:instrText>
          </w:r>
          <w:r>
            <w:rPr>
              <w:color w:val="auto"/>
              <w:sz w:val="21"/>
              <w:szCs w:val="21"/>
            </w:rPr>
            <w:fldChar w:fldCharType="separate"/>
          </w:r>
          <w:r>
            <w:rPr>
              <w:color w:val="auto"/>
              <w:sz w:val="21"/>
              <w:szCs w:val="21"/>
            </w:rPr>
            <w:t>27</w:t>
          </w:r>
          <w:r>
            <w:rPr>
              <w:color w:val="auto"/>
              <w:sz w:val="21"/>
              <w:szCs w:val="21"/>
            </w:rPr>
            <w:fldChar w:fldCharType="end"/>
          </w:r>
          <w:r>
            <w:rPr>
              <w:color w:val="auto"/>
              <w:sz w:val="21"/>
              <w:szCs w:val="21"/>
            </w:rPr>
            <w:fldChar w:fldCharType="end"/>
          </w:r>
        </w:p>
        <w:p w14:paraId="27C825C1">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_Toc13237 </w:instrText>
          </w:r>
          <w:r>
            <w:rPr>
              <w:color w:val="auto"/>
              <w:sz w:val="21"/>
              <w:szCs w:val="21"/>
            </w:rPr>
            <w:fldChar w:fldCharType="separate"/>
          </w:r>
          <w:r>
            <w:rPr>
              <w:rFonts w:hint="eastAsia" w:ascii="宋体" w:hAnsi="宋体" w:eastAsia="宋体" w:cs="宋体"/>
              <w:bCs/>
              <w:color w:val="auto"/>
              <w:sz w:val="21"/>
              <w:szCs w:val="21"/>
              <w:highlight w:val="none"/>
            </w:rPr>
            <w:t>2</w:t>
          </w:r>
          <w:r>
            <w:rPr>
              <w:rFonts w:hint="eastAsia" w:ascii="宋体" w:hAnsi="宋体" w:eastAsia="宋体" w:cs="宋体"/>
              <w:bCs/>
              <w:color w:val="auto"/>
              <w:sz w:val="21"/>
              <w:szCs w:val="21"/>
              <w:highlight w:val="none"/>
              <w:lang w:val="en-US" w:eastAsia="zh-CN"/>
            </w:rPr>
            <w:t>6</w:t>
          </w:r>
          <w:r>
            <w:rPr>
              <w:rFonts w:hint="eastAsia" w:ascii="宋体" w:hAnsi="宋体" w:eastAsia="宋体" w:cs="宋体"/>
              <w:bCs/>
              <w:color w:val="auto"/>
              <w:sz w:val="21"/>
              <w:szCs w:val="21"/>
              <w:highlight w:val="none"/>
            </w:rPr>
            <w:t>.确定成交供应商及结果公告</w:t>
          </w:r>
          <w:r>
            <w:rPr>
              <w:color w:val="auto"/>
              <w:sz w:val="21"/>
              <w:szCs w:val="21"/>
            </w:rPr>
            <w:tab/>
          </w:r>
          <w:r>
            <w:rPr>
              <w:color w:val="auto"/>
              <w:sz w:val="21"/>
              <w:szCs w:val="21"/>
            </w:rPr>
            <w:fldChar w:fldCharType="begin"/>
          </w:r>
          <w:r>
            <w:rPr>
              <w:color w:val="auto"/>
              <w:sz w:val="21"/>
              <w:szCs w:val="21"/>
            </w:rPr>
            <w:instrText xml:space="preserve"> PAGEREF _Toc13237 \h </w:instrText>
          </w:r>
          <w:r>
            <w:rPr>
              <w:color w:val="auto"/>
              <w:sz w:val="21"/>
              <w:szCs w:val="21"/>
            </w:rPr>
            <w:fldChar w:fldCharType="separate"/>
          </w:r>
          <w:r>
            <w:rPr>
              <w:color w:val="auto"/>
              <w:sz w:val="21"/>
              <w:szCs w:val="21"/>
            </w:rPr>
            <w:t>27</w:t>
          </w:r>
          <w:r>
            <w:rPr>
              <w:color w:val="auto"/>
              <w:sz w:val="21"/>
              <w:szCs w:val="21"/>
            </w:rPr>
            <w:fldChar w:fldCharType="end"/>
          </w:r>
          <w:r>
            <w:rPr>
              <w:color w:val="auto"/>
              <w:sz w:val="21"/>
              <w:szCs w:val="21"/>
            </w:rPr>
            <w:fldChar w:fldCharType="end"/>
          </w:r>
        </w:p>
        <w:p w14:paraId="4E44CD3A">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_Toc22721 </w:instrText>
          </w:r>
          <w:r>
            <w:rPr>
              <w:color w:val="auto"/>
              <w:sz w:val="21"/>
              <w:szCs w:val="21"/>
            </w:rPr>
            <w:fldChar w:fldCharType="separate"/>
          </w:r>
          <w:r>
            <w:rPr>
              <w:rFonts w:hint="eastAsia" w:ascii="宋体" w:hAnsi="宋体" w:eastAsia="宋体" w:cs="宋体"/>
              <w:bCs/>
              <w:color w:val="auto"/>
              <w:sz w:val="21"/>
              <w:szCs w:val="21"/>
              <w:highlight w:val="none"/>
            </w:rPr>
            <w:t>2</w:t>
          </w:r>
          <w:r>
            <w:rPr>
              <w:rFonts w:hint="eastAsia" w:ascii="宋体" w:hAnsi="宋体" w:eastAsia="宋体" w:cs="宋体"/>
              <w:bCs/>
              <w:color w:val="auto"/>
              <w:sz w:val="21"/>
              <w:szCs w:val="21"/>
              <w:highlight w:val="none"/>
              <w:lang w:val="en-US" w:eastAsia="zh-CN"/>
            </w:rPr>
            <w:t>7</w:t>
          </w:r>
          <w:r>
            <w:rPr>
              <w:rFonts w:hint="eastAsia" w:ascii="宋体" w:hAnsi="宋体" w:eastAsia="宋体" w:cs="宋体"/>
              <w:bCs/>
              <w:color w:val="auto"/>
              <w:sz w:val="21"/>
              <w:szCs w:val="21"/>
              <w:highlight w:val="none"/>
            </w:rPr>
            <w:t>.履约保证金</w:t>
          </w:r>
          <w:r>
            <w:rPr>
              <w:color w:val="auto"/>
              <w:sz w:val="21"/>
              <w:szCs w:val="21"/>
            </w:rPr>
            <w:tab/>
          </w:r>
          <w:r>
            <w:rPr>
              <w:color w:val="auto"/>
              <w:sz w:val="21"/>
              <w:szCs w:val="21"/>
            </w:rPr>
            <w:fldChar w:fldCharType="begin"/>
          </w:r>
          <w:r>
            <w:rPr>
              <w:color w:val="auto"/>
              <w:sz w:val="21"/>
              <w:szCs w:val="21"/>
            </w:rPr>
            <w:instrText xml:space="preserve"> PAGEREF _Toc22721 \h </w:instrText>
          </w:r>
          <w:r>
            <w:rPr>
              <w:color w:val="auto"/>
              <w:sz w:val="21"/>
              <w:szCs w:val="21"/>
            </w:rPr>
            <w:fldChar w:fldCharType="separate"/>
          </w:r>
          <w:r>
            <w:rPr>
              <w:color w:val="auto"/>
              <w:sz w:val="21"/>
              <w:szCs w:val="21"/>
            </w:rPr>
            <w:t>28</w:t>
          </w:r>
          <w:r>
            <w:rPr>
              <w:color w:val="auto"/>
              <w:sz w:val="21"/>
              <w:szCs w:val="21"/>
            </w:rPr>
            <w:fldChar w:fldCharType="end"/>
          </w:r>
          <w:r>
            <w:rPr>
              <w:color w:val="auto"/>
              <w:sz w:val="21"/>
              <w:szCs w:val="21"/>
            </w:rPr>
            <w:fldChar w:fldCharType="end"/>
          </w:r>
        </w:p>
        <w:p w14:paraId="439991AA">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_Toc9845 </w:instrText>
          </w:r>
          <w:r>
            <w:rPr>
              <w:color w:val="auto"/>
              <w:sz w:val="21"/>
              <w:szCs w:val="21"/>
            </w:rPr>
            <w:fldChar w:fldCharType="separate"/>
          </w:r>
          <w:r>
            <w:rPr>
              <w:rFonts w:hint="eastAsia" w:ascii="宋体" w:hAnsi="宋体" w:eastAsia="宋体" w:cs="宋体"/>
              <w:bCs/>
              <w:color w:val="auto"/>
              <w:sz w:val="21"/>
              <w:szCs w:val="21"/>
              <w:highlight w:val="none"/>
            </w:rPr>
            <w:t>2</w:t>
          </w:r>
          <w:r>
            <w:rPr>
              <w:rFonts w:hint="eastAsia" w:ascii="宋体" w:hAnsi="宋体" w:eastAsia="宋体" w:cs="宋体"/>
              <w:bCs/>
              <w:color w:val="auto"/>
              <w:sz w:val="21"/>
              <w:szCs w:val="21"/>
              <w:highlight w:val="none"/>
              <w:lang w:val="en-US" w:eastAsia="zh-CN"/>
            </w:rPr>
            <w:t>8</w:t>
          </w:r>
          <w:r>
            <w:rPr>
              <w:rFonts w:hint="eastAsia" w:ascii="宋体" w:hAnsi="宋体" w:eastAsia="宋体" w:cs="宋体"/>
              <w:bCs/>
              <w:color w:val="auto"/>
              <w:sz w:val="21"/>
              <w:szCs w:val="21"/>
              <w:highlight w:val="none"/>
            </w:rPr>
            <w:t>.签订合同</w:t>
          </w:r>
          <w:r>
            <w:rPr>
              <w:color w:val="auto"/>
              <w:sz w:val="21"/>
              <w:szCs w:val="21"/>
            </w:rPr>
            <w:tab/>
          </w:r>
          <w:r>
            <w:rPr>
              <w:color w:val="auto"/>
              <w:sz w:val="21"/>
              <w:szCs w:val="21"/>
            </w:rPr>
            <w:fldChar w:fldCharType="begin"/>
          </w:r>
          <w:r>
            <w:rPr>
              <w:color w:val="auto"/>
              <w:sz w:val="21"/>
              <w:szCs w:val="21"/>
            </w:rPr>
            <w:instrText xml:space="preserve"> PAGEREF _Toc9845 \h </w:instrText>
          </w:r>
          <w:r>
            <w:rPr>
              <w:color w:val="auto"/>
              <w:sz w:val="21"/>
              <w:szCs w:val="21"/>
            </w:rPr>
            <w:fldChar w:fldCharType="separate"/>
          </w:r>
          <w:r>
            <w:rPr>
              <w:color w:val="auto"/>
              <w:sz w:val="21"/>
              <w:szCs w:val="21"/>
            </w:rPr>
            <w:t>28</w:t>
          </w:r>
          <w:r>
            <w:rPr>
              <w:color w:val="auto"/>
              <w:sz w:val="21"/>
              <w:szCs w:val="21"/>
            </w:rPr>
            <w:fldChar w:fldCharType="end"/>
          </w:r>
          <w:r>
            <w:rPr>
              <w:color w:val="auto"/>
              <w:sz w:val="21"/>
              <w:szCs w:val="21"/>
            </w:rPr>
            <w:fldChar w:fldCharType="end"/>
          </w:r>
        </w:p>
        <w:p w14:paraId="5BA4E42B">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_Toc31679 </w:instrText>
          </w:r>
          <w:r>
            <w:rPr>
              <w:color w:val="auto"/>
              <w:sz w:val="21"/>
              <w:szCs w:val="21"/>
            </w:rPr>
            <w:fldChar w:fldCharType="separate"/>
          </w:r>
          <w:r>
            <w:rPr>
              <w:rFonts w:hint="eastAsia" w:ascii="宋体" w:hAnsi="宋体" w:eastAsia="宋体" w:cs="宋体"/>
              <w:bCs/>
              <w:color w:val="auto"/>
              <w:sz w:val="21"/>
              <w:szCs w:val="21"/>
              <w:highlight w:val="none"/>
              <w:lang w:val="en-US" w:eastAsia="zh-CN"/>
            </w:rPr>
            <w:t>29</w:t>
          </w:r>
          <w:r>
            <w:rPr>
              <w:rFonts w:hint="eastAsia" w:ascii="宋体" w:hAnsi="宋体" w:eastAsia="宋体" w:cs="宋体"/>
              <w:bCs/>
              <w:color w:val="auto"/>
              <w:sz w:val="21"/>
              <w:szCs w:val="21"/>
              <w:highlight w:val="none"/>
            </w:rPr>
            <w:t>.政府采购合同公告</w:t>
          </w:r>
          <w:r>
            <w:rPr>
              <w:color w:val="auto"/>
              <w:sz w:val="21"/>
              <w:szCs w:val="21"/>
            </w:rPr>
            <w:tab/>
          </w:r>
          <w:r>
            <w:rPr>
              <w:color w:val="auto"/>
              <w:sz w:val="21"/>
              <w:szCs w:val="21"/>
            </w:rPr>
            <w:fldChar w:fldCharType="begin"/>
          </w:r>
          <w:r>
            <w:rPr>
              <w:color w:val="auto"/>
              <w:sz w:val="21"/>
              <w:szCs w:val="21"/>
            </w:rPr>
            <w:instrText xml:space="preserve"> PAGEREF _Toc31679 \h </w:instrText>
          </w:r>
          <w:r>
            <w:rPr>
              <w:color w:val="auto"/>
              <w:sz w:val="21"/>
              <w:szCs w:val="21"/>
            </w:rPr>
            <w:fldChar w:fldCharType="separate"/>
          </w:r>
          <w:r>
            <w:rPr>
              <w:color w:val="auto"/>
              <w:sz w:val="21"/>
              <w:szCs w:val="21"/>
            </w:rPr>
            <w:t>29</w:t>
          </w:r>
          <w:r>
            <w:rPr>
              <w:color w:val="auto"/>
              <w:sz w:val="21"/>
              <w:szCs w:val="21"/>
            </w:rPr>
            <w:fldChar w:fldCharType="end"/>
          </w:r>
          <w:r>
            <w:rPr>
              <w:color w:val="auto"/>
              <w:sz w:val="21"/>
              <w:szCs w:val="21"/>
            </w:rPr>
            <w:fldChar w:fldCharType="end"/>
          </w:r>
        </w:p>
        <w:p w14:paraId="557DDD28">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_Toc8671 </w:instrText>
          </w:r>
          <w:r>
            <w:rPr>
              <w:color w:val="auto"/>
              <w:sz w:val="21"/>
              <w:szCs w:val="21"/>
            </w:rPr>
            <w:fldChar w:fldCharType="separate"/>
          </w:r>
          <w:r>
            <w:rPr>
              <w:rFonts w:hint="eastAsia" w:ascii="宋体" w:hAnsi="宋体" w:eastAsia="宋体" w:cs="宋体"/>
              <w:bCs/>
              <w:color w:val="auto"/>
              <w:sz w:val="21"/>
              <w:szCs w:val="21"/>
              <w:highlight w:val="none"/>
            </w:rPr>
            <w:t>3</w:t>
          </w:r>
          <w:r>
            <w:rPr>
              <w:rFonts w:hint="eastAsia" w:ascii="宋体" w:hAnsi="宋体" w:eastAsia="宋体" w:cs="宋体"/>
              <w:bCs/>
              <w:color w:val="auto"/>
              <w:sz w:val="21"/>
              <w:szCs w:val="21"/>
              <w:highlight w:val="none"/>
              <w:lang w:val="en-US" w:eastAsia="zh-CN"/>
            </w:rPr>
            <w:t>0</w:t>
          </w:r>
          <w:r>
            <w:rPr>
              <w:rFonts w:hint="eastAsia" w:ascii="宋体" w:hAnsi="宋体" w:eastAsia="宋体" w:cs="宋体"/>
              <w:bCs/>
              <w:color w:val="auto"/>
              <w:sz w:val="21"/>
              <w:szCs w:val="21"/>
              <w:highlight w:val="none"/>
            </w:rPr>
            <w:t>.询问、质疑和投诉</w:t>
          </w:r>
          <w:r>
            <w:rPr>
              <w:color w:val="auto"/>
              <w:sz w:val="21"/>
              <w:szCs w:val="21"/>
            </w:rPr>
            <w:tab/>
          </w:r>
          <w:r>
            <w:rPr>
              <w:color w:val="auto"/>
              <w:sz w:val="21"/>
              <w:szCs w:val="21"/>
            </w:rPr>
            <w:fldChar w:fldCharType="begin"/>
          </w:r>
          <w:r>
            <w:rPr>
              <w:color w:val="auto"/>
              <w:sz w:val="21"/>
              <w:szCs w:val="21"/>
            </w:rPr>
            <w:instrText xml:space="preserve"> PAGEREF _Toc8671 \h </w:instrText>
          </w:r>
          <w:r>
            <w:rPr>
              <w:color w:val="auto"/>
              <w:sz w:val="21"/>
              <w:szCs w:val="21"/>
            </w:rPr>
            <w:fldChar w:fldCharType="separate"/>
          </w:r>
          <w:r>
            <w:rPr>
              <w:color w:val="auto"/>
              <w:sz w:val="21"/>
              <w:szCs w:val="21"/>
            </w:rPr>
            <w:t>29</w:t>
          </w:r>
          <w:r>
            <w:rPr>
              <w:color w:val="auto"/>
              <w:sz w:val="21"/>
              <w:szCs w:val="21"/>
            </w:rPr>
            <w:fldChar w:fldCharType="end"/>
          </w:r>
          <w:r>
            <w:rPr>
              <w:color w:val="auto"/>
              <w:sz w:val="21"/>
              <w:szCs w:val="21"/>
            </w:rPr>
            <w:fldChar w:fldCharType="end"/>
          </w:r>
        </w:p>
        <w:p w14:paraId="350D0AE5">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_Toc23032 </w:instrText>
          </w:r>
          <w:r>
            <w:rPr>
              <w:color w:val="auto"/>
              <w:sz w:val="21"/>
              <w:szCs w:val="21"/>
            </w:rPr>
            <w:fldChar w:fldCharType="separate"/>
          </w:r>
          <w:r>
            <w:rPr>
              <w:rFonts w:hint="eastAsia" w:ascii="宋体" w:hAnsi="宋体" w:eastAsia="宋体" w:cs="宋体"/>
              <w:bCs w:val="0"/>
              <w:color w:val="auto"/>
              <w:sz w:val="21"/>
              <w:szCs w:val="21"/>
              <w:highlight w:val="none"/>
            </w:rPr>
            <w:t>六、验收</w:t>
          </w:r>
          <w:r>
            <w:rPr>
              <w:color w:val="auto"/>
              <w:sz w:val="21"/>
              <w:szCs w:val="21"/>
            </w:rPr>
            <w:tab/>
          </w:r>
          <w:r>
            <w:rPr>
              <w:color w:val="auto"/>
              <w:sz w:val="21"/>
              <w:szCs w:val="21"/>
            </w:rPr>
            <w:fldChar w:fldCharType="begin"/>
          </w:r>
          <w:r>
            <w:rPr>
              <w:color w:val="auto"/>
              <w:sz w:val="21"/>
              <w:szCs w:val="21"/>
            </w:rPr>
            <w:instrText xml:space="preserve"> PAGEREF _Toc23032 \h </w:instrText>
          </w:r>
          <w:r>
            <w:rPr>
              <w:color w:val="auto"/>
              <w:sz w:val="21"/>
              <w:szCs w:val="21"/>
            </w:rPr>
            <w:fldChar w:fldCharType="separate"/>
          </w:r>
          <w:r>
            <w:rPr>
              <w:color w:val="auto"/>
              <w:sz w:val="21"/>
              <w:szCs w:val="21"/>
            </w:rPr>
            <w:t>30</w:t>
          </w:r>
          <w:r>
            <w:rPr>
              <w:color w:val="auto"/>
              <w:sz w:val="21"/>
              <w:szCs w:val="21"/>
            </w:rPr>
            <w:fldChar w:fldCharType="end"/>
          </w:r>
          <w:r>
            <w:rPr>
              <w:color w:val="auto"/>
              <w:sz w:val="21"/>
              <w:szCs w:val="21"/>
            </w:rPr>
            <w:fldChar w:fldCharType="end"/>
          </w:r>
        </w:p>
        <w:p w14:paraId="5D9251A3">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_Toc7405 </w:instrText>
          </w:r>
          <w:r>
            <w:rPr>
              <w:color w:val="auto"/>
              <w:sz w:val="21"/>
              <w:szCs w:val="21"/>
            </w:rPr>
            <w:fldChar w:fldCharType="separate"/>
          </w:r>
          <w:r>
            <w:rPr>
              <w:rFonts w:hint="eastAsia" w:ascii="宋体" w:hAnsi="宋体" w:eastAsia="宋体" w:cs="宋体"/>
              <w:bCs/>
              <w:color w:val="auto"/>
              <w:sz w:val="21"/>
              <w:szCs w:val="21"/>
              <w:highlight w:val="none"/>
            </w:rPr>
            <w:t>3</w:t>
          </w:r>
          <w:r>
            <w:rPr>
              <w:rFonts w:hint="eastAsia" w:ascii="宋体" w:hAnsi="宋体" w:eastAsia="宋体" w:cs="宋体"/>
              <w:bCs/>
              <w:color w:val="auto"/>
              <w:sz w:val="21"/>
              <w:szCs w:val="21"/>
              <w:highlight w:val="none"/>
              <w:lang w:val="en-US" w:eastAsia="zh-CN"/>
            </w:rPr>
            <w:t>1</w:t>
          </w:r>
          <w:r>
            <w:rPr>
              <w:rFonts w:hint="eastAsia" w:ascii="宋体" w:hAnsi="宋体" w:eastAsia="宋体" w:cs="宋体"/>
              <w:bCs/>
              <w:color w:val="auto"/>
              <w:sz w:val="21"/>
              <w:szCs w:val="21"/>
              <w:highlight w:val="none"/>
            </w:rPr>
            <w:t>.验收</w:t>
          </w:r>
          <w:r>
            <w:rPr>
              <w:color w:val="auto"/>
              <w:sz w:val="21"/>
              <w:szCs w:val="21"/>
            </w:rPr>
            <w:tab/>
          </w:r>
          <w:r>
            <w:rPr>
              <w:color w:val="auto"/>
              <w:sz w:val="21"/>
              <w:szCs w:val="21"/>
            </w:rPr>
            <w:fldChar w:fldCharType="begin"/>
          </w:r>
          <w:r>
            <w:rPr>
              <w:color w:val="auto"/>
              <w:sz w:val="21"/>
              <w:szCs w:val="21"/>
            </w:rPr>
            <w:instrText xml:space="preserve"> PAGEREF _Toc7405 \h </w:instrText>
          </w:r>
          <w:r>
            <w:rPr>
              <w:color w:val="auto"/>
              <w:sz w:val="21"/>
              <w:szCs w:val="21"/>
            </w:rPr>
            <w:fldChar w:fldCharType="separate"/>
          </w:r>
          <w:r>
            <w:rPr>
              <w:color w:val="auto"/>
              <w:sz w:val="21"/>
              <w:szCs w:val="21"/>
            </w:rPr>
            <w:t>30</w:t>
          </w:r>
          <w:r>
            <w:rPr>
              <w:color w:val="auto"/>
              <w:sz w:val="21"/>
              <w:szCs w:val="21"/>
            </w:rPr>
            <w:fldChar w:fldCharType="end"/>
          </w:r>
          <w:r>
            <w:rPr>
              <w:color w:val="auto"/>
              <w:sz w:val="21"/>
              <w:szCs w:val="21"/>
            </w:rPr>
            <w:fldChar w:fldCharType="end"/>
          </w:r>
        </w:p>
        <w:p w14:paraId="34164E3C">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_Toc4674 </w:instrText>
          </w:r>
          <w:r>
            <w:rPr>
              <w:color w:val="auto"/>
              <w:sz w:val="21"/>
              <w:szCs w:val="21"/>
            </w:rPr>
            <w:fldChar w:fldCharType="separate"/>
          </w:r>
          <w:r>
            <w:rPr>
              <w:rFonts w:hint="eastAsia" w:ascii="宋体" w:hAnsi="宋体" w:eastAsia="宋体" w:cs="宋体"/>
              <w:bCs w:val="0"/>
              <w:color w:val="auto"/>
              <w:sz w:val="21"/>
              <w:szCs w:val="21"/>
              <w:highlight w:val="none"/>
            </w:rPr>
            <w:t>七、其他事项</w:t>
          </w:r>
          <w:r>
            <w:rPr>
              <w:color w:val="auto"/>
              <w:sz w:val="21"/>
              <w:szCs w:val="21"/>
            </w:rPr>
            <w:tab/>
          </w:r>
          <w:r>
            <w:rPr>
              <w:color w:val="auto"/>
              <w:sz w:val="21"/>
              <w:szCs w:val="21"/>
            </w:rPr>
            <w:fldChar w:fldCharType="begin"/>
          </w:r>
          <w:r>
            <w:rPr>
              <w:color w:val="auto"/>
              <w:sz w:val="21"/>
              <w:szCs w:val="21"/>
            </w:rPr>
            <w:instrText xml:space="preserve"> PAGEREF _Toc4674 \h </w:instrText>
          </w:r>
          <w:r>
            <w:rPr>
              <w:color w:val="auto"/>
              <w:sz w:val="21"/>
              <w:szCs w:val="21"/>
            </w:rPr>
            <w:fldChar w:fldCharType="separate"/>
          </w:r>
          <w:r>
            <w:rPr>
              <w:color w:val="auto"/>
              <w:sz w:val="21"/>
              <w:szCs w:val="21"/>
            </w:rPr>
            <w:t>30</w:t>
          </w:r>
          <w:r>
            <w:rPr>
              <w:color w:val="auto"/>
              <w:sz w:val="21"/>
              <w:szCs w:val="21"/>
            </w:rPr>
            <w:fldChar w:fldCharType="end"/>
          </w:r>
          <w:r>
            <w:rPr>
              <w:color w:val="auto"/>
              <w:sz w:val="21"/>
              <w:szCs w:val="21"/>
            </w:rPr>
            <w:fldChar w:fldCharType="end"/>
          </w:r>
        </w:p>
        <w:p w14:paraId="2243E0AA">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_Toc14300 </w:instrText>
          </w:r>
          <w:r>
            <w:rPr>
              <w:color w:val="auto"/>
              <w:sz w:val="21"/>
              <w:szCs w:val="21"/>
            </w:rPr>
            <w:fldChar w:fldCharType="separate"/>
          </w:r>
          <w:r>
            <w:rPr>
              <w:rFonts w:hint="eastAsia" w:ascii="宋体" w:hAnsi="宋体" w:eastAsia="宋体" w:cs="宋体"/>
              <w:bCs/>
              <w:color w:val="auto"/>
              <w:sz w:val="21"/>
              <w:szCs w:val="21"/>
              <w:highlight w:val="none"/>
            </w:rPr>
            <w:t>3</w:t>
          </w:r>
          <w:r>
            <w:rPr>
              <w:rFonts w:hint="eastAsia" w:ascii="宋体" w:hAnsi="宋体" w:eastAsia="宋体" w:cs="宋体"/>
              <w:bCs/>
              <w:color w:val="auto"/>
              <w:sz w:val="21"/>
              <w:szCs w:val="21"/>
              <w:highlight w:val="none"/>
              <w:lang w:val="en-US" w:eastAsia="zh-CN"/>
            </w:rPr>
            <w:t>2</w:t>
          </w:r>
          <w:r>
            <w:rPr>
              <w:rFonts w:hint="eastAsia" w:ascii="宋体" w:hAnsi="宋体" w:eastAsia="宋体" w:cs="宋体"/>
              <w:bCs/>
              <w:color w:val="auto"/>
              <w:sz w:val="21"/>
              <w:szCs w:val="21"/>
              <w:highlight w:val="none"/>
            </w:rPr>
            <w:t>.采购代理服务费</w:t>
          </w:r>
          <w:r>
            <w:rPr>
              <w:color w:val="auto"/>
              <w:sz w:val="21"/>
              <w:szCs w:val="21"/>
            </w:rPr>
            <w:tab/>
          </w:r>
          <w:r>
            <w:rPr>
              <w:color w:val="auto"/>
              <w:sz w:val="21"/>
              <w:szCs w:val="21"/>
            </w:rPr>
            <w:fldChar w:fldCharType="begin"/>
          </w:r>
          <w:r>
            <w:rPr>
              <w:color w:val="auto"/>
              <w:sz w:val="21"/>
              <w:szCs w:val="21"/>
            </w:rPr>
            <w:instrText xml:space="preserve"> PAGEREF _Toc14300 \h </w:instrText>
          </w:r>
          <w:r>
            <w:rPr>
              <w:color w:val="auto"/>
              <w:sz w:val="21"/>
              <w:szCs w:val="21"/>
            </w:rPr>
            <w:fldChar w:fldCharType="separate"/>
          </w:r>
          <w:r>
            <w:rPr>
              <w:color w:val="auto"/>
              <w:sz w:val="21"/>
              <w:szCs w:val="21"/>
            </w:rPr>
            <w:t>30</w:t>
          </w:r>
          <w:r>
            <w:rPr>
              <w:color w:val="auto"/>
              <w:sz w:val="21"/>
              <w:szCs w:val="21"/>
            </w:rPr>
            <w:fldChar w:fldCharType="end"/>
          </w:r>
          <w:r>
            <w:rPr>
              <w:color w:val="auto"/>
              <w:sz w:val="21"/>
              <w:szCs w:val="21"/>
            </w:rPr>
            <w:fldChar w:fldCharType="end"/>
          </w:r>
        </w:p>
        <w:p w14:paraId="1CE576FE">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_Toc13746 </w:instrText>
          </w:r>
          <w:r>
            <w:rPr>
              <w:color w:val="auto"/>
              <w:sz w:val="21"/>
              <w:szCs w:val="21"/>
            </w:rPr>
            <w:fldChar w:fldCharType="separate"/>
          </w:r>
          <w:r>
            <w:rPr>
              <w:rFonts w:hint="eastAsia" w:ascii="宋体" w:hAnsi="宋体" w:eastAsia="宋体" w:cs="宋体"/>
              <w:bCs/>
              <w:color w:val="auto"/>
              <w:sz w:val="21"/>
              <w:szCs w:val="21"/>
              <w:highlight w:val="none"/>
            </w:rPr>
            <w:t>3</w:t>
          </w:r>
          <w:r>
            <w:rPr>
              <w:rFonts w:hint="eastAsia" w:ascii="宋体" w:hAnsi="宋体" w:eastAsia="宋体" w:cs="宋体"/>
              <w:bCs/>
              <w:color w:val="auto"/>
              <w:sz w:val="21"/>
              <w:szCs w:val="21"/>
              <w:highlight w:val="none"/>
              <w:lang w:val="en-US" w:eastAsia="zh-CN"/>
            </w:rPr>
            <w:t>3</w:t>
          </w:r>
          <w:r>
            <w:rPr>
              <w:rFonts w:hint="eastAsia" w:ascii="宋体" w:hAnsi="宋体" w:eastAsia="宋体" w:cs="宋体"/>
              <w:bCs/>
              <w:color w:val="auto"/>
              <w:sz w:val="21"/>
              <w:szCs w:val="21"/>
              <w:highlight w:val="none"/>
            </w:rPr>
            <w:t>.需要补充的其他内容</w:t>
          </w:r>
          <w:r>
            <w:rPr>
              <w:color w:val="auto"/>
              <w:sz w:val="21"/>
              <w:szCs w:val="21"/>
            </w:rPr>
            <w:tab/>
          </w:r>
          <w:r>
            <w:rPr>
              <w:color w:val="auto"/>
              <w:sz w:val="21"/>
              <w:szCs w:val="21"/>
            </w:rPr>
            <w:fldChar w:fldCharType="begin"/>
          </w:r>
          <w:r>
            <w:rPr>
              <w:color w:val="auto"/>
              <w:sz w:val="21"/>
              <w:szCs w:val="21"/>
            </w:rPr>
            <w:instrText xml:space="preserve"> PAGEREF _Toc13746 \h </w:instrText>
          </w:r>
          <w:r>
            <w:rPr>
              <w:color w:val="auto"/>
              <w:sz w:val="21"/>
              <w:szCs w:val="21"/>
            </w:rPr>
            <w:fldChar w:fldCharType="separate"/>
          </w:r>
          <w:r>
            <w:rPr>
              <w:color w:val="auto"/>
              <w:sz w:val="21"/>
              <w:szCs w:val="21"/>
            </w:rPr>
            <w:t>31</w:t>
          </w:r>
          <w:r>
            <w:rPr>
              <w:color w:val="auto"/>
              <w:sz w:val="21"/>
              <w:szCs w:val="21"/>
            </w:rPr>
            <w:fldChar w:fldCharType="end"/>
          </w:r>
          <w:r>
            <w:rPr>
              <w:color w:val="auto"/>
              <w:sz w:val="21"/>
              <w:szCs w:val="21"/>
            </w:rPr>
            <w:fldChar w:fldCharType="end"/>
          </w:r>
        </w:p>
        <w:p w14:paraId="6FBA3AC8">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_Toc12785 </w:instrText>
          </w:r>
          <w:r>
            <w:rPr>
              <w:color w:val="auto"/>
              <w:sz w:val="21"/>
              <w:szCs w:val="21"/>
            </w:rPr>
            <w:fldChar w:fldCharType="separate"/>
          </w:r>
          <w:r>
            <w:rPr>
              <w:rFonts w:hint="eastAsia" w:ascii="宋体" w:hAnsi="宋体" w:eastAsia="宋体" w:cs="宋体"/>
              <w:bCs/>
              <w:color w:val="auto"/>
              <w:sz w:val="21"/>
              <w:szCs w:val="21"/>
              <w:highlight w:val="none"/>
            </w:rPr>
            <w:t>3</w:t>
          </w:r>
          <w:r>
            <w:rPr>
              <w:rFonts w:hint="eastAsia" w:ascii="宋体" w:hAnsi="宋体" w:eastAsia="宋体" w:cs="宋体"/>
              <w:bCs/>
              <w:color w:val="auto"/>
              <w:sz w:val="21"/>
              <w:szCs w:val="21"/>
              <w:highlight w:val="none"/>
              <w:lang w:val="en-US" w:eastAsia="zh-CN"/>
            </w:rPr>
            <w:t>4</w:t>
          </w:r>
          <w:r>
            <w:rPr>
              <w:rFonts w:hint="eastAsia" w:ascii="宋体" w:hAnsi="宋体" w:eastAsia="宋体" w:cs="宋体"/>
              <w:bCs/>
              <w:color w:val="auto"/>
              <w:sz w:val="21"/>
              <w:szCs w:val="21"/>
              <w:highlight w:val="none"/>
            </w:rPr>
            <w:t>.广西线上</w:t>
          </w:r>
          <w:r>
            <w:rPr>
              <w:rFonts w:hint="eastAsia" w:ascii="宋体" w:hAnsi="宋体" w:eastAsia="宋体" w:cs="宋体"/>
              <w:bCs/>
              <w:color w:val="auto"/>
              <w:sz w:val="21"/>
              <w:szCs w:val="21"/>
              <w:highlight w:val="none"/>
              <w:lang w:eastAsia="zh-CN"/>
            </w:rPr>
            <w:t>“</w:t>
          </w:r>
          <w:r>
            <w:rPr>
              <w:rFonts w:hint="eastAsia" w:ascii="宋体" w:hAnsi="宋体" w:eastAsia="宋体" w:cs="宋体"/>
              <w:bCs/>
              <w:color w:val="auto"/>
              <w:sz w:val="21"/>
              <w:szCs w:val="21"/>
              <w:highlight w:val="none"/>
            </w:rPr>
            <w:t>政采贷</w:t>
          </w:r>
          <w:r>
            <w:rPr>
              <w:rFonts w:hint="eastAsia" w:ascii="宋体" w:hAnsi="宋体" w:eastAsia="宋体" w:cs="宋体"/>
              <w:bCs/>
              <w:color w:val="auto"/>
              <w:sz w:val="21"/>
              <w:szCs w:val="21"/>
              <w:highlight w:val="none"/>
              <w:lang w:eastAsia="zh-CN"/>
            </w:rPr>
            <w:t>”</w:t>
          </w:r>
          <w:r>
            <w:rPr>
              <w:rFonts w:hint="eastAsia" w:ascii="宋体" w:hAnsi="宋体" w:eastAsia="宋体" w:cs="宋体"/>
              <w:bCs/>
              <w:color w:val="auto"/>
              <w:sz w:val="21"/>
              <w:szCs w:val="21"/>
              <w:highlight w:val="none"/>
            </w:rPr>
            <w:t>政策告知函</w:t>
          </w:r>
          <w:r>
            <w:rPr>
              <w:color w:val="auto"/>
              <w:sz w:val="21"/>
              <w:szCs w:val="21"/>
            </w:rPr>
            <w:tab/>
          </w:r>
          <w:r>
            <w:rPr>
              <w:color w:val="auto"/>
              <w:sz w:val="21"/>
              <w:szCs w:val="21"/>
            </w:rPr>
            <w:fldChar w:fldCharType="begin"/>
          </w:r>
          <w:r>
            <w:rPr>
              <w:color w:val="auto"/>
              <w:sz w:val="21"/>
              <w:szCs w:val="21"/>
            </w:rPr>
            <w:instrText xml:space="preserve"> PAGEREF _Toc12785 \h </w:instrText>
          </w:r>
          <w:r>
            <w:rPr>
              <w:color w:val="auto"/>
              <w:sz w:val="21"/>
              <w:szCs w:val="21"/>
            </w:rPr>
            <w:fldChar w:fldCharType="separate"/>
          </w:r>
          <w:r>
            <w:rPr>
              <w:color w:val="auto"/>
              <w:sz w:val="21"/>
              <w:szCs w:val="21"/>
            </w:rPr>
            <w:t>31</w:t>
          </w:r>
          <w:r>
            <w:rPr>
              <w:color w:val="auto"/>
              <w:sz w:val="21"/>
              <w:szCs w:val="21"/>
            </w:rPr>
            <w:fldChar w:fldCharType="end"/>
          </w:r>
          <w:r>
            <w:rPr>
              <w:color w:val="auto"/>
              <w:sz w:val="21"/>
              <w:szCs w:val="21"/>
            </w:rPr>
            <w:fldChar w:fldCharType="end"/>
          </w:r>
        </w:p>
        <w:p w14:paraId="4406010E">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_Toc22237 </w:instrText>
          </w:r>
          <w:r>
            <w:rPr>
              <w:color w:val="auto"/>
              <w:sz w:val="21"/>
              <w:szCs w:val="21"/>
            </w:rPr>
            <w:fldChar w:fldCharType="separate"/>
          </w:r>
          <w:r>
            <w:rPr>
              <w:rFonts w:hint="eastAsia" w:ascii="华文中宋" w:hAnsi="华文中宋" w:eastAsia="华文中宋" w:cs="华文中宋"/>
              <w:color w:val="auto"/>
              <w:sz w:val="21"/>
              <w:szCs w:val="21"/>
            </w:rPr>
            <w:t>第四章  评审程序、评审方法和评审标准</w:t>
          </w:r>
          <w:r>
            <w:rPr>
              <w:color w:val="auto"/>
              <w:sz w:val="21"/>
              <w:szCs w:val="21"/>
            </w:rPr>
            <w:tab/>
          </w:r>
          <w:r>
            <w:rPr>
              <w:color w:val="auto"/>
              <w:sz w:val="21"/>
              <w:szCs w:val="21"/>
            </w:rPr>
            <w:fldChar w:fldCharType="begin"/>
          </w:r>
          <w:r>
            <w:rPr>
              <w:color w:val="auto"/>
              <w:sz w:val="21"/>
              <w:szCs w:val="21"/>
            </w:rPr>
            <w:instrText xml:space="preserve"> PAGEREF _Toc22237 \h </w:instrText>
          </w:r>
          <w:r>
            <w:rPr>
              <w:color w:val="auto"/>
              <w:sz w:val="21"/>
              <w:szCs w:val="21"/>
            </w:rPr>
            <w:fldChar w:fldCharType="separate"/>
          </w:r>
          <w:r>
            <w:rPr>
              <w:color w:val="auto"/>
              <w:sz w:val="21"/>
              <w:szCs w:val="21"/>
            </w:rPr>
            <w:t>33</w:t>
          </w:r>
          <w:r>
            <w:rPr>
              <w:color w:val="auto"/>
              <w:sz w:val="21"/>
              <w:szCs w:val="21"/>
            </w:rPr>
            <w:fldChar w:fldCharType="end"/>
          </w:r>
          <w:r>
            <w:rPr>
              <w:color w:val="auto"/>
              <w:sz w:val="21"/>
              <w:szCs w:val="21"/>
            </w:rPr>
            <w:fldChar w:fldCharType="end"/>
          </w:r>
        </w:p>
        <w:p w14:paraId="7E9A4ED6">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_Toc27212 </w:instrText>
          </w:r>
          <w:r>
            <w:rPr>
              <w:color w:val="auto"/>
              <w:sz w:val="21"/>
              <w:szCs w:val="21"/>
            </w:rPr>
            <w:fldChar w:fldCharType="separate"/>
          </w:r>
          <w:r>
            <w:rPr>
              <w:rFonts w:hint="eastAsia" w:ascii="宋体" w:hAnsi="宋体" w:eastAsia="宋体" w:cs="宋体"/>
              <w:bCs/>
              <w:color w:val="auto"/>
              <w:sz w:val="21"/>
              <w:szCs w:val="21"/>
              <w:highlight w:val="none"/>
            </w:rPr>
            <w:t xml:space="preserve">第一节 </w:t>
          </w:r>
          <w:r>
            <w:rPr>
              <w:rFonts w:hint="eastAsia" w:ascii="宋体" w:hAnsi="宋体" w:eastAsia="宋体" w:cs="宋体"/>
              <w:bCs/>
              <w:color w:val="auto"/>
              <w:sz w:val="21"/>
              <w:szCs w:val="21"/>
              <w:highlight w:val="none"/>
              <w:lang w:val="en-US" w:eastAsia="zh-CN"/>
            </w:rPr>
            <w:t xml:space="preserve"> </w:t>
          </w:r>
          <w:r>
            <w:rPr>
              <w:rFonts w:hint="eastAsia" w:ascii="宋体" w:hAnsi="宋体" w:eastAsia="宋体" w:cs="宋体"/>
              <w:bCs/>
              <w:color w:val="auto"/>
              <w:sz w:val="21"/>
              <w:szCs w:val="21"/>
              <w:highlight w:val="none"/>
            </w:rPr>
            <w:t>评审程序和评审方法</w:t>
          </w:r>
          <w:r>
            <w:rPr>
              <w:color w:val="auto"/>
              <w:sz w:val="21"/>
              <w:szCs w:val="21"/>
            </w:rPr>
            <w:tab/>
          </w:r>
          <w:r>
            <w:rPr>
              <w:color w:val="auto"/>
              <w:sz w:val="21"/>
              <w:szCs w:val="21"/>
            </w:rPr>
            <w:fldChar w:fldCharType="begin"/>
          </w:r>
          <w:r>
            <w:rPr>
              <w:color w:val="auto"/>
              <w:sz w:val="21"/>
              <w:szCs w:val="21"/>
            </w:rPr>
            <w:instrText xml:space="preserve"> PAGEREF _Toc27212 \h </w:instrText>
          </w:r>
          <w:r>
            <w:rPr>
              <w:color w:val="auto"/>
              <w:sz w:val="21"/>
              <w:szCs w:val="21"/>
            </w:rPr>
            <w:fldChar w:fldCharType="separate"/>
          </w:r>
          <w:r>
            <w:rPr>
              <w:color w:val="auto"/>
              <w:sz w:val="21"/>
              <w:szCs w:val="21"/>
            </w:rPr>
            <w:t>33</w:t>
          </w:r>
          <w:r>
            <w:rPr>
              <w:color w:val="auto"/>
              <w:sz w:val="21"/>
              <w:szCs w:val="21"/>
            </w:rPr>
            <w:fldChar w:fldCharType="end"/>
          </w:r>
          <w:r>
            <w:rPr>
              <w:color w:val="auto"/>
              <w:sz w:val="21"/>
              <w:szCs w:val="21"/>
            </w:rPr>
            <w:fldChar w:fldCharType="end"/>
          </w:r>
        </w:p>
        <w:p w14:paraId="070E4404">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_Toc31707 </w:instrText>
          </w:r>
          <w:r>
            <w:rPr>
              <w:color w:val="auto"/>
              <w:sz w:val="21"/>
              <w:szCs w:val="21"/>
            </w:rPr>
            <w:fldChar w:fldCharType="separate"/>
          </w:r>
          <w:r>
            <w:rPr>
              <w:rFonts w:hint="eastAsia" w:ascii="宋体" w:hAnsi="宋体" w:eastAsia="宋体" w:cs="宋体"/>
              <w:bCs/>
              <w:color w:val="auto"/>
              <w:sz w:val="21"/>
              <w:szCs w:val="21"/>
              <w:highlight w:val="none"/>
            </w:rPr>
            <w:t>1.确认磋商文件</w:t>
          </w:r>
          <w:r>
            <w:rPr>
              <w:color w:val="auto"/>
              <w:sz w:val="21"/>
              <w:szCs w:val="21"/>
            </w:rPr>
            <w:tab/>
          </w:r>
          <w:r>
            <w:rPr>
              <w:color w:val="auto"/>
              <w:sz w:val="21"/>
              <w:szCs w:val="21"/>
            </w:rPr>
            <w:fldChar w:fldCharType="begin"/>
          </w:r>
          <w:r>
            <w:rPr>
              <w:color w:val="auto"/>
              <w:sz w:val="21"/>
              <w:szCs w:val="21"/>
            </w:rPr>
            <w:instrText xml:space="preserve"> PAGEREF _Toc31707 \h </w:instrText>
          </w:r>
          <w:r>
            <w:rPr>
              <w:color w:val="auto"/>
              <w:sz w:val="21"/>
              <w:szCs w:val="21"/>
            </w:rPr>
            <w:fldChar w:fldCharType="separate"/>
          </w:r>
          <w:r>
            <w:rPr>
              <w:color w:val="auto"/>
              <w:sz w:val="21"/>
              <w:szCs w:val="21"/>
            </w:rPr>
            <w:t>33</w:t>
          </w:r>
          <w:r>
            <w:rPr>
              <w:color w:val="auto"/>
              <w:sz w:val="21"/>
              <w:szCs w:val="21"/>
            </w:rPr>
            <w:fldChar w:fldCharType="end"/>
          </w:r>
          <w:r>
            <w:rPr>
              <w:color w:val="auto"/>
              <w:sz w:val="21"/>
              <w:szCs w:val="21"/>
            </w:rPr>
            <w:fldChar w:fldCharType="end"/>
          </w:r>
        </w:p>
        <w:p w14:paraId="7C6BF2A8">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_Toc11342 </w:instrText>
          </w:r>
          <w:r>
            <w:rPr>
              <w:color w:val="auto"/>
              <w:sz w:val="21"/>
              <w:szCs w:val="21"/>
            </w:rPr>
            <w:fldChar w:fldCharType="separate"/>
          </w:r>
          <w:r>
            <w:rPr>
              <w:rFonts w:hint="eastAsia" w:ascii="宋体" w:hAnsi="宋体" w:eastAsia="宋体" w:cs="宋体"/>
              <w:bCs/>
              <w:color w:val="auto"/>
              <w:sz w:val="21"/>
              <w:szCs w:val="21"/>
              <w:highlight w:val="none"/>
            </w:rPr>
            <w:t>2.资格审查</w:t>
          </w:r>
          <w:r>
            <w:rPr>
              <w:color w:val="auto"/>
              <w:sz w:val="21"/>
              <w:szCs w:val="21"/>
            </w:rPr>
            <w:tab/>
          </w:r>
          <w:r>
            <w:rPr>
              <w:color w:val="auto"/>
              <w:sz w:val="21"/>
              <w:szCs w:val="21"/>
            </w:rPr>
            <w:fldChar w:fldCharType="begin"/>
          </w:r>
          <w:r>
            <w:rPr>
              <w:color w:val="auto"/>
              <w:sz w:val="21"/>
              <w:szCs w:val="21"/>
            </w:rPr>
            <w:instrText xml:space="preserve"> PAGEREF _Toc11342 \h </w:instrText>
          </w:r>
          <w:r>
            <w:rPr>
              <w:color w:val="auto"/>
              <w:sz w:val="21"/>
              <w:szCs w:val="21"/>
            </w:rPr>
            <w:fldChar w:fldCharType="separate"/>
          </w:r>
          <w:r>
            <w:rPr>
              <w:color w:val="auto"/>
              <w:sz w:val="21"/>
              <w:szCs w:val="21"/>
            </w:rPr>
            <w:t>33</w:t>
          </w:r>
          <w:r>
            <w:rPr>
              <w:color w:val="auto"/>
              <w:sz w:val="21"/>
              <w:szCs w:val="21"/>
            </w:rPr>
            <w:fldChar w:fldCharType="end"/>
          </w:r>
          <w:r>
            <w:rPr>
              <w:color w:val="auto"/>
              <w:sz w:val="21"/>
              <w:szCs w:val="21"/>
            </w:rPr>
            <w:fldChar w:fldCharType="end"/>
          </w:r>
        </w:p>
        <w:p w14:paraId="7CC0F183">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_Toc20865 </w:instrText>
          </w:r>
          <w:r>
            <w:rPr>
              <w:color w:val="auto"/>
              <w:sz w:val="21"/>
              <w:szCs w:val="21"/>
            </w:rPr>
            <w:fldChar w:fldCharType="separate"/>
          </w:r>
          <w:r>
            <w:rPr>
              <w:rFonts w:hint="eastAsia" w:ascii="宋体" w:hAnsi="宋体" w:eastAsia="宋体" w:cs="宋体"/>
              <w:bCs/>
              <w:color w:val="auto"/>
              <w:sz w:val="21"/>
              <w:szCs w:val="21"/>
              <w:highlight w:val="none"/>
            </w:rPr>
            <w:t>3.符合性审查</w:t>
          </w:r>
          <w:r>
            <w:rPr>
              <w:color w:val="auto"/>
              <w:sz w:val="21"/>
              <w:szCs w:val="21"/>
            </w:rPr>
            <w:tab/>
          </w:r>
          <w:r>
            <w:rPr>
              <w:color w:val="auto"/>
              <w:sz w:val="21"/>
              <w:szCs w:val="21"/>
            </w:rPr>
            <w:fldChar w:fldCharType="begin"/>
          </w:r>
          <w:r>
            <w:rPr>
              <w:color w:val="auto"/>
              <w:sz w:val="21"/>
              <w:szCs w:val="21"/>
            </w:rPr>
            <w:instrText xml:space="preserve"> PAGEREF _Toc20865 \h </w:instrText>
          </w:r>
          <w:r>
            <w:rPr>
              <w:color w:val="auto"/>
              <w:sz w:val="21"/>
              <w:szCs w:val="21"/>
            </w:rPr>
            <w:fldChar w:fldCharType="separate"/>
          </w:r>
          <w:r>
            <w:rPr>
              <w:color w:val="auto"/>
              <w:sz w:val="21"/>
              <w:szCs w:val="21"/>
            </w:rPr>
            <w:t>33</w:t>
          </w:r>
          <w:r>
            <w:rPr>
              <w:color w:val="auto"/>
              <w:sz w:val="21"/>
              <w:szCs w:val="21"/>
            </w:rPr>
            <w:fldChar w:fldCharType="end"/>
          </w:r>
          <w:r>
            <w:rPr>
              <w:color w:val="auto"/>
              <w:sz w:val="21"/>
              <w:szCs w:val="21"/>
            </w:rPr>
            <w:fldChar w:fldCharType="end"/>
          </w:r>
        </w:p>
        <w:p w14:paraId="0C8CFC41">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_Toc19568 </w:instrText>
          </w:r>
          <w:r>
            <w:rPr>
              <w:color w:val="auto"/>
              <w:sz w:val="21"/>
              <w:szCs w:val="21"/>
            </w:rPr>
            <w:fldChar w:fldCharType="separate"/>
          </w:r>
          <w:r>
            <w:rPr>
              <w:rFonts w:hint="eastAsia" w:ascii="宋体" w:hAnsi="宋体" w:eastAsia="宋体" w:cs="宋体"/>
              <w:bCs/>
              <w:color w:val="auto"/>
              <w:sz w:val="21"/>
              <w:szCs w:val="21"/>
              <w:highlight w:val="none"/>
            </w:rPr>
            <w:t>4.磋商程序</w:t>
          </w:r>
          <w:r>
            <w:rPr>
              <w:color w:val="auto"/>
              <w:sz w:val="21"/>
              <w:szCs w:val="21"/>
            </w:rPr>
            <w:tab/>
          </w:r>
          <w:r>
            <w:rPr>
              <w:color w:val="auto"/>
              <w:sz w:val="21"/>
              <w:szCs w:val="21"/>
            </w:rPr>
            <w:fldChar w:fldCharType="begin"/>
          </w:r>
          <w:r>
            <w:rPr>
              <w:color w:val="auto"/>
              <w:sz w:val="21"/>
              <w:szCs w:val="21"/>
            </w:rPr>
            <w:instrText xml:space="preserve"> PAGEREF _Toc19568 \h </w:instrText>
          </w:r>
          <w:r>
            <w:rPr>
              <w:color w:val="auto"/>
              <w:sz w:val="21"/>
              <w:szCs w:val="21"/>
            </w:rPr>
            <w:fldChar w:fldCharType="separate"/>
          </w:r>
          <w:r>
            <w:rPr>
              <w:color w:val="auto"/>
              <w:sz w:val="21"/>
              <w:szCs w:val="21"/>
            </w:rPr>
            <w:t>35</w:t>
          </w:r>
          <w:r>
            <w:rPr>
              <w:color w:val="auto"/>
              <w:sz w:val="21"/>
              <w:szCs w:val="21"/>
            </w:rPr>
            <w:fldChar w:fldCharType="end"/>
          </w:r>
          <w:r>
            <w:rPr>
              <w:color w:val="auto"/>
              <w:sz w:val="21"/>
              <w:szCs w:val="21"/>
            </w:rPr>
            <w:fldChar w:fldCharType="end"/>
          </w:r>
        </w:p>
        <w:p w14:paraId="28CADB72">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_Toc12670 </w:instrText>
          </w:r>
          <w:r>
            <w:rPr>
              <w:color w:val="auto"/>
              <w:sz w:val="21"/>
              <w:szCs w:val="21"/>
            </w:rPr>
            <w:fldChar w:fldCharType="separate"/>
          </w:r>
          <w:r>
            <w:rPr>
              <w:rFonts w:hint="eastAsia" w:ascii="宋体" w:hAnsi="宋体" w:eastAsia="宋体" w:cs="宋体"/>
              <w:bCs/>
              <w:color w:val="auto"/>
              <w:sz w:val="21"/>
              <w:szCs w:val="21"/>
              <w:highlight w:val="none"/>
            </w:rPr>
            <w:t>5.最后报价</w:t>
          </w:r>
          <w:r>
            <w:rPr>
              <w:color w:val="auto"/>
              <w:sz w:val="21"/>
              <w:szCs w:val="21"/>
            </w:rPr>
            <w:tab/>
          </w:r>
          <w:r>
            <w:rPr>
              <w:color w:val="auto"/>
              <w:sz w:val="21"/>
              <w:szCs w:val="21"/>
            </w:rPr>
            <w:fldChar w:fldCharType="begin"/>
          </w:r>
          <w:r>
            <w:rPr>
              <w:color w:val="auto"/>
              <w:sz w:val="21"/>
              <w:szCs w:val="21"/>
            </w:rPr>
            <w:instrText xml:space="preserve"> PAGEREF _Toc12670 \h </w:instrText>
          </w:r>
          <w:r>
            <w:rPr>
              <w:color w:val="auto"/>
              <w:sz w:val="21"/>
              <w:szCs w:val="21"/>
            </w:rPr>
            <w:fldChar w:fldCharType="separate"/>
          </w:r>
          <w:r>
            <w:rPr>
              <w:color w:val="auto"/>
              <w:sz w:val="21"/>
              <w:szCs w:val="21"/>
            </w:rPr>
            <w:t>36</w:t>
          </w:r>
          <w:r>
            <w:rPr>
              <w:color w:val="auto"/>
              <w:sz w:val="21"/>
              <w:szCs w:val="21"/>
            </w:rPr>
            <w:fldChar w:fldCharType="end"/>
          </w:r>
          <w:r>
            <w:rPr>
              <w:color w:val="auto"/>
              <w:sz w:val="21"/>
              <w:szCs w:val="21"/>
            </w:rPr>
            <w:fldChar w:fldCharType="end"/>
          </w:r>
        </w:p>
        <w:p w14:paraId="5787D9CF">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_Toc113 </w:instrText>
          </w:r>
          <w:r>
            <w:rPr>
              <w:color w:val="auto"/>
              <w:sz w:val="21"/>
              <w:szCs w:val="21"/>
            </w:rPr>
            <w:fldChar w:fldCharType="separate"/>
          </w:r>
          <w:r>
            <w:rPr>
              <w:rFonts w:hint="eastAsia" w:ascii="宋体" w:hAnsi="宋体" w:eastAsia="宋体" w:cs="宋体"/>
              <w:bCs/>
              <w:color w:val="auto"/>
              <w:sz w:val="21"/>
              <w:szCs w:val="21"/>
              <w:highlight w:val="none"/>
            </w:rPr>
            <w:t>6.比较与评价</w:t>
          </w:r>
          <w:r>
            <w:rPr>
              <w:color w:val="auto"/>
              <w:sz w:val="21"/>
              <w:szCs w:val="21"/>
            </w:rPr>
            <w:tab/>
          </w:r>
          <w:r>
            <w:rPr>
              <w:color w:val="auto"/>
              <w:sz w:val="21"/>
              <w:szCs w:val="21"/>
            </w:rPr>
            <w:fldChar w:fldCharType="begin"/>
          </w:r>
          <w:r>
            <w:rPr>
              <w:color w:val="auto"/>
              <w:sz w:val="21"/>
              <w:szCs w:val="21"/>
            </w:rPr>
            <w:instrText xml:space="preserve"> PAGEREF _Toc113 \h </w:instrText>
          </w:r>
          <w:r>
            <w:rPr>
              <w:color w:val="auto"/>
              <w:sz w:val="21"/>
              <w:szCs w:val="21"/>
            </w:rPr>
            <w:fldChar w:fldCharType="separate"/>
          </w:r>
          <w:r>
            <w:rPr>
              <w:color w:val="auto"/>
              <w:sz w:val="21"/>
              <w:szCs w:val="21"/>
            </w:rPr>
            <w:t>37</w:t>
          </w:r>
          <w:r>
            <w:rPr>
              <w:color w:val="auto"/>
              <w:sz w:val="21"/>
              <w:szCs w:val="21"/>
            </w:rPr>
            <w:fldChar w:fldCharType="end"/>
          </w:r>
          <w:r>
            <w:rPr>
              <w:color w:val="auto"/>
              <w:sz w:val="21"/>
              <w:szCs w:val="21"/>
            </w:rPr>
            <w:fldChar w:fldCharType="end"/>
          </w:r>
        </w:p>
        <w:p w14:paraId="05AD2811">
          <w:pPr>
            <w:pStyle w:val="17"/>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_Toc23093 </w:instrText>
          </w:r>
          <w:r>
            <w:rPr>
              <w:color w:val="auto"/>
              <w:sz w:val="21"/>
              <w:szCs w:val="21"/>
            </w:rPr>
            <w:fldChar w:fldCharType="separate"/>
          </w:r>
          <w:r>
            <w:rPr>
              <w:rFonts w:hint="eastAsia" w:ascii="宋体" w:hAnsi="宋体" w:eastAsia="宋体" w:cs="宋体"/>
              <w:bCs/>
              <w:color w:val="auto"/>
              <w:sz w:val="21"/>
              <w:szCs w:val="21"/>
              <w:highlight w:val="none"/>
            </w:rPr>
            <w:t>7.评审标准</w:t>
          </w:r>
          <w:r>
            <w:rPr>
              <w:color w:val="auto"/>
              <w:sz w:val="21"/>
              <w:szCs w:val="21"/>
            </w:rPr>
            <w:tab/>
          </w:r>
          <w:r>
            <w:rPr>
              <w:color w:val="auto"/>
              <w:sz w:val="21"/>
              <w:szCs w:val="21"/>
            </w:rPr>
            <w:fldChar w:fldCharType="begin"/>
          </w:r>
          <w:r>
            <w:rPr>
              <w:color w:val="auto"/>
              <w:sz w:val="21"/>
              <w:szCs w:val="21"/>
            </w:rPr>
            <w:instrText xml:space="preserve"> PAGEREF _Toc23093 \h </w:instrText>
          </w:r>
          <w:r>
            <w:rPr>
              <w:color w:val="auto"/>
              <w:sz w:val="21"/>
              <w:szCs w:val="21"/>
            </w:rPr>
            <w:fldChar w:fldCharType="separate"/>
          </w:r>
          <w:r>
            <w:rPr>
              <w:color w:val="auto"/>
              <w:sz w:val="21"/>
              <w:szCs w:val="21"/>
            </w:rPr>
            <w:t>37</w:t>
          </w:r>
          <w:r>
            <w:rPr>
              <w:color w:val="auto"/>
              <w:sz w:val="21"/>
              <w:szCs w:val="21"/>
            </w:rPr>
            <w:fldChar w:fldCharType="end"/>
          </w:r>
          <w:r>
            <w:rPr>
              <w:color w:val="auto"/>
              <w:sz w:val="21"/>
              <w:szCs w:val="21"/>
            </w:rPr>
            <w:fldChar w:fldCharType="end"/>
          </w:r>
        </w:p>
        <w:p w14:paraId="7265F091">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_Toc30272 </w:instrText>
          </w:r>
          <w:r>
            <w:rPr>
              <w:color w:val="auto"/>
              <w:sz w:val="21"/>
              <w:szCs w:val="21"/>
            </w:rPr>
            <w:fldChar w:fldCharType="separate"/>
          </w:r>
          <w:r>
            <w:rPr>
              <w:rFonts w:hint="eastAsia" w:ascii="宋体" w:hAnsi="宋体" w:eastAsia="宋体" w:cs="宋体"/>
              <w:bCs/>
              <w:color w:val="auto"/>
              <w:sz w:val="21"/>
              <w:szCs w:val="21"/>
              <w:highlight w:val="none"/>
            </w:rPr>
            <w:t>第二节</w:t>
          </w:r>
          <w:r>
            <w:rPr>
              <w:rFonts w:hint="eastAsia" w:ascii="宋体" w:hAnsi="宋体" w:eastAsia="宋体" w:cs="宋体"/>
              <w:bCs/>
              <w:color w:val="auto"/>
              <w:sz w:val="21"/>
              <w:szCs w:val="21"/>
              <w:highlight w:val="none"/>
              <w:lang w:val="en-US" w:eastAsia="zh-CN"/>
            </w:rPr>
            <w:t xml:space="preserve"> </w:t>
          </w:r>
          <w:r>
            <w:rPr>
              <w:rFonts w:hint="eastAsia" w:ascii="宋体" w:hAnsi="宋体" w:eastAsia="宋体" w:cs="宋体"/>
              <w:bCs/>
              <w:color w:val="auto"/>
              <w:sz w:val="21"/>
              <w:szCs w:val="21"/>
              <w:highlight w:val="none"/>
            </w:rPr>
            <w:t xml:space="preserve"> 评</w:t>
          </w:r>
          <w:r>
            <w:rPr>
              <w:rFonts w:hint="eastAsia" w:ascii="宋体" w:hAnsi="宋体" w:eastAsia="宋体" w:cs="宋体"/>
              <w:bCs/>
              <w:color w:val="auto"/>
              <w:sz w:val="21"/>
              <w:szCs w:val="21"/>
              <w:highlight w:val="none"/>
              <w:lang w:eastAsia="zh-CN"/>
            </w:rPr>
            <w:t>审</w:t>
          </w:r>
          <w:r>
            <w:rPr>
              <w:rFonts w:hint="eastAsia" w:ascii="宋体" w:hAnsi="宋体" w:eastAsia="宋体" w:cs="宋体"/>
              <w:bCs/>
              <w:color w:val="auto"/>
              <w:sz w:val="21"/>
              <w:szCs w:val="21"/>
              <w:highlight w:val="none"/>
            </w:rPr>
            <w:t>报告</w:t>
          </w:r>
          <w:r>
            <w:rPr>
              <w:color w:val="auto"/>
              <w:sz w:val="21"/>
              <w:szCs w:val="21"/>
            </w:rPr>
            <w:tab/>
          </w:r>
          <w:r>
            <w:rPr>
              <w:color w:val="auto"/>
              <w:sz w:val="21"/>
              <w:szCs w:val="21"/>
            </w:rPr>
            <w:fldChar w:fldCharType="begin"/>
          </w:r>
          <w:r>
            <w:rPr>
              <w:color w:val="auto"/>
              <w:sz w:val="21"/>
              <w:szCs w:val="21"/>
            </w:rPr>
            <w:instrText xml:space="preserve"> PAGEREF _Toc30272 \h </w:instrText>
          </w:r>
          <w:r>
            <w:rPr>
              <w:color w:val="auto"/>
              <w:sz w:val="21"/>
              <w:szCs w:val="21"/>
            </w:rPr>
            <w:fldChar w:fldCharType="separate"/>
          </w:r>
          <w:r>
            <w:rPr>
              <w:color w:val="auto"/>
              <w:sz w:val="21"/>
              <w:szCs w:val="21"/>
            </w:rPr>
            <w:t>42</w:t>
          </w:r>
          <w:r>
            <w:rPr>
              <w:color w:val="auto"/>
              <w:sz w:val="21"/>
              <w:szCs w:val="21"/>
            </w:rPr>
            <w:fldChar w:fldCharType="end"/>
          </w:r>
          <w:r>
            <w:rPr>
              <w:color w:val="auto"/>
              <w:sz w:val="21"/>
              <w:szCs w:val="21"/>
            </w:rPr>
            <w:fldChar w:fldCharType="end"/>
          </w:r>
        </w:p>
        <w:p w14:paraId="509DED71">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_Toc28298 </w:instrText>
          </w:r>
          <w:r>
            <w:rPr>
              <w:color w:val="auto"/>
              <w:sz w:val="21"/>
              <w:szCs w:val="21"/>
            </w:rPr>
            <w:fldChar w:fldCharType="separate"/>
          </w:r>
          <w:r>
            <w:rPr>
              <w:rFonts w:hint="eastAsia" w:ascii="宋体" w:hAnsi="宋体" w:eastAsia="宋体" w:cs="宋体"/>
              <w:bCs/>
              <w:color w:val="auto"/>
              <w:sz w:val="21"/>
              <w:szCs w:val="21"/>
              <w:highlight w:val="none"/>
            </w:rPr>
            <w:t xml:space="preserve">第三节 </w:t>
          </w:r>
          <w:r>
            <w:rPr>
              <w:rFonts w:hint="eastAsia" w:ascii="宋体" w:hAnsi="宋体" w:eastAsia="宋体" w:cs="宋体"/>
              <w:bCs/>
              <w:color w:val="auto"/>
              <w:sz w:val="21"/>
              <w:szCs w:val="21"/>
              <w:highlight w:val="none"/>
              <w:lang w:val="en-US" w:eastAsia="zh-CN"/>
            </w:rPr>
            <w:t xml:space="preserve"> </w:t>
          </w:r>
          <w:r>
            <w:rPr>
              <w:rFonts w:hint="eastAsia" w:ascii="宋体" w:hAnsi="宋体" w:eastAsia="宋体" w:cs="宋体"/>
              <w:bCs/>
              <w:color w:val="auto"/>
              <w:sz w:val="21"/>
              <w:szCs w:val="21"/>
              <w:highlight w:val="none"/>
            </w:rPr>
            <w:t>评审过程的保密与录像</w:t>
          </w:r>
          <w:r>
            <w:rPr>
              <w:color w:val="auto"/>
              <w:sz w:val="21"/>
              <w:szCs w:val="21"/>
            </w:rPr>
            <w:tab/>
          </w:r>
          <w:r>
            <w:rPr>
              <w:color w:val="auto"/>
              <w:sz w:val="21"/>
              <w:szCs w:val="21"/>
            </w:rPr>
            <w:fldChar w:fldCharType="begin"/>
          </w:r>
          <w:r>
            <w:rPr>
              <w:color w:val="auto"/>
              <w:sz w:val="21"/>
              <w:szCs w:val="21"/>
            </w:rPr>
            <w:instrText xml:space="preserve"> PAGEREF _Toc28298 \h </w:instrText>
          </w:r>
          <w:r>
            <w:rPr>
              <w:color w:val="auto"/>
              <w:sz w:val="21"/>
              <w:szCs w:val="21"/>
            </w:rPr>
            <w:fldChar w:fldCharType="separate"/>
          </w:r>
          <w:r>
            <w:rPr>
              <w:color w:val="auto"/>
              <w:sz w:val="21"/>
              <w:szCs w:val="21"/>
            </w:rPr>
            <w:t>43</w:t>
          </w:r>
          <w:r>
            <w:rPr>
              <w:color w:val="auto"/>
              <w:sz w:val="21"/>
              <w:szCs w:val="21"/>
            </w:rPr>
            <w:fldChar w:fldCharType="end"/>
          </w:r>
          <w:r>
            <w:rPr>
              <w:color w:val="auto"/>
              <w:sz w:val="21"/>
              <w:szCs w:val="21"/>
            </w:rPr>
            <w:fldChar w:fldCharType="end"/>
          </w:r>
        </w:p>
        <w:p w14:paraId="33037AAD">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_Toc1820 </w:instrText>
          </w:r>
          <w:r>
            <w:rPr>
              <w:color w:val="auto"/>
              <w:sz w:val="21"/>
              <w:szCs w:val="21"/>
            </w:rPr>
            <w:fldChar w:fldCharType="separate"/>
          </w:r>
          <w:r>
            <w:rPr>
              <w:rFonts w:hint="eastAsia" w:ascii="华文中宋" w:hAnsi="华文中宋" w:eastAsia="华文中宋" w:cs="华文中宋"/>
              <w:color w:val="auto"/>
              <w:sz w:val="21"/>
              <w:szCs w:val="21"/>
            </w:rPr>
            <w:t>第五章 响应文件格式</w:t>
          </w:r>
          <w:r>
            <w:rPr>
              <w:color w:val="auto"/>
              <w:sz w:val="21"/>
              <w:szCs w:val="21"/>
            </w:rPr>
            <w:tab/>
          </w:r>
          <w:r>
            <w:rPr>
              <w:color w:val="auto"/>
              <w:sz w:val="21"/>
              <w:szCs w:val="21"/>
            </w:rPr>
            <w:fldChar w:fldCharType="begin"/>
          </w:r>
          <w:r>
            <w:rPr>
              <w:color w:val="auto"/>
              <w:sz w:val="21"/>
              <w:szCs w:val="21"/>
            </w:rPr>
            <w:instrText xml:space="preserve"> PAGEREF _Toc1820 \h </w:instrText>
          </w:r>
          <w:r>
            <w:rPr>
              <w:color w:val="auto"/>
              <w:sz w:val="21"/>
              <w:szCs w:val="21"/>
            </w:rPr>
            <w:fldChar w:fldCharType="separate"/>
          </w:r>
          <w:r>
            <w:rPr>
              <w:color w:val="auto"/>
              <w:sz w:val="21"/>
              <w:szCs w:val="21"/>
            </w:rPr>
            <w:t>44</w:t>
          </w:r>
          <w:r>
            <w:rPr>
              <w:color w:val="auto"/>
              <w:sz w:val="21"/>
              <w:szCs w:val="21"/>
            </w:rPr>
            <w:fldChar w:fldCharType="end"/>
          </w:r>
          <w:r>
            <w:rPr>
              <w:color w:val="auto"/>
              <w:sz w:val="21"/>
              <w:szCs w:val="21"/>
            </w:rPr>
            <w:fldChar w:fldCharType="end"/>
          </w:r>
        </w:p>
        <w:p w14:paraId="7382607D">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_Toc27888 </w:instrText>
          </w:r>
          <w:r>
            <w:rPr>
              <w:color w:val="auto"/>
              <w:sz w:val="21"/>
              <w:szCs w:val="21"/>
            </w:rPr>
            <w:fldChar w:fldCharType="separate"/>
          </w:r>
          <w:r>
            <w:rPr>
              <w:rFonts w:hint="eastAsia" w:ascii="华文中宋" w:hAnsi="华文中宋" w:eastAsia="华文中宋" w:cs="华文中宋"/>
              <w:color w:val="auto"/>
              <w:sz w:val="21"/>
              <w:szCs w:val="21"/>
            </w:rPr>
            <w:t>第六章  合同文本</w:t>
          </w:r>
          <w:r>
            <w:rPr>
              <w:color w:val="auto"/>
              <w:sz w:val="21"/>
              <w:szCs w:val="21"/>
            </w:rPr>
            <w:tab/>
          </w:r>
          <w:r>
            <w:rPr>
              <w:color w:val="auto"/>
              <w:sz w:val="21"/>
              <w:szCs w:val="21"/>
            </w:rPr>
            <w:fldChar w:fldCharType="begin"/>
          </w:r>
          <w:r>
            <w:rPr>
              <w:color w:val="auto"/>
              <w:sz w:val="21"/>
              <w:szCs w:val="21"/>
            </w:rPr>
            <w:instrText xml:space="preserve"> PAGEREF _Toc27888 \h </w:instrText>
          </w:r>
          <w:r>
            <w:rPr>
              <w:color w:val="auto"/>
              <w:sz w:val="21"/>
              <w:szCs w:val="21"/>
            </w:rPr>
            <w:fldChar w:fldCharType="separate"/>
          </w:r>
          <w:r>
            <w:rPr>
              <w:color w:val="auto"/>
              <w:sz w:val="21"/>
              <w:szCs w:val="21"/>
            </w:rPr>
            <w:t>71</w:t>
          </w:r>
          <w:r>
            <w:rPr>
              <w:color w:val="auto"/>
              <w:sz w:val="21"/>
              <w:szCs w:val="21"/>
            </w:rPr>
            <w:fldChar w:fldCharType="end"/>
          </w:r>
          <w:r>
            <w:rPr>
              <w:color w:val="auto"/>
              <w:sz w:val="21"/>
              <w:szCs w:val="21"/>
            </w:rPr>
            <w:fldChar w:fldCharType="end"/>
          </w:r>
        </w:p>
        <w:p w14:paraId="4F39F2E0">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_Toc2927 </w:instrText>
          </w:r>
          <w:r>
            <w:rPr>
              <w:color w:val="auto"/>
              <w:sz w:val="21"/>
              <w:szCs w:val="21"/>
            </w:rPr>
            <w:fldChar w:fldCharType="separate"/>
          </w:r>
          <w:r>
            <w:rPr>
              <w:rFonts w:hint="eastAsia" w:ascii="Times New Roman" w:hAnsi="Times New Roman" w:eastAsia="宋体" w:cs="宋体"/>
              <w:bCs/>
              <w:color w:val="auto"/>
              <w:kern w:val="0"/>
              <w:sz w:val="21"/>
              <w:szCs w:val="21"/>
              <w:highlight w:val="none"/>
            </w:rPr>
            <w:t>第一部分 合同协议书</w:t>
          </w:r>
          <w:r>
            <w:rPr>
              <w:color w:val="auto"/>
              <w:sz w:val="21"/>
              <w:szCs w:val="21"/>
            </w:rPr>
            <w:tab/>
          </w:r>
          <w:r>
            <w:rPr>
              <w:color w:val="auto"/>
              <w:sz w:val="21"/>
              <w:szCs w:val="21"/>
            </w:rPr>
            <w:fldChar w:fldCharType="begin"/>
          </w:r>
          <w:r>
            <w:rPr>
              <w:color w:val="auto"/>
              <w:sz w:val="21"/>
              <w:szCs w:val="21"/>
            </w:rPr>
            <w:instrText xml:space="preserve"> PAGEREF _Toc2927 \h </w:instrText>
          </w:r>
          <w:r>
            <w:rPr>
              <w:color w:val="auto"/>
              <w:sz w:val="21"/>
              <w:szCs w:val="21"/>
            </w:rPr>
            <w:fldChar w:fldCharType="separate"/>
          </w:r>
          <w:r>
            <w:rPr>
              <w:color w:val="auto"/>
              <w:sz w:val="21"/>
              <w:szCs w:val="21"/>
            </w:rPr>
            <w:t>72</w:t>
          </w:r>
          <w:r>
            <w:rPr>
              <w:color w:val="auto"/>
              <w:sz w:val="21"/>
              <w:szCs w:val="21"/>
            </w:rPr>
            <w:fldChar w:fldCharType="end"/>
          </w:r>
          <w:r>
            <w:rPr>
              <w:color w:val="auto"/>
              <w:sz w:val="21"/>
              <w:szCs w:val="21"/>
            </w:rPr>
            <w:fldChar w:fldCharType="end"/>
          </w:r>
        </w:p>
        <w:p w14:paraId="43426985">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_Toc5127 </w:instrText>
          </w:r>
          <w:r>
            <w:rPr>
              <w:color w:val="auto"/>
              <w:sz w:val="21"/>
              <w:szCs w:val="21"/>
            </w:rPr>
            <w:fldChar w:fldCharType="separate"/>
          </w:r>
          <w:r>
            <w:rPr>
              <w:rFonts w:hint="eastAsia" w:ascii="Times New Roman" w:hAnsi="Times New Roman" w:eastAsia="宋体" w:cs="宋体"/>
              <w:bCs/>
              <w:color w:val="auto"/>
              <w:kern w:val="0"/>
              <w:sz w:val="21"/>
              <w:szCs w:val="21"/>
              <w:highlight w:val="none"/>
              <w:lang w:eastAsia="zh-CN"/>
            </w:rPr>
            <w:t>第二部分</w:t>
          </w:r>
          <w:r>
            <w:rPr>
              <w:rFonts w:hint="eastAsia" w:ascii="Times New Roman" w:hAnsi="Times New Roman" w:eastAsia="宋体" w:cs="宋体"/>
              <w:bCs/>
              <w:color w:val="auto"/>
              <w:kern w:val="0"/>
              <w:sz w:val="21"/>
              <w:szCs w:val="21"/>
              <w:highlight w:val="none"/>
            </w:rPr>
            <w:t xml:space="preserve"> 通用条款</w:t>
          </w:r>
          <w:r>
            <w:rPr>
              <w:color w:val="auto"/>
              <w:sz w:val="21"/>
              <w:szCs w:val="21"/>
            </w:rPr>
            <w:tab/>
          </w:r>
          <w:r>
            <w:rPr>
              <w:color w:val="auto"/>
              <w:sz w:val="21"/>
              <w:szCs w:val="21"/>
            </w:rPr>
            <w:fldChar w:fldCharType="begin"/>
          </w:r>
          <w:r>
            <w:rPr>
              <w:color w:val="auto"/>
              <w:sz w:val="21"/>
              <w:szCs w:val="21"/>
            </w:rPr>
            <w:instrText xml:space="preserve"> PAGEREF _Toc5127 \h </w:instrText>
          </w:r>
          <w:r>
            <w:rPr>
              <w:color w:val="auto"/>
              <w:sz w:val="21"/>
              <w:szCs w:val="21"/>
            </w:rPr>
            <w:fldChar w:fldCharType="separate"/>
          </w:r>
          <w:r>
            <w:rPr>
              <w:color w:val="auto"/>
              <w:sz w:val="21"/>
              <w:szCs w:val="21"/>
            </w:rPr>
            <w:t>75</w:t>
          </w:r>
          <w:r>
            <w:rPr>
              <w:color w:val="auto"/>
              <w:sz w:val="21"/>
              <w:szCs w:val="21"/>
            </w:rPr>
            <w:fldChar w:fldCharType="end"/>
          </w:r>
          <w:r>
            <w:rPr>
              <w:color w:val="auto"/>
              <w:sz w:val="21"/>
              <w:szCs w:val="21"/>
            </w:rPr>
            <w:fldChar w:fldCharType="end"/>
          </w:r>
        </w:p>
        <w:p w14:paraId="35DEDAC2">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_Toc23211 </w:instrText>
          </w:r>
          <w:r>
            <w:rPr>
              <w:color w:val="auto"/>
              <w:sz w:val="21"/>
              <w:szCs w:val="21"/>
            </w:rPr>
            <w:fldChar w:fldCharType="separate"/>
          </w:r>
          <w:r>
            <w:rPr>
              <w:color w:val="auto"/>
              <w:sz w:val="21"/>
              <w:szCs w:val="21"/>
              <w:highlight w:val="none"/>
            </w:rPr>
            <w:t>第三部分 专用合同条款</w:t>
          </w:r>
          <w:r>
            <w:rPr>
              <w:color w:val="auto"/>
              <w:sz w:val="21"/>
              <w:szCs w:val="21"/>
            </w:rPr>
            <w:tab/>
          </w:r>
          <w:r>
            <w:rPr>
              <w:color w:val="auto"/>
              <w:sz w:val="21"/>
              <w:szCs w:val="21"/>
            </w:rPr>
            <w:fldChar w:fldCharType="begin"/>
          </w:r>
          <w:r>
            <w:rPr>
              <w:color w:val="auto"/>
              <w:sz w:val="21"/>
              <w:szCs w:val="21"/>
            </w:rPr>
            <w:instrText xml:space="preserve"> PAGEREF _Toc23211 \h </w:instrText>
          </w:r>
          <w:r>
            <w:rPr>
              <w:color w:val="auto"/>
              <w:sz w:val="21"/>
              <w:szCs w:val="21"/>
            </w:rPr>
            <w:fldChar w:fldCharType="separate"/>
          </w:r>
          <w:r>
            <w:rPr>
              <w:color w:val="auto"/>
              <w:sz w:val="21"/>
              <w:szCs w:val="21"/>
            </w:rPr>
            <w:t>123</w:t>
          </w:r>
          <w:r>
            <w:rPr>
              <w:color w:val="auto"/>
              <w:sz w:val="21"/>
              <w:szCs w:val="21"/>
            </w:rPr>
            <w:fldChar w:fldCharType="end"/>
          </w:r>
          <w:r>
            <w:rPr>
              <w:color w:val="auto"/>
              <w:sz w:val="21"/>
              <w:szCs w:val="21"/>
            </w:rPr>
            <w:fldChar w:fldCharType="end"/>
          </w:r>
        </w:p>
        <w:p w14:paraId="3466D051">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_Toc12699 </w:instrText>
          </w:r>
          <w:r>
            <w:rPr>
              <w:color w:val="auto"/>
              <w:sz w:val="21"/>
              <w:szCs w:val="21"/>
            </w:rPr>
            <w:fldChar w:fldCharType="separate"/>
          </w:r>
          <w:r>
            <w:rPr>
              <w:rFonts w:hint="eastAsia" w:ascii="华文中宋" w:hAnsi="华文中宋" w:eastAsia="华文中宋" w:cs="华文中宋"/>
              <w:color w:val="auto"/>
              <w:sz w:val="21"/>
              <w:szCs w:val="21"/>
            </w:rPr>
            <w:t>第</w:t>
          </w:r>
          <w:r>
            <w:rPr>
              <w:rFonts w:hint="eastAsia" w:ascii="华文中宋" w:hAnsi="华文中宋" w:eastAsia="华文中宋" w:cs="华文中宋"/>
              <w:color w:val="auto"/>
              <w:sz w:val="21"/>
              <w:szCs w:val="21"/>
              <w:lang w:eastAsia="zh-CN"/>
            </w:rPr>
            <w:t>七</w:t>
          </w:r>
          <w:r>
            <w:rPr>
              <w:rFonts w:hint="eastAsia" w:ascii="华文中宋" w:hAnsi="华文中宋" w:eastAsia="华文中宋" w:cs="华文中宋"/>
              <w:color w:val="auto"/>
              <w:sz w:val="21"/>
              <w:szCs w:val="21"/>
            </w:rPr>
            <w:t xml:space="preserve">章 </w:t>
          </w:r>
          <w:r>
            <w:rPr>
              <w:rFonts w:hint="eastAsia" w:ascii="华文中宋" w:hAnsi="华文中宋" w:eastAsia="华文中宋" w:cs="华文中宋"/>
              <w:color w:val="auto"/>
              <w:sz w:val="21"/>
              <w:szCs w:val="21"/>
              <w:lang w:val="en-US" w:eastAsia="zh-CN"/>
            </w:rPr>
            <w:t xml:space="preserve"> </w:t>
          </w:r>
          <w:r>
            <w:rPr>
              <w:rFonts w:hint="eastAsia" w:ascii="华文中宋" w:hAnsi="华文中宋" w:eastAsia="华文中宋" w:cs="华文中宋"/>
              <w:color w:val="auto"/>
              <w:sz w:val="21"/>
              <w:szCs w:val="21"/>
            </w:rPr>
            <w:t>工程量清单</w:t>
          </w:r>
          <w:r>
            <w:rPr>
              <w:rFonts w:hint="eastAsia" w:ascii="华文中宋" w:hAnsi="华文中宋" w:eastAsia="华文中宋" w:cs="华文中宋"/>
              <w:color w:val="auto"/>
              <w:sz w:val="21"/>
              <w:szCs w:val="21"/>
              <w:lang w:eastAsia="zh-CN"/>
            </w:rPr>
            <w:t>、图纸</w:t>
          </w:r>
          <w:r>
            <w:rPr>
              <w:color w:val="auto"/>
              <w:sz w:val="21"/>
              <w:szCs w:val="21"/>
            </w:rPr>
            <w:tab/>
          </w:r>
          <w:r>
            <w:rPr>
              <w:color w:val="auto"/>
              <w:sz w:val="21"/>
              <w:szCs w:val="21"/>
            </w:rPr>
            <w:fldChar w:fldCharType="begin"/>
          </w:r>
          <w:r>
            <w:rPr>
              <w:color w:val="auto"/>
              <w:sz w:val="21"/>
              <w:szCs w:val="21"/>
            </w:rPr>
            <w:instrText xml:space="preserve"> PAGEREF _Toc12699 \h </w:instrText>
          </w:r>
          <w:r>
            <w:rPr>
              <w:color w:val="auto"/>
              <w:sz w:val="21"/>
              <w:szCs w:val="21"/>
            </w:rPr>
            <w:fldChar w:fldCharType="separate"/>
          </w:r>
          <w:r>
            <w:rPr>
              <w:color w:val="auto"/>
              <w:sz w:val="21"/>
              <w:szCs w:val="21"/>
            </w:rPr>
            <w:t>157</w:t>
          </w:r>
          <w:r>
            <w:rPr>
              <w:color w:val="auto"/>
              <w:sz w:val="21"/>
              <w:szCs w:val="21"/>
            </w:rPr>
            <w:fldChar w:fldCharType="end"/>
          </w:r>
          <w:r>
            <w:rPr>
              <w:color w:val="auto"/>
              <w:sz w:val="21"/>
              <w:szCs w:val="21"/>
            </w:rPr>
            <w:fldChar w:fldCharType="end"/>
          </w:r>
        </w:p>
        <w:p w14:paraId="6A66EC08">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_Toc29229 </w:instrText>
          </w:r>
          <w:r>
            <w:rPr>
              <w:color w:val="auto"/>
              <w:sz w:val="21"/>
              <w:szCs w:val="21"/>
            </w:rPr>
            <w:fldChar w:fldCharType="separate"/>
          </w:r>
          <w:r>
            <w:rPr>
              <w:color w:val="auto"/>
              <w:sz w:val="21"/>
              <w:szCs w:val="21"/>
              <w:highlight w:val="none"/>
            </w:rPr>
            <w:t xml:space="preserve">1 </w:t>
          </w:r>
          <w:r>
            <w:rPr>
              <w:rFonts w:hint="eastAsia" w:cs="黑体"/>
              <w:color w:val="auto"/>
              <w:sz w:val="21"/>
              <w:szCs w:val="21"/>
              <w:highlight w:val="none"/>
            </w:rPr>
            <w:t>工程量清单编制说明</w:t>
          </w:r>
          <w:r>
            <w:rPr>
              <w:color w:val="auto"/>
              <w:sz w:val="21"/>
              <w:szCs w:val="21"/>
            </w:rPr>
            <w:tab/>
          </w:r>
          <w:r>
            <w:rPr>
              <w:color w:val="auto"/>
              <w:sz w:val="21"/>
              <w:szCs w:val="21"/>
            </w:rPr>
            <w:fldChar w:fldCharType="begin"/>
          </w:r>
          <w:r>
            <w:rPr>
              <w:color w:val="auto"/>
              <w:sz w:val="21"/>
              <w:szCs w:val="21"/>
            </w:rPr>
            <w:instrText xml:space="preserve"> PAGEREF _Toc29229 \h </w:instrText>
          </w:r>
          <w:r>
            <w:rPr>
              <w:color w:val="auto"/>
              <w:sz w:val="21"/>
              <w:szCs w:val="21"/>
            </w:rPr>
            <w:fldChar w:fldCharType="separate"/>
          </w:r>
          <w:r>
            <w:rPr>
              <w:color w:val="auto"/>
              <w:sz w:val="21"/>
              <w:szCs w:val="21"/>
            </w:rPr>
            <w:t>157</w:t>
          </w:r>
          <w:r>
            <w:rPr>
              <w:color w:val="auto"/>
              <w:sz w:val="21"/>
              <w:szCs w:val="21"/>
            </w:rPr>
            <w:fldChar w:fldCharType="end"/>
          </w:r>
          <w:r>
            <w:rPr>
              <w:color w:val="auto"/>
              <w:sz w:val="21"/>
              <w:szCs w:val="21"/>
            </w:rPr>
            <w:fldChar w:fldCharType="end"/>
          </w:r>
        </w:p>
        <w:p w14:paraId="0F348445">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_Toc11060 </w:instrText>
          </w:r>
          <w:r>
            <w:rPr>
              <w:color w:val="auto"/>
              <w:sz w:val="21"/>
              <w:szCs w:val="21"/>
            </w:rPr>
            <w:fldChar w:fldCharType="separate"/>
          </w:r>
          <w:r>
            <w:rPr>
              <w:color w:val="auto"/>
              <w:sz w:val="21"/>
              <w:szCs w:val="21"/>
              <w:highlight w:val="none"/>
            </w:rPr>
            <w:t xml:space="preserve">2 </w:t>
          </w:r>
          <w:r>
            <w:rPr>
              <w:rFonts w:hint="eastAsia" w:cs="黑体"/>
              <w:color w:val="auto"/>
              <w:sz w:val="21"/>
              <w:szCs w:val="21"/>
              <w:highlight w:val="none"/>
            </w:rPr>
            <w:t>招标控制价编制说明</w:t>
          </w:r>
          <w:r>
            <w:rPr>
              <w:color w:val="auto"/>
              <w:sz w:val="21"/>
              <w:szCs w:val="21"/>
            </w:rPr>
            <w:tab/>
          </w:r>
          <w:r>
            <w:rPr>
              <w:color w:val="auto"/>
              <w:sz w:val="21"/>
              <w:szCs w:val="21"/>
            </w:rPr>
            <w:fldChar w:fldCharType="begin"/>
          </w:r>
          <w:r>
            <w:rPr>
              <w:color w:val="auto"/>
              <w:sz w:val="21"/>
              <w:szCs w:val="21"/>
            </w:rPr>
            <w:instrText xml:space="preserve"> PAGEREF _Toc11060 \h </w:instrText>
          </w:r>
          <w:r>
            <w:rPr>
              <w:color w:val="auto"/>
              <w:sz w:val="21"/>
              <w:szCs w:val="21"/>
            </w:rPr>
            <w:fldChar w:fldCharType="separate"/>
          </w:r>
          <w:r>
            <w:rPr>
              <w:color w:val="auto"/>
              <w:sz w:val="21"/>
              <w:szCs w:val="21"/>
            </w:rPr>
            <w:t>157</w:t>
          </w:r>
          <w:r>
            <w:rPr>
              <w:color w:val="auto"/>
              <w:sz w:val="21"/>
              <w:szCs w:val="21"/>
            </w:rPr>
            <w:fldChar w:fldCharType="end"/>
          </w:r>
          <w:r>
            <w:rPr>
              <w:color w:val="auto"/>
              <w:sz w:val="21"/>
              <w:szCs w:val="21"/>
            </w:rPr>
            <w:fldChar w:fldCharType="end"/>
          </w:r>
        </w:p>
        <w:p w14:paraId="7DA3B82C">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_Toc23388 </w:instrText>
          </w:r>
          <w:r>
            <w:rPr>
              <w:color w:val="auto"/>
              <w:sz w:val="21"/>
              <w:szCs w:val="21"/>
            </w:rPr>
            <w:fldChar w:fldCharType="separate"/>
          </w:r>
          <w:r>
            <w:rPr>
              <w:rFonts w:ascii="Times New Roman" w:hAnsi="Times New Roman"/>
              <w:color w:val="auto"/>
              <w:sz w:val="21"/>
              <w:szCs w:val="21"/>
              <w:highlight w:val="none"/>
            </w:rPr>
            <w:t xml:space="preserve">3 </w:t>
          </w:r>
          <w:r>
            <w:rPr>
              <w:rFonts w:hint="eastAsia" w:ascii="Times New Roman" w:hAnsi="Times New Roman"/>
              <w:color w:val="auto"/>
              <w:sz w:val="21"/>
              <w:szCs w:val="21"/>
              <w:highlight w:val="none"/>
              <w:lang w:eastAsia="zh-CN"/>
            </w:rPr>
            <w:t>响应</w:t>
          </w:r>
          <w:r>
            <w:rPr>
              <w:rFonts w:ascii="Times New Roman" w:hAnsi="Times New Roman"/>
              <w:color w:val="auto"/>
              <w:sz w:val="21"/>
              <w:szCs w:val="21"/>
              <w:highlight w:val="none"/>
            </w:rPr>
            <w:t>报价（已标价工程量清单）编制说明</w:t>
          </w:r>
          <w:r>
            <w:rPr>
              <w:color w:val="auto"/>
              <w:sz w:val="21"/>
              <w:szCs w:val="21"/>
            </w:rPr>
            <w:tab/>
          </w:r>
          <w:r>
            <w:rPr>
              <w:color w:val="auto"/>
              <w:sz w:val="21"/>
              <w:szCs w:val="21"/>
            </w:rPr>
            <w:fldChar w:fldCharType="begin"/>
          </w:r>
          <w:r>
            <w:rPr>
              <w:color w:val="auto"/>
              <w:sz w:val="21"/>
              <w:szCs w:val="21"/>
            </w:rPr>
            <w:instrText xml:space="preserve"> PAGEREF _Toc23388 \h </w:instrText>
          </w:r>
          <w:r>
            <w:rPr>
              <w:color w:val="auto"/>
              <w:sz w:val="21"/>
              <w:szCs w:val="21"/>
            </w:rPr>
            <w:fldChar w:fldCharType="separate"/>
          </w:r>
          <w:r>
            <w:rPr>
              <w:color w:val="auto"/>
              <w:sz w:val="21"/>
              <w:szCs w:val="21"/>
            </w:rPr>
            <w:t>158</w:t>
          </w:r>
          <w:r>
            <w:rPr>
              <w:color w:val="auto"/>
              <w:sz w:val="21"/>
              <w:szCs w:val="21"/>
            </w:rPr>
            <w:fldChar w:fldCharType="end"/>
          </w:r>
          <w:r>
            <w:rPr>
              <w:color w:val="auto"/>
              <w:sz w:val="21"/>
              <w:szCs w:val="21"/>
            </w:rPr>
            <w:fldChar w:fldCharType="end"/>
          </w:r>
        </w:p>
        <w:p w14:paraId="27526F61">
          <w:pPr>
            <w:pStyle w:val="25"/>
            <w:keepNext w:val="0"/>
            <w:keepLines w:val="0"/>
            <w:pageBreakBefore w:val="0"/>
            <w:widowControl w:val="0"/>
            <w:tabs>
              <w:tab w:val="right" w:leader="dot" w:pos="9751"/>
              <w:tab w:val="clear" w:pos="8296"/>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_Toc5855 </w:instrText>
          </w:r>
          <w:r>
            <w:rPr>
              <w:color w:val="auto"/>
              <w:sz w:val="21"/>
              <w:szCs w:val="21"/>
            </w:rPr>
            <w:fldChar w:fldCharType="separate"/>
          </w:r>
          <w:r>
            <w:rPr>
              <w:rFonts w:hint="eastAsia" w:ascii="Times New Roman" w:hAnsi="Times New Roman"/>
              <w:color w:val="auto"/>
              <w:sz w:val="21"/>
              <w:szCs w:val="21"/>
              <w:highlight w:val="none"/>
              <w:lang w:val="en-US" w:eastAsia="zh-CN"/>
            </w:rPr>
            <w:t>4工程量清单、图纸获取</w:t>
          </w:r>
          <w:r>
            <w:rPr>
              <w:color w:val="auto"/>
              <w:sz w:val="21"/>
              <w:szCs w:val="21"/>
            </w:rPr>
            <w:tab/>
          </w:r>
          <w:r>
            <w:rPr>
              <w:color w:val="auto"/>
              <w:sz w:val="21"/>
              <w:szCs w:val="21"/>
            </w:rPr>
            <w:fldChar w:fldCharType="begin"/>
          </w:r>
          <w:r>
            <w:rPr>
              <w:color w:val="auto"/>
              <w:sz w:val="21"/>
              <w:szCs w:val="21"/>
            </w:rPr>
            <w:instrText xml:space="preserve"> PAGEREF _Toc5855 \h </w:instrText>
          </w:r>
          <w:r>
            <w:rPr>
              <w:color w:val="auto"/>
              <w:sz w:val="21"/>
              <w:szCs w:val="21"/>
            </w:rPr>
            <w:fldChar w:fldCharType="separate"/>
          </w:r>
          <w:r>
            <w:rPr>
              <w:color w:val="auto"/>
              <w:sz w:val="21"/>
              <w:szCs w:val="21"/>
            </w:rPr>
            <w:t>159</w:t>
          </w:r>
          <w:r>
            <w:rPr>
              <w:color w:val="auto"/>
              <w:sz w:val="21"/>
              <w:szCs w:val="21"/>
            </w:rPr>
            <w:fldChar w:fldCharType="end"/>
          </w:r>
          <w:r>
            <w:rPr>
              <w:color w:val="auto"/>
              <w:sz w:val="21"/>
              <w:szCs w:val="21"/>
            </w:rPr>
            <w:fldChar w:fldCharType="end"/>
          </w:r>
        </w:p>
        <w:p w14:paraId="5800F5DF">
          <w:pPr>
            <w:pStyle w:val="23"/>
            <w:keepNext w:val="0"/>
            <w:keepLines w:val="0"/>
            <w:pageBreakBefore w:val="0"/>
            <w:widowControl w:val="0"/>
            <w:tabs>
              <w:tab w:val="right" w:leader="dot" w:pos="9751"/>
            </w:tabs>
            <w:kinsoku/>
            <w:wordWrap/>
            <w:overflowPunct/>
            <w:topLinePunct w:val="0"/>
            <w:autoSpaceDE/>
            <w:autoSpaceDN/>
            <w:bidi w:val="0"/>
            <w:adjustRightInd/>
            <w:snapToGrid/>
            <w:spacing w:line="380" w:lineRule="exact"/>
            <w:textAlignment w:val="auto"/>
            <w:rPr>
              <w:color w:val="auto"/>
              <w:sz w:val="21"/>
              <w:szCs w:val="21"/>
            </w:rPr>
          </w:pPr>
          <w:r>
            <w:rPr>
              <w:color w:val="auto"/>
              <w:sz w:val="21"/>
              <w:szCs w:val="21"/>
            </w:rPr>
            <w:fldChar w:fldCharType="begin"/>
          </w:r>
          <w:r>
            <w:rPr>
              <w:color w:val="auto"/>
              <w:sz w:val="21"/>
              <w:szCs w:val="21"/>
            </w:rPr>
            <w:instrText xml:space="preserve"> HYPERLINK \l _Toc10062 </w:instrText>
          </w:r>
          <w:r>
            <w:rPr>
              <w:color w:val="auto"/>
              <w:sz w:val="21"/>
              <w:szCs w:val="21"/>
            </w:rPr>
            <w:fldChar w:fldCharType="separate"/>
          </w:r>
          <w:r>
            <w:rPr>
              <w:rFonts w:hint="eastAsia" w:ascii="华文中宋" w:hAnsi="华文中宋" w:eastAsia="华文中宋" w:cs="华文中宋"/>
              <w:color w:val="auto"/>
              <w:sz w:val="21"/>
              <w:szCs w:val="21"/>
            </w:rPr>
            <w:t>第八章 质疑、投诉材料格式</w:t>
          </w:r>
          <w:r>
            <w:rPr>
              <w:color w:val="auto"/>
              <w:sz w:val="21"/>
              <w:szCs w:val="21"/>
            </w:rPr>
            <w:tab/>
          </w:r>
          <w:r>
            <w:rPr>
              <w:color w:val="auto"/>
              <w:sz w:val="21"/>
              <w:szCs w:val="21"/>
            </w:rPr>
            <w:fldChar w:fldCharType="begin"/>
          </w:r>
          <w:r>
            <w:rPr>
              <w:color w:val="auto"/>
              <w:sz w:val="21"/>
              <w:szCs w:val="21"/>
            </w:rPr>
            <w:instrText xml:space="preserve"> PAGEREF _Toc10062 \h </w:instrText>
          </w:r>
          <w:r>
            <w:rPr>
              <w:color w:val="auto"/>
              <w:sz w:val="21"/>
              <w:szCs w:val="21"/>
            </w:rPr>
            <w:fldChar w:fldCharType="separate"/>
          </w:r>
          <w:r>
            <w:rPr>
              <w:color w:val="auto"/>
              <w:sz w:val="21"/>
              <w:szCs w:val="21"/>
            </w:rPr>
            <w:t>160</w:t>
          </w:r>
          <w:r>
            <w:rPr>
              <w:color w:val="auto"/>
              <w:sz w:val="21"/>
              <w:szCs w:val="21"/>
            </w:rPr>
            <w:fldChar w:fldCharType="end"/>
          </w:r>
          <w:r>
            <w:rPr>
              <w:color w:val="auto"/>
              <w:sz w:val="21"/>
              <w:szCs w:val="21"/>
            </w:rPr>
            <w:fldChar w:fldCharType="end"/>
          </w:r>
        </w:p>
        <w:p w14:paraId="33CE8B9B">
          <w:pPr>
            <w:keepNext w:val="0"/>
            <w:keepLines w:val="0"/>
            <w:pageBreakBefore w:val="0"/>
            <w:widowControl w:val="0"/>
            <w:kinsoku/>
            <w:wordWrap/>
            <w:overflowPunct/>
            <w:topLinePunct w:val="0"/>
            <w:autoSpaceDE/>
            <w:autoSpaceDN/>
            <w:bidi w:val="0"/>
            <w:adjustRightInd/>
            <w:snapToGrid/>
            <w:spacing w:line="380" w:lineRule="exact"/>
            <w:textAlignment w:val="auto"/>
            <w:rPr>
              <w:rFonts w:ascii="Times New Roman" w:hAnsi="Times New Roman" w:eastAsia="宋体" w:cs="Times New Roman"/>
              <w:color w:val="auto"/>
              <w:kern w:val="2"/>
              <w:sz w:val="21"/>
              <w:szCs w:val="24"/>
              <w:lang w:val="en-US" w:eastAsia="zh-CN" w:bidi="ar-SA"/>
            </w:rPr>
          </w:pPr>
          <w:r>
            <w:rPr>
              <w:color w:val="auto"/>
              <w:sz w:val="21"/>
              <w:szCs w:val="21"/>
            </w:rPr>
            <w:fldChar w:fldCharType="end"/>
          </w:r>
        </w:p>
      </w:sdtContent>
    </w:sdt>
    <w:p w14:paraId="5252B45F">
      <w:pPr>
        <w:pStyle w:val="25"/>
        <w:spacing w:line="360" w:lineRule="auto"/>
        <w:rPr>
          <w:rFonts w:hint="eastAsia"/>
          <w:b/>
          <w:color w:val="auto"/>
          <w:sz w:val="32"/>
          <w:szCs w:val="32"/>
          <w:highlight w:val="none"/>
        </w:rPr>
      </w:pPr>
      <w:r>
        <w:rPr>
          <w:rFonts w:hint="eastAsia" w:ascii="宋体" w:hAnsi="宋体" w:eastAsia="宋体" w:cs="宋体"/>
          <w:bCs/>
          <w:color w:val="auto"/>
          <w:szCs w:val="24"/>
          <w:highlight w:val="none"/>
        </w:rPr>
        <w:fldChar w:fldCharType="end"/>
      </w:r>
    </w:p>
    <w:p w14:paraId="07142873">
      <w:pPr>
        <w:pageBreakBefore w:val="0"/>
        <w:kinsoku/>
        <w:wordWrap/>
        <w:overflowPunct/>
        <w:topLinePunct w:val="0"/>
        <w:autoSpaceDE/>
        <w:autoSpaceDN/>
        <w:bidi w:val="0"/>
        <w:adjustRightInd/>
        <w:spacing w:line="360" w:lineRule="auto"/>
        <w:textAlignment w:val="auto"/>
        <w:rPr>
          <w:rFonts w:hint="eastAsia"/>
          <w:b/>
          <w:color w:val="auto"/>
          <w:sz w:val="32"/>
          <w:szCs w:val="32"/>
          <w:highlight w:val="none"/>
        </w:rPr>
        <w:sectPr>
          <w:headerReference r:id="rId9" w:type="first"/>
          <w:footerReference r:id="rId11" w:type="first"/>
          <w:headerReference r:id="rId8" w:type="default"/>
          <w:footerReference r:id="rId10" w:type="default"/>
          <w:pgSz w:w="11911" w:h="16838"/>
          <w:pgMar w:top="1440" w:right="1080" w:bottom="1440" w:left="1080" w:header="720" w:footer="720" w:gutter="0"/>
          <w:pgNumType w:fmt="upperRoman" w:start="1"/>
          <w:cols w:space="720" w:num="1"/>
          <w:docGrid w:linePitch="312" w:charSpace="0"/>
        </w:sectPr>
      </w:pPr>
    </w:p>
    <w:p w14:paraId="53353909">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华文中宋" w:hAnsi="华文中宋" w:eastAsia="华文中宋" w:cs="华文中宋"/>
          <w:color w:val="auto"/>
          <w:sz w:val="32"/>
          <w:szCs w:val="32"/>
        </w:rPr>
      </w:pPr>
      <w:bookmarkStart w:id="2" w:name="_Toc27000"/>
      <w:bookmarkStart w:id="3" w:name="_Toc12242"/>
      <w:bookmarkStart w:id="4" w:name="_Toc1062"/>
      <w:bookmarkStart w:id="5" w:name="_Toc15624"/>
      <w:bookmarkStart w:id="6" w:name="_Toc22943"/>
      <w:bookmarkStart w:id="7" w:name="_Toc80886925"/>
      <w:bookmarkStart w:id="8" w:name="_Toc13116"/>
      <w:bookmarkStart w:id="9" w:name="_Toc29804"/>
      <w:bookmarkStart w:id="10" w:name="_Toc11382"/>
      <w:bookmarkStart w:id="11" w:name="_Toc11989"/>
      <w:r>
        <w:rPr>
          <w:rFonts w:hint="eastAsia" w:ascii="华文中宋" w:hAnsi="华文中宋" w:eastAsia="华文中宋" w:cs="华文中宋"/>
          <w:color w:val="auto"/>
          <w:sz w:val="32"/>
          <w:szCs w:val="32"/>
        </w:rPr>
        <w:t xml:space="preserve">第一章 </w:t>
      </w:r>
      <w:r>
        <w:rPr>
          <w:rFonts w:hint="eastAsia" w:ascii="华文中宋" w:hAnsi="华文中宋" w:eastAsia="华文中宋" w:cs="华文中宋"/>
          <w:color w:val="auto"/>
          <w:sz w:val="32"/>
          <w:szCs w:val="32"/>
          <w:lang w:val="en-US" w:eastAsia="zh-CN"/>
        </w:rPr>
        <w:t xml:space="preserve"> </w:t>
      </w:r>
      <w:r>
        <w:rPr>
          <w:rFonts w:hint="eastAsia" w:ascii="华文中宋" w:hAnsi="华文中宋" w:eastAsia="华文中宋" w:cs="华文中宋"/>
          <w:color w:val="auto"/>
          <w:sz w:val="32"/>
          <w:szCs w:val="32"/>
        </w:rPr>
        <w:t>竞争性磋商公告</w:t>
      </w:r>
      <w:bookmarkEnd w:id="2"/>
      <w:bookmarkEnd w:id="3"/>
      <w:bookmarkEnd w:id="4"/>
      <w:bookmarkEnd w:id="5"/>
      <w:bookmarkEnd w:id="6"/>
      <w:bookmarkEnd w:id="7"/>
      <w:bookmarkEnd w:id="8"/>
      <w:bookmarkEnd w:id="9"/>
      <w:bookmarkEnd w:id="10"/>
      <w:bookmarkEnd w:id="11"/>
      <w:bookmarkStart w:id="12" w:name="_Toc28359012"/>
      <w:bookmarkStart w:id="13" w:name="_Toc28359089"/>
      <w:bookmarkStart w:id="14" w:name="_Toc35393629"/>
      <w:bookmarkStart w:id="15" w:name="_Toc44229878"/>
      <w:bookmarkStart w:id="16" w:name="_Toc35393798"/>
      <w:bookmarkStart w:id="17" w:name="_Toc28359081"/>
      <w:bookmarkStart w:id="18" w:name="_Toc28359004"/>
      <w:bookmarkStart w:id="19" w:name="_Toc35393623"/>
      <w:bookmarkStart w:id="20" w:name="_Toc35393792"/>
    </w:p>
    <w:tbl>
      <w:tblPr>
        <w:tblStyle w:val="28"/>
        <w:tblW w:w="98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59"/>
      </w:tblGrid>
      <w:tr w14:paraId="32E40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59" w:type="dxa"/>
            <w:noWrap w:val="0"/>
            <w:vAlign w:val="top"/>
          </w:tcPr>
          <w:p w14:paraId="2BA49F28">
            <w:pPr>
              <w:pageBreakBefore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项目概况</w:t>
            </w:r>
          </w:p>
          <w:p w14:paraId="7777A0FB">
            <w:pPr>
              <w:pageBreakBefore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s="宋体"/>
                <w:bCs/>
                <w:color w:val="auto"/>
                <w:sz w:val="24"/>
                <w:highlight w:val="none"/>
              </w:rPr>
            </w:pPr>
            <w:r>
              <w:rPr>
                <w:rFonts w:hint="default" w:ascii="宋体" w:hAnsi="宋体" w:cs="宋体"/>
                <w:color w:val="auto"/>
                <w:szCs w:val="21"/>
                <w:highlight w:val="none"/>
                <w:u w:val="single"/>
                <w:lang w:val="en-US"/>
              </w:rPr>
              <w:t>桂林航天工业学院新校区扩建项目科技活动中心附属工程</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rPr>
              <w:t>采购项目的潜在供应商应在</w:t>
            </w: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u w:val="single"/>
              </w:rPr>
              <w:t>广西政府采购云平台（https://www.gcy.zfcg.gxzf.gov.cn/）</w:t>
            </w:r>
            <w:r>
              <w:rPr>
                <w:rFonts w:hint="eastAsia" w:ascii="宋体" w:hAnsi="宋体" w:eastAsia="宋体" w:cs="宋体"/>
                <w:color w:val="auto"/>
                <w:szCs w:val="21"/>
                <w:highlight w:val="none"/>
                <w:u w:val="single"/>
                <w:lang w:val="en-US" w:eastAsia="zh-CN"/>
              </w:rPr>
              <w:t xml:space="preserve"> </w:t>
            </w:r>
            <w:r>
              <w:rPr>
                <w:rStyle w:val="35"/>
                <w:rFonts w:hint="eastAsia" w:ascii="宋体" w:hAnsi="宋体" w:eastAsia="宋体" w:cs="宋体"/>
                <w:color w:val="auto"/>
                <w:szCs w:val="21"/>
                <w:highlight w:val="none"/>
                <w:u w:val="none"/>
              </w:rPr>
              <w:t>获取</w:t>
            </w:r>
            <w:r>
              <w:rPr>
                <w:rStyle w:val="35"/>
                <w:rFonts w:hint="eastAsia" w:ascii="宋体" w:hAnsi="宋体" w:eastAsia="宋体" w:cs="宋体"/>
                <w:color w:val="auto"/>
                <w:szCs w:val="21"/>
                <w:highlight w:val="none"/>
                <w:u w:val="none"/>
                <w:lang w:eastAsia="zh-CN"/>
              </w:rPr>
              <w:t>采购</w:t>
            </w:r>
            <w:r>
              <w:rPr>
                <w:rStyle w:val="35"/>
                <w:rFonts w:hint="eastAsia" w:ascii="宋体" w:hAnsi="宋体" w:eastAsia="宋体" w:cs="宋体"/>
                <w:color w:val="auto"/>
                <w:szCs w:val="21"/>
                <w:highlight w:val="none"/>
                <w:u w:val="none"/>
              </w:rPr>
              <w:t>文件</w:t>
            </w:r>
            <w:r>
              <w:rPr>
                <w:rFonts w:hint="eastAsia" w:ascii="宋体" w:hAnsi="宋体" w:eastAsia="宋体" w:cs="宋体"/>
                <w:color w:val="auto"/>
                <w:szCs w:val="21"/>
                <w:highlight w:val="none"/>
              </w:rPr>
              <w:t>，并于</w:t>
            </w:r>
            <w:r>
              <w:rPr>
                <w:rFonts w:hint="eastAsia" w:cs="宋体"/>
                <w:bCs/>
                <w:color w:val="auto"/>
                <w:kern w:val="0"/>
                <w:sz w:val="21"/>
                <w:szCs w:val="21"/>
                <w:highlight w:val="none"/>
                <w:u w:val="single"/>
                <w:lang w:eastAsia="zh-CN"/>
              </w:rPr>
              <w:t>2025年12月19日</w:t>
            </w:r>
            <w:r>
              <w:rPr>
                <w:rFonts w:hint="eastAsia" w:ascii="宋体" w:hAnsi="宋体" w:eastAsia="宋体" w:cs="宋体"/>
                <w:color w:val="auto"/>
                <w:szCs w:val="21"/>
                <w:highlight w:val="none"/>
                <w:lang w:val="en-US" w:eastAsia="zh-CN"/>
              </w:rPr>
              <w:t>09</w:t>
            </w:r>
            <w:r>
              <w:rPr>
                <w:rFonts w:hint="eastAsia" w:ascii="宋体" w:hAnsi="宋体" w:eastAsia="宋体" w:cs="宋体"/>
                <w:color w:val="auto"/>
                <w:szCs w:val="21"/>
                <w:highlight w:val="none"/>
              </w:rPr>
              <w:t>点</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0分（北京时间）前提交响应文件。</w:t>
            </w:r>
          </w:p>
        </w:tc>
      </w:tr>
    </w:tbl>
    <w:p w14:paraId="11A4B0F7">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bCs/>
          <w:color w:val="auto"/>
          <w:sz w:val="21"/>
          <w:szCs w:val="21"/>
          <w:highlight w:val="none"/>
        </w:rPr>
        <w:t>一、项目基本情况</w:t>
      </w:r>
      <w:bookmarkEnd w:id="12"/>
      <w:bookmarkEnd w:id="13"/>
      <w:bookmarkEnd w:id="14"/>
      <w:bookmarkEnd w:id="15"/>
      <w:bookmarkEnd w:id="16"/>
    </w:p>
    <w:p w14:paraId="282523D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eastAsia="宋体" w:cs="宋体"/>
          <w:color w:val="auto"/>
          <w:sz w:val="21"/>
          <w:szCs w:val="21"/>
          <w:highlight w:val="none"/>
          <w:u w:val="none"/>
          <w:lang w:val="en-US" w:eastAsia="zh-CN"/>
        </w:rPr>
      </w:pPr>
      <w:bookmarkStart w:id="21" w:name="OLE_LINK23"/>
      <w:bookmarkStart w:id="22" w:name="_Toc35393630"/>
      <w:bookmarkStart w:id="23" w:name="_Toc44229879"/>
      <w:bookmarkStart w:id="24" w:name="_Toc28359090"/>
      <w:bookmarkStart w:id="25" w:name="_Toc35393799"/>
      <w:bookmarkStart w:id="26" w:name="_Toc28359013"/>
      <w:r>
        <w:rPr>
          <w:rFonts w:hint="eastAsia" w:ascii="Times New Roman" w:hAnsi="Times New Roman" w:cs="宋体"/>
          <w:color w:val="auto"/>
          <w:sz w:val="21"/>
          <w:szCs w:val="21"/>
          <w:highlight w:val="none"/>
          <w:lang w:eastAsia="zh-CN"/>
        </w:rPr>
        <w:t>采购计划编号：</w:t>
      </w:r>
      <w:r>
        <w:rPr>
          <w:rFonts w:hint="eastAsia" w:ascii="Times New Roman" w:hAnsi="Times New Roman" w:cs="宋体"/>
          <w:color w:val="auto"/>
          <w:sz w:val="21"/>
          <w:szCs w:val="21"/>
          <w:highlight w:val="none"/>
          <w:lang w:eastAsia="zh-CN"/>
        </w:rPr>
        <w:fldChar w:fldCharType="begin"/>
      </w:r>
      <w:r>
        <w:rPr>
          <w:rFonts w:hint="eastAsia" w:ascii="Times New Roman" w:hAnsi="Times New Roman" w:cs="宋体"/>
          <w:color w:val="auto"/>
          <w:sz w:val="21"/>
          <w:szCs w:val="21"/>
          <w:highlight w:val="none"/>
          <w:lang w:eastAsia="zh-CN"/>
        </w:rPr>
        <w:instrText xml:space="preserve"> HYPERLINK "https://pay.gcy.zfcg.gxzf.gov.cn/purchaseplan_front/" \l "/plan/list/view?id=1000000000025921780&amp;_app_=zcy.procurement" \t "https://www.gcy.zfcg.gxzf.gov.cn/project-center/_procurement_/purchasePlans/_blank" </w:instrText>
      </w:r>
      <w:r>
        <w:rPr>
          <w:rFonts w:hint="eastAsia" w:ascii="Times New Roman" w:hAnsi="Times New Roman" w:cs="宋体"/>
          <w:color w:val="auto"/>
          <w:sz w:val="21"/>
          <w:szCs w:val="21"/>
          <w:highlight w:val="none"/>
          <w:lang w:eastAsia="zh-CN"/>
        </w:rPr>
        <w:fldChar w:fldCharType="separate"/>
      </w:r>
      <w:r>
        <w:rPr>
          <w:rFonts w:hint="eastAsia" w:ascii="Times New Roman" w:hAnsi="Times New Roman" w:cs="宋体"/>
          <w:color w:val="auto"/>
          <w:sz w:val="21"/>
          <w:szCs w:val="21"/>
          <w:highlight w:val="none"/>
          <w:lang w:eastAsia="zh-CN"/>
        </w:rPr>
        <w:t>广西政采[2025]24017号</w:t>
      </w:r>
      <w:r>
        <w:rPr>
          <w:rFonts w:hint="eastAsia" w:ascii="Times New Roman" w:hAnsi="Times New Roman" w:cs="宋体"/>
          <w:color w:val="auto"/>
          <w:sz w:val="21"/>
          <w:szCs w:val="21"/>
          <w:highlight w:val="none"/>
          <w:lang w:eastAsia="zh-CN"/>
        </w:rPr>
        <w:fldChar w:fldCharType="end"/>
      </w:r>
    </w:p>
    <w:p w14:paraId="137A855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项目编号：</w:t>
      </w:r>
      <w:bookmarkEnd w:id="21"/>
      <w:r>
        <w:rPr>
          <w:rFonts w:hint="eastAsia" w:cs="宋体"/>
          <w:color w:val="auto"/>
          <w:sz w:val="21"/>
          <w:szCs w:val="21"/>
          <w:highlight w:val="none"/>
          <w:lang w:val="en-US" w:eastAsia="zh-CN"/>
        </w:rPr>
        <w:t>GXZC2025-C2-003808-GXKL</w:t>
      </w:r>
    </w:p>
    <w:p w14:paraId="3CB3B47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eastAsia="宋体" w:cs="宋体"/>
          <w:color w:val="auto"/>
          <w:sz w:val="21"/>
          <w:szCs w:val="21"/>
          <w:highlight w:val="none"/>
          <w:u w:val="single"/>
          <w:lang w:val="en-US"/>
        </w:rPr>
      </w:pPr>
      <w:r>
        <w:rPr>
          <w:rFonts w:hint="eastAsia" w:ascii="Times New Roman" w:hAnsi="Times New Roman" w:eastAsia="宋体" w:cs="宋体"/>
          <w:color w:val="auto"/>
          <w:sz w:val="21"/>
          <w:szCs w:val="21"/>
          <w:highlight w:val="none"/>
        </w:rPr>
        <w:t>项目名称：</w:t>
      </w:r>
      <w:r>
        <w:rPr>
          <w:rFonts w:hint="default" w:ascii="Times New Roman" w:hAnsi="Times New Roman" w:cs="宋体"/>
          <w:color w:val="auto"/>
          <w:sz w:val="21"/>
          <w:szCs w:val="21"/>
          <w:highlight w:val="none"/>
          <w:lang w:val="en-US"/>
        </w:rPr>
        <w:t>桂林航天工业学院新校区扩建项目科技活动中心附属工程</w:t>
      </w:r>
    </w:p>
    <w:p w14:paraId="756DA11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采购方式：竞争性磋商</w:t>
      </w:r>
    </w:p>
    <w:p w14:paraId="224D857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预算总金额：</w:t>
      </w:r>
      <w:r>
        <w:rPr>
          <w:rFonts w:hint="default" w:ascii="Times New Roman" w:hAnsi="Times New Roman" w:cs="宋体"/>
          <w:color w:val="auto"/>
          <w:sz w:val="21"/>
          <w:szCs w:val="21"/>
          <w:highlight w:val="none"/>
          <w:lang w:val="en-US"/>
        </w:rPr>
        <w:t>（大写）</w:t>
      </w:r>
      <w:r>
        <w:rPr>
          <w:rFonts w:hint="default" w:ascii="Times New Roman" w:hAnsi="Times New Roman" w:cs="宋体"/>
          <w:color w:val="auto"/>
          <w:sz w:val="21"/>
          <w:szCs w:val="21"/>
          <w:highlight w:val="none"/>
          <w:u w:val="single"/>
          <w:lang w:val="en-US"/>
        </w:rPr>
        <w:t>人民币壹佰捌拾肆万肆仟肆佰壹拾叁元柒角肆分</w:t>
      </w:r>
      <w:r>
        <w:rPr>
          <w:rFonts w:hint="default" w:ascii="Times New Roman" w:hAnsi="Times New Roman" w:cs="宋体"/>
          <w:color w:val="auto"/>
          <w:sz w:val="21"/>
          <w:szCs w:val="21"/>
          <w:highlight w:val="none"/>
          <w:lang w:val="en-US"/>
        </w:rPr>
        <w:t>（小写）¥</w:t>
      </w:r>
      <w:r>
        <w:rPr>
          <w:rFonts w:hint="default" w:ascii="Times New Roman" w:hAnsi="Times New Roman" w:cs="宋体"/>
          <w:color w:val="auto"/>
          <w:sz w:val="21"/>
          <w:szCs w:val="21"/>
          <w:highlight w:val="none"/>
          <w:u w:val="single"/>
          <w:lang w:val="en-US"/>
        </w:rPr>
        <w:t>1844413.74</w:t>
      </w:r>
      <w:r>
        <w:rPr>
          <w:rFonts w:hint="eastAsia" w:ascii="Times New Roman" w:hAnsi="Times New Roman" w:cs="宋体"/>
          <w:color w:val="auto"/>
          <w:sz w:val="21"/>
          <w:szCs w:val="21"/>
          <w:highlight w:val="none"/>
          <w:u w:val="none"/>
          <w:lang w:val="en-US" w:eastAsia="zh-CN"/>
        </w:rPr>
        <w:t>。</w:t>
      </w:r>
    </w:p>
    <w:p w14:paraId="206A34B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采购需求：</w:t>
      </w:r>
    </w:p>
    <w:p w14:paraId="6B885034">
      <w:pPr>
        <w:keepNext w:val="0"/>
        <w:keepLines w:val="0"/>
        <w:pageBreakBefore w:val="0"/>
        <w:widowControl w:val="0"/>
        <w:kinsoku/>
        <w:wordWrap/>
        <w:overflowPunct/>
        <w:topLinePunct w:val="0"/>
        <w:autoSpaceDE/>
        <w:autoSpaceDN/>
        <w:bidi w:val="0"/>
        <w:adjustRightInd/>
        <w:snapToGrid/>
        <w:spacing w:line="360" w:lineRule="auto"/>
        <w:ind w:firstLine="630" w:firstLineChars="300"/>
        <w:textAlignment w:val="auto"/>
        <w:rPr>
          <w:rFonts w:hint="default"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标</w:t>
      </w:r>
      <w:r>
        <w:rPr>
          <w:rFonts w:hint="eastAsia" w:ascii="Times New Roman" w:hAnsi="Times New Roman" w:cs="宋体"/>
          <w:color w:val="auto"/>
          <w:sz w:val="21"/>
          <w:szCs w:val="21"/>
          <w:highlight w:val="none"/>
          <w:lang w:eastAsia="zh-CN"/>
        </w:rPr>
        <w:t>的</w:t>
      </w:r>
      <w:r>
        <w:rPr>
          <w:rFonts w:hint="eastAsia" w:ascii="Times New Roman" w:hAnsi="Times New Roman" w:eastAsia="宋体" w:cs="宋体"/>
          <w:color w:val="auto"/>
          <w:sz w:val="21"/>
          <w:szCs w:val="21"/>
          <w:highlight w:val="none"/>
        </w:rPr>
        <w:t>名称：</w:t>
      </w:r>
      <w:r>
        <w:rPr>
          <w:rFonts w:hint="default" w:ascii="Times New Roman" w:hAnsi="Times New Roman" w:cs="宋体"/>
          <w:color w:val="auto"/>
          <w:sz w:val="21"/>
          <w:szCs w:val="21"/>
          <w:highlight w:val="none"/>
          <w:lang w:val="en-US"/>
        </w:rPr>
        <w:t>桂林航天工业学院新校区扩建项目科技活动中心附属工程</w:t>
      </w:r>
    </w:p>
    <w:p w14:paraId="2BA08DE6">
      <w:pPr>
        <w:keepNext w:val="0"/>
        <w:keepLines w:val="0"/>
        <w:pageBreakBefore w:val="0"/>
        <w:widowControl w:val="0"/>
        <w:kinsoku/>
        <w:wordWrap/>
        <w:overflowPunct/>
        <w:topLinePunct w:val="0"/>
        <w:autoSpaceDE/>
        <w:autoSpaceDN/>
        <w:bidi w:val="0"/>
        <w:adjustRightInd/>
        <w:snapToGrid/>
        <w:spacing w:line="360" w:lineRule="auto"/>
        <w:ind w:firstLine="630" w:firstLineChars="300"/>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数量：1</w:t>
      </w:r>
    </w:p>
    <w:p w14:paraId="3F900788">
      <w:pPr>
        <w:keepNext w:val="0"/>
        <w:keepLines w:val="0"/>
        <w:pageBreakBefore w:val="0"/>
        <w:widowControl w:val="0"/>
        <w:kinsoku/>
        <w:wordWrap/>
        <w:overflowPunct/>
        <w:topLinePunct w:val="0"/>
        <w:autoSpaceDE/>
        <w:autoSpaceDN/>
        <w:bidi w:val="0"/>
        <w:adjustRightInd/>
        <w:snapToGrid/>
        <w:spacing w:line="360" w:lineRule="auto"/>
        <w:ind w:firstLine="630" w:firstLineChars="300"/>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预算金额（元）：</w:t>
      </w:r>
      <w:r>
        <w:rPr>
          <w:rFonts w:hint="default" w:ascii="Times New Roman" w:hAnsi="Times New Roman" w:cs="宋体"/>
          <w:color w:val="auto"/>
          <w:sz w:val="21"/>
          <w:szCs w:val="21"/>
          <w:highlight w:val="none"/>
          <w:lang w:val="en-US"/>
        </w:rPr>
        <w:t>¥</w:t>
      </w:r>
      <w:r>
        <w:rPr>
          <w:rFonts w:hint="default" w:ascii="Times New Roman" w:hAnsi="Times New Roman" w:cs="宋体"/>
          <w:color w:val="auto"/>
          <w:sz w:val="21"/>
          <w:szCs w:val="21"/>
          <w:highlight w:val="none"/>
          <w:u w:val="single"/>
          <w:lang w:val="en-US"/>
        </w:rPr>
        <w:t>1844413.74</w:t>
      </w:r>
      <w:r>
        <w:rPr>
          <w:rFonts w:hint="eastAsia" w:ascii="Times New Roman" w:hAnsi="Times New Roman" w:cs="宋体"/>
          <w:color w:val="auto"/>
          <w:sz w:val="21"/>
          <w:szCs w:val="21"/>
          <w:highlight w:val="none"/>
          <w:u w:val="none"/>
          <w:lang w:val="en-US" w:eastAsia="zh-CN"/>
        </w:rPr>
        <w:t>；</w:t>
      </w:r>
    </w:p>
    <w:p w14:paraId="292532CE">
      <w:pPr>
        <w:pStyle w:val="13"/>
        <w:keepNext w:val="0"/>
        <w:keepLines w:val="0"/>
        <w:pageBreakBefore w:val="0"/>
        <w:widowControl w:val="0"/>
        <w:kinsoku/>
        <w:wordWrap/>
        <w:overflowPunct/>
        <w:topLinePunct w:val="0"/>
        <w:autoSpaceDE/>
        <w:autoSpaceDN/>
        <w:bidi w:val="0"/>
        <w:adjustRightInd/>
        <w:snapToGrid/>
        <w:spacing w:after="0" w:line="360" w:lineRule="auto"/>
        <w:ind w:firstLine="630" w:firstLineChars="3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简要规格描述或项目基本概况介绍、用途：</w:t>
      </w:r>
      <w:r>
        <w:rPr>
          <w:rFonts w:hint="default" w:ascii="Times New Roman" w:hAnsi="Times New Roman" w:cs="宋体"/>
          <w:color w:val="auto"/>
          <w:sz w:val="21"/>
          <w:szCs w:val="21"/>
          <w:highlight w:val="none"/>
          <w:lang w:val="en-US"/>
        </w:rPr>
        <w:t>桂林航天工业学院新校区扩建项目科技活动中心附属工程</w:t>
      </w:r>
      <w:r>
        <w:rPr>
          <w:rFonts w:hint="eastAsia" w:ascii="Times New Roman" w:hAnsi="Times New Roman" w:eastAsia="宋体" w:cs="宋体"/>
          <w:color w:val="auto"/>
          <w:sz w:val="21"/>
          <w:szCs w:val="21"/>
          <w:highlight w:val="none"/>
        </w:rPr>
        <w:t>，项目位于</w:t>
      </w:r>
      <w:r>
        <w:rPr>
          <w:rFonts w:hint="eastAsia" w:ascii="Times New Roman" w:hAnsi="Times New Roman" w:cs="宋体"/>
          <w:color w:val="auto"/>
          <w:sz w:val="21"/>
          <w:szCs w:val="21"/>
          <w:highlight w:val="none"/>
          <w:lang w:eastAsia="zh-CN"/>
        </w:rPr>
        <w:t>桂林市金鸡路2 号</w:t>
      </w:r>
      <w:r>
        <w:rPr>
          <w:rFonts w:hint="eastAsia" w:ascii="Times New Roman" w:hAnsi="Times New Roman" w:eastAsia="宋体" w:cs="宋体"/>
          <w:color w:val="auto"/>
          <w:sz w:val="21"/>
          <w:szCs w:val="21"/>
          <w:highlight w:val="none"/>
        </w:rPr>
        <w:t>，</w:t>
      </w:r>
      <w:r>
        <w:rPr>
          <w:rFonts w:hint="eastAsia" w:ascii="Times New Roman" w:hAnsi="Times New Roman" w:cs="宋体"/>
          <w:color w:val="auto"/>
          <w:sz w:val="21"/>
          <w:szCs w:val="21"/>
          <w:highlight w:val="none"/>
          <w:lang w:eastAsia="zh-CN"/>
        </w:rPr>
        <w:t>本工程施工范围包括室外铺设地砖、砌筑挡土墙</w:t>
      </w:r>
      <w:r>
        <w:rPr>
          <w:rFonts w:hint="eastAsia" w:ascii="Times New Roman" w:hAnsi="Times New Roman" w:eastAsia="宋体" w:cs="宋体"/>
          <w:color w:val="auto"/>
          <w:sz w:val="21"/>
          <w:szCs w:val="21"/>
          <w:highlight w:val="none"/>
        </w:rPr>
        <w:t>、种植乔灌木、种植草皮、室外给排水等。（具体以施工图纸</w:t>
      </w:r>
      <w:r>
        <w:rPr>
          <w:rFonts w:hint="eastAsia" w:cs="宋体"/>
          <w:color w:val="auto"/>
          <w:sz w:val="21"/>
          <w:szCs w:val="21"/>
          <w:highlight w:val="none"/>
          <w:lang w:eastAsia="zh-CN"/>
        </w:rPr>
        <w:t>【含变更（如有）】</w:t>
      </w:r>
      <w:r>
        <w:rPr>
          <w:rFonts w:hint="eastAsia" w:ascii="Times New Roman" w:hAnsi="Times New Roman" w:eastAsia="宋体" w:cs="宋体"/>
          <w:color w:val="auto"/>
          <w:sz w:val="21"/>
          <w:szCs w:val="21"/>
          <w:highlight w:val="none"/>
        </w:rPr>
        <w:t>和工程量清单内容为准）</w:t>
      </w:r>
    </w:p>
    <w:p w14:paraId="1901219F">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最高限价：</w:t>
      </w:r>
      <w:r>
        <w:rPr>
          <w:rFonts w:hint="default" w:ascii="Times New Roman" w:hAnsi="Times New Roman" w:cs="宋体"/>
          <w:color w:val="auto"/>
          <w:sz w:val="21"/>
          <w:szCs w:val="21"/>
          <w:highlight w:val="none"/>
          <w:lang w:val="en-US"/>
        </w:rPr>
        <w:t>（大写）</w:t>
      </w:r>
      <w:r>
        <w:rPr>
          <w:rFonts w:hint="default" w:ascii="Times New Roman" w:hAnsi="Times New Roman" w:cs="宋体"/>
          <w:color w:val="auto"/>
          <w:sz w:val="21"/>
          <w:szCs w:val="21"/>
          <w:highlight w:val="none"/>
          <w:u w:val="single"/>
          <w:lang w:val="en-US"/>
        </w:rPr>
        <w:t>人民币壹佰捌拾肆万肆仟肆佰壹拾叁元柒角肆分</w:t>
      </w:r>
      <w:r>
        <w:rPr>
          <w:rFonts w:hint="default" w:ascii="Times New Roman" w:hAnsi="Times New Roman" w:cs="宋体"/>
          <w:color w:val="auto"/>
          <w:sz w:val="21"/>
          <w:szCs w:val="21"/>
          <w:highlight w:val="none"/>
          <w:lang w:val="en-US"/>
        </w:rPr>
        <w:t>（小写）¥</w:t>
      </w:r>
      <w:r>
        <w:rPr>
          <w:rFonts w:hint="default" w:ascii="Times New Roman" w:hAnsi="Times New Roman" w:cs="宋体"/>
          <w:color w:val="auto"/>
          <w:sz w:val="21"/>
          <w:szCs w:val="21"/>
          <w:highlight w:val="none"/>
          <w:u w:val="single"/>
          <w:lang w:val="en-US"/>
        </w:rPr>
        <w:t>1844413.74</w:t>
      </w:r>
      <w:r>
        <w:rPr>
          <w:rFonts w:hint="eastAsia" w:ascii="Times New Roman" w:hAnsi="Times New Roman" w:cs="宋体"/>
          <w:color w:val="auto"/>
          <w:sz w:val="21"/>
          <w:szCs w:val="21"/>
          <w:highlight w:val="none"/>
          <w:lang w:val="en-US" w:eastAsia="zh-CN"/>
        </w:rPr>
        <w:t>。</w:t>
      </w:r>
    </w:p>
    <w:p w14:paraId="2114DC88">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u w:val="single"/>
        </w:rPr>
      </w:pPr>
      <w:r>
        <w:rPr>
          <w:rFonts w:hint="eastAsia" w:ascii="Times New Roman" w:hAnsi="Times New Roman" w:eastAsia="宋体" w:cs="宋体"/>
          <w:color w:val="auto"/>
          <w:sz w:val="21"/>
          <w:szCs w:val="21"/>
          <w:highlight w:val="none"/>
        </w:rPr>
        <w:t>合同履行期限：</w:t>
      </w:r>
      <w:r>
        <w:rPr>
          <w:rFonts w:hint="eastAsia" w:ascii="Times New Roman" w:hAnsi="Times New Roman" w:cs="宋体"/>
          <w:color w:val="auto"/>
          <w:sz w:val="21"/>
          <w:szCs w:val="21"/>
          <w:highlight w:val="none"/>
          <w:u w:val="single"/>
          <w:lang w:val="en-US" w:eastAsia="zh-CN"/>
        </w:rPr>
        <w:t>工期要求：自监理下发开工令之日起 60 天内完工。</w:t>
      </w:r>
    </w:p>
    <w:p w14:paraId="57D3624B">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本项目</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是/否）接受联合体：否。</w:t>
      </w:r>
    </w:p>
    <w:p w14:paraId="4F1FA0C3">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Cs/>
          <w:color w:val="auto"/>
          <w:sz w:val="21"/>
          <w:szCs w:val="21"/>
          <w:highlight w:val="none"/>
          <w:lang w:eastAsia="zh-CN"/>
        </w:rPr>
      </w:pPr>
      <w:r>
        <w:rPr>
          <w:rFonts w:hint="eastAsia" w:ascii="Times New Roman" w:hAnsi="Times New Roman" w:eastAsia="宋体" w:cs="宋体"/>
          <w:b/>
          <w:color w:val="auto"/>
          <w:kern w:val="44"/>
          <w:sz w:val="21"/>
          <w:szCs w:val="21"/>
          <w:highlight w:val="none"/>
        </w:rPr>
        <w:t>二、申请人的资格</w:t>
      </w:r>
      <w:bookmarkEnd w:id="22"/>
      <w:bookmarkEnd w:id="23"/>
      <w:bookmarkEnd w:id="24"/>
      <w:bookmarkEnd w:id="25"/>
      <w:bookmarkEnd w:id="26"/>
      <w:r>
        <w:rPr>
          <w:rFonts w:hint="eastAsia" w:ascii="Times New Roman" w:hAnsi="Times New Roman" w:eastAsia="宋体" w:cs="宋体"/>
          <w:b/>
          <w:color w:val="auto"/>
          <w:kern w:val="44"/>
          <w:sz w:val="21"/>
          <w:szCs w:val="21"/>
          <w:highlight w:val="none"/>
          <w:lang w:eastAsia="zh-CN"/>
        </w:rPr>
        <w:t>要求</w:t>
      </w:r>
    </w:p>
    <w:p w14:paraId="42411944">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1.满足《中华人民共和国政府采购法》第二十二条规定；</w:t>
      </w:r>
    </w:p>
    <w:p w14:paraId="6CF46F69">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2.落实政府采购政策需满足的资格要求：</w:t>
      </w:r>
      <w:r>
        <w:rPr>
          <w:rFonts w:hint="eastAsia" w:cs="宋体"/>
          <w:b/>
          <w:bCs/>
          <w:color w:val="auto"/>
          <w:szCs w:val="21"/>
          <w:highlight w:val="none"/>
          <w:u w:val="single"/>
          <w:lang w:eastAsia="zh-CN"/>
        </w:rPr>
        <w:t>本项目为专门面向中小企业采购的项目。供应商必须提供中小企业声明函或者残疾人福利性单位声明函（格式后附）或者供应商属于监狱企业的需提供由省级以上监狱管理局、戒毒管理局（含新疆生产建设兵团）出具的属于监狱企业的证明文件。</w:t>
      </w:r>
    </w:p>
    <w:p w14:paraId="6FAF5ABB">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3.本项目的特定资格要求：</w:t>
      </w:r>
      <w:bookmarkStart w:id="27" w:name="OLE_LINK2"/>
      <w:r>
        <w:rPr>
          <w:rFonts w:hint="eastAsia" w:ascii="Times New Roman" w:hAnsi="Times New Roman" w:eastAsia="宋体" w:cs="宋体"/>
          <w:b/>
          <w:bCs/>
          <w:color w:val="auto"/>
          <w:sz w:val="21"/>
          <w:szCs w:val="21"/>
          <w:highlight w:val="none"/>
          <w:lang w:val="en-US" w:eastAsia="zh-CN"/>
        </w:rPr>
        <w:t>具备</w:t>
      </w:r>
      <w:r>
        <w:rPr>
          <w:rFonts w:hint="eastAsia" w:ascii="Times New Roman" w:hAnsi="Times New Roman" w:eastAsia="宋体" w:cs="宋体"/>
          <w:b/>
          <w:bCs/>
          <w:color w:val="auto"/>
          <w:sz w:val="21"/>
          <w:szCs w:val="21"/>
          <w:highlight w:val="none"/>
          <w:u w:val="single"/>
          <w:lang w:val="en-US" w:eastAsia="zh-CN"/>
        </w:rPr>
        <w:t>建筑工程施工总承包三级（含三级）以上</w:t>
      </w:r>
      <w:r>
        <w:rPr>
          <w:rFonts w:hint="eastAsia" w:ascii="Times New Roman" w:hAnsi="Times New Roman" w:eastAsia="宋体" w:cs="宋体"/>
          <w:b/>
          <w:bCs/>
          <w:color w:val="auto"/>
          <w:sz w:val="21"/>
          <w:szCs w:val="21"/>
          <w:highlight w:val="none"/>
          <w:lang w:val="en-US" w:eastAsia="zh-CN"/>
        </w:rPr>
        <w:t>资质，同时具备有效的安全生产许可证，在人员、设备、资金等方面具备相应的施工能力。其中，供应商拟派项目经理须具备</w:t>
      </w:r>
      <w:r>
        <w:rPr>
          <w:rFonts w:hint="eastAsia" w:ascii="Times New Roman" w:hAnsi="Times New Roman" w:eastAsia="宋体" w:cs="宋体"/>
          <w:b/>
          <w:bCs/>
          <w:color w:val="auto"/>
          <w:sz w:val="21"/>
          <w:szCs w:val="21"/>
          <w:highlight w:val="none"/>
          <w:u w:val="single"/>
          <w:lang w:val="en-US" w:eastAsia="zh-CN"/>
        </w:rPr>
        <w:t xml:space="preserve"> 建筑工程 </w:t>
      </w:r>
      <w:r>
        <w:rPr>
          <w:rFonts w:hint="eastAsia" w:ascii="Times New Roman" w:hAnsi="Times New Roman" w:eastAsia="宋体" w:cs="宋体"/>
          <w:b/>
          <w:bCs/>
          <w:color w:val="auto"/>
          <w:sz w:val="21"/>
          <w:szCs w:val="21"/>
          <w:highlight w:val="none"/>
          <w:lang w:val="en-US" w:eastAsia="zh-CN"/>
        </w:rPr>
        <w:t>专业</w:t>
      </w:r>
      <w:r>
        <w:rPr>
          <w:rFonts w:hint="eastAsia" w:ascii="Times New Roman" w:hAnsi="Times New Roman" w:eastAsia="宋体" w:cs="宋体"/>
          <w:b/>
          <w:bCs/>
          <w:color w:val="auto"/>
          <w:sz w:val="21"/>
          <w:szCs w:val="21"/>
          <w:highlight w:val="none"/>
          <w:u w:val="single"/>
          <w:lang w:val="en-US" w:eastAsia="zh-CN"/>
        </w:rPr>
        <w:t xml:space="preserve"> 二级（含）以上 </w:t>
      </w:r>
      <w:r>
        <w:rPr>
          <w:rFonts w:hint="eastAsia" w:ascii="Times New Roman" w:hAnsi="Times New Roman" w:eastAsia="宋体" w:cs="宋体"/>
          <w:b/>
          <w:bCs/>
          <w:color w:val="auto"/>
          <w:sz w:val="21"/>
          <w:szCs w:val="21"/>
          <w:highlight w:val="none"/>
          <w:lang w:val="en-US" w:eastAsia="zh-CN"/>
        </w:rPr>
        <w:t>注册建造师执业资格，具备有效的安全生产考核合格证书（B类）</w:t>
      </w:r>
      <w:bookmarkEnd w:id="27"/>
      <w:r>
        <w:rPr>
          <w:rFonts w:hint="eastAsia" w:ascii="Times New Roman" w:hAnsi="Times New Roman" w:eastAsia="宋体" w:cs="宋体"/>
          <w:b/>
          <w:bCs/>
          <w:color w:val="auto"/>
          <w:sz w:val="21"/>
          <w:szCs w:val="21"/>
          <w:highlight w:val="none"/>
        </w:rPr>
        <w:t>。</w:t>
      </w:r>
    </w:p>
    <w:p w14:paraId="40E4113A">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
          <w:bCs/>
          <w:color w:val="auto"/>
          <w:sz w:val="21"/>
          <w:szCs w:val="21"/>
          <w:highlight w:val="none"/>
        </w:rPr>
      </w:pPr>
      <w:r>
        <w:rPr>
          <w:rFonts w:hint="eastAsia" w:ascii="Times New Roman" w:hAnsi="Times New Roman" w:eastAsia="宋体" w:cs="宋体"/>
          <w:b/>
          <w:bCs/>
          <w:color w:val="auto"/>
          <w:sz w:val="21"/>
          <w:szCs w:val="21"/>
          <w:highlight w:val="none"/>
        </w:rPr>
        <w:t>三、获取采购文件</w:t>
      </w:r>
      <w:bookmarkEnd w:id="17"/>
      <w:bookmarkEnd w:id="18"/>
      <w:bookmarkEnd w:id="19"/>
      <w:bookmarkEnd w:id="20"/>
    </w:p>
    <w:p w14:paraId="133D30F8">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rPr>
      </w:pPr>
      <w:bookmarkStart w:id="28" w:name="_Toc35393793"/>
      <w:bookmarkStart w:id="29" w:name="_Toc35393624"/>
      <w:bookmarkStart w:id="30" w:name="_Toc28359082"/>
      <w:bookmarkStart w:id="31" w:name="_Toc28359005"/>
      <w:r>
        <w:rPr>
          <w:rFonts w:hint="eastAsia" w:ascii="Times New Roman" w:hAnsi="Times New Roman" w:eastAsia="宋体" w:cs="宋体"/>
          <w:color w:val="auto"/>
          <w:sz w:val="21"/>
          <w:szCs w:val="21"/>
          <w:highlight w:val="none"/>
        </w:rPr>
        <w:t>时间：</w:t>
      </w:r>
      <w:r>
        <w:rPr>
          <w:rFonts w:hint="eastAsia" w:ascii="Times New Roman" w:hAnsi="Times New Roman" w:cs="宋体"/>
          <w:bCs/>
          <w:color w:val="auto"/>
          <w:kern w:val="0"/>
          <w:sz w:val="21"/>
          <w:szCs w:val="21"/>
          <w:highlight w:val="none"/>
          <w:u w:val="single"/>
          <w:lang w:eastAsia="zh-CN"/>
        </w:rPr>
        <w:t>2025年</w:t>
      </w:r>
      <w:r>
        <w:rPr>
          <w:rFonts w:hint="eastAsia" w:cs="宋体"/>
          <w:bCs/>
          <w:color w:val="auto"/>
          <w:kern w:val="0"/>
          <w:sz w:val="21"/>
          <w:szCs w:val="21"/>
          <w:highlight w:val="none"/>
          <w:u w:val="single"/>
          <w:lang w:val="en-US" w:eastAsia="zh-CN"/>
        </w:rPr>
        <w:t>12</w:t>
      </w:r>
      <w:r>
        <w:rPr>
          <w:rFonts w:hint="eastAsia" w:ascii="Times New Roman" w:hAnsi="Times New Roman" w:cs="宋体"/>
          <w:bCs/>
          <w:color w:val="auto"/>
          <w:kern w:val="0"/>
          <w:sz w:val="21"/>
          <w:szCs w:val="21"/>
          <w:highlight w:val="none"/>
          <w:u w:val="single"/>
          <w:lang w:eastAsia="zh-CN"/>
        </w:rPr>
        <w:t>月</w:t>
      </w:r>
      <w:r>
        <w:rPr>
          <w:rFonts w:hint="eastAsia" w:cs="宋体"/>
          <w:bCs/>
          <w:color w:val="auto"/>
          <w:kern w:val="0"/>
          <w:sz w:val="21"/>
          <w:szCs w:val="21"/>
          <w:highlight w:val="none"/>
          <w:u w:val="single"/>
          <w:lang w:val="en-US" w:eastAsia="zh-CN"/>
        </w:rPr>
        <w:t>8</w:t>
      </w:r>
      <w:r>
        <w:rPr>
          <w:rFonts w:hint="eastAsia" w:ascii="Times New Roman" w:hAnsi="Times New Roman" w:cs="宋体"/>
          <w:bCs/>
          <w:color w:val="auto"/>
          <w:kern w:val="0"/>
          <w:sz w:val="21"/>
          <w:szCs w:val="21"/>
          <w:highlight w:val="none"/>
          <w:u w:val="single"/>
          <w:lang w:eastAsia="zh-CN"/>
        </w:rPr>
        <w:t>日</w:t>
      </w:r>
      <w:r>
        <w:rPr>
          <w:rFonts w:hint="eastAsia" w:ascii="Times New Roman" w:hAnsi="Times New Roman" w:eastAsia="宋体" w:cs="宋体"/>
          <w:bCs/>
          <w:color w:val="auto"/>
          <w:kern w:val="0"/>
          <w:sz w:val="21"/>
          <w:szCs w:val="21"/>
          <w:highlight w:val="none"/>
        </w:rPr>
        <w:t>至</w:t>
      </w:r>
      <w:r>
        <w:rPr>
          <w:rFonts w:hint="eastAsia" w:ascii="Times New Roman" w:hAnsi="Times New Roman" w:cs="宋体"/>
          <w:bCs/>
          <w:color w:val="auto"/>
          <w:kern w:val="0"/>
          <w:sz w:val="21"/>
          <w:szCs w:val="21"/>
          <w:highlight w:val="none"/>
          <w:u w:val="single"/>
          <w:lang w:eastAsia="zh-CN"/>
        </w:rPr>
        <w:t>2025年</w:t>
      </w:r>
      <w:r>
        <w:rPr>
          <w:rFonts w:hint="eastAsia" w:cs="宋体"/>
          <w:bCs/>
          <w:color w:val="auto"/>
          <w:kern w:val="0"/>
          <w:sz w:val="21"/>
          <w:szCs w:val="21"/>
          <w:highlight w:val="none"/>
          <w:u w:val="single"/>
          <w:lang w:val="en-US" w:eastAsia="zh-CN"/>
        </w:rPr>
        <w:t>12</w:t>
      </w:r>
      <w:r>
        <w:rPr>
          <w:rFonts w:hint="eastAsia" w:ascii="Times New Roman" w:hAnsi="Times New Roman" w:cs="宋体"/>
          <w:bCs/>
          <w:color w:val="auto"/>
          <w:kern w:val="0"/>
          <w:sz w:val="21"/>
          <w:szCs w:val="21"/>
          <w:highlight w:val="none"/>
          <w:u w:val="single"/>
          <w:lang w:eastAsia="zh-CN"/>
        </w:rPr>
        <w:t>月</w:t>
      </w:r>
      <w:r>
        <w:rPr>
          <w:rFonts w:hint="eastAsia" w:cs="宋体"/>
          <w:bCs/>
          <w:color w:val="auto"/>
          <w:kern w:val="0"/>
          <w:sz w:val="21"/>
          <w:szCs w:val="21"/>
          <w:highlight w:val="none"/>
          <w:u w:val="single"/>
          <w:lang w:val="en-US" w:eastAsia="zh-CN"/>
        </w:rPr>
        <w:t>15</w:t>
      </w:r>
      <w:r>
        <w:rPr>
          <w:rFonts w:hint="eastAsia" w:ascii="Times New Roman" w:hAnsi="Times New Roman" w:cs="宋体"/>
          <w:bCs/>
          <w:color w:val="auto"/>
          <w:kern w:val="0"/>
          <w:sz w:val="21"/>
          <w:szCs w:val="21"/>
          <w:highlight w:val="none"/>
          <w:u w:val="single"/>
          <w:lang w:eastAsia="zh-CN"/>
        </w:rPr>
        <w:t>日</w:t>
      </w:r>
      <w:r>
        <w:rPr>
          <w:rFonts w:hint="eastAsia" w:ascii="Times New Roman" w:hAnsi="Times New Roman" w:eastAsia="宋体" w:cs="宋体"/>
          <w:bCs/>
          <w:color w:val="auto"/>
          <w:kern w:val="0"/>
          <w:sz w:val="21"/>
          <w:szCs w:val="21"/>
          <w:highlight w:val="none"/>
        </w:rPr>
        <w:t>，</w:t>
      </w:r>
      <w:r>
        <w:rPr>
          <w:rFonts w:hint="eastAsia" w:ascii="Times New Roman" w:hAnsi="Times New Roman" w:eastAsia="宋体" w:cs="宋体"/>
          <w:color w:val="auto"/>
          <w:sz w:val="21"/>
          <w:szCs w:val="21"/>
          <w:highlight w:val="none"/>
        </w:rPr>
        <w:t>每天上午00:00至11:59，下午12:00至23:59</w:t>
      </w:r>
      <w:r>
        <w:rPr>
          <w:rFonts w:hint="eastAsia" w:ascii="Times New Roman" w:hAnsi="Times New Roman" w:eastAsia="宋体" w:cs="宋体"/>
          <w:bCs/>
          <w:color w:val="auto"/>
          <w:kern w:val="0"/>
          <w:sz w:val="21"/>
          <w:szCs w:val="21"/>
          <w:highlight w:val="none"/>
        </w:rPr>
        <w:t>（北京时间，法定节假日除外）</w:t>
      </w:r>
      <w:r>
        <w:rPr>
          <w:rFonts w:hint="eastAsia" w:ascii="Times New Roman" w:hAnsi="Times New Roman" w:eastAsia="宋体" w:cs="宋体"/>
          <w:color w:val="auto"/>
          <w:sz w:val="21"/>
          <w:szCs w:val="21"/>
          <w:highlight w:val="none"/>
        </w:rPr>
        <w:t>。</w:t>
      </w:r>
    </w:p>
    <w:p w14:paraId="1F4ECAB0">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bCs/>
          <w:color w:val="auto"/>
          <w:kern w:val="0"/>
          <w:sz w:val="21"/>
          <w:szCs w:val="21"/>
          <w:highlight w:val="none"/>
        </w:rPr>
        <w:t>地点</w:t>
      </w:r>
      <w:r>
        <w:rPr>
          <w:rFonts w:hint="eastAsia" w:ascii="Times New Roman" w:hAnsi="Times New Roman" w:eastAsia="宋体" w:cs="宋体"/>
          <w:color w:val="auto"/>
          <w:sz w:val="21"/>
          <w:szCs w:val="21"/>
          <w:highlight w:val="none"/>
        </w:rPr>
        <w:t>（网址）</w:t>
      </w:r>
      <w:r>
        <w:rPr>
          <w:rFonts w:hint="eastAsia" w:ascii="Times New Roman" w:hAnsi="Times New Roman" w:eastAsia="宋体" w:cs="宋体"/>
          <w:bCs/>
          <w:color w:val="auto"/>
          <w:kern w:val="0"/>
          <w:sz w:val="21"/>
          <w:szCs w:val="21"/>
          <w:highlight w:val="none"/>
        </w:rPr>
        <w:t>：</w:t>
      </w:r>
      <w:r>
        <w:rPr>
          <w:rFonts w:hint="eastAsia" w:ascii="Times New Roman" w:hAnsi="Times New Roman" w:eastAsia="宋体" w:cs="宋体"/>
          <w:color w:val="auto"/>
          <w:sz w:val="21"/>
          <w:szCs w:val="21"/>
          <w:highlight w:val="none"/>
          <w:lang w:eastAsia="zh-CN"/>
        </w:rPr>
        <w:t>广西政府采购云平台（https://www.gcy.zfcg.gxzf.gov.cn/）</w:t>
      </w:r>
      <w:r>
        <w:rPr>
          <w:rFonts w:hint="eastAsia" w:ascii="Times New Roman" w:hAnsi="Times New Roman" w:cs="宋体"/>
          <w:color w:val="auto"/>
          <w:sz w:val="21"/>
          <w:szCs w:val="21"/>
          <w:highlight w:val="none"/>
          <w:lang w:eastAsia="zh-CN"/>
        </w:rPr>
        <w:t>。</w:t>
      </w:r>
      <w:r>
        <w:rPr>
          <w:rFonts w:hint="eastAsia" w:ascii="Times New Roman" w:hAnsi="Times New Roman" w:eastAsia="宋体" w:cs="宋体"/>
          <w:color w:val="auto"/>
          <w:sz w:val="21"/>
          <w:szCs w:val="21"/>
          <w:highlight w:val="none"/>
        </w:rPr>
        <w:t xml:space="preserve"> </w:t>
      </w:r>
    </w:p>
    <w:p w14:paraId="0ECD5608">
      <w:pPr>
        <w:pStyle w:val="11"/>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b/>
          <w:bCs/>
          <w:color w:val="auto"/>
          <w:sz w:val="21"/>
          <w:szCs w:val="21"/>
          <w:highlight w:val="none"/>
          <w:lang w:eastAsia="zh-CN"/>
        </w:rPr>
      </w:pPr>
      <w:r>
        <w:rPr>
          <w:rFonts w:hint="eastAsia" w:ascii="Times New Roman" w:hAnsi="Times New Roman" w:eastAsia="宋体" w:cs="宋体"/>
          <w:color w:val="auto"/>
          <w:sz w:val="21"/>
          <w:szCs w:val="21"/>
          <w:highlight w:val="none"/>
        </w:rPr>
        <w:t>方式</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网上下载。本项目不发放纸质采购文件</w:t>
      </w:r>
      <w:r>
        <w:rPr>
          <w:rFonts w:hint="eastAsia" w:ascii="Times New Roman" w:hAnsi="Times New Roman" w:eastAsia="宋体" w:cs="宋体"/>
          <w:color w:val="auto"/>
          <w:sz w:val="21"/>
          <w:szCs w:val="21"/>
          <w:highlight w:val="none"/>
          <w:lang w:eastAsia="zh-CN"/>
        </w:rPr>
        <w:t>、工程量清单、图纸。潜在</w:t>
      </w:r>
      <w:r>
        <w:rPr>
          <w:rFonts w:hint="eastAsia" w:ascii="Times New Roman" w:hAnsi="Times New Roman" w:eastAsia="宋体" w:cs="宋体"/>
          <w:color w:val="auto"/>
          <w:sz w:val="21"/>
          <w:szCs w:val="21"/>
          <w:highlight w:val="none"/>
        </w:rPr>
        <w:t>供应商可自行在</w:t>
      </w:r>
      <w:r>
        <w:rPr>
          <w:rFonts w:hint="eastAsia" w:ascii="Times New Roman" w:hAnsi="Times New Roman" w:eastAsia="宋体" w:cs="宋体"/>
          <w:b w:val="0"/>
          <w:bCs w:val="0"/>
          <w:color w:val="auto"/>
          <w:sz w:val="21"/>
          <w:szCs w:val="21"/>
          <w:highlight w:val="none"/>
          <w:lang w:val="en-US" w:eastAsia="zh-CN"/>
        </w:rPr>
        <w:t>广西政府采购云平台（https://www.gcy.zfcg.gxzf.gov.cn/）</w:t>
      </w:r>
      <w:r>
        <w:rPr>
          <w:rFonts w:hint="eastAsia" w:ascii="Times New Roman" w:hAnsi="Times New Roman" w:eastAsia="宋体" w:cs="宋体"/>
          <w:color w:val="auto"/>
          <w:sz w:val="21"/>
          <w:szCs w:val="21"/>
          <w:highlight w:val="none"/>
        </w:rPr>
        <w:t>下载采购文件</w:t>
      </w:r>
      <w:r>
        <w:rPr>
          <w:rFonts w:hint="eastAsia" w:ascii="Times New Roman" w:hAnsi="Times New Roman" w:eastAsia="宋体" w:cs="宋体"/>
          <w:color w:val="auto"/>
          <w:sz w:val="21"/>
          <w:szCs w:val="21"/>
          <w:highlight w:val="none"/>
          <w:lang w:eastAsia="zh-CN"/>
        </w:rPr>
        <w:t>、工程量清单、图纸</w:t>
      </w:r>
      <w:r>
        <w:rPr>
          <w:rFonts w:hint="eastAsia" w:ascii="Times New Roman" w:hAnsi="Times New Roman" w:eastAsia="宋体" w:cs="宋体"/>
          <w:color w:val="auto"/>
          <w:sz w:val="21"/>
          <w:szCs w:val="21"/>
          <w:highlight w:val="none"/>
        </w:rPr>
        <w:t>（操作路径：登录</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sz w:val="21"/>
          <w:szCs w:val="21"/>
          <w:highlight w:val="none"/>
        </w:rPr>
        <w:t>-项目采购-获取采购文件-找到本项目-点击“申请获取采购文件”），电子响应文件制作需要基于</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sz w:val="21"/>
          <w:szCs w:val="21"/>
          <w:highlight w:val="none"/>
        </w:rPr>
        <w:t>获取的采购文件编制。</w:t>
      </w:r>
    </w:p>
    <w:p w14:paraId="1E8DD5CB">
      <w:pPr>
        <w:keepNext w:val="0"/>
        <w:keepLines w:val="0"/>
        <w:pageBreakBefore w:val="0"/>
        <w:kinsoku/>
        <w:wordWrap/>
        <w:overflowPunct/>
        <w:topLinePunct w:val="0"/>
        <w:autoSpaceDE/>
        <w:autoSpaceDN/>
        <w:bidi w:val="0"/>
        <w:adjustRightInd/>
        <w:snapToGrid w:val="0"/>
        <w:spacing w:line="360" w:lineRule="auto"/>
        <w:ind w:firstLine="420" w:firstLineChars="200"/>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售价：人民币0元。</w:t>
      </w:r>
    </w:p>
    <w:p w14:paraId="3E803190">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
          <w:bCs/>
          <w:color w:val="auto"/>
          <w:sz w:val="21"/>
          <w:szCs w:val="21"/>
          <w:highlight w:val="none"/>
        </w:rPr>
      </w:pPr>
      <w:r>
        <w:rPr>
          <w:rFonts w:hint="eastAsia" w:ascii="Times New Roman" w:hAnsi="Times New Roman" w:eastAsia="宋体" w:cs="宋体"/>
          <w:b/>
          <w:bCs/>
          <w:color w:val="auto"/>
          <w:sz w:val="21"/>
          <w:szCs w:val="21"/>
          <w:highlight w:val="none"/>
        </w:rPr>
        <w:t>四、</w:t>
      </w:r>
      <w:bookmarkEnd w:id="28"/>
      <w:bookmarkEnd w:id="29"/>
      <w:bookmarkEnd w:id="30"/>
      <w:bookmarkEnd w:id="31"/>
      <w:r>
        <w:rPr>
          <w:rFonts w:hint="eastAsia" w:ascii="Times New Roman" w:hAnsi="Times New Roman" w:eastAsia="宋体" w:cs="宋体"/>
          <w:b/>
          <w:bCs/>
          <w:color w:val="auto"/>
          <w:sz w:val="21"/>
          <w:szCs w:val="21"/>
          <w:highlight w:val="none"/>
        </w:rPr>
        <w:t>响应文件提交</w:t>
      </w:r>
    </w:p>
    <w:p w14:paraId="1E00B74C">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i/>
          <w:iCs/>
          <w:color w:val="auto"/>
          <w:sz w:val="21"/>
          <w:szCs w:val="21"/>
          <w:highlight w:val="none"/>
          <w:u w:val="single"/>
          <w:lang w:eastAsia="zh-CN"/>
        </w:rPr>
      </w:pPr>
      <w:r>
        <w:rPr>
          <w:rFonts w:hint="eastAsia" w:ascii="Times New Roman" w:hAnsi="Times New Roman" w:eastAsia="宋体" w:cs="宋体"/>
          <w:color w:val="auto"/>
          <w:sz w:val="21"/>
          <w:szCs w:val="21"/>
          <w:highlight w:val="none"/>
        </w:rPr>
        <w:t>1、</w:t>
      </w:r>
      <w:r>
        <w:rPr>
          <w:rFonts w:hint="eastAsia" w:ascii="Times New Roman" w:hAnsi="Times New Roman" w:eastAsia="宋体" w:cs="宋体"/>
          <w:color w:val="auto"/>
          <w:sz w:val="21"/>
          <w:szCs w:val="21"/>
          <w:highlight w:val="none"/>
          <w:u w:val="none"/>
        </w:rPr>
        <w:t>截止时间</w:t>
      </w:r>
      <w:bookmarkStart w:id="32" w:name="PO_3000001868_PM015"/>
      <w:r>
        <w:rPr>
          <w:rFonts w:hint="eastAsia" w:ascii="Times New Roman" w:hAnsi="Times New Roman" w:eastAsia="宋体" w:cs="宋体"/>
          <w:color w:val="auto"/>
          <w:sz w:val="21"/>
          <w:szCs w:val="21"/>
          <w:highlight w:val="none"/>
          <w:u w:val="none"/>
          <w:lang w:eastAsia="zh-CN"/>
        </w:rPr>
        <w:t>：</w:t>
      </w:r>
      <w:bookmarkEnd w:id="32"/>
      <w:r>
        <w:rPr>
          <w:rFonts w:hint="eastAsia" w:cs="宋体"/>
          <w:bCs/>
          <w:color w:val="auto"/>
          <w:kern w:val="0"/>
          <w:sz w:val="21"/>
          <w:szCs w:val="21"/>
          <w:highlight w:val="none"/>
          <w:u w:val="single"/>
          <w:lang w:eastAsia="zh-CN"/>
        </w:rPr>
        <w:t>2025年12月19日</w:t>
      </w:r>
      <w:r>
        <w:rPr>
          <w:rFonts w:hint="eastAsia" w:ascii="Times New Roman" w:hAnsi="Times New Roman" w:eastAsia="宋体" w:cs="宋体"/>
          <w:bCs/>
          <w:color w:val="auto"/>
          <w:kern w:val="0"/>
          <w:sz w:val="21"/>
          <w:szCs w:val="21"/>
          <w:highlight w:val="none"/>
          <w:u w:val="none"/>
          <w:lang w:val="en-US" w:eastAsia="zh-CN"/>
        </w:rPr>
        <w:t>09</w:t>
      </w:r>
      <w:r>
        <w:rPr>
          <w:rFonts w:hint="eastAsia" w:ascii="Times New Roman" w:hAnsi="Times New Roman" w:eastAsia="宋体" w:cs="宋体"/>
          <w:bCs/>
          <w:color w:val="auto"/>
          <w:sz w:val="21"/>
          <w:szCs w:val="21"/>
          <w:highlight w:val="none"/>
          <w:u w:val="none"/>
          <w:lang w:eastAsia="zh-CN"/>
        </w:rPr>
        <w:t>时</w:t>
      </w:r>
      <w:r>
        <w:rPr>
          <w:rFonts w:hint="eastAsia" w:ascii="Times New Roman" w:hAnsi="Times New Roman" w:eastAsia="宋体" w:cs="宋体"/>
          <w:bCs/>
          <w:color w:val="auto"/>
          <w:sz w:val="21"/>
          <w:szCs w:val="21"/>
          <w:highlight w:val="none"/>
          <w:u w:val="none"/>
          <w:lang w:val="en-US" w:eastAsia="zh-CN"/>
        </w:rPr>
        <w:t>30分</w:t>
      </w:r>
      <w:r>
        <w:rPr>
          <w:rFonts w:hint="eastAsia" w:ascii="Times New Roman" w:hAnsi="Times New Roman" w:eastAsia="宋体" w:cs="宋体"/>
          <w:bCs/>
          <w:color w:val="auto"/>
          <w:sz w:val="21"/>
          <w:szCs w:val="21"/>
          <w:highlight w:val="none"/>
        </w:rPr>
        <w:t>（北京时间）</w:t>
      </w:r>
      <w:r>
        <w:rPr>
          <w:rFonts w:hint="eastAsia" w:ascii="Times New Roman" w:hAnsi="Times New Roman" w:cs="宋体"/>
          <w:bCs/>
          <w:color w:val="auto"/>
          <w:sz w:val="21"/>
          <w:szCs w:val="21"/>
          <w:highlight w:val="none"/>
          <w:lang w:eastAsia="zh-CN"/>
        </w:rPr>
        <w:t>。</w:t>
      </w:r>
    </w:p>
    <w:p w14:paraId="4E2CE4DF">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2、地点（网址）：</w:t>
      </w:r>
      <w:r>
        <w:rPr>
          <w:rFonts w:hint="eastAsia" w:ascii="Times New Roman" w:hAnsi="Times New Roman" w:eastAsia="宋体" w:cs="宋体"/>
          <w:color w:val="auto"/>
          <w:sz w:val="21"/>
          <w:szCs w:val="21"/>
          <w:highlight w:val="none"/>
          <w:lang w:eastAsia="zh-CN"/>
        </w:rPr>
        <w:t>广西政府采购云平台（https://www.gcy.zfcg.gxzf.gov.cn/）</w:t>
      </w:r>
      <w:r>
        <w:rPr>
          <w:rFonts w:hint="eastAsia" w:ascii="Times New Roman" w:hAnsi="Times New Roman" w:cs="宋体"/>
          <w:color w:val="auto"/>
          <w:sz w:val="21"/>
          <w:szCs w:val="21"/>
          <w:highlight w:val="none"/>
          <w:lang w:eastAsia="zh-CN"/>
        </w:rPr>
        <w:t>。</w:t>
      </w:r>
    </w:p>
    <w:p w14:paraId="2D38C6B1">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
          <w:bCs/>
          <w:color w:val="auto"/>
          <w:sz w:val="21"/>
          <w:szCs w:val="21"/>
          <w:highlight w:val="none"/>
        </w:rPr>
      </w:pPr>
      <w:r>
        <w:rPr>
          <w:rFonts w:hint="eastAsia" w:ascii="Times New Roman" w:hAnsi="Times New Roman" w:eastAsia="宋体" w:cs="宋体"/>
          <w:b/>
          <w:bCs/>
          <w:color w:val="auto"/>
          <w:sz w:val="21"/>
          <w:szCs w:val="21"/>
          <w:highlight w:val="none"/>
        </w:rPr>
        <w:t>五、开启（首次响应文件开启时间）</w:t>
      </w:r>
    </w:p>
    <w:p w14:paraId="78399A2E">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bCs/>
          <w:color w:val="auto"/>
          <w:sz w:val="21"/>
          <w:szCs w:val="21"/>
          <w:highlight w:val="none"/>
          <w:u w:val="single"/>
          <w:lang w:eastAsia="zh-CN"/>
        </w:rPr>
      </w:pPr>
      <w:r>
        <w:rPr>
          <w:rFonts w:hint="eastAsia" w:ascii="Times New Roman" w:hAnsi="Times New Roman" w:eastAsia="宋体" w:cs="宋体"/>
          <w:color w:val="auto"/>
          <w:sz w:val="21"/>
          <w:szCs w:val="21"/>
          <w:highlight w:val="none"/>
        </w:rPr>
        <w:t>开启时间：</w:t>
      </w:r>
      <w:r>
        <w:rPr>
          <w:rFonts w:hint="eastAsia" w:cs="宋体"/>
          <w:bCs/>
          <w:color w:val="auto"/>
          <w:kern w:val="0"/>
          <w:sz w:val="21"/>
          <w:szCs w:val="21"/>
          <w:highlight w:val="none"/>
          <w:u w:val="single"/>
          <w:lang w:eastAsia="zh-CN"/>
        </w:rPr>
        <w:t>2025年12月19日</w:t>
      </w:r>
      <w:r>
        <w:rPr>
          <w:rFonts w:hint="eastAsia" w:ascii="Times New Roman" w:hAnsi="Times New Roman" w:eastAsia="宋体" w:cs="宋体"/>
          <w:bCs/>
          <w:color w:val="auto"/>
          <w:kern w:val="0"/>
          <w:sz w:val="21"/>
          <w:szCs w:val="21"/>
          <w:highlight w:val="none"/>
          <w:u w:val="none"/>
          <w:lang w:val="en-US" w:eastAsia="zh-CN"/>
        </w:rPr>
        <w:t>09</w:t>
      </w:r>
      <w:r>
        <w:rPr>
          <w:rFonts w:hint="eastAsia" w:ascii="Times New Roman" w:hAnsi="Times New Roman" w:eastAsia="宋体" w:cs="宋体"/>
          <w:bCs/>
          <w:color w:val="auto"/>
          <w:sz w:val="21"/>
          <w:szCs w:val="21"/>
          <w:highlight w:val="none"/>
          <w:u w:val="none"/>
          <w:lang w:eastAsia="zh-CN"/>
        </w:rPr>
        <w:t>时</w:t>
      </w:r>
      <w:r>
        <w:rPr>
          <w:rFonts w:hint="eastAsia" w:ascii="Times New Roman" w:hAnsi="Times New Roman" w:eastAsia="宋体" w:cs="宋体"/>
          <w:bCs/>
          <w:color w:val="auto"/>
          <w:sz w:val="21"/>
          <w:szCs w:val="21"/>
          <w:highlight w:val="none"/>
          <w:u w:val="none"/>
          <w:lang w:val="en-US" w:eastAsia="zh-CN"/>
        </w:rPr>
        <w:t>30分</w:t>
      </w:r>
      <w:r>
        <w:rPr>
          <w:rFonts w:hint="eastAsia" w:ascii="Times New Roman" w:hAnsi="Times New Roman" w:eastAsia="宋体" w:cs="宋体"/>
          <w:bCs/>
          <w:color w:val="auto"/>
          <w:sz w:val="21"/>
          <w:szCs w:val="21"/>
          <w:highlight w:val="none"/>
        </w:rPr>
        <w:t>（北京时间）</w:t>
      </w:r>
      <w:r>
        <w:rPr>
          <w:rFonts w:hint="eastAsia" w:ascii="Times New Roman" w:hAnsi="Times New Roman" w:cs="宋体"/>
          <w:bCs/>
          <w:color w:val="auto"/>
          <w:sz w:val="21"/>
          <w:szCs w:val="21"/>
          <w:highlight w:val="none"/>
          <w:lang w:eastAsia="zh-CN"/>
        </w:rPr>
        <w:t>。</w:t>
      </w:r>
    </w:p>
    <w:p w14:paraId="61CA55F9">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bCs/>
          <w:color w:val="auto"/>
          <w:sz w:val="21"/>
          <w:szCs w:val="21"/>
          <w:highlight w:val="none"/>
          <w:u w:val="single"/>
          <w:lang w:eastAsia="zh-CN"/>
        </w:rPr>
      </w:pPr>
      <w:r>
        <w:rPr>
          <w:rFonts w:hint="eastAsia" w:ascii="Times New Roman" w:hAnsi="Times New Roman" w:eastAsia="宋体" w:cs="宋体"/>
          <w:color w:val="auto"/>
          <w:sz w:val="21"/>
          <w:szCs w:val="21"/>
          <w:highlight w:val="none"/>
        </w:rPr>
        <w:t>地点：</w:t>
      </w:r>
      <w:r>
        <w:rPr>
          <w:rFonts w:hint="eastAsia" w:ascii="Times New Roman" w:hAnsi="Times New Roman" w:eastAsia="宋体" w:cs="宋体"/>
          <w:color w:val="auto"/>
          <w:sz w:val="21"/>
          <w:szCs w:val="21"/>
          <w:highlight w:val="none"/>
          <w:lang w:eastAsia="zh-CN"/>
        </w:rPr>
        <w:t>广西政府采购云平台（https://www.gcy.zfcg.gxzf.gov.cn/）</w:t>
      </w:r>
      <w:r>
        <w:rPr>
          <w:rFonts w:hint="eastAsia" w:ascii="Times New Roman" w:hAnsi="Times New Roman" w:cs="宋体"/>
          <w:color w:val="auto"/>
          <w:sz w:val="21"/>
          <w:szCs w:val="21"/>
          <w:highlight w:val="none"/>
          <w:lang w:eastAsia="zh-CN"/>
        </w:rPr>
        <w:t>。</w:t>
      </w:r>
    </w:p>
    <w:p w14:paraId="2F6DBAE5">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
          <w:bCs/>
          <w:color w:val="auto"/>
          <w:sz w:val="21"/>
          <w:szCs w:val="21"/>
          <w:highlight w:val="none"/>
        </w:rPr>
      </w:pPr>
      <w:bookmarkStart w:id="33" w:name="_Toc35393794"/>
      <w:bookmarkStart w:id="34" w:name="_Toc28359007"/>
      <w:bookmarkStart w:id="35" w:name="_Toc35393625"/>
      <w:bookmarkStart w:id="36" w:name="_Toc28359084"/>
      <w:r>
        <w:rPr>
          <w:rFonts w:hint="eastAsia" w:ascii="Times New Roman" w:hAnsi="Times New Roman" w:eastAsia="宋体" w:cs="宋体"/>
          <w:b/>
          <w:bCs/>
          <w:color w:val="auto"/>
          <w:sz w:val="21"/>
          <w:szCs w:val="21"/>
          <w:highlight w:val="none"/>
        </w:rPr>
        <w:t>六、公告期限</w:t>
      </w:r>
      <w:bookmarkEnd w:id="33"/>
      <w:bookmarkEnd w:id="34"/>
      <w:bookmarkEnd w:id="35"/>
      <w:bookmarkEnd w:id="36"/>
    </w:p>
    <w:p w14:paraId="32441E69">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自本公告发布之日起</w:t>
      </w:r>
      <w:r>
        <w:rPr>
          <w:rFonts w:hint="eastAsia" w:ascii="Times New Roman" w:hAnsi="Times New Roman" w:eastAsia="宋体" w:cs="宋体"/>
          <w:color w:val="auto"/>
          <w:kern w:val="0"/>
          <w:sz w:val="21"/>
          <w:szCs w:val="21"/>
          <w:highlight w:val="none"/>
          <w:lang w:val="en-US" w:eastAsia="zh-CN"/>
        </w:rPr>
        <w:t>5</w:t>
      </w:r>
      <w:r>
        <w:rPr>
          <w:rFonts w:hint="eastAsia" w:ascii="Times New Roman" w:hAnsi="Times New Roman" w:eastAsia="宋体" w:cs="宋体"/>
          <w:color w:val="auto"/>
          <w:kern w:val="0"/>
          <w:sz w:val="21"/>
          <w:szCs w:val="21"/>
          <w:highlight w:val="none"/>
        </w:rPr>
        <w:t>个工作日。</w:t>
      </w:r>
    </w:p>
    <w:p w14:paraId="3297F40B">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
          <w:bCs/>
          <w:color w:val="auto"/>
          <w:sz w:val="21"/>
          <w:szCs w:val="21"/>
          <w:highlight w:val="none"/>
        </w:rPr>
      </w:pPr>
      <w:bookmarkStart w:id="37" w:name="_Toc35393626"/>
      <w:bookmarkStart w:id="38" w:name="_Toc35393795"/>
      <w:r>
        <w:rPr>
          <w:rFonts w:hint="eastAsia" w:ascii="Times New Roman" w:hAnsi="Times New Roman" w:eastAsia="宋体" w:cs="宋体"/>
          <w:b/>
          <w:bCs/>
          <w:color w:val="auto"/>
          <w:sz w:val="21"/>
          <w:szCs w:val="21"/>
          <w:highlight w:val="none"/>
        </w:rPr>
        <w:t>七、其他补充事宜</w:t>
      </w:r>
      <w:bookmarkEnd w:id="37"/>
      <w:bookmarkEnd w:id="38"/>
    </w:p>
    <w:p w14:paraId="041C2442">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bookmarkStart w:id="39" w:name="_Hlk37429585"/>
      <w:r>
        <w:rPr>
          <w:rFonts w:hint="eastAsia" w:ascii="Times New Roman" w:hAnsi="Times New Roman" w:eastAsia="宋体" w:cs="宋体"/>
          <w:color w:val="auto"/>
          <w:kern w:val="0"/>
          <w:sz w:val="21"/>
          <w:szCs w:val="21"/>
          <w:highlight w:val="none"/>
        </w:rPr>
        <w:t>1.磋商保证金：</w:t>
      </w:r>
      <w:r>
        <w:rPr>
          <w:rFonts w:hint="eastAsia" w:ascii="Times New Roman" w:hAnsi="Times New Roman" w:cs="宋体"/>
          <w:b/>
          <w:bCs/>
          <w:color w:val="auto"/>
          <w:kern w:val="0"/>
          <w:sz w:val="21"/>
          <w:szCs w:val="21"/>
          <w:highlight w:val="none"/>
          <w:lang w:val="en-US" w:eastAsia="zh-CN"/>
        </w:rPr>
        <w:t>本项目无须缴纳</w:t>
      </w:r>
      <w:r>
        <w:rPr>
          <w:rFonts w:hint="eastAsia"/>
          <w:b/>
          <w:bCs/>
          <w:color w:val="auto"/>
          <w:lang w:eastAsia="zh-CN"/>
        </w:rPr>
        <w:t>磋商</w:t>
      </w:r>
      <w:r>
        <w:rPr>
          <w:rFonts w:hint="eastAsia" w:ascii="Times New Roman" w:hAnsi="Times New Roman" w:cs="宋体"/>
          <w:b/>
          <w:bCs/>
          <w:color w:val="auto"/>
          <w:kern w:val="0"/>
          <w:sz w:val="21"/>
          <w:szCs w:val="21"/>
          <w:highlight w:val="none"/>
          <w:lang w:val="en-US" w:eastAsia="zh-CN"/>
        </w:rPr>
        <w:t>保证金。</w:t>
      </w:r>
    </w:p>
    <w:p w14:paraId="468522D4">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2.</w:t>
      </w:r>
      <w:bookmarkStart w:id="40" w:name="_Hlk37429595"/>
      <w:r>
        <w:rPr>
          <w:rFonts w:hint="eastAsia" w:ascii="Times New Roman" w:hAnsi="Times New Roman" w:eastAsia="宋体" w:cs="宋体"/>
          <w:color w:val="auto"/>
          <w:kern w:val="0"/>
          <w:sz w:val="21"/>
          <w:szCs w:val="21"/>
          <w:highlight w:val="none"/>
        </w:rPr>
        <w:t>网上查询地址</w:t>
      </w:r>
    </w:p>
    <w:bookmarkEnd w:id="39"/>
    <w:bookmarkEnd w:id="40"/>
    <w:p w14:paraId="6706CFEB">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bookmarkStart w:id="41" w:name="_Hlk37429674"/>
      <w:r>
        <w:rPr>
          <w:rFonts w:hint="eastAsia" w:ascii="Times New Roman" w:hAnsi="Times New Roman" w:eastAsia="宋体" w:cs="宋体"/>
          <w:color w:val="auto"/>
          <w:kern w:val="0"/>
          <w:sz w:val="21"/>
          <w:szCs w:val="21"/>
          <w:highlight w:val="none"/>
        </w:rPr>
        <w:t>中国政府采购网（http://www.ccgp.gov.cn/）、</w:t>
      </w:r>
      <w:r>
        <w:rPr>
          <w:rFonts w:hint="eastAsia" w:ascii="Times New Roman" w:hAnsi="Times New Roman" w:cs="宋体"/>
          <w:color w:val="auto"/>
          <w:kern w:val="0"/>
          <w:sz w:val="21"/>
          <w:szCs w:val="21"/>
          <w:highlight w:val="none"/>
          <w:lang w:eastAsia="zh-CN"/>
        </w:rPr>
        <w:t>广西政府采购网（http://zfcg.gxzf.gov.cn/）</w:t>
      </w:r>
      <w:r>
        <w:rPr>
          <w:rFonts w:hint="eastAsia" w:ascii="Times New Roman" w:hAnsi="Times New Roman" w:eastAsia="宋体" w:cs="宋体"/>
          <w:color w:val="auto"/>
          <w:kern w:val="0"/>
          <w:sz w:val="21"/>
          <w:szCs w:val="21"/>
          <w:highlight w:val="none"/>
        </w:rPr>
        <w:t>。</w:t>
      </w:r>
    </w:p>
    <w:p w14:paraId="48B6D3DF">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3</w:t>
      </w:r>
      <w:r>
        <w:rPr>
          <w:rFonts w:hint="eastAsia" w:ascii="Times New Roman" w:hAnsi="Times New Roman" w:eastAsia="宋体" w:cs="宋体"/>
          <w:color w:val="auto"/>
          <w:sz w:val="21"/>
          <w:szCs w:val="21"/>
          <w:highlight w:val="none"/>
        </w:rPr>
        <w:t>.</w:t>
      </w:r>
      <w:r>
        <w:rPr>
          <w:rFonts w:hint="eastAsia" w:ascii="Times New Roman" w:hAnsi="Times New Roman" w:eastAsia="宋体" w:cs="宋体"/>
          <w:color w:val="auto"/>
          <w:kern w:val="0"/>
          <w:sz w:val="21"/>
          <w:szCs w:val="21"/>
          <w:highlight w:val="none"/>
        </w:rPr>
        <w:t>本项目需要落实的政府采购政策</w:t>
      </w:r>
    </w:p>
    <w:p w14:paraId="0961DB9F">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（1）政府采购促进中小企业发展。</w:t>
      </w:r>
    </w:p>
    <w:p w14:paraId="74B2E964">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（2）政府采购支持采用本国产品的政策。</w:t>
      </w:r>
    </w:p>
    <w:p w14:paraId="3CCF449F">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（3）强制采购节能产品；优先采购节能产品、环境标志产品。</w:t>
      </w:r>
    </w:p>
    <w:p w14:paraId="4D170096">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（4）政府采购促进残疾人就业政策。</w:t>
      </w:r>
    </w:p>
    <w:p w14:paraId="63B6385C">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（5）政府采购支持监狱企业发展。</w:t>
      </w:r>
      <w:bookmarkEnd w:id="41"/>
    </w:p>
    <w:p w14:paraId="4191FDE6">
      <w:pPr>
        <w:keepNext w:val="0"/>
        <w:keepLines w:val="0"/>
        <w:pageBreakBefore w:val="0"/>
        <w:kinsoku/>
        <w:wordWrap/>
        <w:overflowPunct/>
        <w:topLinePunct w:val="0"/>
        <w:autoSpaceDE/>
        <w:autoSpaceDN/>
        <w:bidi w:val="0"/>
        <w:adjustRightInd/>
        <w:snapToGrid w:val="0"/>
        <w:spacing w:line="360" w:lineRule="auto"/>
        <w:ind w:firstLine="420" w:firstLineChars="200"/>
        <w:jc w:val="left"/>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kern w:val="0"/>
          <w:sz w:val="21"/>
          <w:szCs w:val="21"/>
          <w:highlight w:val="none"/>
        </w:rPr>
        <w:t>4.</w:t>
      </w:r>
      <w:r>
        <w:rPr>
          <w:rFonts w:hint="eastAsia" w:ascii="Times New Roman" w:hAnsi="Times New Roman" w:eastAsia="宋体" w:cs="宋体"/>
          <w:color w:val="auto"/>
          <w:sz w:val="21"/>
          <w:szCs w:val="21"/>
          <w:highlight w:val="none"/>
        </w:rPr>
        <w:t>单位负责人为同一人或者存在直接控股、管理关系的不同供应商，不得参加同一合同项下的政府采购活动。为本项目提供过整体设计、规范编制或者项目管理、监理、检测等服务的供应商，不得再参加本项目上述服务以外的其他采购活动。</w:t>
      </w:r>
    </w:p>
    <w:p w14:paraId="4AA9F1BF">
      <w:pPr>
        <w:keepNext w:val="0"/>
        <w:keepLines w:val="0"/>
        <w:pageBreakBefore w:val="0"/>
        <w:kinsoku/>
        <w:wordWrap/>
        <w:overflowPunct/>
        <w:topLinePunct w:val="0"/>
        <w:autoSpaceDE/>
        <w:autoSpaceDN/>
        <w:bidi w:val="0"/>
        <w:adjustRightInd/>
        <w:snapToGrid w:val="0"/>
        <w:spacing w:line="360" w:lineRule="auto"/>
        <w:ind w:firstLine="420" w:firstLineChars="200"/>
        <w:jc w:val="left"/>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5.对在</w:t>
      </w: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rPr>
        <w:t>信用中国</w:t>
      </w: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rPr>
        <w:t>网站（www.creditchina.gov.cn）、中国政府采购网（www.ccgp.gov.cn）被列入失信被执行人、重大税收违法失信主体、政府采购严重违法失信行为记录名单及其他不符合《中华人民共和国政府采购法》第二十二条规定条件的供应商，不得参与政府采购活动。</w:t>
      </w:r>
    </w:p>
    <w:p w14:paraId="462FF49B">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b/>
          <w:bCs/>
          <w:color w:val="auto"/>
          <w:kern w:val="0"/>
          <w:sz w:val="21"/>
          <w:szCs w:val="21"/>
          <w:highlight w:val="none"/>
        </w:rPr>
        <w:t>6.</w:t>
      </w:r>
      <w:r>
        <w:rPr>
          <w:rFonts w:hint="eastAsia" w:ascii="Times New Roman" w:hAnsi="Times New Roman" w:eastAsia="宋体" w:cs="宋体"/>
          <w:b/>
          <w:bCs/>
          <w:color w:val="auto"/>
          <w:sz w:val="21"/>
          <w:szCs w:val="21"/>
          <w:highlight w:val="none"/>
        </w:rPr>
        <w:t>在线竞标的有关说明</w:t>
      </w:r>
      <w:r>
        <w:rPr>
          <w:rFonts w:hint="eastAsia" w:ascii="Times New Roman" w:hAnsi="Times New Roman" w:eastAsia="宋体" w:cs="宋体"/>
          <w:b/>
          <w:bCs/>
          <w:color w:val="auto"/>
          <w:kern w:val="0"/>
          <w:sz w:val="21"/>
          <w:szCs w:val="21"/>
          <w:highlight w:val="none"/>
        </w:rPr>
        <w:t>：</w:t>
      </w:r>
    </w:p>
    <w:p w14:paraId="59D9A7DB">
      <w:pPr>
        <w:keepNext w:val="0"/>
        <w:keepLines w:val="0"/>
        <w:pageBreakBefore w:val="0"/>
        <w:widowControl/>
        <w:kinsoku/>
        <w:wordWrap/>
        <w:overflowPunct/>
        <w:topLinePunct w:val="0"/>
        <w:autoSpaceDE/>
        <w:autoSpaceDN/>
        <w:bidi w:val="0"/>
        <w:adjustRightInd/>
        <w:spacing w:line="360" w:lineRule="auto"/>
        <w:ind w:firstLine="420" w:firstLineChars="200"/>
        <w:jc w:val="both"/>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（1）响应文件提交方式：本项目为全流程电子化项目，通过</w:t>
      </w:r>
      <w:r>
        <w:rPr>
          <w:rFonts w:hint="eastAsia" w:ascii="Times New Roman" w:hAnsi="Times New Roman" w:eastAsia="宋体" w:cs="宋体"/>
          <w:b w:val="0"/>
          <w:bCs w:val="0"/>
          <w:color w:val="auto"/>
          <w:sz w:val="21"/>
          <w:szCs w:val="21"/>
          <w:highlight w:val="none"/>
          <w:lang w:val="en-US" w:eastAsia="zh-CN"/>
        </w:rPr>
        <w:t>广西政府采购云平台（https://www.gcy.zfcg.gxzf.gov.cn/）</w:t>
      </w:r>
      <w:r>
        <w:rPr>
          <w:rFonts w:hint="eastAsia" w:ascii="Times New Roman" w:hAnsi="Times New Roman" w:eastAsia="宋体" w:cs="宋体"/>
          <w:color w:val="auto"/>
          <w:sz w:val="21"/>
          <w:szCs w:val="21"/>
          <w:highlight w:val="none"/>
        </w:rPr>
        <w:t>实行在线电子响应，供应商应先安装</w:t>
      </w:r>
      <w:r>
        <w:rPr>
          <w:rFonts w:hint="eastAsia" w:ascii="Times New Roman" w:hAnsi="Times New Roman" w:eastAsia="宋体" w:cs="宋体"/>
          <w:b w:val="0"/>
          <w:bCs w:val="0"/>
          <w:color w:val="auto"/>
          <w:sz w:val="21"/>
          <w:szCs w:val="21"/>
          <w:highlight w:val="none"/>
          <w:lang w:val="en-US" w:eastAsia="zh-CN"/>
        </w:rPr>
        <w:t>广西政府采购云平台新版客户端</w:t>
      </w:r>
      <w:r>
        <w:rPr>
          <w:rFonts w:hint="eastAsia" w:ascii="Times New Roman" w:hAnsi="Times New Roman" w:eastAsia="宋体" w:cs="宋体"/>
          <w:color w:val="auto"/>
          <w:sz w:val="21"/>
          <w:szCs w:val="21"/>
          <w:highlight w:val="none"/>
        </w:rPr>
        <w:t>（新版</w:t>
      </w:r>
      <w:r>
        <w:rPr>
          <w:rFonts w:hint="eastAsia" w:ascii="Times New Roman" w:hAnsi="Times New Roman" w:eastAsia="宋体" w:cs="宋体"/>
          <w:i w:val="0"/>
          <w:caps w:val="0"/>
          <w:color w:val="auto"/>
          <w:spacing w:val="0"/>
          <w:sz w:val="21"/>
          <w:szCs w:val="21"/>
          <w:highlight w:val="none"/>
        </w:rPr>
        <w:t>客户端下载路径：广西政府采购网（访问地址http://zfcg.gxzf.gov.cn/）—办事服务—下载专区</w:t>
      </w:r>
      <w:r>
        <w:rPr>
          <w:rFonts w:hint="eastAsia" w:ascii="Times New Roman" w:hAnsi="Times New Roman" w:eastAsia="宋体" w:cs="宋体"/>
          <w:color w:val="auto"/>
          <w:sz w:val="21"/>
          <w:szCs w:val="21"/>
          <w:highlight w:val="none"/>
        </w:rPr>
        <w:t>），并按照本项目采购文件和</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sz w:val="21"/>
          <w:szCs w:val="21"/>
          <w:highlight w:val="none"/>
        </w:rPr>
        <w:t>的要求编制、加密后在</w:t>
      </w:r>
      <w:r>
        <w:rPr>
          <w:rFonts w:hint="eastAsia" w:ascii="Times New Roman" w:hAnsi="Times New Roman" w:eastAsia="宋体" w:cs="宋体"/>
          <w:color w:val="auto"/>
          <w:sz w:val="21"/>
          <w:szCs w:val="21"/>
          <w:highlight w:val="none"/>
          <w:lang w:eastAsia="zh-CN"/>
        </w:rPr>
        <w:t>响应文件提交</w:t>
      </w:r>
      <w:r>
        <w:rPr>
          <w:rFonts w:hint="eastAsia" w:ascii="Times New Roman" w:hAnsi="Times New Roman" w:eastAsia="宋体" w:cs="宋体"/>
          <w:color w:val="auto"/>
          <w:sz w:val="21"/>
          <w:szCs w:val="21"/>
          <w:highlight w:val="none"/>
        </w:rPr>
        <w:t>截止时间前通过网络上传至</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sz w:val="21"/>
          <w:szCs w:val="21"/>
          <w:highlight w:val="none"/>
        </w:rPr>
        <w:t>，</w:t>
      </w:r>
      <w:r>
        <w:rPr>
          <w:rFonts w:hint="eastAsia" w:ascii="Times New Roman" w:hAnsi="Times New Roman" w:eastAsia="宋体" w:cs="宋体"/>
          <w:b/>
          <w:color w:val="auto"/>
          <w:sz w:val="21"/>
          <w:szCs w:val="21"/>
          <w:highlight w:val="none"/>
        </w:rPr>
        <w:t>供应商在</w:t>
      </w:r>
      <w:r>
        <w:rPr>
          <w:rFonts w:hint="eastAsia" w:ascii="Times New Roman" w:hAnsi="Times New Roman" w:eastAsia="宋体" w:cs="宋体"/>
          <w:b/>
          <w:bCs w:val="0"/>
          <w:color w:val="auto"/>
          <w:sz w:val="21"/>
          <w:szCs w:val="21"/>
          <w:highlight w:val="none"/>
          <w:lang w:val="en-US" w:eastAsia="zh-CN"/>
        </w:rPr>
        <w:t>广西政府采购云平台</w:t>
      </w:r>
      <w:r>
        <w:rPr>
          <w:rFonts w:hint="eastAsia" w:ascii="Times New Roman" w:hAnsi="Times New Roman" w:eastAsia="宋体" w:cs="宋体"/>
          <w:b/>
          <w:color w:val="auto"/>
          <w:sz w:val="21"/>
          <w:szCs w:val="21"/>
          <w:highlight w:val="none"/>
        </w:rPr>
        <w:t>提交电子版响应文件时，请填写参加远程开标活动经办人联系方式</w:t>
      </w:r>
      <w:r>
        <w:rPr>
          <w:rFonts w:hint="eastAsia" w:ascii="Times New Roman" w:hAnsi="Times New Roman" w:eastAsia="宋体" w:cs="宋体"/>
          <w:color w:val="auto"/>
          <w:sz w:val="21"/>
          <w:szCs w:val="21"/>
          <w:highlight w:val="none"/>
        </w:rPr>
        <w:t>。</w:t>
      </w:r>
    </w:p>
    <w:p w14:paraId="26666EBF">
      <w:pPr>
        <w:keepNext w:val="0"/>
        <w:keepLines w:val="0"/>
        <w:pageBreakBefore w:val="0"/>
        <w:widowControl/>
        <w:kinsoku/>
        <w:wordWrap/>
        <w:overflowPunct/>
        <w:topLinePunct w:val="0"/>
        <w:autoSpaceDE/>
        <w:autoSpaceDN/>
        <w:bidi w:val="0"/>
        <w:adjustRightInd/>
        <w:spacing w:line="360" w:lineRule="auto"/>
        <w:ind w:firstLine="420" w:firstLineChars="200"/>
        <w:jc w:val="left"/>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（2）未进行网上注册并办理数字证书（CA认证）的供应商将无法参与本项目政府采购活动，潜在供应商应当在</w:t>
      </w:r>
      <w:r>
        <w:rPr>
          <w:rFonts w:hint="eastAsia" w:ascii="Times New Roman" w:hAnsi="Times New Roman" w:eastAsia="宋体" w:cs="宋体"/>
          <w:color w:val="auto"/>
          <w:sz w:val="21"/>
          <w:szCs w:val="21"/>
          <w:highlight w:val="none"/>
          <w:lang w:eastAsia="zh-CN"/>
        </w:rPr>
        <w:t>首次响应文件提交</w:t>
      </w:r>
      <w:r>
        <w:rPr>
          <w:rFonts w:hint="eastAsia" w:ascii="Times New Roman" w:hAnsi="Times New Roman" w:eastAsia="宋体" w:cs="宋体"/>
          <w:color w:val="auto"/>
          <w:sz w:val="21"/>
          <w:szCs w:val="21"/>
          <w:highlight w:val="none"/>
        </w:rPr>
        <w:t>截止时间前，完成电子交易平台上的CA数字证书办理及响应文件的提交</w:t>
      </w:r>
      <w:r>
        <w:rPr>
          <w:rFonts w:hint="eastAsia" w:ascii="Times New Roman" w:hAnsi="Times New Roman" w:eastAsia="宋体" w:cs="宋体"/>
          <w:color w:val="auto"/>
          <w:sz w:val="21"/>
          <w:szCs w:val="21"/>
          <w:highlight w:val="none"/>
          <w:lang w:eastAsia="zh-CN"/>
        </w:rPr>
        <w:t>。</w:t>
      </w:r>
    </w:p>
    <w:p w14:paraId="07791D80">
      <w:pPr>
        <w:keepNext w:val="0"/>
        <w:keepLines w:val="0"/>
        <w:pageBreakBefore w:val="0"/>
        <w:widowControl/>
        <w:kinsoku/>
        <w:wordWrap/>
        <w:overflowPunct/>
        <w:topLinePunct w:val="0"/>
        <w:autoSpaceDE/>
        <w:autoSpaceDN/>
        <w:bidi w:val="0"/>
        <w:adjustRightInd/>
        <w:spacing w:line="360" w:lineRule="auto"/>
        <w:ind w:firstLine="420" w:firstLineChars="200"/>
        <w:jc w:val="left"/>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（3）为确保网上操作合法、有效和安全，请供应商确保在电子响应过程中能够对相关数据电文进行加密和使用电子签章，妥善保管CA数字证书并使用有效的CA数字证书参与整个采购活动。</w:t>
      </w:r>
    </w:p>
    <w:p w14:paraId="16F470C4">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
          <w:bCs w:val="0"/>
          <w:color w:val="auto"/>
          <w:sz w:val="21"/>
          <w:szCs w:val="21"/>
          <w:highlight w:val="none"/>
          <w:u w:val="single"/>
        </w:rPr>
      </w:pPr>
      <w:r>
        <w:rPr>
          <w:rFonts w:hint="eastAsia" w:ascii="Times New Roman" w:hAnsi="Times New Roman" w:eastAsia="宋体" w:cs="宋体"/>
          <w:b/>
          <w:bCs w:val="0"/>
          <w:color w:val="auto"/>
          <w:sz w:val="21"/>
          <w:szCs w:val="21"/>
          <w:highlight w:val="none"/>
          <w:u w:val="single"/>
        </w:rPr>
        <w:t>注：供应商应当在首次响应文件提交截止时间前完成电子响应文件的上传、递交，响应文件提交截止时间前可以补充、修改或者撤回响应文件。补充或者修改响应文件的，应当先行撤回原文件，补充、修改后重新上传、递交。</w:t>
      </w:r>
      <w:r>
        <w:rPr>
          <w:rFonts w:hint="eastAsia" w:ascii="Times New Roman" w:hAnsi="Times New Roman" w:eastAsia="宋体" w:cs="宋体"/>
          <w:b/>
          <w:color w:val="auto"/>
          <w:sz w:val="21"/>
          <w:szCs w:val="21"/>
          <w:highlight w:val="none"/>
          <w:u w:val="single"/>
          <w:lang w:eastAsia="zh-CN"/>
        </w:rPr>
        <w:t>响应文件提交</w:t>
      </w:r>
      <w:r>
        <w:rPr>
          <w:rFonts w:hint="eastAsia" w:ascii="Times New Roman" w:hAnsi="Times New Roman" w:eastAsia="宋体" w:cs="宋体"/>
          <w:b/>
          <w:bCs w:val="0"/>
          <w:color w:val="auto"/>
          <w:sz w:val="21"/>
          <w:szCs w:val="21"/>
          <w:highlight w:val="none"/>
          <w:u w:val="single"/>
        </w:rPr>
        <w:t>截止时间前未完成上传、递交的，视为撤回响应文件。响应文件提交截止时间以后上传递交的响应文件的，</w:t>
      </w:r>
      <w:r>
        <w:rPr>
          <w:rFonts w:hint="eastAsia" w:ascii="Times New Roman" w:hAnsi="Times New Roman" w:eastAsia="宋体" w:cs="宋体"/>
          <w:b/>
          <w:bCs w:val="0"/>
          <w:color w:val="auto"/>
          <w:sz w:val="21"/>
          <w:szCs w:val="21"/>
          <w:highlight w:val="none"/>
          <w:u w:val="single"/>
          <w:lang w:val="en-US" w:eastAsia="zh-CN"/>
        </w:rPr>
        <w:t>广西政府采购云平台</w:t>
      </w:r>
      <w:r>
        <w:rPr>
          <w:rFonts w:hint="eastAsia" w:ascii="Times New Roman" w:hAnsi="Times New Roman" w:eastAsia="宋体" w:cs="宋体"/>
          <w:b/>
          <w:bCs w:val="0"/>
          <w:color w:val="auto"/>
          <w:sz w:val="21"/>
          <w:szCs w:val="21"/>
          <w:highlight w:val="none"/>
          <w:u w:val="single"/>
        </w:rPr>
        <w:t>将予以拒收。</w:t>
      </w:r>
    </w:p>
    <w:p w14:paraId="1725E22B">
      <w:pPr>
        <w:keepNext w:val="0"/>
        <w:keepLines w:val="0"/>
        <w:pageBreakBefore w:val="0"/>
        <w:kinsoku/>
        <w:wordWrap/>
        <w:overflowPunct/>
        <w:topLinePunct w:val="0"/>
        <w:autoSpaceDE/>
        <w:autoSpaceDN/>
        <w:bidi w:val="0"/>
        <w:adjustRightInd/>
        <w:snapToGrid w:val="0"/>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lang w:val="en-US" w:eastAsia="zh-CN"/>
        </w:rPr>
        <w:t>4</w:t>
      </w: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rPr>
        <w:t>CA证书在线解密：首次响应文件开启时，需要供应商携带制作响应文件时用来加密的有效数字证书（CA认证）登录</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kern w:val="0"/>
          <w:sz w:val="21"/>
          <w:szCs w:val="21"/>
          <w:highlight w:val="none"/>
        </w:rPr>
        <w:t>电子开标大厅现场按规定时间对加密的响应文件进行解密。</w:t>
      </w:r>
    </w:p>
    <w:p w14:paraId="0E234986">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lang w:val="en-US" w:eastAsia="zh-CN"/>
        </w:rPr>
        <w:t>5</w:t>
      </w: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rPr>
        <w:t>供应商需要在具备有摄像头及语音功能且互联网网络状况良好的电脑登录</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kern w:val="0"/>
          <w:sz w:val="21"/>
          <w:szCs w:val="21"/>
          <w:highlight w:val="none"/>
        </w:rPr>
        <w:t>远程开标大厅参与本次磋商，否则后果自负。</w:t>
      </w:r>
    </w:p>
    <w:p w14:paraId="361DF980">
      <w:pPr>
        <w:keepNext w:val="0"/>
        <w:keepLines w:val="0"/>
        <w:pageBreakBefore w:val="0"/>
        <w:kinsoku/>
        <w:wordWrap/>
        <w:overflowPunct/>
        <w:topLinePunct w:val="0"/>
        <w:autoSpaceDE/>
        <w:autoSpaceDN/>
        <w:bidi w:val="0"/>
        <w:adjustRightInd/>
        <w:spacing w:line="360" w:lineRule="auto"/>
        <w:ind w:firstLine="420" w:firstLineChars="200"/>
        <w:textAlignment w:val="auto"/>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lang w:val="en-US" w:eastAsia="zh-CN"/>
        </w:rPr>
        <w:t>7</w:t>
      </w:r>
      <w:r>
        <w:rPr>
          <w:rFonts w:hint="eastAsia" w:ascii="Times New Roman" w:hAnsi="Times New Roman" w:eastAsia="宋体" w:cs="宋体"/>
          <w:color w:val="auto"/>
          <w:kern w:val="0"/>
          <w:sz w:val="21"/>
          <w:szCs w:val="21"/>
          <w:highlight w:val="none"/>
        </w:rPr>
        <w:t>.若对项目采购电子交易系统操作有疑问，可登录</w:t>
      </w:r>
      <w:r>
        <w:rPr>
          <w:rFonts w:hint="eastAsia" w:ascii="Times New Roman" w:hAnsi="Times New Roman" w:eastAsia="宋体" w:cs="宋体"/>
          <w:b w:val="0"/>
          <w:bCs w:val="0"/>
          <w:color w:val="auto"/>
          <w:sz w:val="21"/>
          <w:szCs w:val="21"/>
          <w:highlight w:val="none"/>
          <w:lang w:val="en-US" w:eastAsia="zh-CN"/>
        </w:rPr>
        <w:t>广西政府采购云平台（https://www.gcy.zfcg.gxzf.gov.cn/）</w:t>
      </w:r>
      <w:r>
        <w:rPr>
          <w:rFonts w:hint="eastAsia" w:ascii="Times New Roman" w:hAnsi="Times New Roman" w:eastAsia="宋体" w:cs="宋体"/>
          <w:color w:val="auto"/>
          <w:kern w:val="0"/>
          <w:sz w:val="21"/>
          <w:szCs w:val="21"/>
          <w:highlight w:val="none"/>
        </w:rPr>
        <w:t>，点击右侧咨询小采，获取采小蜜智能服务管家帮助，或拨打</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kern w:val="0"/>
          <w:sz w:val="21"/>
          <w:szCs w:val="21"/>
          <w:highlight w:val="none"/>
        </w:rPr>
        <w:t>服务热线</w:t>
      </w:r>
      <w:r>
        <w:rPr>
          <w:rFonts w:hint="eastAsia" w:ascii="Times New Roman" w:hAnsi="Times New Roman" w:eastAsia="宋体" w:cs="宋体"/>
          <w:color w:val="auto"/>
          <w:kern w:val="0"/>
          <w:sz w:val="21"/>
          <w:szCs w:val="21"/>
          <w:highlight w:val="none"/>
          <w:lang w:val="en-US" w:eastAsia="zh-CN"/>
        </w:rPr>
        <w:t>95763</w:t>
      </w:r>
      <w:r>
        <w:rPr>
          <w:rFonts w:hint="eastAsia" w:ascii="Times New Roman" w:hAnsi="Times New Roman" w:eastAsia="宋体" w:cs="宋体"/>
          <w:color w:val="auto"/>
          <w:kern w:val="0"/>
          <w:sz w:val="21"/>
          <w:szCs w:val="21"/>
          <w:highlight w:val="none"/>
        </w:rPr>
        <w:t>获取热线服务帮助。</w:t>
      </w:r>
    </w:p>
    <w:p w14:paraId="2E6BCCAA">
      <w:pPr>
        <w:keepNext w:val="0"/>
        <w:keepLines w:val="0"/>
        <w:pageBreakBefore w:val="0"/>
        <w:kinsoku/>
        <w:wordWrap/>
        <w:overflowPunct/>
        <w:topLinePunct w:val="0"/>
        <w:autoSpaceDE/>
        <w:autoSpaceDN/>
        <w:bidi w:val="0"/>
        <w:adjustRightInd/>
        <w:spacing w:line="360" w:lineRule="auto"/>
        <w:ind w:firstLine="422" w:firstLineChars="200"/>
        <w:textAlignment w:val="auto"/>
        <w:rPr>
          <w:rFonts w:hint="eastAsia" w:ascii="Times New Roman" w:hAnsi="Times New Roman" w:eastAsia="宋体" w:cs="宋体"/>
          <w:bCs/>
          <w:color w:val="auto"/>
          <w:sz w:val="21"/>
          <w:szCs w:val="21"/>
          <w:highlight w:val="none"/>
        </w:rPr>
      </w:pPr>
      <w:r>
        <w:rPr>
          <w:rFonts w:hint="eastAsia" w:ascii="Times New Roman" w:hAnsi="Times New Roman" w:eastAsia="宋体" w:cs="宋体"/>
          <w:b/>
          <w:color w:val="auto"/>
          <w:kern w:val="44"/>
          <w:sz w:val="21"/>
          <w:szCs w:val="21"/>
          <w:highlight w:val="none"/>
        </w:rPr>
        <w:t>八、凡对本次采购提出询问，请按以下方式联系。</w:t>
      </w:r>
    </w:p>
    <w:p w14:paraId="65DD612E">
      <w:pPr>
        <w:keepNext w:val="0"/>
        <w:keepLines w:val="0"/>
        <w:pageBreakBefore w:val="0"/>
        <w:widowControl w:val="0"/>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cs="宋体"/>
          <w:b/>
          <w:bCs/>
          <w:color w:val="auto"/>
          <w:sz w:val="21"/>
          <w:szCs w:val="21"/>
          <w:highlight w:val="none"/>
        </w:rPr>
      </w:pPr>
      <w:bookmarkStart w:id="42" w:name="OLE_LINK22"/>
      <w:r>
        <w:rPr>
          <w:rFonts w:hint="eastAsia" w:ascii="Times New Roman" w:hAnsi="Times New Roman" w:eastAsia="宋体" w:cs="宋体"/>
          <w:b/>
          <w:bCs/>
          <w:color w:val="auto"/>
          <w:sz w:val="21"/>
          <w:szCs w:val="21"/>
          <w:highlight w:val="none"/>
        </w:rPr>
        <w:t>1.采购人信息</w:t>
      </w:r>
    </w:p>
    <w:p w14:paraId="3FC38F75">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名   称：</w:t>
      </w:r>
      <w:r>
        <w:rPr>
          <w:rFonts w:hint="eastAsia" w:ascii="Times New Roman" w:hAnsi="Times New Roman" w:eastAsia="宋体" w:cs="宋体"/>
          <w:color w:val="auto"/>
          <w:sz w:val="21"/>
          <w:szCs w:val="21"/>
          <w:highlight w:val="none"/>
          <w:lang w:eastAsia="zh-CN"/>
        </w:rPr>
        <w:t>桂林航天工业学院</w:t>
      </w:r>
    </w:p>
    <w:p w14:paraId="2332E23E">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地</w:t>
      </w:r>
      <w:r>
        <w:rPr>
          <w:rFonts w:hint="eastAsia" w:ascii="Times New Roman" w:hAnsi="Times New Roman" w:eastAsia="宋体" w:cs="宋体"/>
          <w:color w:val="auto"/>
          <w:sz w:val="21"/>
          <w:szCs w:val="21"/>
          <w:highlight w:val="none"/>
          <w:lang w:val="en-US" w:eastAsia="zh-CN"/>
        </w:rPr>
        <w:t xml:space="preserve">   </w:t>
      </w:r>
      <w:r>
        <w:rPr>
          <w:rFonts w:hint="eastAsia" w:ascii="Times New Roman" w:hAnsi="Times New Roman" w:eastAsia="宋体" w:cs="宋体"/>
          <w:color w:val="auto"/>
          <w:sz w:val="21"/>
          <w:szCs w:val="21"/>
          <w:highlight w:val="none"/>
        </w:rPr>
        <w:t>址：</w:t>
      </w:r>
      <w:r>
        <w:rPr>
          <w:rFonts w:hint="eastAsia" w:ascii="Times New Roman" w:hAnsi="Times New Roman" w:eastAsia="宋体" w:cs="宋体"/>
          <w:color w:val="auto"/>
          <w:sz w:val="21"/>
          <w:szCs w:val="21"/>
          <w:highlight w:val="none"/>
          <w:lang w:eastAsia="zh-CN"/>
        </w:rPr>
        <w:t>桂林市金鸡路2号桂林航天工业学院南校区</w:t>
      </w:r>
    </w:p>
    <w:p w14:paraId="384704C4">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项目联系人：</w:t>
      </w:r>
      <w:r>
        <w:rPr>
          <w:rFonts w:hint="eastAsia" w:ascii="Times New Roman" w:hAnsi="Times New Roman" w:eastAsia="宋体" w:cs="宋体"/>
          <w:color w:val="auto"/>
          <w:sz w:val="21"/>
          <w:szCs w:val="21"/>
          <w:highlight w:val="none"/>
          <w:lang w:eastAsia="zh-CN"/>
        </w:rPr>
        <w:t>邓燕林</w:t>
      </w:r>
    </w:p>
    <w:p w14:paraId="13BC7C0A">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项目联系方式：</w:t>
      </w:r>
      <w:r>
        <w:rPr>
          <w:rFonts w:hint="eastAsia" w:ascii="Times New Roman" w:hAnsi="Times New Roman" w:eastAsia="宋体" w:cs="宋体"/>
          <w:color w:val="auto"/>
          <w:sz w:val="21"/>
          <w:szCs w:val="21"/>
          <w:highlight w:val="none"/>
          <w:lang w:eastAsia="zh-CN"/>
        </w:rPr>
        <w:t>0773-6796677</w:t>
      </w:r>
    </w:p>
    <w:p w14:paraId="56A7DFEE">
      <w:pPr>
        <w:keepNext w:val="0"/>
        <w:keepLines w:val="0"/>
        <w:pageBreakBefore w:val="0"/>
        <w:widowControl w:val="0"/>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cs="宋体"/>
          <w:b/>
          <w:bCs/>
          <w:color w:val="auto"/>
          <w:sz w:val="21"/>
          <w:szCs w:val="21"/>
          <w:highlight w:val="none"/>
        </w:rPr>
      </w:pPr>
      <w:r>
        <w:rPr>
          <w:rFonts w:hint="eastAsia" w:ascii="Times New Roman" w:hAnsi="Times New Roman" w:eastAsia="宋体" w:cs="宋体"/>
          <w:b/>
          <w:bCs/>
          <w:color w:val="auto"/>
          <w:sz w:val="21"/>
          <w:szCs w:val="21"/>
          <w:highlight w:val="none"/>
        </w:rPr>
        <w:t>2.采购代理机构信息</w:t>
      </w:r>
    </w:p>
    <w:p w14:paraId="0B1CD79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名</w:t>
      </w:r>
      <w:r>
        <w:rPr>
          <w:rFonts w:hint="eastAsia" w:ascii="Times New Roman" w:hAnsi="Times New Roman" w:eastAsia="宋体" w:cs="宋体"/>
          <w:color w:val="auto"/>
          <w:sz w:val="21"/>
          <w:szCs w:val="21"/>
          <w:highlight w:val="none"/>
          <w:lang w:val="en-US" w:eastAsia="zh-CN"/>
        </w:rPr>
        <w:t xml:space="preserve">   </w:t>
      </w:r>
      <w:r>
        <w:rPr>
          <w:rFonts w:hint="eastAsia" w:ascii="Times New Roman" w:hAnsi="Times New Roman" w:eastAsia="宋体" w:cs="宋体"/>
          <w:color w:val="auto"/>
          <w:sz w:val="21"/>
          <w:szCs w:val="21"/>
          <w:highlight w:val="none"/>
        </w:rPr>
        <w:t>称：广西科联招标中心有限公司</w:t>
      </w:r>
    </w:p>
    <w:p w14:paraId="3377D930">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地</w:t>
      </w:r>
      <w:r>
        <w:rPr>
          <w:rFonts w:hint="eastAsia" w:ascii="Times New Roman" w:hAnsi="Times New Roman" w:eastAsia="宋体" w:cs="宋体"/>
          <w:color w:val="auto"/>
          <w:sz w:val="21"/>
          <w:szCs w:val="21"/>
          <w:highlight w:val="none"/>
          <w:lang w:val="en-US" w:eastAsia="zh-CN"/>
        </w:rPr>
        <w:t xml:space="preserve">   </w:t>
      </w:r>
      <w:r>
        <w:rPr>
          <w:rFonts w:hint="eastAsia" w:ascii="Times New Roman" w:hAnsi="Times New Roman" w:eastAsia="宋体" w:cs="宋体"/>
          <w:color w:val="auto"/>
          <w:sz w:val="21"/>
          <w:szCs w:val="21"/>
          <w:highlight w:val="none"/>
        </w:rPr>
        <w:t>址：</w:t>
      </w:r>
      <w:r>
        <w:rPr>
          <w:rFonts w:hint="eastAsia" w:ascii="Times New Roman" w:hAnsi="Times New Roman" w:eastAsia="宋体" w:cs="宋体"/>
          <w:color w:val="auto"/>
          <w:sz w:val="21"/>
          <w:szCs w:val="21"/>
          <w:highlight w:val="none"/>
          <w:lang w:eastAsia="zh-CN"/>
        </w:rPr>
        <w:t>桂林市七星区东江路28号28-8栋</w:t>
      </w:r>
    </w:p>
    <w:p w14:paraId="3AFBB298">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项目联系人：</w:t>
      </w:r>
      <w:r>
        <w:rPr>
          <w:rFonts w:hint="eastAsia" w:ascii="Times New Roman" w:hAnsi="Times New Roman" w:eastAsia="宋体" w:cs="宋体"/>
          <w:color w:val="auto"/>
          <w:sz w:val="21"/>
          <w:szCs w:val="21"/>
          <w:highlight w:val="none"/>
          <w:lang w:val="en-US" w:eastAsia="zh-CN"/>
        </w:rPr>
        <w:t>刘亚都</w:t>
      </w:r>
    </w:p>
    <w:p w14:paraId="7CCB3275">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项目联系方式：</w:t>
      </w:r>
      <w:r>
        <w:rPr>
          <w:rFonts w:hint="eastAsia" w:ascii="Times New Roman" w:hAnsi="Times New Roman" w:eastAsia="宋体" w:cs="宋体"/>
          <w:color w:val="auto"/>
          <w:sz w:val="21"/>
          <w:szCs w:val="21"/>
          <w:highlight w:val="none"/>
          <w:lang w:eastAsia="zh-CN"/>
        </w:rPr>
        <w:t>0773-</w:t>
      </w:r>
      <w:r>
        <w:rPr>
          <w:rFonts w:hint="eastAsia" w:ascii="Times New Roman" w:hAnsi="Times New Roman" w:eastAsia="宋体" w:cs="宋体"/>
          <w:color w:val="auto"/>
          <w:sz w:val="21"/>
          <w:szCs w:val="21"/>
          <w:highlight w:val="none"/>
          <w:lang w:val="en-US" w:eastAsia="zh-CN"/>
        </w:rPr>
        <w:t>5442911</w:t>
      </w:r>
    </w:p>
    <w:p w14:paraId="68AD5466">
      <w:pPr>
        <w:keepNext w:val="0"/>
        <w:keepLines w:val="0"/>
        <w:pageBreakBefore w:val="0"/>
        <w:widowControl w:val="0"/>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cs="宋体"/>
          <w:b/>
          <w:bCs/>
          <w:color w:val="auto"/>
          <w:sz w:val="21"/>
          <w:szCs w:val="21"/>
          <w:highlight w:val="none"/>
        </w:rPr>
      </w:pPr>
      <w:r>
        <w:rPr>
          <w:rFonts w:hint="eastAsia" w:ascii="Times New Roman" w:hAnsi="Times New Roman" w:eastAsia="宋体" w:cs="宋体"/>
          <w:b/>
          <w:bCs/>
          <w:color w:val="auto"/>
          <w:sz w:val="21"/>
          <w:szCs w:val="21"/>
          <w:highlight w:val="none"/>
        </w:rPr>
        <w:t>3.项目联系方式</w:t>
      </w:r>
    </w:p>
    <w:p w14:paraId="53988F28">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项目联系人：</w:t>
      </w:r>
      <w:r>
        <w:rPr>
          <w:rFonts w:hint="eastAsia" w:ascii="Times New Roman" w:hAnsi="Times New Roman" w:eastAsia="宋体" w:cs="宋体"/>
          <w:color w:val="auto"/>
          <w:sz w:val="21"/>
          <w:szCs w:val="21"/>
          <w:highlight w:val="none"/>
          <w:lang w:val="en-US" w:eastAsia="zh-CN"/>
        </w:rPr>
        <w:t xml:space="preserve">欧阳清松  </w:t>
      </w:r>
      <w:r>
        <w:rPr>
          <w:rFonts w:hint="eastAsia" w:ascii="Times New Roman" w:hAnsi="Times New Roman" w:eastAsia="宋体" w:cs="宋体"/>
          <w:color w:val="auto"/>
          <w:sz w:val="21"/>
          <w:szCs w:val="21"/>
          <w:highlight w:val="none"/>
          <w:lang w:eastAsia="zh-CN"/>
        </w:rPr>
        <w:t>0773-2808163</w:t>
      </w:r>
    </w:p>
    <w:bookmarkEnd w:id="42"/>
    <w:p w14:paraId="29985180">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华文中宋" w:hAnsi="华文中宋" w:eastAsia="华文中宋" w:cs="华文中宋"/>
          <w:color w:val="auto"/>
          <w:sz w:val="32"/>
          <w:szCs w:val="32"/>
        </w:rPr>
      </w:pPr>
      <w:bookmarkStart w:id="43" w:name="_Toc80886926"/>
      <w:bookmarkStart w:id="44" w:name="_Toc7184"/>
      <w:bookmarkStart w:id="45" w:name="_Toc9127"/>
      <w:bookmarkStart w:id="46" w:name="_Toc29321"/>
      <w:bookmarkStart w:id="47" w:name="_Toc11093"/>
      <w:bookmarkStart w:id="48" w:name="_Toc25520"/>
      <w:bookmarkStart w:id="49" w:name="_Toc22760"/>
      <w:r>
        <w:rPr>
          <w:rFonts w:hint="eastAsia" w:ascii="Cambria" w:hAnsi="Cambria"/>
          <w:bCs w:val="0"/>
          <w:color w:val="auto"/>
          <w:sz w:val="32"/>
          <w:szCs w:val="32"/>
          <w:highlight w:val="none"/>
        </w:rPr>
        <w:br w:type="page"/>
      </w:r>
      <w:bookmarkStart w:id="50" w:name="_Toc933"/>
      <w:bookmarkStart w:id="51" w:name="_Toc7342"/>
      <w:bookmarkStart w:id="52" w:name="_Toc9190"/>
      <w:r>
        <w:rPr>
          <w:rFonts w:hint="eastAsia" w:ascii="华文中宋" w:hAnsi="华文中宋" w:eastAsia="华文中宋" w:cs="华文中宋"/>
          <w:color w:val="auto"/>
          <w:sz w:val="32"/>
          <w:szCs w:val="32"/>
        </w:rPr>
        <w:t xml:space="preserve">第二章 </w:t>
      </w:r>
      <w:r>
        <w:rPr>
          <w:rFonts w:hint="eastAsia" w:ascii="华文中宋" w:hAnsi="华文中宋" w:eastAsia="华文中宋" w:cs="华文中宋"/>
          <w:color w:val="auto"/>
          <w:sz w:val="32"/>
          <w:szCs w:val="32"/>
          <w:lang w:val="en-US" w:eastAsia="zh-CN"/>
        </w:rPr>
        <w:t xml:space="preserve"> </w:t>
      </w:r>
      <w:r>
        <w:rPr>
          <w:rFonts w:hint="eastAsia" w:ascii="华文中宋" w:hAnsi="华文中宋" w:eastAsia="华文中宋" w:cs="华文中宋"/>
          <w:color w:val="auto"/>
          <w:sz w:val="32"/>
          <w:szCs w:val="32"/>
        </w:rPr>
        <w:t>采购需求</w:t>
      </w:r>
      <w:bookmarkEnd w:id="43"/>
      <w:bookmarkEnd w:id="44"/>
      <w:bookmarkEnd w:id="45"/>
      <w:bookmarkEnd w:id="46"/>
      <w:bookmarkEnd w:id="47"/>
      <w:bookmarkEnd w:id="48"/>
      <w:bookmarkEnd w:id="50"/>
      <w:bookmarkEnd w:id="51"/>
      <w:bookmarkEnd w:id="52"/>
    </w:p>
    <w:bookmarkEnd w:id="49"/>
    <w:p w14:paraId="4C6A743B">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1"/>
        <w:rPr>
          <w:rFonts w:hint="eastAsia" w:ascii="宋体" w:hAnsi="宋体" w:eastAsia="宋体" w:cs="宋体"/>
          <w:b/>
          <w:bCs/>
          <w:color w:val="auto"/>
          <w:szCs w:val="21"/>
          <w:highlight w:val="none"/>
        </w:rPr>
      </w:pPr>
      <w:bookmarkStart w:id="53" w:name="_Toc22479"/>
      <w:r>
        <w:rPr>
          <w:rFonts w:hint="eastAsia" w:ascii="宋体" w:hAnsi="宋体" w:eastAsia="宋体" w:cs="宋体"/>
          <w:b/>
          <w:bCs/>
          <w:color w:val="auto"/>
          <w:szCs w:val="21"/>
          <w:highlight w:val="none"/>
        </w:rPr>
        <w:t>说明：</w:t>
      </w:r>
      <w:bookmarkEnd w:id="53"/>
    </w:p>
    <w:p w14:paraId="25130C5A">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eastAsia="宋体" w:cs="宋体"/>
          <w:color w:val="auto"/>
          <w:szCs w:val="21"/>
          <w:highlight w:val="none"/>
        </w:rPr>
      </w:pPr>
      <w:r>
        <w:rPr>
          <w:rFonts w:hint="eastAsia" w:ascii="宋体" w:hAnsi="宋体" w:eastAsia="宋体" w:cs="宋体"/>
          <w:color w:val="auto"/>
          <w:highlight w:val="none"/>
        </w:rPr>
        <w:t>1</w:t>
      </w:r>
      <w:r>
        <w:rPr>
          <w:rFonts w:hint="eastAsia" w:ascii="宋体" w:hAnsi="宋体" w:eastAsia="宋体" w:cs="宋体"/>
          <w:color w:val="auto"/>
          <w:highlight w:val="none"/>
          <w:lang w:val="en-US" w:eastAsia="zh-CN"/>
        </w:rPr>
        <w:t>.</w:t>
      </w:r>
      <w:r>
        <w:rPr>
          <w:rFonts w:hint="eastAsia" w:ascii="宋体" w:hAnsi="宋体" w:eastAsia="宋体" w:cs="宋体"/>
          <w:color w:val="auto"/>
          <w:highlight w:val="none"/>
        </w:rPr>
        <w:t>为落实政府采购政策需满足的要求：</w:t>
      </w:r>
    </w:p>
    <w:p w14:paraId="66CF39DD">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（1）本竞争性磋商文件所称中小企业必须符合《政府采购促进中小企业发展管理办法》（财库〔2020〕46号）的规定。</w:t>
      </w:r>
    </w:p>
    <w:p w14:paraId="3DF0E424">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（2）项目中包含货物的，根据《财政部 发展改革委生态环境部 市场监管总局关于调整优化节能产品、环境标志产品政府采购执行机制的通知》（财库〔2019〕9号）和《关于印发节能产品政府采购品目清单的通知》（财库〔2019〕19号）的规定，采购需求中的产品属于节能产品政府采购品目清单</w:t>
      </w:r>
      <w:r>
        <w:rPr>
          <w:rFonts w:hint="eastAsia" w:ascii="宋体" w:hAnsi="宋体" w:cs="宋体"/>
          <w:color w:val="auto"/>
          <w:szCs w:val="21"/>
          <w:highlight w:val="none"/>
          <w:lang w:eastAsia="zh-CN"/>
        </w:rPr>
        <w:t>（详见附件</w:t>
      </w:r>
      <w:r>
        <w:rPr>
          <w:rFonts w:hint="eastAsia" w:ascii="宋体" w:hAnsi="宋体" w:cs="宋体"/>
          <w:color w:val="auto"/>
          <w:szCs w:val="21"/>
          <w:highlight w:val="none"/>
          <w:lang w:val="en-US" w:eastAsia="zh-CN"/>
        </w:rPr>
        <w:t>1</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内标注</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的，供应商必须在响应文件中提供所竞标产品有效期内的节能产品认证证书复印件（加盖供应商公章），</w:t>
      </w:r>
      <w:r>
        <w:rPr>
          <w:rFonts w:hint="eastAsia" w:ascii="宋体" w:hAnsi="宋体" w:eastAsia="宋体" w:cs="宋体"/>
          <w:b/>
          <w:bCs/>
          <w:color w:val="auto"/>
          <w:szCs w:val="21"/>
          <w:highlight w:val="none"/>
        </w:rPr>
        <w:t>否则响应文件按无效处理</w:t>
      </w:r>
      <w:r>
        <w:rPr>
          <w:rFonts w:hint="eastAsia" w:ascii="宋体" w:hAnsi="宋体" w:eastAsia="宋体" w:cs="宋体"/>
          <w:color w:val="auto"/>
          <w:szCs w:val="21"/>
          <w:highlight w:val="none"/>
        </w:rPr>
        <w:t>。如本项目包含的配套货物属于品目清单内非标注</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的产品时，应优先采购，具体详见</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第四章</w:t>
      </w:r>
      <w:r>
        <w:rPr>
          <w:rFonts w:hint="eastAsia" w:ascii="宋体" w:hAnsi="宋体" w:cs="宋体"/>
          <w:color w:val="auto"/>
          <w:szCs w:val="21"/>
          <w:highlight w:val="none"/>
          <w:lang w:val="en-US" w:eastAsia="zh-CN"/>
        </w:rPr>
        <w:t xml:space="preserve"> </w:t>
      </w:r>
      <w:r>
        <w:rPr>
          <w:rStyle w:val="35"/>
          <w:rFonts w:hint="eastAsia" w:ascii="宋体" w:hAnsi="宋体" w:eastAsia="宋体" w:cs="宋体"/>
          <w:color w:val="auto"/>
          <w:highlight w:val="none"/>
        </w:rPr>
        <w:t>评审程序、评审方法和评审标准</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w:t>
      </w:r>
    </w:p>
    <w:p w14:paraId="66B1F7EE">
      <w:pPr>
        <w:keepNext w:val="0"/>
        <w:keepLines w:val="0"/>
        <w:pageBreakBefore w:val="0"/>
        <w:widowControl w:val="0"/>
        <w:kinsoku/>
        <w:wordWrap/>
        <w:overflowPunct/>
        <w:topLinePunct w:val="0"/>
        <w:autoSpaceDE/>
        <w:autoSpaceDN/>
        <w:bidi w:val="0"/>
        <w:adjustRightInd/>
        <w:snapToGrid/>
        <w:spacing w:line="360" w:lineRule="auto"/>
        <w:ind w:firstLine="413" w:firstLineChars="196"/>
        <w:textAlignment w:val="auto"/>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w:t>
      </w: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rPr>
        <w:t>实质性要求</w:t>
      </w: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rPr>
        <w:t>是指磋商文件中已经指明不满足则响应文件按无效响应处理的条款，或者不能负偏离的条款，或者采购需求中带</w:t>
      </w: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rPr>
        <w:t>的条款。</w:t>
      </w:r>
    </w:p>
    <w:p w14:paraId="1D18F89E">
      <w:pPr>
        <w:pStyle w:val="11"/>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highlight w:val="none"/>
        </w:rPr>
      </w:pPr>
      <w:r>
        <w:rPr>
          <w:rFonts w:hint="eastAsia" w:ascii="宋体" w:hAnsi="宋体" w:eastAsia="宋体" w:cs="宋体"/>
          <w:color w:val="auto"/>
          <w:szCs w:val="21"/>
          <w:highlight w:val="none"/>
        </w:rPr>
        <w:t>3.</w:t>
      </w:r>
      <w:r>
        <w:rPr>
          <w:rFonts w:hint="eastAsia" w:ascii="宋体" w:hAnsi="宋体" w:eastAsia="宋体" w:cs="宋体"/>
          <w:color w:val="auto"/>
          <w:highlight w:val="none"/>
        </w:rPr>
        <w:t>如</w:t>
      </w:r>
      <w:r>
        <w:rPr>
          <w:rFonts w:hint="eastAsia" w:ascii="宋体" w:hAnsi="宋体" w:eastAsia="宋体" w:cs="宋体"/>
          <w:color w:val="auto"/>
          <w:highlight w:val="none"/>
          <w:lang w:eastAsia="zh-CN"/>
        </w:rPr>
        <w:t>竞</w:t>
      </w:r>
      <w:r>
        <w:rPr>
          <w:rFonts w:hint="eastAsia" w:ascii="宋体" w:hAnsi="宋体" w:eastAsia="宋体" w:cs="宋体"/>
          <w:color w:val="auto"/>
          <w:highlight w:val="none"/>
        </w:rPr>
        <w:t>标产品存在侵犯他人的知识产权或者专利成果行为的，应承担相应法律责任。</w:t>
      </w:r>
    </w:p>
    <w:p w14:paraId="4506C5EF">
      <w:pPr>
        <w:tabs>
          <w:tab w:val="left" w:pos="180"/>
          <w:tab w:val="left" w:pos="1620"/>
        </w:tabs>
        <w:spacing w:line="360" w:lineRule="auto"/>
        <w:ind w:firstLine="420" w:firstLineChars="200"/>
        <w:rPr>
          <w:rFonts w:ascii="Times New Roman" w:hAnsi="Times New Roman" w:cs="宋体"/>
          <w:i/>
          <w:iCs/>
          <w:color w:val="auto"/>
          <w:u w:val="single"/>
        </w:rPr>
      </w:pPr>
      <w:r>
        <w:rPr>
          <w:rFonts w:hint="eastAsia" w:ascii="宋体" w:hAnsi="宋体" w:eastAsia="宋体" w:cs="宋体"/>
          <w:color w:val="auto"/>
          <w:highlight w:val="none"/>
        </w:rPr>
        <w:t>4.</w:t>
      </w:r>
      <w:r>
        <w:rPr>
          <w:rFonts w:hint="eastAsia" w:ascii="Times New Roman" w:hAnsi="Times New Roman" w:cs="宋体"/>
          <w:color w:val="auto"/>
        </w:rPr>
        <w:t>采购标的对应的中小企业划分标准所属行业名称：</w:t>
      </w:r>
    </w:p>
    <w:tbl>
      <w:tblPr>
        <w:tblStyle w:val="28"/>
        <w:tblW w:w="9681"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28"/>
        <w:gridCol w:w="3031"/>
        <w:gridCol w:w="817"/>
        <w:gridCol w:w="867"/>
        <w:gridCol w:w="4238"/>
      </w:tblGrid>
      <w:tr w14:paraId="1439E5A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16" w:hRule="atLeast"/>
          <w:tblHeader/>
        </w:trPr>
        <w:tc>
          <w:tcPr>
            <w:tcW w:w="728" w:type="dxa"/>
            <w:tcBorders>
              <w:top w:val="single" w:color="auto" w:sz="4" w:space="0"/>
              <w:left w:val="single" w:color="auto" w:sz="4" w:space="0"/>
              <w:bottom w:val="single" w:color="auto" w:sz="4" w:space="0"/>
              <w:right w:val="single" w:color="auto" w:sz="4" w:space="0"/>
            </w:tcBorders>
            <w:shd w:val="clear" w:color="auto" w:fill="8DB3E2"/>
            <w:tcMar>
              <w:top w:w="0" w:type="dxa"/>
              <w:left w:w="0" w:type="dxa"/>
              <w:bottom w:w="0" w:type="dxa"/>
              <w:right w:w="0" w:type="dxa"/>
            </w:tcMar>
            <w:vAlign w:val="center"/>
          </w:tcPr>
          <w:p w14:paraId="67FE688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cs="宋体"/>
                <w:b/>
                <w:bCs/>
                <w:color w:val="auto"/>
                <w:szCs w:val="21"/>
              </w:rPr>
            </w:pPr>
            <w:r>
              <w:rPr>
                <w:rFonts w:hint="eastAsia" w:ascii="Times New Roman" w:hAnsi="Times New Roman" w:cs="宋体"/>
                <w:b/>
                <w:bCs/>
                <w:color w:val="auto"/>
                <w:szCs w:val="21"/>
              </w:rPr>
              <w:t>序号</w:t>
            </w:r>
          </w:p>
        </w:tc>
        <w:tc>
          <w:tcPr>
            <w:tcW w:w="3031" w:type="dxa"/>
            <w:tcBorders>
              <w:top w:val="single" w:color="auto" w:sz="4" w:space="0"/>
              <w:left w:val="single" w:color="auto" w:sz="4" w:space="0"/>
              <w:bottom w:val="single" w:color="auto" w:sz="4" w:space="0"/>
              <w:right w:val="single" w:color="auto" w:sz="4" w:space="0"/>
            </w:tcBorders>
            <w:shd w:val="clear" w:color="auto" w:fill="8DB3E2"/>
            <w:vAlign w:val="center"/>
          </w:tcPr>
          <w:p w14:paraId="5376068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cs="宋体"/>
                <w:b/>
                <w:bCs/>
                <w:color w:val="auto"/>
                <w:szCs w:val="21"/>
              </w:rPr>
            </w:pPr>
            <w:r>
              <w:rPr>
                <w:rFonts w:hint="eastAsia" w:ascii="Times New Roman" w:hAnsi="Times New Roman" w:cs="宋体"/>
                <w:b/>
                <w:bCs/>
                <w:color w:val="auto"/>
                <w:szCs w:val="21"/>
              </w:rPr>
              <w:t>标的名称</w:t>
            </w:r>
          </w:p>
        </w:tc>
        <w:tc>
          <w:tcPr>
            <w:tcW w:w="817" w:type="dxa"/>
            <w:tcBorders>
              <w:top w:val="single" w:color="auto" w:sz="4" w:space="0"/>
              <w:left w:val="single" w:color="auto" w:sz="4" w:space="0"/>
              <w:bottom w:val="single" w:color="auto" w:sz="4" w:space="0"/>
              <w:right w:val="single" w:color="auto" w:sz="4" w:space="0"/>
            </w:tcBorders>
            <w:shd w:val="clear" w:color="auto" w:fill="8DB3E2"/>
            <w:vAlign w:val="center"/>
          </w:tcPr>
          <w:p w14:paraId="75573AC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cs="宋体"/>
                <w:b/>
                <w:bCs/>
                <w:color w:val="auto"/>
                <w:szCs w:val="21"/>
              </w:rPr>
            </w:pPr>
            <w:r>
              <w:rPr>
                <w:rFonts w:hint="eastAsia" w:ascii="Times New Roman" w:hAnsi="Times New Roman" w:cs="宋体"/>
                <w:b/>
                <w:bCs/>
                <w:color w:val="auto"/>
                <w:szCs w:val="21"/>
              </w:rPr>
              <w:t>数量</w:t>
            </w:r>
          </w:p>
        </w:tc>
        <w:tc>
          <w:tcPr>
            <w:tcW w:w="867" w:type="dxa"/>
            <w:tcBorders>
              <w:top w:val="single" w:color="auto" w:sz="4" w:space="0"/>
              <w:left w:val="single" w:color="auto" w:sz="4" w:space="0"/>
              <w:bottom w:val="single" w:color="auto" w:sz="4" w:space="0"/>
              <w:right w:val="single" w:color="auto" w:sz="4" w:space="0"/>
            </w:tcBorders>
            <w:shd w:val="clear" w:color="auto" w:fill="8DB3E2"/>
            <w:vAlign w:val="center"/>
          </w:tcPr>
          <w:p w14:paraId="3135E8E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宋体"/>
                <w:b/>
                <w:bCs/>
                <w:color w:val="auto"/>
                <w:szCs w:val="21"/>
              </w:rPr>
            </w:pPr>
            <w:r>
              <w:rPr>
                <w:rFonts w:hint="eastAsia" w:ascii="Times New Roman" w:hAnsi="Times New Roman" w:cs="宋体"/>
                <w:b/>
                <w:bCs/>
                <w:color w:val="auto"/>
                <w:szCs w:val="21"/>
              </w:rPr>
              <w:t>单位</w:t>
            </w:r>
          </w:p>
        </w:tc>
        <w:tc>
          <w:tcPr>
            <w:tcW w:w="4238" w:type="dxa"/>
            <w:tcBorders>
              <w:top w:val="single" w:color="auto" w:sz="4" w:space="0"/>
              <w:left w:val="single" w:color="auto" w:sz="4" w:space="0"/>
              <w:bottom w:val="single" w:color="auto" w:sz="4" w:space="0"/>
              <w:right w:val="single" w:color="auto" w:sz="4" w:space="0"/>
            </w:tcBorders>
            <w:shd w:val="clear" w:color="auto" w:fill="8DB3E2"/>
            <w:vAlign w:val="center"/>
          </w:tcPr>
          <w:p w14:paraId="333FBA7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cs="宋体"/>
                <w:b/>
                <w:bCs/>
                <w:color w:val="auto"/>
                <w:szCs w:val="21"/>
              </w:rPr>
            </w:pPr>
            <w:r>
              <w:rPr>
                <w:rFonts w:hint="eastAsia" w:ascii="Times New Roman" w:hAnsi="Times New Roman" w:cs="宋体"/>
                <w:b/>
                <w:bCs/>
                <w:color w:val="auto"/>
                <w:szCs w:val="21"/>
              </w:rPr>
              <w:t>中小企业划分标准所属行业名称（行业名称及划分见本章附件</w:t>
            </w:r>
            <w:r>
              <w:rPr>
                <w:rFonts w:hint="eastAsia" w:cs="宋体"/>
                <w:b/>
                <w:bCs/>
                <w:color w:val="auto"/>
                <w:szCs w:val="21"/>
                <w:lang w:val="en-US" w:eastAsia="zh-CN"/>
              </w:rPr>
              <w:t>2</w:t>
            </w:r>
            <w:r>
              <w:rPr>
                <w:rFonts w:hint="eastAsia" w:ascii="Times New Roman" w:hAnsi="Times New Roman" w:cs="宋体"/>
                <w:b/>
                <w:bCs/>
                <w:color w:val="auto"/>
                <w:szCs w:val="21"/>
              </w:rPr>
              <w:t>）</w:t>
            </w:r>
          </w:p>
        </w:tc>
      </w:tr>
      <w:tr w14:paraId="4306402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728" w:type="dxa"/>
            <w:tcBorders>
              <w:top w:val="single" w:color="auto" w:sz="4" w:space="0"/>
              <w:left w:val="single" w:color="auto" w:sz="4" w:space="0"/>
              <w:bottom w:val="single" w:color="auto" w:sz="4" w:space="0"/>
              <w:right w:val="single" w:color="auto" w:sz="4" w:space="0"/>
            </w:tcBorders>
            <w:vAlign w:val="center"/>
          </w:tcPr>
          <w:p w14:paraId="1CD32157">
            <w:pPr>
              <w:keepNext w:val="0"/>
              <w:keepLines w:val="0"/>
              <w:widowControl/>
              <w:suppressLineNumbers w:val="0"/>
              <w:jc w:val="center"/>
              <w:textAlignment w:val="center"/>
              <w:rPr>
                <w:rFonts w:ascii="Times New Roman" w:hAnsi="Times New Roman" w:cs="宋体"/>
                <w:color w:val="auto"/>
                <w:szCs w:val="21"/>
              </w:rPr>
            </w:pPr>
            <w:r>
              <w:rPr>
                <w:rFonts w:hint="default" w:ascii="Times New Roman" w:hAnsi="Times New Roman" w:eastAsia="宋体" w:cs="Times New Roman"/>
                <w:i w:val="0"/>
                <w:iCs w:val="0"/>
                <w:color w:val="auto"/>
                <w:kern w:val="0"/>
                <w:sz w:val="21"/>
                <w:szCs w:val="21"/>
                <w:u w:val="none"/>
                <w:lang w:val="en-US" w:eastAsia="zh-CN" w:bidi="ar"/>
              </w:rPr>
              <w:t>1</w:t>
            </w:r>
          </w:p>
        </w:tc>
        <w:tc>
          <w:tcPr>
            <w:tcW w:w="3031" w:type="dxa"/>
            <w:tcBorders>
              <w:top w:val="single" w:color="auto" w:sz="4" w:space="0"/>
              <w:left w:val="single" w:color="auto" w:sz="4" w:space="0"/>
              <w:bottom w:val="single" w:color="auto" w:sz="4" w:space="0"/>
              <w:right w:val="single" w:color="auto" w:sz="4" w:space="0"/>
            </w:tcBorders>
            <w:vAlign w:val="center"/>
          </w:tcPr>
          <w:p w14:paraId="441D35A2">
            <w:pPr>
              <w:keepNext w:val="0"/>
              <w:keepLines w:val="0"/>
              <w:pageBreakBefore w:val="0"/>
              <w:widowControl/>
              <w:suppressLineNumbers w:val="0"/>
              <w:kinsoku/>
              <w:wordWrap/>
              <w:overflowPunct/>
              <w:topLinePunct w:val="0"/>
              <w:autoSpaceDE/>
              <w:autoSpaceDN/>
              <w:bidi w:val="0"/>
              <w:spacing w:line="400" w:lineRule="exact"/>
              <w:jc w:val="both"/>
              <w:textAlignment w:val="center"/>
              <w:rPr>
                <w:rFonts w:ascii="Times New Roman" w:hAnsi="Times New Roman" w:cs="宋体"/>
                <w:color w:val="auto"/>
                <w:szCs w:val="21"/>
              </w:rPr>
            </w:pPr>
            <w:r>
              <w:rPr>
                <w:rFonts w:hint="eastAsia" w:ascii="Times New Roman" w:hAnsi="Times New Roman" w:cs="宋体"/>
                <w:color w:val="auto"/>
                <w:szCs w:val="21"/>
                <w:lang w:val="en-US" w:eastAsia="zh-CN"/>
              </w:rPr>
              <w:t>桂林航天工业学院新校区扩建项目科技活动中心附属工程</w:t>
            </w:r>
          </w:p>
        </w:tc>
        <w:tc>
          <w:tcPr>
            <w:tcW w:w="817" w:type="dxa"/>
            <w:tcBorders>
              <w:top w:val="single" w:color="auto" w:sz="4" w:space="0"/>
              <w:left w:val="single" w:color="auto" w:sz="4" w:space="0"/>
              <w:bottom w:val="single" w:color="auto" w:sz="4" w:space="0"/>
              <w:right w:val="single" w:color="auto" w:sz="4" w:space="0"/>
            </w:tcBorders>
            <w:vAlign w:val="center"/>
          </w:tcPr>
          <w:p w14:paraId="2A062E4C">
            <w:pPr>
              <w:keepNext w:val="0"/>
              <w:keepLines w:val="0"/>
              <w:pageBreakBefore w:val="0"/>
              <w:widowControl/>
              <w:suppressLineNumbers w:val="0"/>
              <w:kinsoku/>
              <w:wordWrap/>
              <w:overflowPunct/>
              <w:topLinePunct w:val="0"/>
              <w:autoSpaceDE/>
              <w:autoSpaceDN/>
              <w:bidi w:val="0"/>
              <w:spacing w:line="400" w:lineRule="exact"/>
              <w:jc w:val="center"/>
              <w:textAlignment w:val="center"/>
              <w:rPr>
                <w:rFonts w:ascii="Times New Roman" w:hAnsi="Times New Roman" w:cs="宋体"/>
                <w:color w:val="auto"/>
                <w:szCs w:val="21"/>
              </w:rPr>
            </w:pPr>
            <w:r>
              <w:rPr>
                <w:rFonts w:hint="default" w:ascii="Times New Roman" w:hAnsi="Times New Roman" w:eastAsia="宋体" w:cs="Times New Roman"/>
                <w:i w:val="0"/>
                <w:iCs w:val="0"/>
                <w:color w:val="auto"/>
                <w:kern w:val="0"/>
                <w:sz w:val="21"/>
                <w:szCs w:val="21"/>
                <w:u w:val="none"/>
                <w:lang w:val="en-US" w:eastAsia="zh-CN" w:bidi="ar"/>
              </w:rPr>
              <w:t>1</w:t>
            </w:r>
          </w:p>
        </w:tc>
        <w:tc>
          <w:tcPr>
            <w:tcW w:w="867" w:type="dxa"/>
            <w:tcBorders>
              <w:top w:val="single" w:color="auto" w:sz="4" w:space="0"/>
              <w:left w:val="single" w:color="auto" w:sz="4" w:space="0"/>
              <w:bottom w:val="single" w:color="auto" w:sz="4" w:space="0"/>
              <w:right w:val="single" w:color="auto" w:sz="4" w:space="0"/>
            </w:tcBorders>
            <w:vAlign w:val="center"/>
          </w:tcPr>
          <w:p w14:paraId="023F471C">
            <w:pPr>
              <w:keepNext w:val="0"/>
              <w:keepLines w:val="0"/>
              <w:pageBreakBefore w:val="0"/>
              <w:widowControl/>
              <w:suppressLineNumbers w:val="0"/>
              <w:kinsoku/>
              <w:wordWrap/>
              <w:overflowPunct/>
              <w:topLinePunct w:val="0"/>
              <w:autoSpaceDE/>
              <w:autoSpaceDN/>
              <w:bidi w:val="0"/>
              <w:spacing w:line="400" w:lineRule="exact"/>
              <w:jc w:val="center"/>
              <w:textAlignment w:val="center"/>
              <w:rPr>
                <w:rFonts w:hint="eastAsia" w:ascii="Times New Roman" w:hAnsi="Times New Roman" w:cs="宋体"/>
                <w:color w:val="auto"/>
                <w:szCs w:val="21"/>
              </w:rPr>
            </w:pPr>
            <w:r>
              <w:rPr>
                <w:rFonts w:hint="eastAsia" w:eastAsia="宋体" w:cs="Times New Roman"/>
                <w:i w:val="0"/>
                <w:iCs w:val="0"/>
                <w:color w:val="auto"/>
                <w:kern w:val="0"/>
                <w:sz w:val="21"/>
                <w:szCs w:val="21"/>
                <w:u w:val="none"/>
                <w:lang w:val="en-US" w:eastAsia="zh-CN" w:bidi="ar"/>
              </w:rPr>
              <w:t>项</w:t>
            </w:r>
          </w:p>
        </w:tc>
        <w:tc>
          <w:tcPr>
            <w:tcW w:w="4238" w:type="dxa"/>
            <w:tcBorders>
              <w:top w:val="single" w:color="auto" w:sz="4" w:space="0"/>
              <w:left w:val="single" w:color="auto" w:sz="4" w:space="0"/>
              <w:bottom w:val="single" w:color="auto" w:sz="4" w:space="0"/>
              <w:right w:val="single" w:color="auto" w:sz="4" w:space="0"/>
            </w:tcBorders>
            <w:vAlign w:val="center"/>
          </w:tcPr>
          <w:p w14:paraId="0A855E9B">
            <w:pPr>
              <w:tabs>
                <w:tab w:val="left" w:pos="2974"/>
                <w:tab w:val="left" w:pos="4469"/>
                <w:tab w:val="left" w:pos="5288"/>
                <w:tab w:val="left" w:pos="6256"/>
                <w:tab w:val="left" w:pos="7212"/>
              </w:tabs>
              <w:spacing w:before="31" w:beforeLines="10" w:after="31" w:afterLines="10"/>
              <w:jc w:val="center"/>
              <w:rPr>
                <w:rFonts w:ascii="Times New Roman" w:hAnsi="Times New Roman" w:cs="宋体"/>
                <w:color w:val="auto"/>
                <w:szCs w:val="21"/>
              </w:rPr>
            </w:pPr>
            <w:r>
              <w:rPr>
                <w:rFonts w:hint="eastAsia" w:ascii="宋体" w:hAnsi="宋体" w:eastAsia="宋体" w:cs="宋体"/>
                <w:color w:val="auto"/>
                <w:sz w:val="21"/>
                <w:szCs w:val="21"/>
                <w:highlight w:val="none"/>
                <w:u w:val="none"/>
              </w:rPr>
              <w:t>建筑业</w:t>
            </w:r>
          </w:p>
        </w:tc>
      </w:tr>
    </w:tbl>
    <w:p w14:paraId="3903C776">
      <w:pPr>
        <w:keepNext w:val="0"/>
        <w:keepLines w:val="0"/>
        <w:pageBreakBefore w:val="0"/>
        <w:widowControl w:val="0"/>
        <w:tabs>
          <w:tab w:val="left" w:pos="180"/>
          <w:tab w:val="left" w:pos="1620"/>
        </w:tabs>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i/>
          <w:iCs/>
          <w:color w:val="auto"/>
          <w:highlight w:val="none"/>
          <w:u w:val="single"/>
        </w:rPr>
      </w:pPr>
    </w:p>
    <w:p w14:paraId="2B872767">
      <w:pPr>
        <w:pStyle w:val="10"/>
        <w:pageBreakBefore w:val="0"/>
        <w:widowControl w:val="0"/>
        <w:kinsoku/>
        <w:wordWrap/>
        <w:overflowPunct/>
        <w:topLinePunct w:val="0"/>
        <w:autoSpaceDE/>
        <w:autoSpaceDN/>
        <w:bidi w:val="0"/>
        <w:adjustRightInd/>
        <w:snapToGrid/>
        <w:spacing w:line="360" w:lineRule="auto"/>
        <w:ind w:left="0" w:leftChars="0" w:firstLine="0" w:firstLineChars="0"/>
        <w:textAlignment w:val="auto"/>
        <w:outlineLvl w:val="1"/>
        <w:rPr>
          <w:rFonts w:hint="eastAsia"/>
          <w:b/>
          <w:bCs/>
          <w:color w:val="auto"/>
          <w:highlight w:val="none"/>
          <w:lang w:eastAsia="zh-CN"/>
        </w:rPr>
      </w:pPr>
      <w:bookmarkStart w:id="54" w:name="_Toc1618"/>
      <w:r>
        <w:rPr>
          <w:rFonts w:hint="eastAsia"/>
          <w:b/>
          <w:bCs/>
          <w:color w:val="auto"/>
          <w:highlight w:val="none"/>
          <w:lang w:eastAsia="zh-CN"/>
        </w:rPr>
        <w:t>一、需求一览表</w:t>
      </w:r>
      <w:bookmarkEnd w:id="54"/>
    </w:p>
    <w:tbl>
      <w:tblPr>
        <w:tblStyle w:val="28"/>
        <w:tblW w:w="96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367"/>
        <w:gridCol w:w="933"/>
        <w:gridCol w:w="5740"/>
        <w:gridCol w:w="967"/>
      </w:tblGrid>
      <w:tr w14:paraId="4FA05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75" w:type="dxa"/>
            <w:tcBorders>
              <w:top w:val="single" w:color="auto" w:sz="4" w:space="0"/>
            </w:tcBorders>
            <w:shd w:val="clear" w:color="auto" w:fill="8DB3E2" w:themeFill="text2" w:themeFillTint="66"/>
            <w:noWrap w:val="0"/>
            <w:vAlign w:val="center"/>
          </w:tcPr>
          <w:p w14:paraId="1E37546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序号</w:t>
            </w:r>
          </w:p>
        </w:tc>
        <w:tc>
          <w:tcPr>
            <w:tcW w:w="1367" w:type="dxa"/>
            <w:tcBorders>
              <w:top w:val="single" w:color="auto" w:sz="4" w:space="0"/>
            </w:tcBorders>
            <w:shd w:val="clear" w:color="auto" w:fill="8DB3E2" w:themeFill="text2" w:themeFillTint="66"/>
            <w:noWrap w:val="0"/>
            <w:vAlign w:val="center"/>
          </w:tcPr>
          <w:p w14:paraId="263CB1D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标的名称</w:t>
            </w:r>
          </w:p>
        </w:tc>
        <w:tc>
          <w:tcPr>
            <w:tcW w:w="933" w:type="dxa"/>
            <w:tcBorders>
              <w:top w:val="single" w:color="auto" w:sz="4" w:space="0"/>
            </w:tcBorders>
            <w:shd w:val="clear" w:color="auto" w:fill="8DB3E2" w:themeFill="text2" w:themeFillTint="66"/>
            <w:noWrap w:val="0"/>
            <w:vAlign w:val="center"/>
          </w:tcPr>
          <w:p w14:paraId="2D422DD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数量及单位</w:t>
            </w:r>
          </w:p>
        </w:tc>
        <w:tc>
          <w:tcPr>
            <w:tcW w:w="5740" w:type="dxa"/>
            <w:tcBorders>
              <w:top w:val="single" w:color="auto" w:sz="4" w:space="0"/>
            </w:tcBorders>
            <w:shd w:val="clear" w:color="auto" w:fill="8DB3E2" w:themeFill="text2" w:themeFillTint="66"/>
            <w:noWrap w:val="0"/>
            <w:vAlign w:val="center"/>
          </w:tcPr>
          <w:p w14:paraId="59C852C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技术要求</w:t>
            </w:r>
          </w:p>
        </w:tc>
        <w:tc>
          <w:tcPr>
            <w:tcW w:w="967" w:type="dxa"/>
            <w:tcBorders>
              <w:top w:val="single" w:color="auto" w:sz="4" w:space="0"/>
            </w:tcBorders>
            <w:shd w:val="clear" w:color="auto" w:fill="8DB3E2" w:themeFill="text2" w:themeFillTint="66"/>
            <w:noWrap w:val="0"/>
            <w:vAlign w:val="center"/>
          </w:tcPr>
          <w:p w14:paraId="0FFF604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hAnsi="宋体" w:eastAsia="宋体" w:cs="宋体"/>
                <w:b/>
                <w:bCs/>
                <w:color w:val="auto"/>
                <w:sz w:val="21"/>
                <w:szCs w:val="21"/>
                <w:highlight w:val="none"/>
                <w:lang w:eastAsia="zh-CN"/>
              </w:rPr>
            </w:pPr>
            <w:r>
              <w:rPr>
                <w:rFonts w:hint="eastAsia" w:ascii="宋体" w:hAnsi="宋体" w:cs="宋体"/>
                <w:b/>
                <w:bCs/>
                <w:color w:val="auto"/>
                <w:sz w:val="21"/>
                <w:szCs w:val="21"/>
                <w:highlight w:val="none"/>
                <w:lang w:eastAsia="zh-CN"/>
              </w:rPr>
              <w:t>备注</w:t>
            </w:r>
          </w:p>
        </w:tc>
      </w:tr>
      <w:tr w14:paraId="798F2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atLeast"/>
          <w:jc w:val="center"/>
        </w:trPr>
        <w:tc>
          <w:tcPr>
            <w:tcW w:w="675" w:type="dxa"/>
            <w:noWrap w:val="0"/>
            <w:vAlign w:val="center"/>
          </w:tcPr>
          <w:p w14:paraId="187E1B7A">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p>
        </w:tc>
        <w:tc>
          <w:tcPr>
            <w:tcW w:w="1367" w:type="dxa"/>
            <w:noWrap w:val="0"/>
            <w:vAlign w:val="center"/>
          </w:tcPr>
          <w:p w14:paraId="12D220F2">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eastAsia="zh-CN"/>
              </w:rPr>
              <w:t>桂林航天工业学院新校区扩建项目科技活动中心附属工程</w:t>
            </w:r>
          </w:p>
        </w:tc>
        <w:tc>
          <w:tcPr>
            <w:tcW w:w="933" w:type="dxa"/>
            <w:noWrap w:val="0"/>
            <w:vAlign w:val="center"/>
          </w:tcPr>
          <w:p w14:paraId="1C873713">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1项</w:t>
            </w:r>
          </w:p>
        </w:tc>
        <w:tc>
          <w:tcPr>
            <w:tcW w:w="5740" w:type="dxa"/>
            <w:noWrap w:val="0"/>
            <w:vAlign w:val="center"/>
          </w:tcPr>
          <w:p w14:paraId="3BF07B60">
            <w:pPr>
              <w:pStyle w:val="13"/>
              <w:keepNext w:val="0"/>
              <w:keepLines w:val="0"/>
              <w:pageBreakBefore w:val="0"/>
              <w:widowControl w:val="0"/>
              <w:kinsoku/>
              <w:wordWrap/>
              <w:overflowPunct/>
              <w:topLinePunct w:val="0"/>
              <w:autoSpaceDE/>
              <w:autoSpaceDN/>
              <w:bidi w:val="0"/>
              <w:adjustRightInd/>
              <w:snapToGrid/>
              <w:spacing w:after="0" w:line="440" w:lineRule="exact"/>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val="en-US" w:eastAsia="zh-CN"/>
              </w:rPr>
              <w:t>1、项目概况</w:t>
            </w:r>
            <w:r>
              <w:rPr>
                <w:rFonts w:hint="eastAsia" w:ascii="宋体" w:hAnsi="宋体" w:eastAsia="宋体" w:cs="宋体"/>
                <w:color w:val="auto"/>
                <w:sz w:val="21"/>
                <w:szCs w:val="21"/>
                <w:highlight w:val="none"/>
              </w:rPr>
              <w:t>：</w:t>
            </w:r>
            <w:r>
              <w:rPr>
                <w:rFonts w:hint="default" w:ascii="宋体" w:hAnsi="宋体" w:cs="宋体"/>
                <w:color w:val="auto"/>
                <w:sz w:val="21"/>
                <w:szCs w:val="21"/>
                <w:highlight w:val="none"/>
                <w:lang w:val="en-US"/>
              </w:rPr>
              <w:t>桂林航天工业学院新校区扩建项目科技活动中心附属工程</w:t>
            </w:r>
            <w:r>
              <w:rPr>
                <w:rFonts w:hint="eastAsia" w:ascii="宋体" w:hAnsi="宋体" w:eastAsia="宋体" w:cs="宋体"/>
                <w:color w:val="auto"/>
                <w:sz w:val="21"/>
                <w:szCs w:val="21"/>
                <w:highlight w:val="none"/>
              </w:rPr>
              <w:t>，项目位于</w:t>
            </w:r>
            <w:r>
              <w:rPr>
                <w:rFonts w:hint="eastAsia" w:ascii="宋体" w:hAnsi="宋体" w:cs="宋体"/>
                <w:color w:val="auto"/>
                <w:sz w:val="21"/>
                <w:szCs w:val="21"/>
                <w:highlight w:val="none"/>
                <w:lang w:eastAsia="zh-CN"/>
              </w:rPr>
              <w:t>桂林市金鸡路2 号</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本工程施工范围包括室外铺设地砖、砌筑挡土墙</w:t>
            </w:r>
            <w:r>
              <w:rPr>
                <w:rFonts w:hint="eastAsia" w:ascii="宋体" w:hAnsi="宋体" w:eastAsia="宋体" w:cs="宋体"/>
                <w:color w:val="auto"/>
                <w:sz w:val="21"/>
                <w:szCs w:val="21"/>
                <w:highlight w:val="none"/>
              </w:rPr>
              <w:t>、种植乔灌木、种植草皮、室外给排水等。（具体以施工图纸</w:t>
            </w:r>
            <w:r>
              <w:rPr>
                <w:rFonts w:hint="eastAsia" w:ascii="宋体" w:hAnsi="宋体" w:cs="宋体"/>
                <w:color w:val="auto"/>
                <w:sz w:val="21"/>
                <w:szCs w:val="21"/>
                <w:highlight w:val="none"/>
                <w:lang w:eastAsia="zh-CN"/>
              </w:rPr>
              <w:t>【含变更（如有）】</w:t>
            </w:r>
            <w:r>
              <w:rPr>
                <w:rFonts w:hint="eastAsia" w:ascii="宋体" w:hAnsi="宋体" w:eastAsia="宋体" w:cs="宋体"/>
                <w:color w:val="auto"/>
                <w:sz w:val="21"/>
                <w:szCs w:val="21"/>
                <w:highlight w:val="none"/>
              </w:rPr>
              <w:t>和工程量清单内容为准）。</w:t>
            </w:r>
          </w:p>
          <w:p w14:paraId="1BCDECB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2、</w:t>
            </w:r>
            <w:r>
              <w:rPr>
                <w:rFonts w:hint="eastAsia" w:ascii="宋体" w:hAnsi="宋体" w:eastAsia="宋体" w:cs="宋体"/>
                <w:color w:val="auto"/>
                <w:sz w:val="21"/>
                <w:szCs w:val="21"/>
                <w:highlight w:val="none"/>
                <w:lang w:val="en-US" w:eastAsia="zh-CN"/>
              </w:rPr>
              <w:t>建设地点：</w:t>
            </w:r>
            <w:r>
              <w:rPr>
                <w:rFonts w:hint="eastAsia" w:ascii="宋体" w:hAnsi="宋体" w:cs="宋体"/>
                <w:color w:val="auto"/>
                <w:sz w:val="21"/>
                <w:szCs w:val="21"/>
                <w:highlight w:val="none"/>
                <w:lang w:val="en-US" w:eastAsia="zh-CN"/>
              </w:rPr>
              <w:t>桂林市金鸡路2号桂林航天工业学院内。</w:t>
            </w:r>
          </w:p>
          <w:p w14:paraId="7E786C76">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3、</w:t>
            </w:r>
            <w:r>
              <w:rPr>
                <w:rFonts w:hint="eastAsia" w:ascii="宋体" w:hAnsi="宋体" w:eastAsia="宋体" w:cs="宋体"/>
                <w:color w:val="auto"/>
                <w:sz w:val="21"/>
                <w:szCs w:val="21"/>
                <w:highlight w:val="none"/>
              </w:rPr>
              <w:t>质量要求：工程质量符合符合国家验收规范合格标准，满足施工图及其变更要求。</w:t>
            </w:r>
          </w:p>
          <w:p w14:paraId="714F26D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val="en-US" w:eastAsia="zh-CN"/>
              </w:rPr>
              <w:t>4、</w:t>
            </w:r>
            <w:r>
              <w:rPr>
                <w:rFonts w:hint="eastAsia" w:ascii="宋体" w:hAnsi="宋体" w:eastAsia="宋体" w:cs="宋体"/>
                <w:color w:val="auto"/>
                <w:sz w:val="21"/>
                <w:szCs w:val="21"/>
                <w:highlight w:val="none"/>
              </w:rPr>
              <w:t>施工组织设计：供应商应根据设计施工图纸</w:t>
            </w:r>
            <w:r>
              <w:rPr>
                <w:rFonts w:hint="eastAsia" w:ascii="宋体" w:hAnsi="宋体" w:cs="宋体"/>
                <w:color w:val="auto"/>
                <w:sz w:val="21"/>
                <w:szCs w:val="21"/>
                <w:highlight w:val="none"/>
                <w:lang w:val="en-US" w:eastAsia="zh-CN"/>
              </w:rPr>
              <w:t>【含变更（如有）】</w:t>
            </w:r>
            <w:r>
              <w:rPr>
                <w:rFonts w:hint="eastAsia" w:ascii="宋体" w:hAnsi="宋体" w:eastAsia="宋体" w:cs="宋体"/>
                <w:color w:val="auto"/>
                <w:sz w:val="21"/>
                <w:szCs w:val="21"/>
                <w:highlight w:val="none"/>
              </w:rPr>
              <w:t>、工程量清单进行</w:t>
            </w:r>
            <w:r>
              <w:rPr>
                <w:rFonts w:hint="eastAsia" w:ascii="宋体" w:hAnsi="宋体" w:eastAsia="宋体" w:cs="宋体"/>
                <w:color w:val="auto"/>
                <w:sz w:val="21"/>
                <w:szCs w:val="21"/>
                <w:highlight w:val="none"/>
                <w:lang w:eastAsia="zh-CN"/>
              </w:rPr>
              <w:t>编制</w:t>
            </w:r>
            <w:r>
              <w:rPr>
                <w:rFonts w:hint="eastAsia" w:ascii="宋体" w:hAnsi="宋体" w:eastAsia="宋体" w:cs="宋体"/>
                <w:color w:val="auto"/>
                <w:sz w:val="21"/>
                <w:szCs w:val="21"/>
                <w:highlight w:val="none"/>
              </w:rPr>
              <w:t>施工组织设计，包含</w:t>
            </w:r>
            <w:r>
              <w:rPr>
                <w:rFonts w:hint="eastAsia" w:ascii="宋体" w:hAnsi="宋体" w:eastAsia="宋体" w:cs="宋体"/>
                <w:color w:val="auto"/>
                <w:sz w:val="21"/>
                <w:szCs w:val="21"/>
                <w:highlight w:val="none"/>
                <w:lang w:eastAsia="zh-CN"/>
              </w:rPr>
              <w:t>总体概述，主要施工方法，施工进度计划和各阶段进度的保证措施，劳动力和材料投入计划及其保证措施，施工平面布置和临时设施布置，关键施工技术、工艺及工程实施的重点、难点和解决方案，安全文明施工措施，质量保证与承诺，新技术应用与承诺</w:t>
            </w:r>
            <w:r>
              <w:rPr>
                <w:rFonts w:hint="eastAsia" w:ascii="宋体" w:hAnsi="宋体" w:eastAsia="宋体" w:cs="宋体"/>
                <w:color w:val="auto"/>
                <w:sz w:val="21"/>
                <w:szCs w:val="21"/>
                <w:highlight w:val="none"/>
              </w:rPr>
              <w:t>等内容。</w:t>
            </w:r>
          </w:p>
          <w:p w14:paraId="2B4F150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5、</w:t>
            </w:r>
            <w:r>
              <w:rPr>
                <w:rFonts w:hint="eastAsia" w:ascii="宋体" w:hAnsi="宋体" w:cs="宋体"/>
                <w:color w:val="auto"/>
                <w:sz w:val="21"/>
                <w:szCs w:val="21"/>
                <w:highlight w:val="none"/>
                <w:lang w:eastAsia="zh-CN"/>
              </w:rPr>
              <w:t>拟投入项目管理</w:t>
            </w:r>
            <w:r>
              <w:rPr>
                <w:rFonts w:hint="eastAsia" w:ascii="宋体" w:hAnsi="宋体" w:eastAsia="宋体" w:cs="宋体"/>
                <w:color w:val="auto"/>
                <w:sz w:val="21"/>
                <w:szCs w:val="21"/>
                <w:highlight w:val="none"/>
              </w:rPr>
              <w:t>人员要求：</w:t>
            </w:r>
          </w:p>
          <w:p w14:paraId="12F036DD">
            <w:pPr>
              <w:keepNext w:val="0"/>
              <w:keepLines w:val="0"/>
              <w:pageBreakBefore w:val="0"/>
              <w:widowControl w:val="0"/>
              <w:numPr>
                <w:ilvl w:val="0"/>
                <w:numId w:val="1"/>
              </w:numPr>
              <w:kinsoku/>
              <w:wordWrap/>
              <w:overflowPunct/>
              <w:topLinePunct w:val="0"/>
              <w:autoSpaceDE/>
              <w:autoSpaceDN/>
              <w:bidi w:val="0"/>
              <w:adjustRightInd/>
              <w:snapToGrid/>
              <w:spacing w:line="44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项目经理：</w:t>
            </w:r>
            <w:r>
              <w:rPr>
                <w:rFonts w:hint="eastAsia" w:ascii="宋体" w:hAnsi="宋体" w:cs="宋体"/>
                <w:color w:val="auto"/>
                <w:sz w:val="21"/>
                <w:szCs w:val="21"/>
                <w:highlight w:val="none"/>
                <w:lang w:val="en-US" w:eastAsia="zh-CN"/>
              </w:rPr>
              <w:t>1名，</w:t>
            </w:r>
            <w:r>
              <w:rPr>
                <w:rFonts w:hint="eastAsia" w:ascii="宋体" w:hAnsi="宋体" w:eastAsia="宋体" w:cs="宋体"/>
                <w:color w:val="auto"/>
                <w:sz w:val="21"/>
                <w:szCs w:val="21"/>
                <w:highlight w:val="none"/>
              </w:rPr>
              <w:t>具备</w:t>
            </w:r>
            <w:r>
              <w:rPr>
                <w:rFonts w:hint="eastAsia" w:ascii="宋体" w:hAnsi="宋体" w:eastAsia="宋体" w:cs="宋体"/>
                <w:color w:val="auto"/>
                <w:sz w:val="21"/>
                <w:szCs w:val="21"/>
                <w:highlight w:val="none"/>
                <w:u w:val="single"/>
                <w:lang w:val="en-US" w:eastAsia="zh-CN"/>
              </w:rPr>
              <w:t xml:space="preserve"> </w:t>
            </w:r>
            <w:r>
              <w:rPr>
                <w:rFonts w:hint="eastAsia" w:ascii="宋体" w:hAnsi="宋体" w:cs="宋体"/>
                <w:color w:val="auto"/>
                <w:sz w:val="21"/>
                <w:szCs w:val="21"/>
                <w:highlight w:val="none"/>
                <w:u w:val="single"/>
                <w:lang w:val="en-US" w:eastAsia="zh-CN"/>
              </w:rPr>
              <w:t>建筑</w:t>
            </w:r>
            <w:r>
              <w:rPr>
                <w:rFonts w:hint="eastAsia" w:ascii="宋体" w:hAnsi="宋体" w:eastAsia="宋体" w:cs="宋体"/>
                <w:color w:val="auto"/>
                <w:sz w:val="21"/>
                <w:szCs w:val="21"/>
                <w:highlight w:val="none"/>
                <w:u w:val="single"/>
              </w:rPr>
              <w:t>工程</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rPr>
              <w:t>专业二级（含）以上注册建造师执业资格，具备有效的安全生产考核合格证书（B类）</w:t>
            </w:r>
            <w:r>
              <w:rPr>
                <w:rFonts w:hint="eastAsia" w:ascii="宋体" w:hAnsi="宋体" w:cs="宋体"/>
                <w:color w:val="auto"/>
                <w:sz w:val="21"/>
                <w:szCs w:val="21"/>
                <w:highlight w:val="none"/>
                <w:lang w:eastAsia="zh-CN"/>
              </w:rPr>
              <w:t>，于首次响应文件中</w:t>
            </w:r>
            <w:r>
              <w:rPr>
                <w:rFonts w:hint="eastAsia"/>
                <w:color w:val="auto"/>
                <w:sz w:val="21"/>
                <w:szCs w:val="21"/>
                <w:highlight w:val="none"/>
              </w:rPr>
              <w:t>提供供应商为其依法缴纳社会保险（202</w:t>
            </w:r>
            <w:r>
              <w:rPr>
                <w:rFonts w:hint="eastAsia"/>
                <w:color w:val="auto"/>
                <w:sz w:val="21"/>
                <w:szCs w:val="21"/>
                <w:highlight w:val="none"/>
                <w:lang w:val="en-US" w:eastAsia="zh-CN"/>
              </w:rPr>
              <w:t>5</w:t>
            </w:r>
            <w:r>
              <w:rPr>
                <w:rFonts w:hint="eastAsia"/>
                <w:color w:val="auto"/>
                <w:sz w:val="21"/>
                <w:szCs w:val="21"/>
                <w:highlight w:val="none"/>
              </w:rPr>
              <w:t>年</w:t>
            </w:r>
            <w:r>
              <w:rPr>
                <w:rFonts w:hint="eastAsia"/>
                <w:color w:val="auto"/>
                <w:sz w:val="21"/>
                <w:szCs w:val="21"/>
                <w:highlight w:val="none"/>
                <w:lang w:val="en-US" w:eastAsia="zh-CN"/>
              </w:rPr>
              <w:t>8</w:t>
            </w:r>
            <w:r>
              <w:rPr>
                <w:rFonts w:hint="eastAsia"/>
                <w:color w:val="auto"/>
                <w:sz w:val="21"/>
                <w:szCs w:val="21"/>
                <w:highlight w:val="none"/>
              </w:rPr>
              <w:t>月至响应文件</w:t>
            </w:r>
            <w:r>
              <w:rPr>
                <w:color w:val="auto"/>
                <w:sz w:val="21"/>
                <w:szCs w:val="21"/>
                <w:highlight w:val="none"/>
              </w:rPr>
              <w:t>提交截止时间止</w:t>
            </w:r>
            <w:r>
              <w:rPr>
                <w:rFonts w:hint="eastAsia"/>
                <w:color w:val="auto"/>
                <w:sz w:val="21"/>
                <w:szCs w:val="21"/>
                <w:highlight w:val="none"/>
              </w:rPr>
              <w:t>任意</w:t>
            </w:r>
            <w:r>
              <w:rPr>
                <w:rFonts w:hint="eastAsia"/>
                <w:color w:val="auto"/>
                <w:sz w:val="21"/>
                <w:szCs w:val="21"/>
                <w:highlight w:val="none"/>
                <w:lang w:val="en-US" w:eastAsia="zh-CN"/>
              </w:rPr>
              <w:t>1</w:t>
            </w:r>
            <w:r>
              <w:rPr>
                <w:rFonts w:hint="eastAsia"/>
                <w:color w:val="auto"/>
                <w:sz w:val="21"/>
                <w:szCs w:val="21"/>
                <w:highlight w:val="none"/>
              </w:rPr>
              <w:t>个月的证明材料）</w:t>
            </w:r>
            <w:r>
              <w:rPr>
                <w:rFonts w:hint="eastAsia" w:ascii="宋体" w:hAnsi="宋体" w:eastAsia="宋体" w:cs="宋体"/>
                <w:color w:val="auto"/>
                <w:sz w:val="21"/>
                <w:szCs w:val="21"/>
                <w:highlight w:val="none"/>
              </w:rPr>
              <w:t>。</w:t>
            </w:r>
          </w:p>
          <w:p w14:paraId="73FAB273">
            <w:pPr>
              <w:keepNext w:val="0"/>
              <w:keepLines w:val="0"/>
              <w:pageBreakBefore w:val="0"/>
              <w:widowControl w:val="0"/>
              <w:numPr>
                <w:ilvl w:val="0"/>
                <w:numId w:val="1"/>
              </w:numPr>
              <w:kinsoku/>
              <w:wordWrap/>
              <w:overflowPunct/>
              <w:topLinePunct w:val="0"/>
              <w:autoSpaceDE/>
              <w:autoSpaceDN/>
              <w:bidi w:val="0"/>
              <w:adjustRightInd/>
              <w:snapToGrid/>
              <w:spacing w:line="440" w:lineRule="exact"/>
              <w:textAlignment w:val="auto"/>
              <w:rPr>
                <w:rFonts w:hint="eastAsia"/>
                <w:color w:val="auto"/>
                <w:sz w:val="21"/>
                <w:szCs w:val="21"/>
                <w:highlight w:val="none"/>
                <w:lang w:val="en-US" w:eastAsia="zh-CN"/>
              </w:rPr>
            </w:pPr>
            <w:r>
              <w:rPr>
                <w:rFonts w:hint="eastAsia" w:ascii="宋体" w:hAnsi="宋体" w:eastAsia="宋体" w:cs="宋体"/>
                <w:color w:val="auto"/>
                <w:sz w:val="21"/>
                <w:szCs w:val="21"/>
                <w:highlight w:val="none"/>
                <w:lang w:eastAsia="zh-CN"/>
              </w:rPr>
              <w:t>专职</w:t>
            </w:r>
            <w:r>
              <w:rPr>
                <w:rFonts w:hint="eastAsia" w:ascii="宋体" w:hAnsi="宋体" w:eastAsia="宋体" w:cs="宋体"/>
                <w:color w:val="auto"/>
                <w:sz w:val="21"/>
                <w:szCs w:val="21"/>
                <w:highlight w:val="none"/>
              </w:rPr>
              <w:t>安全员：</w:t>
            </w:r>
            <w:r>
              <w:rPr>
                <w:rFonts w:hint="eastAsia" w:ascii="宋体" w:hAnsi="宋体" w:cs="宋体"/>
                <w:color w:val="auto"/>
                <w:sz w:val="21"/>
                <w:szCs w:val="21"/>
                <w:highlight w:val="none"/>
                <w:lang w:val="en-US" w:eastAsia="zh-CN"/>
              </w:rPr>
              <w:t>1名，</w:t>
            </w:r>
            <w:r>
              <w:rPr>
                <w:rFonts w:hint="eastAsia" w:ascii="宋体" w:hAnsi="宋体" w:eastAsia="宋体" w:cs="宋体"/>
                <w:color w:val="auto"/>
                <w:sz w:val="21"/>
                <w:szCs w:val="21"/>
                <w:highlight w:val="none"/>
              </w:rPr>
              <w:t>具备有效的安全生产考核合格证书（C类）</w:t>
            </w:r>
            <w:r>
              <w:rPr>
                <w:rFonts w:hint="eastAsia" w:ascii="宋体" w:hAnsi="宋体" w:cs="宋体"/>
                <w:color w:val="auto"/>
                <w:sz w:val="21"/>
                <w:szCs w:val="21"/>
                <w:highlight w:val="none"/>
                <w:lang w:eastAsia="zh-CN"/>
              </w:rPr>
              <w:t>，于首次响应文件中</w:t>
            </w:r>
            <w:r>
              <w:rPr>
                <w:rFonts w:hint="eastAsia"/>
                <w:color w:val="auto"/>
                <w:sz w:val="21"/>
                <w:szCs w:val="21"/>
                <w:highlight w:val="none"/>
              </w:rPr>
              <w:t>提供供应商为其依法缴纳社会保险（202</w:t>
            </w:r>
            <w:r>
              <w:rPr>
                <w:rFonts w:hint="eastAsia"/>
                <w:color w:val="auto"/>
                <w:sz w:val="21"/>
                <w:szCs w:val="21"/>
                <w:highlight w:val="none"/>
                <w:lang w:val="en-US" w:eastAsia="zh-CN"/>
              </w:rPr>
              <w:t>5</w:t>
            </w:r>
            <w:r>
              <w:rPr>
                <w:rFonts w:hint="eastAsia"/>
                <w:color w:val="auto"/>
                <w:sz w:val="21"/>
                <w:szCs w:val="21"/>
                <w:highlight w:val="none"/>
              </w:rPr>
              <w:t>年</w:t>
            </w:r>
            <w:r>
              <w:rPr>
                <w:rFonts w:hint="eastAsia"/>
                <w:color w:val="auto"/>
                <w:sz w:val="21"/>
                <w:szCs w:val="21"/>
                <w:highlight w:val="none"/>
                <w:lang w:val="en-US" w:eastAsia="zh-CN"/>
              </w:rPr>
              <w:t>8</w:t>
            </w:r>
            <w:r>
              <w:rPr>
                <w:rFonts w:hint="eastAsia"/>
                <w:color w:val="auto"/>
                <w:sz w:val="21"/>
                <w:szCs w:val="21"/>
                <w:highlight w:val="none"/>
              </w:rPr>
              <w:t>月至响应文件</w:t>
            </w:r>
            <w:r>
              <w:rPr>
                <w:color w:val="auto"/>
                <w:sz w:val="21"/>
                <w:szCs w:val="21"/>
                <w:highlight w:val="none"/>
              </w:rPr>
              <w:t>提交截止时间止</w:t>
            </w:r>
            <w:r>
              <w:rPr>
                <w:rFonts w:hint="eastAsia"/>
                <w:color w:val="auto"/>
                <w:sz w:val="21"/>
                <w:szCs w:val="21"/>
                <w:highlight w:val="none"/>
              </w:rPr>
              <w:t>任意</w:t>
            </w:r>
            <w:r>
              <w:rPr>
                <w:rFonts w:hint="eastAsia"/>
                <w:color w:val="auto"/>
                <w:sz w:val="21"/>
                <w:szCs w:val="21"/>
                <w:highlight w:val="none"/>
                <w:lang w:val="en-US" w:eastAsia="zh-CN"/>
              </w:rPr>
              <w:t>1</w:t>
            </w:r>
            <w:r>
              <w:rPr>
                <w:rFonts w:hint="eastAsia"/>
                <w:color w:val="auto"/>
                <w:sz w:val="21"/>
                <w:szCs w:val="21"/>
                <w:highlight w:val="none"/>
              </w:rPr>
              <w:t>个月的证明材料）</w:t>
            </w:r>
            <w:r>
              <w:rPr>
                <w:rFonts w:hint="eastAsia" w:ascii="宋体" w:hAnsi="宋体" w:eastAsia="宋体" w:cs="宋体"/>
                <w:color w:val="auto"/>
                <w:sz w:val="21"/>
                <w:szCs w:val="21"/>
                <w:highlight w:val="none"/>
              </w:rPr>
              <w:t>。</w:t>
            </w:r>
          </w:p>
          <w:p w14:paraId="2267074E">
            <w:pPr>
              <w:keepNext w:val="0"/>
              <w:keepLines w:val="0"/>
              <w:pageBreakBefore w:val="0"/>
              <w:widowControl w:val="0"/>
              <w:numPr>
                <w:ilvl w:val="0"/>
                <w:numId w:val="1"/>
              </w:numPr>
              <w:kinsoku/>
              <w:wordWrap/>
              <w:overflowPunct/>
              <w:topLinePunct w:val="0"/>
              <w:autoSpaceDE/>
              <w:autoSpaceDN/>
              <w:bidi w:val="0"/>
              <w:adjustRightInd/>
              <w:snapToGrid/>
              <w:spacing w:line="440" w:lineRule="exact"/>
              <w:textAlignment w:val="auto"/>
              <w:rPr>
                <w:rFonts w:hint="eastAsia"/>
                <w:color w:val="auto"/>
                <w:sz w:val="21"/>
                <w:szCs w:val="21"/>
                <w:highlight w:val="none"/>
                <w:lang w:val="en-US" w:eastAsia="zh-CN"/>
              </w:rPr>
            </w:pPr>
            <w:bookmarkStart w:id="55" w:name="EB8b0fed5d468f4803a03ce89208a0b216"/>
            <w:r>
              <w:rPr>
                <w:rFonts w:hint="eastAsia"/>
                <w:b/>
                <w:bCs/>
                <w:color w:val="auto"/>
                <w:sz w:val="21"/>
                <w:szCs w:val="21"/>
                <w:highlight w:val="none"/>
                <w:lang w:val="en-US" w:eastAsia="zh-CN"/>
              </w:rPr>
              <w:t>符合市建规(2006)270 号文现场人员规定最低要求。</w:t>
            </w:r>
            <w:bookmarkEnd w:id="55"/>
          </w:p>
        </w:tc>
        <w:tc>
          <w:tcPr>
            <w:tcW w:w="967" w:type="dxa"/>
            <w:noWrap w:val="0"/>
            <w:vAlign w:val="center"/>
          </w:tcPr>
          <w:p w14:paraId="36C9EF8E">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宋体" w:hAnsi="宋体" w:eastAsia="宋体" w:cs="宋体"/>
                <w:color w:val="auto"/>
                <w:sz w:val="21"/>
                <w:szCs w:val="21"/>
                <w:highlight w:val="none"/>
              </w:rPr>
            </w:pPr>
          </w:p>
        </w:tc>
      </w:tr>
    </w:tbl>
    <w:p w14:paraId="02B0A956">
      <w:pPr>
        <w:spacing w:before="165" w:beforeLines="50" w:line="360" w:lineRule="auto"/>
        <w:jc w:val="left"/>
        <w:outlineLvl w:val="1"/>
        <w:rPr>
          <w:rFonts w:hint="eastAsia"/>
          <w:b/>
          <w:bCs/>
          <w:color w:val="auto"/>
          <w:sz w:val="24"/>
          <w:highlight w:val="none"/>
        </w:rPr>
      </w:pPr>
      <w:bookmarkStart w:id="56" w:name="_Toc18485"/>
      <w:bookmarkStart w:id="57" w:name="_Toc24757"/>
      <w:r>
        <w:rPr>
          <w:rFonts w:hint="eastAsia" w:ascii="宋体" w:hAnsi="宋体" w:cs="宋体"/>
          <w:b/>
          <w:color w:val="auto"/>
          <w:highlight w:val="none"/>
        </w:rPr>
        <w:t>▲</w:t>
      </w:r>
      <w:r>
        <w:rPr>
          <w:rFonts w:hint="eastAsia"/>
          <w:b/>
          <w:bCs/>
          <w:color w:val="auto"/>
          <w:sz w:val="24"/>
          <w:highlight w:val="none"/>
        </w:rPr>
        <w:t>二、商务条款</w:t>
      </w:r>
      <w:bookmarkEnd w:id="56"/>
      <w:bookmarkEnd w:id="57"/>
    </w:p>
    <w:tbl>
      <w:tblPr>
        <w:tblStyle w:val="28"/>
        <w:tblW w:w="0" w:type="auto"/>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698"/>
        <w:gridCol w:w="2022"/>
        <w:gridCol w:w="7006"/>
      </w:tblGrid>
      <w:tr w14:paraId="675267F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blHeader/>
        </w:trPr>
        <w:tc>
          <w:tcPr>
            <w:tcW w:w="698" w:type="dxa"/>
            <w:tcBorders>
              <w:top w:val="single" w:color="auto" w:sz="4" w:space="0"/>
              <w:left w:val="single" w:color="auto" w:sz="4" w:space="0"/>
              <w:bottom w:val="single" w:color="auto" w:sz="4" w:space="0"/>
              <w:right w:val="single" w:color="auto" w:sz="4" w:space="0"/>
            </w:tcBorders>
            <w:shd w:val="clear" w:color="auto" w:fill="8DB3E2"/>
            <w:noWrap w:val="0"/>
            <w:vAlign w:val="center"/>
          </w:tcPr>
          <w:p w14:paraId="0A7FFA2B">
            <w:pPr>
              <w:keepNext w:val="0"/>
              <w:keepLines w:val="0"/>
              <w:pageBreakBefore w:val="0"/>
              <w:kinsoku/>
              <w:wordWrap/>
              <w:overflowPunct/>
              <w:topLinePunct w:val="0"/>
              <w:autoSpaceDE/>
              <w:autoSpaceDN/>
              <w:bidi w:val="0"/>
              <w:adjustRightInd/>
              <w:spacing w:line="440" w:lineRule="exact"/>
              <w:jc w:val="center"/>
              <w:textAlignment w:val="auto"/>
              <w:rPr>
                <w:rFonts w:hint="eastAsia" w:cs="宋体"/>
                <w:b/>
                <w:bCs/>
                <w:color w:val="auto"/>
                <w:szCs w:val="21"/>
                <w:highlight w:val="none"/>
              </w:rPr>
            </w:pPr>
            <w:r>
              <w:rPr>
                <w:rFonts w:hint="eastAsia" w:cs="宋体"/>
                <w:b/>
                <w:bCs/>
                <w:color w:val="auto"/>
                <w:szCs w:val="21"/>
                <w:highlight w:val="none"/>
              </w:rPr>
              <w:t>项号</w:t>
            </w:r>
          </w:p>
        </w:tc>
        <w:tc>
          <w:tcPr>
            <w:tcW w:w="2022" w:type="dxa"/>
            <w:tcBorders>
              <w:top w:val="single" w:color="auto" w:sz="4" w:space="0"/>
              <w:left w:val="single" w:color="auto" w:sz="4" w:space="0"/>
              <w:bottom w:val="single" w:color="auto" w:sz="4" w:space="0"/>
              <w:right w:val="single" w:color="auto" w:sz="4" w:space="0"/>
            </w:tcBorders>
            <w:shd w:val="clear" w:color="auto" w:fill="8DB3E2"/>
            <w:noWrap w:val="0"/>
            <w:vAlign w:val="center"/>
          </w:tcPr>
          <w:p w14:paraId="680CE991">
            <w:pPr>
              <w:keepNext w:val="0"/>
              <w:keepLines w:val="0"/>
              <w:pageBreakBefore w:val="0"/>
              <w:widowControl/>
              <w:kinsoku/>
              <w:wordWrap/>
              <w:overflowPunct/>
              <w:topLinePunct w:val="0"/>
              <w:autoSpaceDE/>
              <w:autoSpaceDN/>
              <w:bidi w:val="0"/>
              <w:adjustRightInd/>
              <w:spacing w:line="440" w:lineRule="exact"/>
              <w:jc w:val="center"/>
              <w:textAlignment w:val="auto"/>
              <w:rPr>
                <w:rFonts w:cs="宋体"/>
                <w:b/>
                <w:bCs/>
                <w:color w:val="auto"/>
                <w:szCs w:val="21"/>
                <w:highlight w:val="none"/>
              </w:rPr>
            </w:pPr>
            <w:r>
              <w:rPr>
                <w:rFonts w:hint="eastAsia" w:cs="宋体"/>
                <w:b/>
                <w:bCs/>
                <w:color w:val="auto"/>
                <w:szCs w:val="21"/>
                <w:highlight w:val="none"/>
              </w:rPr>
              <w:t>商务条款名称</w:t>
            </w:r>
          </w:p>
        </w:tc>
        <w:tc>
          <w:tcPr>
            <w:tcW w:w="7006" w:type="dxa"/>
            <w:tcBorders>
              <w:top w:val="single" w:color="auto" w:sz="4" w:space="0"/>
              <w:left w:val="single" w:color="auto" w:sz="4" w:space="0"/>
              <w:bottom w:val="single" w:color="auto" w:sz="4" w:space="0"/>
              <w:right w:val="single" w:color="auto" w:sz="4" w:space="0"/>
            </w:tcBorders>
            <w:shd w:val="clear" w:color="auto" w:fill="8DB3E2"/>
            <w:noWrap w:val="0"/>
            <w:vAlign w:val="center"/>
          </w:tcPr>
          <w:p w14:paraId="7C6BF2EE">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cs="宋体"/>
                <w:b/>
                <w:bCs/>
                <w:color w:val="auto"/>
                <w:kern w:val="0"/>
                <w:szCs w:val="21"/>
                <w:highlight w:val="none"/>
              </w:rPr>
            </w:pPr>
            <w:r>
              <w:rPr>
                <w:rFonts w:hint="eastAsia" w:cs="宋体"/>
                <w:b/>
                <w:bCs/>
                <w:color w:val="auto"/>
                <w:szCs w:val="21"/>
                <w:highlight w:val="none"/>
              </w:rPr>
              <w:t>商务条款内容要求</w:t>
            </w:r>
          </w:p>
        </w:tc>
      </w:tr>
      <w:tr w14:paraId="511D5EC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15AF6739">
            <w:pPr>
              <w:keepNext w:val="0"/>
              <w:keepLines w:val="0"/>
              <w:pageBreakBefore w:val="0"/>
              <w:kinsoku/>
              <w:wordWrap/>
              <w:overflowPunct/>
              <w:topLinePunct w:val="0"/>
              <w:autoSpaceDE/>
              <w:autoSpaceDN/>
              <w:bidi w:val="0"/>
              <w:adjustRightInd/>
              <w:snapToGrid w:val="0"/>
              <w:spacing w:line="440" w:lineRule="exact"/>
              <w:jc w:val="center"/>
              <w:textAlignment w:val="auto"/>
              <w:rPr>
                <w:rFonts w:cs="宋体"/>
                <w:color w:val="auto"/>
                <w:szCs w:val="21"/>
                <w:highlight w:val="none"/>
              </w:rPr>
            </w:pPr>
            <w:r>
              <w:rPr>
                <w:rFonts w:hint="eastAsia" w:cs="宋体"/>
                <w:color w:val="auto"/>
                <w:szCs w:val="21"/>
                <w:highlight w:val="none"/>
              </w:rPr>
              <w:t>1</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6833EEE3">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cs="宋体"/>
                <w:bCs/>
                <w:color w:val="auto"/>
                <w:szCs w:val="21"/>
                <w:highlight w:val="none"/>
              </w:rPr>
            </w:pPr>
            <w:r>
              <w:rPr>
                <w:rFonts w:hint="eastAsia" w:ascii="Times New Roman" w:hAnsi="Times New Roman" w:cs="宋体"/>
                <w:color w:val="auto"/>
                <w:szCs w:val="21"/>
                <w:highlight w:val="none"/>
              </w:rPr>
              <w:t>合同签订时间</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1148EE5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Times New Roman" w:hAnsi="Times New Roman" w:cs="宋体"/>
                <w:bCs/>
                <w:color w:val="auto"/>
                <w:szCs w:val="21"/>
                <w:highlight w:val="none"/>
              </w:rPr>
              <w:t>自成交通知书发出之日起25日内签订政府采购合同</w:t>
            </w:r>
            <w:r>
              <w:rPr>
                <w:rFonts w:hint="eastAsia" w:cs="宋体"/>
                <w:bCs/>
                <w:color w:val="auto"/>
                <w:szCs w:val="21"/>
                <w:highlight w:val="none"/>
                <w:lang w:eastAsia="zh-CN"/>
              </w:rPr>
              <w:t>。</w:t>
            </w:r>
          </w:p>
        </w:tc>
      </w:tr>
      <w:tr w14:paraId="34ED43C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01F0F332">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eastAsia="宋体" w:cs="宋体"/>
                <w:color w:val="auto"/>
                <w:szCs w:val="21"/>
                <w:highlight w:val="none"/>
                <w:lang w:val="en-US" w:eastAsia="zh-CN"/>
              </w:rPr>
            </w:pPr>
            <w:r>
              <w:rPr>
                <w:rFonts w:hint="eastAsia" w:cs="宋体"/>
                <w:color w:val="auto"/>
                <w:szCs w:val="21"/>
                <w:highlight w:val="none"/>
                <w:lang w:val="en-US" w:eastAsia="zh-CN"/>
              </w:rPr>
              <w:t>2</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3C524886">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cs="宋体"/>
                <w:bCs/>
                <w:color w:val="auto"/>
                <w:szCs w:val="21"/>
                <w:highlight w:val="none"/>
              </w:rPr>
            </w:pPr>
            <w:r>
              <w:rPr>
                <w:rFonts w:hint="eastAsia" w:ascii="宋体" w:hAnsi="宋体" w:eastAsia="宋体" w:cs="宋体"/>
                <w:color w:val="auto"/>
                <w:sz w:val="21"/>
                <w:szCs w:val="21"/>
                <w:highlight w:val="none"/>
                <w:lang w:val="en-US" w:eastAsia="zh-CN"/>
              </w:rPr>
              <w:t>竞标有效期</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4C5BFB24">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宋体" w:hAnsi="宋体" w:eastAsia="宋体" w:cs="宋体"/>
                <w:color w:val="auto"/>
                <w:sz w:val="21"/>
                <w:szCs w:val="21"/>
                <w:highlight w:val="none"/>
                <w:lang w:val="en-US" w:eastAsia="zh-CN"/>
              </w:rPr>
              <w:t>自首次响应文件提交截止日起60日。</w:t>
            </w:r>
          </w:p>
        </w:tc>
      </w:tr>
      <w:tr w14:paraId="1795C7C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2922C0A1">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eastAsia="宋体" w:cs="宋体"/>
                <w:color w:val="auto"/>
                <w:szCs w:val="21"/>
                <w:highlight w:val="none"/>
                <w:lang w:val="en-US" w:eastAsia="zh-CN"/>
              </w:rPr>
            </w:pPr>
            <w:r>
              <w:rPr>
                <w:rFonts w:hint="eastAsia" w:cs="宋体"/>
                <w:color w:val="auto"/>
                <w:szCs w:val="21"/>
                <w:highlight w:val="none"/>
                <w:lang w:val="en-US" w:eastAsia="zh-CN"/>
              </w:rPr>
              <w:t>3</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48AA4B8B">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cs="宋体"/>
                <w:bCs/>
                <w:color w:val="auto"/>
                <w:szCs w:val="21"/>
                <w:highlight w:val="none"/>
              </w:rPr>
            </w:pPr>
            <w:r>
              <w:rPr>
                <w:rFonts w:hint="eastAsia" w:cs="宋体"/>
                <w:bCs/>
                <w:color w:val="auto"/>
                <w:szCs w:val="21"/>
                <w:highlight w:val="none"/>
                <w:lang w:eastAsia="zh-CN"/>
              </w:rPr>
              <w:t>质量缺陷责任期</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5B8D5C72">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宋体" w:hAnsi="宋体" w:eastAsia="宋体" w:cs="宋体"/>
                <w:color w:val="auto"/>
                <w:sz w:val="21"/>
                <w:szCs w:val="21"/>
                <w:highlight w:val="none"/>
                <w:lang w:eastAsia="zh-CN"/>
              </w:rPr>
              <w:t>自工程通过竣工验收之日起计算</w:t>
            </w:r>
            <w:r>
              <w:rPr>
                <w:rFonts w:hint="eastAsia" w:ascii="宋体" w:hAnsi="宋体" w:eastAsia="宋体" w:cs="宋体"/>
                <w:color w:val="auto"/>
                <w:sz w:val="21"/>
                <w:szCs w:val="21"/>
                <w:highlight w:val="none"/>
                <w:lang w:val="en-US" w:eastAsia="zh-CN"/>
              </w:rPr>
              <w:t>24个月。</w:t>
            </w:r>
          </w:p>
        </w:tc>
      </w:tr>
      <w:tr w14:paraId="6153028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7DDEE914">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eastAsia="宋体" w:cs="宋体"/>
                <w:color w:val="auto"/>
                <w:szCs w:val="21"/>
                <w:highlight w:val="none"/>
                <w:lang w:val="en-US" w:eastAsia="zh-CN"/>
              </w:rPr>
            </w:pPr>
            <w:r>
              <w:rPr>
                <w:rFonts w:hint="eastAsia" w:cs="宋体"/>
                <w:color w:val="auto"/>
                <w:szCs w:val="21"/>
                <w:highlight w:val="none"/>
                <w:lang w:val="en-US" w:eastAsia="zh-CN"/>
              </w:rPr>
              <w:t>4</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7E745646">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cs="宋体"/>
                <w:bCs/>
                <w:color w:val="auto"/>
                <w:szCs w:val="21"/>
                <w:highlight w:val="none"/>
              </w:rPr>
            </w:pPr>
            <w:r>
              <w:rPr>
                <w:rFonts w:hint="default" w:ascii="宋体" w:hAnsi="宋体" w:eastAsia="宋体" w:cs="宋体"/>
                <w:color w:val="auto"/>
                <w:sz w:val="21"/>
                <w:szCs w:val="21"/>
                <w:highlight w:val="none"/>
                <w:lang w:val="en-US" w:eastAsia="zh-CN"/>
              </w:rPr>
              <w:t>合同履行期限（工期要求）</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0E450F76">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宋体" w:hAnsi="宋体" w:cs="宋体"/>
                <w:color w:val="auto"/>
                <w:sz w:val="21"/>
                <w:szCs w:val="21"/>
                <w:highlight w:val="none"/>
                <w:u w:val="none"/>
                <w:lang w:val="en-US" w:eastAsia="zh-CN"/>
              </w:rPr>
              <w:t>工期要求：自监理下发开工令之日起</w:t>
            </w:r>
            <w:r>
              <w:rPr>
                <w:rFonts w:hint="eastAsia" w:ascii="宋体" w:hAnsi="宋体" w:cs="宋体"/>
                <w:color w:val="auto"/>
                <w:sz w:val="21"/>
                <w:szCs w:val="21"/>
                <w:highlight w:val="none"/>
                <w:u w:val="single"/>
                <w:lang w:val="en-US" w:eastAsia="zh-CN"/>
              </w:rPr>
              <w:t xml:space="preserve"> 60 </w:t>
            </w:r>
            <w:r>
              <w:rPr>
                <w:rFonts w:hint="eastAsia" w:ascii="宋体" w:hAnsi="宋体" w:cs="宋体"/>
                <w:color w:val="auto"/>
                <w:sz w:val="21"/>
                <w:szCs w:val="21"/>
                <w:highlight w:val="none"/>
                <w:u w:val="none"/>
                <w:lang w:val="en-US" w:eastAsia="zh-CN"/>
              </w:rPr>
              <w:t>天内完工。</w:t>
            </w:r>
          </w:p>
        </w:tc>
      </w:tr>
      <w:tr w14:paraId="491368A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3593E089">
            <w:pPr>
              <w:keepNext w:val="0"/>
              <w:keepLines w:val="0"/>
              <w:pageBreakBefore w:val="0"/>
              <w:kinsoku/>
              <w:wordWrap/>
              <w:overflowPunct/>
              <w:topLinePunct w:val="0"/>
              <w:autoSpaceDE/>
              <w:autoSpaceDN/>
              <w:bidi w:val="0"/>
              <w:adjustRightInd/>
              <w:snapToGrid w:val="0"/>
              <w:spacing w:line="440" w:lineRule="exact"/>
              <w:jc w:val="center"/>
              <w:textAlignment w:val="auto"/>
              <w:rPr>
                <w:rFonts w:hint="default" w:cs="宋体"/>
                <w:color w:val="auto"/>
                <w:szCs w:val="21"/>
                <w:highlight w:val="none"/>
                <w:lang w:val="en-US" w:eastAsia="zh-CN"/>
              </w:rPr>
            </w:pPr>
            <w:r>
              <w:rPr>
                <w:rFonts w:hint="eastAsia" w:cs="宋体"/>
                <w:color w:val="auto"/>
                <w:szCs w:val="21"/>
                <w:highlight w:val="none"/>
                <w:lang w:val="en-US" w:eastAsia="zh-CN"/>
              </w:rPr>
              <w:t>5</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416544B0">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磋商报价要求</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306CC552">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宋体" w:hAnsi="宋体" w:cs="宋体"/>
                <w:color w:val="auto"/>
                <w:szCs w:val="21"/>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rPr>
              <w:t>本项目合同价款为</w:t>
            </w:r>
            <w:r>
              <w:rPr>
                <w:rFonts w:hint="eastAsia" w:ascii="宋体" w:hAnsi="宋体" w:cs="宋体"/>
                <w:color w:val="auto"/>
                <w:szCs w:val="21"/>
                <w:u w:val="single"/>
              </w:rPr>
              <w:t xml:space="preserve"> </w:t>
            </w:r>
            <w:r>
              <w:rPr>
                <w:rFonts w:hint="eastAsia" w:ascii="新宋体" w:hAnsi="新宋体" w:eastAsia="新宋体" w:cs="新宋体"/>
                <w:b/>
                <w:bCs/>
                <w:color w:val="auto"/>
                <w:spacing w:val="7"/>
                <w:szCs w:val="21"/>
                <w:highlight w:val="none"/>
                <w:u w:val="single"/>
              </w:rPr>
              <w:t>固定综合单价</w:t>
            </w:r>
            <w:r>
              <w:rPr>
                <w:rFonts w:hint="eastAsia" w:ascii="宋体" w:hAnsi="宋体" w:cs="宋体"/>
                <w:color w:val="auto"/>
                <w:szCs w:val="21"/>
                <w:u w:val="single"/>
              </w:rPr>
              <w:t xml:space="preserve"> </w:t>
            </w:r>
            <w:r>
              <w:rPr>
                <w:rFonts w:hint="eastAsia" w:ascii="宋体" w:hAnsi="宋体" w:cs="宋体"/>
                <w:color w:val="auto"/>
                <w:szCs w:val="21"/>
              </w:rPr>
              <w:t>形式，采用</w:t>
            </w:r>
            <w:r>
              <w:rPr>
                <w:rFonts w:hint="eastAsia" w:ascii="宋体" w:hAnsi="宋体" w:cs="宋体"/>
                <w:color w:val="auto"/>
                <w:szCs w:val="21"/>
                <w:u w:val="single"/>
              </w:rPr>
              <w:t xml:space="preserve"> </w:t>
            </w:r>
            <w:r>
              <w:rPr>
                <w:rFonts w:hint="eastAsia" w:ascii="宋体" w:hAnsi="宋体" w:cs="宋体"/>
                <w:b/>
                <w:bCs/>
                <w:color w:val="auto"/>
                <w:szCs w:val="21"/>
                <w:u w:val="single"/>
              </w:rPr>
              <w:t>工程量清单</w:t>
            </w:r>
            <w:r>
              <w:rPr>
                <w:rFonts w:hint="eastAsia" w:ascii="宋体" w:hAnsi="宋体" w:cs="宋体"/>
                <w:color w:val="auto"/>
                <w:szCs w:val="21"/>
                <w:u w:val="single"/>
              </w:rPr>
              <w:t xml:space="preserve"> </w:t>
            </w:r>
            <w:r>
              <w:rPr>
                <w:rFonts w:hint="eastAsia" w:ascii="宋体" w:hAnsi="宋体" w:cs="宋体"/>
                <w:color w:val="auto"/>
                <w:szCs w:val="21"/>
              </w:rPr>
              <w:t>报价。</w:t>
            </w:r>
          </w:p>
          <w:p w14:paraId="47F18223">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ascii="宋体" w:hAnsi="宋体" w:cs="宋体"/>
                <w:b/>
                <w:color w:val="auto"/>
                <w:szCs w:val="21"/>
                <w:lang w:eastAsia="zh-CN"/>
              </w:rPr>
              <w:t>磋商报价</w:t>
            </w:r>
            <w:r>
              <w:rPr>
                <w:rFonts w:hint="eastAsia" w:ascii="Times New Roman" w:hAnsi="Times New Roman" w:eastAsia="宋体" w:cs="宋体"/>
                <w:bCs/>
                <w:color w:val="auto"/>
                <w:sz w:val="21"/>
                <w:szCs w:val="21"/>
                <w:highlight w:val="none"/>
                <w:lang w:eastAsia="zh-CN"/>
              </w:rPr>
              <w:t>包括本次采购范围内提供的服务、技术费、</w:t>
            </w:r>
            <w:r>
              <w:rPr>
                <w:rFonts w:hint="eastAsia" w:ascii="Times New Roman" w:hAnsi="Times New Roman" w:cs="宋体"/>
                <w:bCs/>
                <w:color w:val="auto"/>
                <w:sz w:val="21"/>
                <w:szCs w:val="21"/>
                <w:highlight w:val="none"/>
                <w:lang w:eastAsia="zh-CN"/>
              </w:rPr>
              <w:t>材料、</w:t>
            </w:r>
            <w:r>
              <w:rPr>
                <w:rFonts w:hint="eastAsia" w:ascii="Times New Roman" w:hAnsi="Times New Roman" w:eastAsia="宋体" w:cs="宋体"/>
                <w:bCs/>
                <w:color w:val="auto"/>
                <w:sz w:val="21"/>
                <w:szCs w:val="21"/>
                <w:highlight w:val="none"/>
                <w:lang w:eastAsia="zh-CN"/>
              </w:rPr>
              <w:t>人工费、</w:t>
            </w:r>
            <w:r>
              <w:rPr>
                <w:rFonts w:hint="eastAsia" w:ascii="Times New Roman" w:hAnsi="Times New Roman" w:cs="宋体"/>
                <w:bCs/>
                <w:color w:val="auto"/>
                <w:sz w:val="21"/>
                <w:szCs w:val="21"/>
                <w:highlight w:val="none"/>
                <w:lang w:eastAsia="zh-CN"/>
              </w:rPr>
              <w:t>管理费、</w:t>
            </w:r>
            <w:r>
              <w:rPr>
                <w:rFonts w:hint="eastAsia" w:ascii="Times New Roman" w:hAnsi="Times New Roman" w:eastAsia="宋体" w:cs="宋体"/>
                <w:bCs/>
                <w:color w:val="auto"/>
                <w:sz w:val="21"/>
                <w:szCs w:val="21"/>
                <w:highlight w:val="none"/>
                <w:lang w:eastAsia="zh-CN"/>
              </w:rPr>
              <w:t>保险、税金、培训、版权费等全部费用，</w:t>
            </w:r>
            <w:r>
              <w:rPr>
                <w:rFonts w:hint="eastAsia" w:ascii="宋体" w:hAnsi="宋体" w:cs="宋体"/>
                <w:color w:val="auto"/>
                <w:szCs w:val="21"/>
              </w:rPr>
              <w:t>供应商在报价时应考虑各种风险因素和自己的承受能力。</w:t>
            </w:r>
          </w:p>
        </w:tc>
      </w:tr>
      <w:tr w14:paraId="33376DB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3E0A5A0D">
            <w:pPr>
              <w:keepNext w:val="0"/>
              <w:keepLines w:val="0"/>
              <w:pageBreakBefore w:val="0"/>
              <w:kinsoku/>
              <w:wordWrap/>
              <w:overflowPunct/>
              <w:topLinePunct w:val="0"/>
              <w:autoSpaceDE/>
              <w:autoSpaceDN/>
              <w:bidi w:val="0"/>
              <w:adjustRightInd/>
              <w:snapToGrid w:val="0"/>
              <w:spacing w:line="440" w:lineRule="exact"/>
              <w:jc w:val="center"/>
              <w:textAlignment w:val="auto"/>
              <w:rPr>
                <w:rFonts w:hint="default" w:cs="宋体"/>
                <w:color w:val="auto"/>
                <w:szCs w:val="21"/>
                <w:highlight w:val="none"/>
                <w:lang w:val="en-US" w:eastAsia="zh-CN"/>
              </w:rPr>
            </w:pPr>
            <w:r>
              <w:rPr>
                <w:rFonts w:hint="eastAsia" w:cs="宋体"/>
                <w:color w:val="auto"/>
                <w:szCs w:val="21"/>
                <w:highlight w:val="none"/>
                <w:lang w:val="en-US" w:eastAsia="zh-CN"/>
              </w:rPr>
              <w:t>6</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2396264F">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计价依据</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2FA64BF5">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宋体" w:hAnsi="宋体" w:cs="宋体"/>
                <w:color w:val="auto"/>
                <w:szCs w:val="21"/>
                <w:lang w:eastAsia="zh-CN"/>
              </w:rPr>
            </w:pPr>
            <w:r>
              <w:rPr>
                <w:rFonts w:hint="eastAsia" w:ascii="宋体" w:hAnsi="宋体" w:eastAsia="宋体" w:cs="宋体"/>
                <w:color w:val="auto"/>
                <w:sz w:val="21"/>
                <w:szCs w:val="21"/>
                <w:highlight w:val="none"/>
              </w:rPr>
              <w:t>详见第七章工程量清单</w:t>
            </w:r>
            <w:r>
              <w:rPr>
                <w:rFonts w:hint="eastAsia" w:ascii="宋体" w:hAnsi="宋体" w:cs="宋体"/>
                <w:color w:val="auto"/>
                <w:sz w:val="21"/>
                <w:szCs w:val="21"/>
                <w:highlight w:val="none"/>
                <w:lang w:eastAsia="zh-CN"/>
              </w:rPr>
              <w:t>。</w:t>
            </w:r>
          </w:p>
        </w:tc>
      </w:tr>
      <w:tr w14:paraId="3B23C61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6154ED20">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eastAsia="宋体" w:cs="宋体"/>
                <w:color w:val="auto"/>
                <w:szCs w:val="21"/>
                <w:highlight w:val="none"/>
                <w:lang w:val="en-US" w:eastAsia="zh-CN"/>
              </w:rPr>
            </w:pPr>
            <w:r>
              <w:rPr>
                <w:rFonts w:hint="eastAsia" w:cs="宋体"/>
                <w:color w:val="auto"/>
                <w:szCs w:val="21"/>
                <w:highlight w:val="none"/>
                <w:lang w:val="en-US" w:eastAsia="zh-CN"/>
              </w:rPr>
              <w:t>7</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214DCEA2">
            <w:pPr>
              <w:keepNext w:val="0"/>
              <w:keepLines w:val="0"/>
              <w:pageBreakBefore w:val="0"/>
              <w:kinsoku/>
              <w:wordWrap/>
              <w:overflowPunct/>
              <w:topLinePunct w:val="0"/>
              <w:autoSpaceDE/>
              <w:autoSpaceDN/>
              <w:bidi w:val="0"/>
              <w:adjustRightInd/>
              <w:snapToGrid w:val="0"/>
              <w:spacing w:line="440" w:lineRule="exact"/>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付款方式</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4BAD181A">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Arial" w:hAnsi="Arial" w:eastAsia="宋体" w:cs="Arial"/>
                <w:color w:val="auto"/>
                <w:szCs w:val="21"/>
                <w:highlight w:val="none"/>
                <w:lang w:val="en-US" w:eastAsia="zh-CN"/>
              </w:rPr>
              <w:t>1.预付款：</w:t>
            </w:r>
            <w:r>
              <w:rPr>
                <w:rFonts w:hint="eastAsia" w:ascii="宋体" w:hAnsi="宋体"/>
                <w:color w:val="auto"/>
                <w:sz w:val="22"/>
                <w:szCs w:val="22"/>
                <w:highlight w:val="none"/>
                <w:lang w:eastAsia="zh-CN"/>
              </w:rPr>
              <w:t>预付款支付比例和支付方式详见合同文本</w:t>
            </w:r>
            <w:r>
              <w:rPr>
                <w:rFonts w:hint="eastAsia" w:ascii="Arial" w:hAnsi="Arial" w:eastAsia="宋体" w:cs="Arial"/>
                <w:color w:val="auto"/>
                <w:szCs w:val="21"/>
                <w:highlight w:val="none"/>
                <w:lang w:val="en-US" w:eastAsia="zh-CN"/>
              </w:rPr>
              <w:t>。</w:t>
            </w:r>
          </w:p>
          <w:p w14:paraId="60FB2492">
            <w:pPr>
              <w:keepNext w:val="0"/>
              <w:keepLines w:val="0"/>
              <w:pageBreakBefore w:val="0"/>
              <w:widowControl w:val="0"/>
              <w:kinsoku/>
              <w:wordWrap/>
              <w:overflowPunct/>
              <w:topLinePunct w:val="0"/>
              <w:autoSpaceDE/>
              <w:autoSpaceDN/>
              <w:bidi w:val="0"/>
              <w:adjustRightInd/>
              <w:snapToGrid/>
              <w:spacing w:line="440" w:lineRule="exact"/>
              <w:textAlignment w:val="auto"/>
              <w:rPr>
                <w:rFonts w:hint="default" w:ascii="Arial" w:hAnsi="Arial" w:eastAsia="宋体" w:cs="Arial"/>
                <w:color w:val="auto"/>
                <w:szCs w:val="21"/>
                <w:highlight w:val="none"/>
                <w:lang w:val="en-US" w:eastAsia="zh-CN"/>
              </w:rPr>
            </w:pPr>
            <w:r>
              <w:rPr>
                <w:rFonts w:hint="eastAsia" w:ascii="Arial" w:hAnsi="Arial" w:eastAsia="宋体" w:cs="Arial"/>
                <w:color w:val="auto"/>
                <w:szCs w:val="21"/>
                <w:highlight w:val="none"/>
                <w:lang w:val="en-US" w:eastAsia="zh-CN"/>
              </w:rPr>
              <w:t>2.工程进度款支付：</w:t>
            </w:r>
            <w:r>
              <w:rPr>
                <w:rFonts w:ascii="宋体" w:hAnsi="宋体"/>
                <w:bCs/>
                <w:color w:val="auto"/>
                <w:highlight w:val="none"/>
                <w:u w:val="single"/>
                <w:lang w:eastAsia="zh-CN"/>
              </w:rPr>
              <w:t>工程款原则上按</w:t>
            </w:r>
            <w:r>
              <w:rPr>
                <w:rFonts w:hint="eastAsia" w:ascii="宋体" w:hAnsi="宋体"/>
                <w:bCs/>
                <w:color w:val="auto"/>
                <w:highlight w:val="none"/>
                <w:u w:val="single"/>
                <w:lang w:eastAsia="zh-CN"/>
              </w:rPr>
              <w:t>期</w:t>
            </w:r>
            <w:r>
              <w:rPr>
                <w:rFonts w:ascii="宋体" w:hAnsi="宋体"/>
                <w:bCs/>
                <w:color w:val="auto"/>
                <w:highlight w:val="none"/>
                <w:u w:val="single"/>
                <w:lang w:eastAsia="zh-CN"/>
              </w:rPr>
              <w:t xml:space="preserve">支付，合同内进度款支付限额为已完成工程量的 </w:t>
            </w:r>
            <w:r>
              <w:rPr>
                <w:rFonts w:hint="eastAsia" w:ascii="宋体" w:hAnsi="宋体"/>
                <w:bCs/>
                <w:color w:val="auto"/>
                <w:highlight w:val="none"/>
                <w:u w:val="single"/>
                <w:lang w:eastAsia="zh-CN"/>
              </w:rPr>
              <w:t>85%</w:t>
            </w:r>
            <w:r>
              <w:rPr>
                <w:rFonts w:ascii="宋体" w:hAnsi="宋体"/>
                <w:bCs/>
                <w:color w:val="auto"/>
                <w:highlight w:val="none"/>
                <w:u w:val="single"/>
                <w:lang w:eastAsia="zh-CN"/>
              </w:rPr>
              <w:t>，</w:t>
            </w:r>
            <w:r>
              <w:rPr>
                <w:rFonts w:hint="eastAsia" w:ascii="宋体" w:hAnsi="宋体"/>
                <w:bCs/>
                <w:color w:val="auto"/>
                <w:highlight w:val="none"/>
                <w:u w:val="single"/>
                <w:lang w:eastAsia="zh-CN"/>
              </w:rPr>
              <w:t>增加工程</w:t>
            </w:r>
            <w:r>
              <w:rPr>
                <w:rFonts w:ascii="宋体" w:hAnsi="宋体"/>
                <w:bCs/>
                <w:color w:val="auto"/>
                <w:highlight w:val="none"/>
                <w:u w:val="single"/>
                <w:lang w:eastAsia="zh-CN"/>
              </w:rPr>
              <w:t>进度款支付限额为已完成工程量的</w:t>
            </w:r>
            <w:r>
              <w:rPr>
                <w:rFonts w:hint="eastAsia" w:ascii="宋体" w:hAnsi="宋体"/>
                <w:bCs/>
                <w:color w:val="auto"/>
                <w:highlight w:val="none"/>
                <w:u w:val="single"/>
                <w:lang w:val="en-US" w:eastAsia="zh-CN"/>
              </w:rPr>
              <w:t>70</w:t>
            </w:r>
            <w:r>
              <w:rPr>
                <w:rFonts w:ascii="宋体" w:hAnsi="宋体"/>
                <w:bCs/>
                <w:color w:val="auto"/>
                <w:highlight w:val="none"/>
                <w:u w:val="single"/>
                <w:lang w:eastAsia="zh-CN"/>
              </w:rPr>
              <w:t>%；工程完工验收达到质量要求，结算经</w:t>
            </w:r>
            <w:r>
              <w:rPr>
                <w:rFonts w:hint="eastAsia" w:ascii="宋体" w:hAnsi="宋体"/>
                <w:bCs/>
                <w:color w:val="auto"/>
                <w:highlight w:val="none"/>
                <w:u w:val="single"/>
                <w:lang w:eastAsia="zh-CN"/>
              </w:rPr>
              <w:t>采购人委托中介机构或区财政厅评审中心</w:t>
            </w:r>
            <w:r>
              <w:rPr>
                <w:rFonts w:ascii="宋体" w:hAnsi="宋体"/>
                <w:bCs/>
                <w:color w:val="auto"/>
                <w:highlight w:val="none"/>
                <w:u w:val="single"/>
                <w:lang w:eastAsia="zh-CN"/>
              </w:rPr>
              <w:t>审定后，工程款支付至结算总价的9</w:t>
            </w:r>
            <w:r>
              <w:rPr>
                <w:rFonts w:hint="eastAsia" w:ascii="宋体" w:hAnsi="宋体"/>
                <w:bCs/>
                <w:color w:val="auto"/>
                <w:highlight w:val="none"/>
                <w:u w:val="single"/>
                <w:lang w:eastAsia="zh-CN"/>
              </w:rPr>
              <w:t>7</w:t>
            </w:r>
            <w:r>
              <w:rPr>
                <w:rFonts w:ascii="宋体" w:hAnsi="宋体"/>
                <w:bCs/>
                <w:color w:val="auto"/>
                <w:highlight w:val="none"/>
                <w:u w:val="single"/>
                <w:lang w:eastAsia="zh-CN"/>
              </w:rPr>
              <w:t>%；</w:t>
            </w:r>
            <w:r>
              <w:rPr>
                <w:rFonts w:hint="eastAsia" w:ascii="宋体" w:hAnsi="宋体"/>
                <w:bCs/>
                <w:color w:val="auto"/>
                <w:highlight w:val="none"/>
                <w:u w:val="single"/>
                <w:lang w:eastAsia="zh-CN"/>
              </w:rPr>
              <w:t>采购人</w:t>
            </w:r>
            <w:r>
              <w:rPr>
                <w:rFonts w:ascii="宋体" w:hAnsi="宋体"/>
                <w:bCs/>
                <w:color w:val="auto"/>
                <w:highlight w:val="none"/>
                <w:u w:val="single"/>
                <w:lang w:eastAsia="zh-CN"/>
              </w:rPr>
              <w:t>按工程价款结算总额的</w:t>
            </w:r>
            <w:r>
              <w:rPr>
                <w:rFonts w:hint="eastAsia" w:ascii="宋体" w:hAnsi="宋体"/>
                <w:bCs/>
                <w:color w:val="auto"/>
                <w:highlight w:val="none"/>
                <w:u w:val="single"/>
                <w:lang w:eastAsia="zh-CN"/>
              </w:rPr>
              <w:t>3</w:t>
            </w:r>
            <w:r>
              <w:rPr>
                <w:rFonts w:ascii="宋体" w:hAnsi="宋体"/>
                <w:bCs/>
                <w:color w:val="auto"/>
                <w:highlight w:val="none"/>
                <w:u w:val="single"/>
                <w:lang w:eastAsia="zh-CN"/>
              </w:rPr>
              <w:t>%预留工程质量保修金，待工程质量</w:t>
            </w:r>
            <w:r>
              <w:rPr>
                <w:rFonts w:hint="eastAsia" w:ascii="宋体" w:hAnsi="宋体"/>
                <w:bCs/>
                <w:color w:val="auto"/>
                <w:highlight w:val="none"/>
                <w:u w:val="single"/>
                <w:lang w:eastAsia="zh-CN"/>
              </w:rPr>
              <w:t>缺陷责任期</w:t>
            </w:r>
            <w:r>
              <w:rPr>
                <w:rFonts w:ascii="宋体" w:hAnsi="宋体"/>
                <w:bCs/>
                <w:color w:val="auto"/>
                <w:highlight w:val="none"/>
                <w:u w:val="single"/>
                <w:lang w:eastAsia="zh-CN"/>
              </w:rPr>
              <w:t>满后返还。</w:t>
            </w:r>
          </w:p>
          <w:p w14:paraId="3539177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Arial" w:hAnsi="Arial" w:eastAsia="宋体" w:cs="Arial"/>
                <w:color w:val="auto"/>
                <w:szCs w:val="21"/>
                <w:highlight w:val="none"/>
                <w:lang w:val="en-US" w:eastAsia="zh-CN"/>
              </w:rPr>
              <w:t>3.供应商须在采购人支付款项时开具相应金额的有效发票给到采购人。</w:t>
            </w:r>
          </w:p>
        </w:tc>
      </w:tr>
      <w:tr w14:paraId="5259AA7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476A7E2A">
            <w:pPr>
              <w:keepNext w:val="0"/>
              <w:keepLines w:val="0"/>
              <w:pageBreakBefore w:val="0"/>
              <w:kinsoku/>
              <w:wordWrap/>
              <w:overflowPunct/>
              <w:topLinePunct w:val="0"/>
              <w:autoSpaceDE/>
              <w:autoSpaceDN/>
              <w:bidi w:val="0"/>
              <w:adjustRightInd/>
              <w:snapToGrid w:val="0"/>
              <w:spacing w:line="440" w:lineRule="exact"/>
              <w:jc w:val="center"/>
              <w:textAlignment w:val="auto"/>
              <w:rPr>
                <w:rFonts w:hint="default" w:cs="宋体"/>
                <w:color w:val="auto"/>
                <w:szCs w:val="21"/>
                <w:highlight w:val="none"/>
                <w:lang w:val="en-US" w:eastAsia="zh-CN"/>
              </w:rPr>
            </w:pPr>
            <w:r>
              <w:rPr>
                <w:rFonts w:hint="eastAsia" w:cs="宋体"/>
                <w:color w:val="auto"/>
                <w:szCs w:val="21"/>
                <w:highlight w:val="none"/>
                <w:lang w:val="en-US" w:eastAsia="zh-CN"/>
              </w:rPr>
              <w:t>8</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33D8E9F7">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ascii="宋体" w:hAnsi="宋体" w:eastAsia="宋体" w:cs="宋体"/>
                <w:color w:val="auto"/>
                <w:sz w:val="21"/>
                <w:szCs w:val="21"/>
                <w:highlight w:val="none"/>
                <w:lang w:val="en-US" w:eastAsia="zh-CN"/>
              </w:rPr>
            </w:pPr>
            <w:r>
              <w:rPr>
                <w:rFonts w:hint="eastAsia" w:ascii="宋体" w:hAnsi="宋体" w:cs="宋体"/>
                <w:color w:val="auto"/>
                <w:szCs w:val="21"/>
              </w:rPr>
              <w:t>验收要求</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6F18B7F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宋体" w:hAnsi="宋体" w:cs="宋体"/>
                <w:color w:val="auto"/>
                <w:szCs w:val="21"/>
              </w:rPr>
              <w:t>符合国家施工质量验收规范合格标准，</w:t>
            </w:r>
            <w:r>
              <w:rPr>
                <w:rFonts w:hint="eastAsia"/>
                <w:color w:val="auto"/>
                <w:highlight w:val="none"/>
              </w:rPr>
              <w:t>达到施工图及变更要求的验收标准</w:t>
            </w:r>
            <w:r>
              <w:rPr>
                <w:rFonts w:hint="eastAsia"/>
                <w:color w:val="auto"/>
                <w:highlight w:val="none"/>
                <w:lang w:eastAsia="zh-CN"/>
              </w:rPr>
              <w:t>。</w:t>
            </w:r>
          </w:p>
        </w:tc>
      </w:tr>
      <w:tr w14:paraId="5B09523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698" w:type="dxa"/>
            <w:tcBorders>
              <w:top w:val="single" w:color="auto" w:sz="4" w:space="0"/>
              <w:left w:val="single" w:color="auto" w:sz="4" w:space="0"/>
              <w:bottom w:val="single" w:color="auto" w:sz="4" w:space="0"/>
              <w:right w:val="single" w:color="auto" w:sz="4" w:space="0"/>
            </w:tcBorders>
            <w:noWrap w:val="0"/>
            <w:vAlign w:val="center"/>
          </w:tcPr>
          <w:p w14:paraId="1B2A1933">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eastAsia="宋体" w:cs="宋体"/>
                <w:color w:val="auto"/>
                <w:szCs w:val="21"/>
                <w:highlight w:val="none"/>
                <w:lang w:val="en-US" w:eastAsia="zh-CN"/>
              </w:rPr>
            </w:pPr>
            <w:r>
              <w:rPr>
                <w:rFonts w:hint="eastAsia" w:cs="宋体"/>
                <w:color w:val="auto"/>
                <w:szCs w:val="21"/>
                <w:highlight w:val="none"/>
                <w:lang w:val="en-US" w:eastAsia="zh-CN"/>
              </w:rPr>
              <w:t>9</w:t>
            </w:r>
          </w:p>
        </w:tc>
        <w:tc>
          <w:tcPr>
            <w:tcW w:w="2022" w:type="dxa"/>
            <w:tcBorders>
              <w:top w:val="single" w:color="auto" w:sz="4" w:space="0"/>
              <w:left w:val="single" w:color="auto" w:sz="4" w:space="0"/>
              <w:bottom w:val="single" w:color="auto" w:sz="4" w:space="0"/>
              <w:right w:val="single" w:color="auto" w:sz="4" w:space="0"/>
            </w:tcBorders>
            <w:noWrap w:val="0"/>
            <w:vAlign w:val="center"/>
          </w:tcPr>
          <w:p w14:paraId="65C542E6">
            <w:pPr>
              <w:keepNext w:val="0"/>
              <w:keepLines w:val="0"/>
              <w:pageBreakBefore w:val="0"/>
              <w:kinsoku/>
              <w:wordWrap/>
              <w:overflowPunct/>
              <w:topLinePunct w:val="0"/>
              <w:autoSpaceDE/>
              <w:autoSpaceDN/>
              <w:bidi w:val="0"/>
              <w:adjustRightInd/>
              <w:snapToGrid w:val="0"/>
              <w:spacing w:line="440" w:lineRule="exact"/>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其他要求</w:t>
            </w:r>
          </w:p>
        </w:tc>
        <w:tc>
          <w:tcPr>
            <w:tcW w:w="7006" w:type="dxa"/>
            <w:tcBorders>
              <w:top w:val="single" w:color="auto" w:sz="4" w:space="0"/>
              <w:left w:val="single" w:color="auto" w:sz="4" w:space="0"/>
              <w:bottom w:val="single" w:color="auto" w:sz="4" w:space="0"/>
              <w:right w:val="single" w:color="auto" w:sz="4" w:space="0"/>
            </w:tcBorders>
            <w:noWrap w:val="0"/>
            <w:vAlign w:val="center"/>
          </w:tcPr>
          <w:p w14:paraId="45DA546C">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Arial" w:hAnsi="Arial" w:eastAsia="宋体" w:cs="Arial"/>
                <w:color w:val="auto"/>
                <w:szCs w:val="21"/>
                <w:highlight w:val="none"/>
                <w:lang w:val="en-US" w:eastAsia="zh-CN"/>
              </w:rPr>
            </w:pPr>
            <w:r>
              <w:rPr>
                <w:rFonts w:hint="eastAsia" w:ascii="宋体" w:hAnsi="宋体" w:eastAsia="宋体" w:cs="宋体"/>
                <w:color w:val="auto"/>
                <w:sz w:val="21"/>
                <w:szCs w:val="21"/>
                <w:highlight w:val="white"/>
                <w:lang w:val="en-US" w:eastAsia="zh-CN"/>
              </w:rPr>
              <w:t>本项目采购预算金额：</w:t>
            </w:r>
            <w:r>
              <w:rPr>
                <w:rFonts w:hint="default" w:ascii="宋体" w:hAnsi="宋体" w:cs="宋体"/>
                <w:b/>
                <w:bCs/>
                <w:color w:val="auto"/>
                <w:sz w:val="21"/>
                <w:szCs w:val="21"/>
                <w:highlight w:val="white"/>
                <w:u w:val="single"/>
                <w:lang w:val="en-US" w:eastAsia="zh-CN"/>
              </w:rPr>
              <w:t>（大写）人民币壹佰捌拾肆万肆仟肆佰壹拾叁元柒角肆分（小写）¥1844413.74</w:t>
            </w:r>
            <w:r>
              <w:rPr>
                <w:rFonts w:hint="eastAsia" w:ascii="宋体" w:hAnsi="宋体" w:cs="宋体"/>
                <w:b w:val="0"/>
                <w:bCs w:val="0"/>
                <w:color w:val="auto"/>
                <w:highlight w:val="none"/>
                <w:lang w:val="en-US" w:eastAsia="zh-CN"/>
              </w:rPr>
              <w:t>，磋商报价超出此报价范围</w:t>
            </w:r>
            <w:r>
              <w:rPr>
                <w:rFonts w:hint="eastAsia" w:ascii="宋体" w:hAnsi="宋体" w:cs="宋体"/>
                <w:color w:val="auto"/>
                <w:szCs w:val="21"/>
                <w:highlight w:val="none"/>
              </w:rPr>
              <w:t>（包含首次报价、最后报价）的</w:t>
            </w:r>
            <w:r>
              <w:rPr>
                <w:rFonts w:hint="eastAsia" w:ascii="宋体" w:hAnsi="宋体" w:cs="宋体"/>
                <w:color w:val="auto"/>
                <w:szCs w:val="21"/>
                <w:highlight w:val="none"/>
                <w:lang w:val="en-US" w:eastAsia="zh-CN"/>
              </w:rPr>
              <w:t>按无效响应文件处理。</w:t>
            </w:r>
          </w:p>
        </w:tc>
      </w:tr>
    </w:tbl>
    <w:p w14:paraId="5DA2A4F3">
      <w:pPr>
        <w:pStyle w:val="10"/>
        <w:pageBreakBefore w:val="0"/>
        <w:widowControl w:val="0"/>
        <w:kinsoku/>
        <w:wordWrap/>
        <w:overflowPunct/>
        <w:topLinePunct w:val="0"/>
        <w:autoSpaceDE/>
        <w:autoSpaceDN/>
        <w:bidi w:val="0"/>
        <w:adjustRightInd/>
        <w:snapToGrid/>
        <w:spacing w:line="360" w:lineRule="auto"/>
        <w:textAlignment w:val="auto"/>
        <w:rPr>
          <w:rFonts w:hint="eastAsia"/>
          <w:color w:val="auto"/>
          <w:highlight w:val="none"/>
          <w:lang w:eastAsia="zh-CN"/>
        </w:rPr>
      </w:pPr>
    </w:p>
    <w:p w14:paraId="12BDB4CB">
      <w:pPr>
        <w:rPr>
          <w:rFonts w:eastAsia="Arial Unicode MS"/>
          <w:color w:val="auto"/>
          <w:sz w:val="32"/>
          <w:szCs w:val="32"/>
          <w:highlight w:val="none"/>
        </w:rPr>
      </w:pPr>
      <w:r>
        <w:rPr>
          <w:rFonts w:eastAsia="Arial Unicode MS"/>
          <w:color w:val="auto"/>
          <w:sz w:val="32"/>
          <w:szCs w:val="32"/>
          <w:highlight w:val="none"/>
        </w:rPr>
        <w:br w:type="page"/>
      </w:r>
    </w:p>
    <w:p w14:paraId="7AD57BB7">
      <w:pPr>
        <w:spacing w:line="428" w:lineRule="exact"/>
        <w:ind w:left="119"/>
        <w:rPr>
          <w:rFonts w:eastAsia="Arial Unicode MS"/>
          <w:color w:val="auto"/>
          <w:sz w:val="17"/>
          <w:szCs w:val="17"/>
          <w:highlight w:val="none"/>
        </w:rPr>
      </w:pPr>
      <w:r>
        <w:rPr>
          <w:rFonts w:eastAsia="Arial Unicode MS"/>
          <w:color w:val="auto"/>
          <w:sz w:val="32"/>
          <w:szCs w:val="32"/>
          <w:highlight w:val="none"/>
        </w:rPr>
        <w:t>附件</w:t>
      </w:r>
      <w:r>
        <w:rPr>
          <w:color w:val="auto"/>
          <w:sz w:val="32"/>
          <w:szCs w:val="32"/>
          <w:highlight w:val="none"/>
        </w:rPr>
        <w:t>1</w:t>
      </w:r>
      <w:r>
        <w:rPr>
          <w:rFonts w:eastAsia="Arial Unicode MS"/>
          <w:color w:val="auto"/>
          <w:sz w:val="32"/>
          <w:szCs w:val="32"/>
          <w:highlight w:val="none"/>
        </w:rPr>
        <w:t>：</w:t>
      </w:r>
    </w:p>
    <w:p w14:paraId="71F33B05">
      <w:pPr>
        <w:spacing w:line="528" w:lineRule="exact"/>
        <w:jc w:val="center"/>
        <w:rPr>
          <w:rFonts w:eastAsia="Arial Unicode MS"/>
          <w:color w:val="auto"/>
          <w:sz w:val="40"/>
          <w:szCs w:val="40"/>
          <w:highlight w:val="none"/>
        </w:rPr>
      </w:pPr>
      <w:r>
        <w:rPr>
          <w:rFonts w:eastAsia="微软雅黑"/>
          <w:color w:val="auto"/>
          <w:sz w:val="40"/>
          <w:szCs w:val="40"/>
          <w:highlight w:val="none"/>
        </w:rPr>
        <w:t>节能产品政府采购品目清单</w:t>
      </w:r>
    </w:p>
    <w:tbl>
      <w:tblPr>
        <w:tblStyle w:val="28"/>
        <w:tblW w:w="9758" w:type="dxa"/>
        <w:tblInd w:w="91" w:type="dxa"/>
        <w:tblLayout w:type="fixed"/>
        <w:tblCellMar>
          <w:top w:w="0" w:type="dxa"/>
          <w:left w:w="108" w:type="dxa"/>
          <w:bottom w:w="0" w:type="dxa"/>
          <w:right w:w="108" w:type="dxa"/>
        </w:tblCellMar>
      </w:tblPr>
      <w:tblGrid>
        <w:gridCol w:w="660"/>
        <w:gridCol w:w="1264"/>
        <w:gridCol w:w="1290"/>
        <w:gridCol w:w="1635"/>
        <w:gridCol w:w="4909"/>
      </w:tblGrid>
      <w:tr w14:paraId="3064684A">
        <w:tblPrEx>
          <w:tblCellMar>
            <w:top w:w="0" w:type="dxa"/>
            <w:left w:w="108" w:type="dxa"/>
            <w:bottom w:w="0" w:type="dxa"/>
            <w:right w:w="108" w:type="dxa"/>
          </w:tblCellMar>
        </w:tblPrEx>
        <w:trPr>
          <w:trHeight w:val="555" w:hRule="atLeast"/>
          <w:tblHeader/>
        </w:trPr>
        <w:tc>
          <w:tcPr>
            <w:tcW w:w="660"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top"/>
          </w:tcPr>
          <w:p w14:paraId="6099A39D">
            <w:pPr>
              <w:keepNext w:val="0"/>
              <w:keepLines w:val="0"/>
              <w:pageBreakBefore w:val="0"/>
              <w:widowControl/>
              <w:kinsoku/>
              <w:wordWrap/>
              <w:overflowPunct/>
              <w:topLinePunct w:val="0"/>
              <w:autoSpaceDE/>
              <w:autoSpaceDN/>
              <w:bidi w:val="0"/>
              <w:adjustRightInd/>
              <w:snapToGrid/>
              <w:spacing w:line="360" w:lineRule="exact"/>
              <w:jc w:val="center"/>
              <w:textAlignment w:val="auto"/>
              <w:rPr>
                <w:b/>
                <w:bCs/>
                <w:color w:val="auto"/>
                <w:kern w:val="0"/>
                <w:sz w:val="21"/>
                <w:szCs w:val="21"/>
                <w:highlight w:val="none"/>
              </w:rPr>
            </w:pPr>
            <w:r>
              <w:rPr>
                <w:b/>
                <w:bCs/>
                <w:color w:val="auto"/>
                <w:kern w:val="0"/>
                <w:sz w:val="21"/>
                <w:szCs w:val="21"/>
                <w:highlight w:val="none"/>
              </w:rPr>
              <w:t>品目序号</w:t>
            </w:r>
          </w:p>
        </w:tc>
        <w:tc>
          <w:tcPr>
            <w:tcW w:w="4189" w:type="dxa"/>
            <w:gridSpan w:val="3"/>
            <w:tcBorders>
              <w:top w:val="single" w:color="000000" w:sz="8" w:space="0"/>
              <w:left w:val="single" w:color="auto" w:sz="4" w:space="0"/>
              <w:bottom w:val="single" w:color="000000" w:sz="8" w:space="0"/>
              <w:right w:val="single" w:color="000000" w:sz="8" w:space="0"/>
            </w:tcBorders>
            <w:shd w:val="clear" w:color="auto" w:fill="8DB3E2" w:themeFill="text2" w:themeFillTint="66"/>
            <w:noWrap w:val="0"/>
            <w:vAlign w:val="center"/>
          </w:tcPr>
          <w:p w14:paraId="1C93B3FC">
            <w:pPr>
              <w:keepNext w:val="0"/>
              <w:keepLines w:val="0"/>
              <w:pageBreakBefore w:val="0"/>
              <w:widowControl/>
              <w:kinsoku/>
              <w:wordWrap/>
              <w:overflowPunct/>
              <w:topLinePunct w:val="0"/>
              <w:autoSpaceDE/>
              <w:autoSpaceDN/>
              <w:bidi w:val="0"/>
              <w:adjustRightInd/>
              <w:snapToGrid/>
              <w:spacing w:line="360" w:lineRule="exact"/>
              <w:jc w:val="center"/>
              <w:textAlignment w:val="auto"/>
              <w:rPr>
                <w:b/>
                <w:bCs/>
                <w:color w:val="auto"/>
                <w:kern w:val="0"/>
                <w:sz w:val="21"/>
                <w:szCs w:val="21"/>
                <w:highlight w:val="none"/>
              </w:rPr>
            </w:pPr>
            <w:r>
              <w:rPr>
                <w:b/>
                <w:bCs/>
                <w:color w:val="auto"/>
                <w:kern w:val="0"/>
                <w:sz w:val="21"/>
                <w:szCs w:val="21"/>
                <w:highlight w:val="none"/>
              </w:rPr>
              <w:t>名称</w:t>
            </w:r>
          </w:p>
        </w:tc>
        <w:tc>
          <w:tcPr>
            <w:tcW w:w="4909" w:type="dxa"/>
            <w:tcBorders>
              <w:top w:val="single" w:color="000000" w:sz="8" w:space="0"/>
              <w:left w:val="nil"/>
              <w:bottom w:val="single" w:color="000000" w:sz="8" w:space="0"/>
              <w:right w:val="single" w:color="000000" w:sz="8" w:space="0"/>
            </w:tcBorders>
            <w:shd w:val="clear" w:color="auto" w:fill="8DB3E2" w:themeFill="text2" w:themeFillTint="66"/>
            <w:noWrap w:val="0"/>
            <w:vAlign w:val="center"/>
          </w:tcPr>
          <w:p w14:paraId="7AEA8D1C">
            <w:pPr>
              <w:keepNext w:val="0"/>
              <w:keepLines w:val="0"/>
              <w:pageBreakBefore w:val="0"/>
              <w:widowControl/>
              <w:kinsoku/>
              <w:wordWrap/>
              <w:overflowPunct/>
              <w:topLinePunct w:val="0"/>
              <w:autoSpaceDE/>
              <w:autoSpaceDN/>
              <w:bidi w:val="0"/>
              <w:adjustRightInd/>
              <w:snapToGrid/>
              <w:spacing w:line="360" w:lineRule="exact"/>
              <w:jc w:val="center"/>
              <w:textAlignment w:val="auto"/>
              <w:rPr>
                <w:b/>
                <w:bCs/>
                <w:color w:val="auto"/>
                <w:kern w:val="0"/>
                <w:sz w:val="21"/>
                <w:szCs w:val="21"/>
                <w:highlight w:val="none"/>
              </w:rPr>
            </w:pPr>
            <w:r>
              <w:rPr>
                <w:b/>
                <w:bCs/>
                <w:color w:val="auto"/>
                <w:kern w:val="0"/>
                <w:sz w:val="21"/>
                <w:szCs w:val="21"/>
                <w:highlight w:val="none"/>
              </w:rPr>
              <w:t>依据的标准</w:t>
            </w:r>
          </w:p>
        </w:tc>
      </w:tr>
      <w:tr w14:paraId="14D1A692">
        <w:tblPrEx>
          <w:tblCellMar>
            <w:top w:w="0" w:type="dxa"/>
            <w:left w:w="108" w:type="dxa"/>
            <w:bottom w:w="0" w:type="dxa"/>
            <w:right w:w="108" w:type="dxa"/>
          </w:tblCellMar>
        </w:tblPrEx>
        <w:trPr>
          <w:trHeight w:val="495" w:hRule="atLeast"/>
        </w:trPr>
        <w:tc>
          <w:tcPr>
            <w:tcW w:w="660" w:type="dxa"/>
            <w:vMerge w:val="restart"/>
            <w:tcBorders>
              <w:top w:val="single" w:color="auto" w:sz="4" w:space="0"/>
              <w:left w:val="single" w:color="000000" w:sz="8" w:space="0"/>
              <w:bottom w:val="single" w:color="auto" w:sz="4" w:space="0"/>
              <w:right w:val="single" w:color="000000" w:sz="8" w:space="0"/>
            </w:tcBorders>
            <w:noWrap w:val="0"/>
            <w:vAlign w:val="center"/>
          </w:tcPr>
          <w:p w14:paraId="382FC40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w:t>
            </w:r>
          </w:p>
        </w:tc>
        <w:tc>
          <w:tcPr>
            <w:tcW w:w="1264" w:type="dxa"/>
            <w:vMerge w:val="restart"/>
            <w:tcBorders>
              <w:top w:val="nil"/>
              <w:left w:val="single" w:color="000000" w:sz="8" w:space="0"/>
              <w:bottom w:val="single" w:color="000000" w:sz="8" w:space="0"/>
              <w:right w:val="single" w:color="000000" w:sz="8" w:space="0"/>
            </w:tcBorders>
            <w:noWrap w:val="0"/>
            <w:vAlign w:val="center"/>
          </w:tcPr>
          <w:p w14:paraId="51D526C0">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A020101计算机设备</w:t>
            </w:r>
          </w:p>
        </w:tc>
        <w:tc>
          <w:tcPr>
            <w:tcW w:w="1290" w:type="dxa"/>
            <w:tcBorders>
              <w:top w:val="nil"/>
              <w:left w:val="nil"/>
              <w:bottom w:val="single" w:color="000000" w:sz="8" w:space="0"/>
              <w:right w:val="single" w:color="000000" w:sz="8" w:space="0"/>
            </w:tcBorders>
            <w:noWrap w:val="0"/>
            <w:vAlign w:val="center"/>
          </w:tcPr>
          <w:p w14:paraId="65AAB919">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★A02010104台式计算机</w:t>
            </w:r>
          </w:p>
        </w:tc>
        <w:tc>
          <w:tcPr>
            <w:tcW w:w="1635" w:type="dxa"/>
            <w:tcBorders>
              <w:top w:val="nil"/>
              <w:left w:val="nil"/>
              <w:bottom w:val="single" w:color="000000" w:sz="8" w:space="0"/>
              <w:right w:val="single" w:color="000000" w:sz="8" w:space="0"/>
            </w:tcBorders>
            <w:noWrap w:val="0"/>
            <w:vAlign w:val="center"/>
          </w:tcPr>
          <w:p w14:paraId="50F747A9">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450E12D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《微型计算机能效限定值及能效等级》（GB28380）</w:t>
            </w:r>
          </w:p>
        </w:tc>
      </w:tr>
      <w:tr w14:paraId="10DC5BCB">
        <w:tblPrEx>
          <w:tblCellMar>
            <w:top w:w="0" w:type="dxa"/>
            <w:left w:w="108" w:type="dxa"/>
            <w:bottom w:w="0" w:type="dxa"/>
            <w:right w:w="108" w:type="dxa"/>
          </w:tblCellMar>
        </w:tblPrEx>
        <w:trPr>
          <w:trHeight w:val="495" w:hRule="atLeast"/>
        </w:trPr>
        <w:tc>
          <w:tcPr>
            <w:tcW w:w="660" w:type="dxa"/>
            <w:vMerge w:val="continue"/>
            <w:tcBorders>
              <w:top w:val="single" w:color="auto" w:sz="4" w:space="0"/>
              <w:left w:val="single" w:color="000000" w:sz="8" w:space="0"/>
              <w:bottom w:val="single" w:color="auto" w:sz="4" w:space="0"/>
              <w:right w:val="single" w:color="000000" w:sz="8" w:space="0"/>
            </w:tcBorders>
            <w:noWrap w:val="0"/>
            <w:vAlign w:val="center"/>
          </w:tcPr>
          <w:p w14:paraId="2BDE583B">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2712D1A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000000" w:sz="8" w:space="0"/>
              <w:right w:val="single" w:color="000000" w:sz="8" w:space="0"/>
            </w:tcBorders>
            <w:noWrap w:val="0"/>
            <w:vAlign w:val="center"/>
          </w:tcPr>
          <w:p w14:paraId="0588929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★A02010105便携式计算机</w:t>
            </w:r>
          </w:p>
        </w:tc>
        <w:tc>
          <w:tcPr>
            <w:tcW w:w="1635" w:type="dxa"/>
            <w:tcBorders>
              <w:top w:val="nil"/>
              <w:left w:val="nil"/>
              <w:bottom w:val="single" w:color="000000" w:sz="8" w:space="0"/>
              <w:right w:val="single" w:color="000000" w:sz="8" w:space="0"/>
            </w:tcBorders>
            <w:noWrap w:val="0"/>
            <w:vAlign w:val="center"/>
          </w:tcPr>
          <w:p w14:paraId="27EEF76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0126B49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《微型计算机能效限定值及能效等级》（GB28380）</w:t>
            </w:r>
          </w:p>
        </w:tc>
      </w:tr>
      <w:tr w14:paraId="25B0111B">
        <w:tblPrEx>
          <w:tblCellMar>
            <w:top w:w="0" w:type="dxa"/>
            <w:left w:w="108" w:type="dxa"/>
            <w:bottom w:w="0" w:type="dxa"/>
            <w:right w:w="108" w:type="dxa"/>
          </w:tblCellMar>
        </w:tblPrEx>
        <w:trPr>
          <w:trHeight w:val="735" w:hRule="atLeast"/>
        </w:trPr>
        <w:tc>
          <w:tcPr>
            <w:tcW w:w="660" w:type="dxa"/>
            <w:vMerge w:val="continue"/>
            <w:tcBorders>
              <w:top w:val="single" w:color="auto" w:sz="4" w:space="0"/>
              <w:left w:val="single" w:color="000000" w:sz="8" w:space="0"/>
              <w:bottom w:val="single" w:color="auto" w:sz="4" w:space="0"/>
              <w:right w:val="single" w:color="000000" w:sz="8" w:space="0"/>
            </w:tcBorders>
            <w:noWrap w:val="0"/>
            <w:vAlign w:val="center"/>
          </w:tcPr>
          <w:p w14:paraId="1262246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545AD3D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000000" w:sz="8" w:space="0"/>
              <w:right w:val="single" w:color="000000" w:sz="8" w:space="0"/>
            </w:tcBorders>
            <w:noWrap w:val="0"/>
            <w:vAlign w:val="center"/>
          </w:tcPr>
          <w:p w14:paraId="2352DDBA">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★A02010107平板式微型计算机</w:t>
            </w:r>
          </w:p>
        </w:tc>
        <w:tc>
          <w:tcPr>
            <w:tcW w:w="1635" w:type="dxa"/>
            <w:tcBorders>
              <w:top w:val="nil"/>
              <w:left w:val="nil"/>
              <w:bottom w:val="single" w:color="000000" w:sz="8" w:space="0"/>
              <w:right w:val="single" w:color="000000" w:sz="8" w:space="0"/>
            </w:tcBorders>
            <w:noWrap w:val="0"/>
            <w:vAlign w:val="center"/>
          </w:tcPr>
          <w:p w14:paraId="55D698A1">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7E022A4B">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《微型计算机能效限定值及能效等级》（GB28380）</w:t>
            </w:r>
          </w:p>
        </w:tc>
      </w:tr>
      <w:tr w14:paraId="7D7A279A">
        <w:tblPrEx>
          <w:tblCellMar>
            <w:top w:w="0" w:type="dxa"/>
            <w:left w:w="108" w:type="dxa"/>
            <w:bottom w:w="0" w:type="dxa"/>
            <w:right w:w="108" w:type="dxa"/>
          </w:tblCellMar>
        </w:tblPrEx>
        <w:trPr>
          <w:trHeight w:val="495" w:hRule="atLeast"/>
        </w:trPr>
        <w:tc>
          <w:tcPr>
            <w:tcW w:w="660" w:type="dxa"/>
            <w:vMerge w:val="restart"/>
            <w:tcBorders>
              <w:top w:val="single" w:color="auto" w:sz="4" w:space="0"/>
              <w:left w:val="single" w:color="000000" w:sz="8" w:space="0"/>
              <w:bottom w:val="single" w:color="auto" w:sz="4" w:space="0"/>
              <w:right w:val="single" w:color="000000" w:sz="8" w:space="0"/>
            </w:tcBorders>
            <w:noWrap w:val="0"/>
            <w:vAlign w:val="center"/>
          </w:tcPr>
          <w:p w14:paraId="6B096C30">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2</w:t>
            </w:r>
          </w:p>
        </w:tc>
        <w:tc>
          <w:tcPr>
            <w:tcW w:w="1264" w:type="dxa"/>
            <w:vMerge w:val="restart"/>
            <w:tcBorders>
              <w:top w:val="nil"/>
              <w:left w:val="single" w:color="000000" w:sz="8" w:space="0"/>
              <w:bottom w:val="single" w:color="000000" w:sz="8" w:space="0"/>
              <w:right w:val="single" w:color="000000" w:sz="8" w:space="0"/>
            </w:tcBorders>
            <w:noWrap w:val="0"/>
            <w:vAlign w:val="center"/>
          </w:tcPr>
          <w:p w14:paraId="695FC0C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A020106输入输出设备</w:t>
            </w:r>
          </w:p>
        </w:tc>
        <w:tc>
          <w:tcPr>
            <w:tcW w:w="1290" w:type="dxa"/>
            <w:vMerge w:val="restart"/>
            <w:tcBorders>
              <w:top w:val="nil"/>
              <w:left w:val="single" w:color="000000" w:sz="8" w:space="0"/>
              <w:bottom w:val="single" w:color="000000" w:sz="8" w:space="0"/>
              <w:right w:val="single" w:color="000000" w:sz="8" w:space="0"/>
            </w:tcBorders>
            <w:noWrap w:val="0"/>
            <w:vAlign w:val="center"/>
          </w:tcPr>
          <w:p w14:paraId="33A8796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A02010601打印设备</w:t>
            </w:r>
          </w:p>
        </w:tc>
        <w:tc>
          <w:tcPr>
            <w:tcW w:w="1635" w:type="dxa"/>
            <w:tcBorders>
              <w:top w:val="nil"/>
              <w:left w:val="nil"/>
              <w:bottom w:val="single" w:color="000000" w:sz="8" w:space="0"/>
              <w:right w:val="single" w:color="000000" w:sz="8" w:space="0"/>
            </w:tcBorders>
            <w:noWrap w:val="0"/>
            <w:vAlign w:val="center"/>
          </w:tcPr>
          <w:p w14:paraId="4048FA8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A0201060101喷墨打印机</w:t>
            </w:r>
          </w:p>
        </w:tc>
        <w:tc>
          <w:tcPr>
            <w:tcW w:w="4909" w:type="dxa"/>
            <w:tcBorders>
              <w:top w:val="nil"/>
              <w:left w:val="nil"/>
              <w:bottom w:val="single" w:color="000000" w:sz="8" w:space="0"/>
              <w:right w:val="single" w:color="000000" w:sz="8" w:space="0"/>
            </w:tcBorders>
            <w:noWrap w:val="0"/>
            <w:vAlign w:val="center"/>
          </w:tcPr>
          <w:p w14:paraId="487FC46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《复印机、打印机和传真机能效限定值及能效等级》（GB21521）</w:t>
            </w:r>
          </w:p>
        </w:tc>
      </w:tr>
      <w:tr w14:paraId="3DF5148B">
        <w:tblPrEx>
          <w:tblCellMar>
            <w:top w:w="0" w:type="dxa"/>
            <w:left w:w="108" w:type="dxa"/>
            <w:bottom w:w="0" w:type="dxa"/>
            <w:right w:w="108" w:type="dxa"/>
          </w:tblCellMar>
        </w:tblPrEx>
        <w:trPr>
          <w:trHeight w:val="495" w:hRule="atLeast"/>
        </w:trPr>
        <w:tc>
          <w:tcPr>
            <w:tcW w:w="660" w:type="dxa"/>
            <w:vMerge w:val="continue"/>
            <w:tcBorders>
              <w:top w:val="single" w:color="auto" w:sz="4" w:space="0"/>
              <w:left w:val="single" w:color="000000" w:sz="8" w:space="0"/>
              <w:bottom w:val="single" w:color="auto" w:sz="4" w:space="0"/>
              <w:right w:val="single" w:color="000000" w:sz="8" w:space="0"/>
            </w:tcBorders>
            <w:noWrap w:val="0"/>
            <w:vAlign w:val="center"/>
          </w:tcPr>
          <w:p w14:paraId="26181F1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2D58CC16">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56D6CEF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4BB6059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★A0201060102激光打印机</w:t>
            </w:r>
          </w:p>
        </w:tc>
        <w:tc>
          <w:tcPr>
            <w:tcW w:w="4909" w:type="dxa"/>
            <w:tcBorders>
              <w:top w:val="nil"/>
              <w:left w:val="nil"/>
              <w:bottom w:val="single" w:color="000000" w:sz="8" w:space="0"/>
              <w:right w:val="single" w:color="000000" w:sz="8" w:space="0"/>
            </w:tcBorders>
            <w:noWrap w:val="0"/>
            <w:vAlign w:val="center"/>
          </w:tcPr>
          <w:p w14:paraId="3375926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《复印机、打印机和传真机能效限定值及能效等级》（GB21521）</w:t>
            </w:r>
          </w:p>
        </w:tc>
      </w:tr>
      <w:tr w14:paraId="271CE69C">
        <w:tblPrEx>
          <w:tblCellMar>
            <w:top w:w="0" w:type="dxa"/>
            <w:left w:w="108" w:type="dxa"/>
            <w:bottom w:w="0" w:type="dxa"/>
            <w:right w:w="108" w:type="dxa"/>
          </w:tblCellMar>
        </w:tblPrEx>
        <w:trPr>
          <w:trHeight w:val="495" w:hRule="atLeast"/>
        </w:trPr>
        <w:tc>
          <w:tcPr>
            <w:tcW w:w="660" w:type="dxa"/>
            <w:vMerge w:val="continue"/>
            <w:tcBorders>
              <w:top w:val="single" w:color="auto" w:sz="4" w:space="0"/>
              <w:left w:val="single" w:color="000000" w:sz="8" w:space="0"/>
              <w:bottom w:val="single" w:color="auto" w:sz="4" w:space="0"/>
              <w:right w:val="single" w:color="000000" w:sz="8" w:space="0"/>
            </w:tcBorders>
            <w:noWrap w:val="0"/>
            <w:vAlign w:val="center"/>
          </w:tcPr>
          <w:p w14:paraId="64EED18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628D350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15A18EEA">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4F11372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★A0201060104针式打印机</w:t>
            </w:r>
          </w:p>
        </w:tc>
        <w:tc>
          <w:tcPr>
            <w:tcW w:w="4909" w:type="dxa"/>
            <w:tcBorders>
              <w:top w:val="nil"/>
              <w:left w:val="nil"/>
              <w:bottom w:val="single" w:color="000000" w:sz="8" w:space="0"/>
              <w:right w:val="single" w:color="000000" w:sz="8" w:space="0"/>
            </w:tcBorders>
            <w:noWrap w:val="0"/>
            <w:vAlign w:val="center"/>
          </w:tcPr>
          <w:p w14:paraId="16B77B2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《复印机、打印机和传真机能效限定值及能效等级》（GB21521）</w:t>
            </w:r>
          </w:p>
        </w:tc>
      </w:tr>
      <w:tr w14:paraId="30DEA9E3">
        <w:tblPrEx>
          <w:tblCellMar>
            <w:top w:w="0" w:type="dxa"/>
            <w:left w:w="108" w:type="dxa"/>
            <w:bottom w:w="0" w:type="dxa"/>
            <w:right w:w="108" w:type="dxa"/>
          </w:tblCellMar>
        </w:tblPrEx>
        <w:trPr>
          <w:trHeight w:val="495" w:hRule="atLeast"/>
        </w:trPr>
        <w:tc>
          <w:tcPr>
            <w:tcW w:w="660" w:type="dxa"/>
            <w:vMerge w:val="continue"/>
            <w:tcBorders>
              <w:top w:val="single" w:color="auto" w:sz="4" w:space="0"/>
              <w:left w:val="single" w:color="000000" w:sz="8" w:space="0"/>
              <w:bottom w:val="single" w:color="auto" w:sz="4" w:space="0"/>
              <w:right w:val="single" w:color="000000" w:sz="8" w:space="0"/>
            </w:tcBorders>
            <w:noWrap w:val="0"/>
            <w:vAlign w:val="center"/>
          </w:tcPr>
          <w:p w14:paraId="3A534231">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5EB9B3D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000000" w:sz="8" w:space="0"/>
              <w:right w:val="single" w:color="000000" w:sz="8" w:space="0"/>
            </w:tcBorders>
            <w:noWrap w:val="0"/>
            <w:vAlign w:val="center"/>
          </w:tcPr>
          <w:p w14:paraId="2D83586D">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A02010604显示设备</w:t>
            </w:r>
          </w:p>
        </w:tc>
        <w:tc>
          <w:tcPr>
            <w:tcW w:w="1635" w:type="dxa"/>
            <w:tcBorders>
              <w:top w:val="nil"/>
              <w:left w:val="nil"/>
              <w:bottom w:val="single" w:color="000000" w:sz="8" w:space="0"/>
              <w:right w:val="single" w:color="000000" w:sz="8" w:space="0"/>
            </w:tcBorders>
            <w:noWrap w:val="0"/>
            <w:vAlign w:val="center"/>
          </w:tcPr>
          <w:p w14:paraId="457C680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★A0201060401液晶显示器</w:t>
            </w:r>
          </w:p>
        </w:tc>
        <w:tc>
          <w:tcPr>
            <w:tcW w:w="4909" w:type="dxa"/>
            <w:tcBorders>
              <w:top w:val="nil"/>
              <w:left w:val="nil"/>
              <w:bottom w:val="single" w:color="000000" w:sz="8" w:space="0"/>
              <w:right w:val="single" w:color="000000" w:sz="8" w:space="0"/>
            </w:tcBorders>
            <w:noWrap w:val="0"/>
            <w:vAlign w:val="center"/>
          </w:tcPr>
          <w:p w14:paraId="2C4BE23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《计算机显示器能效限定值及能效等级》（GB21520）</w:t>
            </w:r>
          </w:p>
        </w:tc>
      </w:tr>
      <w:tr w14:paraId="580696E3">
        <w:tblPrEx>
          <w:tblCellMar>
            <w:top w:w="0" w:type="dxa"/>
            <w:left w:w="108" w:type="dxa"/>
            <w:bottom w:w="0" w:type="dxa"/>
            <w:right w:w="108" w:type="dxa"/>
          </w:tblCellMar>
        </w:tblPrEx>
        <w:trPr>
          <w:trHeight w:val="975" w:hRule="atLeast"/>
        </w:trPr>
        <w:tc>
          <w:tcPr>
            <w:tcW w:w="660" w:type="dxa"/>
            <w:vMerge w:val="continue"/>
            <w:tcBorders>
              <w:top w:val="single" w:color="auto" w:sz="4" w:space="0"/>
              <w:left w:val="single" w:color="000000" w:sz="8" w:space="0"/>
              <w:bottom w:val="single" w:color="auto" w:sz="4" w:space="0"/>
              <w:right w:val="single" w:color="000000" w:sz="8" w:space="0"/>
            </w:tcBorders>
            <w:noWrap w:val="0"/>
            <w:vAlign w:val="center"/>
          </w:tcPr>
          <w:p w14:paraId="3B8CCE5B">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059BBEC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000000" w:sz="8" w:space="0"/>
              <w:right w:val="single" w:color="000000" w:sz="8" w:space="0"/>
            </w:tcBorders>
            <w:noWrap w:val="0"/>
            <w:vAlign w:val="center"/>
          </w:tcPr>
          <w:p w14:paraId="13B056A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A02010609图形图像输入设备</w:t>
            </w:r>
          </w:p>
        </w:tc>
        <w:tc>
          <w:tcPr>
            <w:tcW w:w="1635" w:type="dxa"/>
            <w:tcBorders>
              <w:top w:val="nil"/>
              <w:left w:val="nil"/>
              <w:bottom w:val="single" w:color="000000" w:sz="8" w:space="0"/>
              <w:right w:val="single" w:color="000000" w:sz="8" w:space="0"/>
            </w:tcBorders>
            <w:noWrap w:val="0"/>
            <w:vAlign w:val="center"/>
          </w:tcPr>
          <w:p w14:paraId="7D9FAD8D">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A0201060901扫描仪</w:t>
            </w:r>
          </w:p>
        </w:tc>
        <w:tc>
          <w:tcPr>
            <w:tcW w:w="4909" w:type="dxa"/>
            <w:tcBorders>
              <w:top w:val="nil"/>
              <w:left w:val="nil"/>
              <w:bottom w:val="single" w:color="000000" w:sz="8" w:space="0"/>
              <w:right w:val="single" w:color="000000" w:sz="8" w:space="0"/>
            </w:tcBorders>
            <w:noWrap w:val="0"/>
            <w:vAlign w:val="center"/>
          </w:tcPr>
          <w:p w14:paraId="237B602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参照《复印机、打印机和传真机能效限定值及能效等级》（GB21521中打印速度为15页/分的针式打印机相关要求中打印速度为15页/分的针式打印机相关要求</w:t>
            </w:r>
          </w:p>
        </w:tc>
      </w:tr>
      <w:tr w14:paraId="65AF9269">
        <w:tblPrEx>
          <w:tblCellMar>
            <w:top w:w="0" w:type="dxa"/>
            <w:left w:w="108" w:type="dxa"/>
            <w:bottom w:w="0" w:type="dxa"/>
            <w:right w:w="108" w:type="dxa"/>
          </w:tblCellMar>
        </w:tblPrEx>
        <w:trPr>
          <w:trHeight w:val="495" w:hRule="atLeast"/>
        </w:trPr>
        <w:tc>
          <w:tcPr>
            <w:tcW w:w="660" w:type="dxa"/>
            <w:tcBorders>
              <w:top w:val="single" w:color="auto" w:sz="4" w:space="0"/>
              <w:left w:val="single" w:color="000000" w:sz="8" w:space="0"/>
              <w:bottom w:val="single" w:color="000000" w:sz="8" w:space="0"/>
              <w:right w:val="single" w:color="000000" w:sz="8" w:space="0"/>
            </w:tcBorders>
            <w:noWrap w:val="0"/>
            <w:vAlign w:val="center"/>
          </w:tcPr>
          <w:p w14:paraId="3420D73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3</w:t>
            </w:r>
          </w:p>
        </w:tc>
        <w:tc>
          <w:tcPr>
            <w:tcW w:w="1264" w:type="dxa"/>
            <w:tcBorders>
              <w:top w:val="nil"/>
              <w:left w:val="nil"/>
              <w:bottom w:val="single" w:color="000000" w:sz="8" w:space="0"/>
              <w:right w:val="single" w:color="000000" w:sz="8" w:space="0"/>
            </w:tcBorders>
            <w:noWrap w:val="0"/>
            <w:vAlign w:val="center"/>
          </w:tcPr>
          <w:p w14:paraId="3060B184">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A020202投影仪</w:t>
            </w:r>
          </w:p>
        </w:tc>
        <w:tc>
          <w:tcPr>
            <w:tcW w:w="1290" w:type="dxa"/>
            <w:tcBorders>
              <w:top w:val="nil"/>
              <w:left w:val="nil"/>
              <w:bottom w:val="single" w:color="000000" w:sz="8" w:space="0"/>
              <w:right w:val="single" w:color="000000" w:sz="8" w:space="0"/>
            </w:tcBorders>
            <w:noWrap w:val="0"/>
            <w:vAlign w:val="center"/>
          </w:tcPr>
          <w:p w14:paraId="66D6DAAF">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328734F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6A78E62E">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《投影机能效限定值及能效等级》（GB32028）</w:t>
            </w:r>
          </w:p>
        </w:tc>
      </w:tr>
      <w:tr w14:paraId="226B2CE6">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7035C898">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4</w:t>
            </w:r>
          </w:p>
        </w:tc>
        <w:tc>
          <w:tcPr>
            <w:tcW w:w="1264" w:type="dxa"/>
            <w:tcBorders>
              <w:top w:val="nil"/>
              <w:left w:val="nil"/>
              <w:bottom w:val="single" w:color="000000" w:sz="8" w:space="0"/>
              <w:right w:val="single" w:color="000000" w:sz="8" w:space="0"/>
            </w:tcBorders>
            <w:noWrap w:val="0"/>
            <w:vAlign w:val="center"/>
          </w:tcPr>
          <w:p w14:paraId="5E9BE624">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A020204多功能一体机</w:t>
            </w:r>
          </w:p>
        </w:tc>
        <w:tc>
          <w:tcPr>
            <w:tcW w:w="1290" w:type="dxa"/>
            <w:tcBorders>
              <w:top w:val="nil"/>
              <w:left w:val="nil"/>
              <w:bottom w:val="single" w:color="000000" w:sz="8" w:space="0"/>
              <w:right w:val="single" w:color="000000" w:sz="8" w:space="0"/>
            </w:tcBorders>
            <w:noWrap w:val="0"/>
            <w:vAlign w:val="center"/>
          </w:tcPr>
          <w:p w14:paraId="3B9B0585">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4B588468">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2BA3B62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《复印机、打印机和传真机能效限定值及能效等级》（GB21521）</w:t>
            </w:r>
          </w:p>
        </w:tc>
      </w:tr>
      <w:tr w14:paraId="0815EE61">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2484265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5</w:t>
            </w:r>
          </w:p>
        </w:tc>
        <w:tc>
          <w:tcPr>
            <w:tcW w:w="1264" w:type="dxa"/>
            <w:tcBorders>
              <w:top w:val="nil"/>
              <w:left w:val="nil"/>
              <w:bottom w:val="single" w:color="000000" w:sz="8" w:space="0"/>
              <w:right w:val="single" w:color="000000" w:sz="8" w:space="0"/>
            </w:tcBorders>
            <w:noWrap w:val="0"/>
            <w:vAlign w:val="center"/>
          </w:tcPr>
          <w:p w14:paraId="1569E30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A020519泵</w:t>
            </w:r>
          </w:p>
        </w:tc>
        <w:tc>
          <w:tcPr>
            <w:tcW w:w="1290" w:type="dxa"/>
            <w:tcBorders>
              <w:top w:val="nil"/>
              <w:left w:val="nil"/>
              <w:bottom w:val="single" w:color="000000" w:sz="8" w:space="0"/>
              <w:right w:val="single" w:color="000000" w:sz="8" w:space="0"/>
            </w:tcBorders>
            <w:noWrap w:val="0"/>
            <w:vAlign w:val="center"/>
          </w:tcPr>
          <w:p w14:paraId="63D1635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A02051901离心泵</w:t>
            </w:r>
          </w:p>
        </w:tc>
        <w:tc>
          <w:tcPr>
            <w:tcW w:w="1635" w:type="dxa"/>
            <w:tcBorders>
              <w:top w:val="nil"/>
              <w:left w:val="nil"/>
              <w:bottom w:val="single" w:color="000000" w:sz="8" w:space="0"/>
              <w:right w:val="single" w:color="000000" w:sz="8" w:space="0"/>
            </w:tcBorders>
            <w:noWrap w:val="0"/>
            <w:vAlign w:val="center"/>
          </w:tcPr>
          <w:p w14:paraId="4B40DC09">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781A954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《清水离心泵能效限定值及节能评价值》（GB19762）</w:t>
            </w:r>
          </w:p>
        </w:tc>
      </w:tr>
      <w:tr w14:paraId="431EA3D6">
        <w:tblPrEx>
          <w:tblCellMar>
            <w:top w:w="0" w:type="dxa"/>
            <w:left w:w="108" w:type="dxa"/>
            <w:bottom w:w="0" w:type="dxa"/>
            <w:right w:w="108" w:type="dxa"/>
          </w:tblCellMar>
        </w:tblPrEx>
        <w:trPr>
          <w:trHeight w:val="735" w:hRule="atLeast"/>
        </w:trPr>
        <w:tc>
          <w:tcPr>
            <w:tcW w:w="660" w:type="dxa"/>
            <w:vMerge w:val="restart"/>
            <w:tcBorders>
              <w:top w:val="nil"/>
              <w:left w:val="single" w:color="000000" w:sz="8" w:space="0"/>
              <w:bottom w:val="single" w:color="000000" w:sz="8" w:space="0"/>
              <w:right w:val="single" w:color="000000" w:sz="8" w:space="0"/>
            </w:tcBorders>
            <w:noWrap w:val="0"/>
            <w:vAlign w:val="center"/>
          </w:tcPr>
          <w:p w14:paraId="47F6DD9C">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6</w:t>
            </w:r>
          </w:p>
        </w:tc>
        <w:tc>
          <w:tcPr>
            <w:tcW w:w="1264" w:type="dxa"/>
            <w:vMerge w:val="restart"/>
            <w:tcBorders>
              <w:top w:val="nil"/>
              <w:left w:val="single" w:color="000000" w:sz="8" w:space="0"/>
              <w:bottom w:val="single" w:color="000000" w:sz="8" w:space="0"/>
              <w:right w:val="single" w:color="000000" w:sz="8" w:space="0"/>
            </w:tcBorders>
            <w:noWrap w:val="0"/>
            <w:vAlign w:val="center"/>
          </w:tcPr>
          <w:p w14:paraId="3351E7B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A020523制冷空调设备</w:t>
            </w:r>
          </w:p>
        </w:tc>
        <w:tc>
          <w:tcPr>
            <w:tcW w:w="1290" w:type="dxa"/>
            <w:vMerge w:val="restart"/>
            <w:tcBorders>
              <w:top w:val="nil"/>
              <w:left w:val="single" w:color="000000" w:sz="8" w:space="0"/>
              <w:bottom w:val="single" w:color="000000" w:sz="8" w:space="0"/>
              <w:right w:val="single" w:color="000000" w:sz="8" w:space="0"/>
            </w:tcBorders>
            <w:noWrap w:val="0"/>
            <w:vAlign w:val="center"/>
          </w:tcPr>
          <w:p w14:paraId="52789D18">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★A02052301制冷压缩机</w:t>
            </w:r>
          </w:p>
        </w:tc>
        <w:tc>
          <w:tcPr>
            <w:tcW w:w="1635" w:type="dxa"/>
            <w:tcBorders>
              <w:top w:val="nil"/>
              <w:left w:val="nil"/>
              <w:bottom w:val="single" w:color="000000" w:sz="8" w:space="0"/>
              <w:right w:val="single" w:color="000000" w:sz="8" w:space="0"/>
            </w:tcBorders>
            <w:noWrap w:val="0"/>
            <w:vAlign w:val="center"/>
          </w:tcPr>
          <w:p w14:paraId="5A27247D">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冷水机组</w:t>
            </w:r>
          </w:p>
        </w:tc>
        <w:tc>
          <w:tcPr>
            <w:tcW w:w="4909" w:type="dxa"/>
            <w:tcBorders>
              <w:top w:val="nil"/>
              <w:left w:val="nil"/>
              <w:bottom w:val="single" w:color="000000" w:sz="8" w:space="0"/>
              <w:right w:val="single" w:color="000000" w:sz="8" w:space="0"/>
            </w:tcBorders>
            <w:noWrap w:val="0"/>
            <w:vAlign w:val="center"/>
          </w:tcPr>
          <w:p w14:paraId="40D2D1E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《冷水机组能效限定值及能效等级》（GB19577），《低环境温度空气源热泵（冷水）机组能效限定值及能效等级》（GB37480）</w:t>
            </w:r>
          </w:p>
        </w:tc>
      </w:tr>
      <w:tr w14:paraId="39FC640E">
        <w:tblPrEx>
          <w:tblCellMar>
            <w:top w:w="0" w:type="dxa"/>
            <w:left w:w="108" w:type="dxa"/>
            <w:bottom w:w="0" w:type="dxa"/>
            <w:right w:w="108" w:type="dxa"/>
          </w:tblCellMar>
        </w:tblPrEx>
        <w:trPr>
          <w:trHeight w:val="4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4F34779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6DF1CD1B">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05FF0AD1">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516D1244">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水源热泵机组</w:t>
            </w:r>
          </w:p>
        </w:tc>
        <w:tc>
          <w:tcPr>
            <w:tcW w:w="4909" w:type="dxa"/>
            <w:tcBorders>
              <w:top w:val="nil"/>
              <w:left w:val="nil"/>
              <w:bottom w:val="single" w:color="000000" w:sz="8" w:space="0"/>
              <w:right w:val="single" w:color="000000" w:sz="8" w:space="0"/>
            </w:tcBorders>
            <w:noWrap w:val="0"/>
            <w:vAlign w:val="center"/>
          </w:tcPr>
          <w:p w14:paraId="292C37A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《水（地）源热泵机组能效限定值及能效等级》（GB30721）</w:t>
            </w:r>
          </w:p>
        </w:tc>
      </w:tr>
      <w:tr w14:paraId="5E64B82D">
        <w:tblPrEx>
          <w:tblCellMar>
            <w:top w:w="0" w:type="dxa"/>
            <w:left w:w="108" w:type="dxa"/>
            <w:bottom w:w="0" w:type="dxa"/>
            <w:right w:w="108" w:type="dxa"/>
          </w:tblCellMar>
        </w:tblPrEx>
        <w:trPr>
          <w:trHeight w:val="4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4E487EB4">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4298AC7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10E3AE7D">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6C8A7D88">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溴化锂吸收式冷水机组</w:t>
            </w:r>
          </w:p>
        </w:tc>
        <w:tc>
          <w:tcPr>
            <w:tcW w:w="4909" w:type="dxa"/>
            <w:tcBorders>
              <w:top w:val="nil"/>
              <w:left w:val="nil"/>
              <w:bottom w:val="single" w:color="000000" w:sz="8" w:space="0"/>
              <w:right w:val="single" w:color="000000" w:sz="8" w:space="0"/>
            </w:tcBorders>
            <w:noWrap w:val="0"/>
            <w:vAlign w:val="center"/>
          </w:tcPr>
          <w:p w14:paraId="18BDA129">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《溴化锂吸收式冷水机组能效限定值及能效等级》（GB29540）</w:t>
            </w:r>
          </w:p>
        </w:tc>
      </w:tr>
      <w:tr w14:paraId="33704CCC">
        <w:tblPrEx>
          <w:tblCellMar>
            <w:top w:w="0" w:type="dxa"/>
            <w:left w:w="108" w:type="dxa"/>
            <w:bottom w:w="0" w:type="dxa"/>
            <w:right w:w="108" w:type="dxa"/>
          </w:tblCellMar>
        </w:tblPrEx>
        <w:trPr>
          <w:trHeight w:val="73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2236A5A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652A0EB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restart"/>
            <w:tcBorders>
              <w:top w:val="nil"/>
              <w:left w:val="single" w:color="000000" w:sz="8" w:space="0"/>
              <w:bottom w:val="single" w:color="000000" w:sz="8" w:space="0"/>
              <w:right w:val="single" w:color="000000" w:sz="8" w:space="0"/>
            </w:tcBorders>
            <w:noWrap w:val="0"/>
            <w:vAlign w:val="center"/>
          </w:tcPr>
          <w:p w14:paraId="1A9879A5">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★A02052305空调机组</w:t>
            </w:r>
          </w:p>
        </w:tc>
        <w:tc>
          <w:tcPr>
            <w:tcW w:w="1635" w:type="dxa"/>
            <w:tcBorders>
              <w:top w:val="nil"/>
              <w:left w:val="nil"/>
              <w:bottom w:val="single" w:color="000000" w:sz="8" w:space="0"/>
              <w:right w:val="single" w:color="000000" w:sz="8" w:space="0"/>
            </w:tcBorders>
            <w:noWrap w:val="0"/>
            <w:vAlign w:val="center"/>
          </w:tcPr>
          <w:p w14:paraId="1439D81F">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多联式空调（热泵）机组(制冷量&gt;14000W)</w:t>
            </w:r>
          </w:p>
        </w:tc>
        <w:tc>
          <w:tcPr>
            <w:tcW w:w="4909" w:type="dxa"/>
            <w:tcBorders>
              <w:top w:val="nil"/>
              <w:left w:val="nil"/>
              <w:bottom w:val="single" w:color="000000" w:sz="8" w:space="0"/>
              <w:right w:val="single" w:color="000000" w:sz="8" w:space="0"/>
            </w:tcBorders>
            <w:noWrap w:val="0"/>
            <w:vAlign w:val="center"/>
          </w:tcPr>
          <w:p w14:paraId="6129A46D">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《多联式空调（热泵）机组能效限定值及能源效率等级》（GB21454）</w:t>
            </w:r>
          </w:p>
        </w:tc>
      </w:tr>
      <w:tr w14:paraId="7911A7C4">
        <w:tblPrEx>
          <w:tblCellMar>
            <w:top w:w="0" w:type="dxa"/>
            <w:left w:w="108" w:type="dxa"/>
            <w:bottom w:w="0" w:type="dxa"/>
            <w:right w:w="108" w:type="dxa"/>
          </w:tblCellMar>
        </w:tblPrEx>
        <w:trPr>
          <w:trHeight w:val="73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6896303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59B60BE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0EDC9C8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23BC3144">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单元式空气调节机(制冷量&gt;14000W</w:t>
            </w:r>
          </w:p>
        </w:tc>
        <w:tc>
          <w:tcPr>
            <w:tcW w:w="4909" w:type="dxa"/>
            <w:tcBorders>
              <w:top w:val="nil"/>
              <w:left w:val="nil"/>
              <w:bottom w:val="single" w:color="000000" w:sz="8" w:space="0"/>
              <w:right w:val="single" w:color="000000" w:sz="8" w:space="0"/>
            </w:tcBorders>
            <w:noWrap w:val="0"/>
            <w:vAlign w:val="center"/>
          </w:tcPr>
          <w:p w14:paraId="11D9EF51">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《单元式空气调节机能效限定值及能效等级》（GB19576）《风管送风式空调机组能效限定值及能效等级》（GB37479）</w:t>
            </w:r>
          </w:p>
        </w:tc>
      </w:tr>
      <w:tr w14:paraId="324B935E">
        <w:tblPrEx>
          <w:tblCellMar>
            <w:top w:w="0" w:type="dxa"/>
            <w:left w:w="108" w:type="dxa"/>
            <w:bottom w:w="0" w:type="dxa"/>
            <w:right w:w="108" w:type="dxa"/>
          </w:tblCellMar>
        </w:tblPrEx>
        <w:trPr>
          <w:trHeight w:val="73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5D061B8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398F848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000000" w:sz="8" w:space="0"/>
              <w:right w:val="single" w:color="000000" w:sz="8" w:space="0"/>
            </w:tcBorders>
            <w:noWrap w:val="0"/>
            <w:vAlign w:val="center"/>
          </w:tcPr>
          <w:p w14:paraId="05D4FB9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★A02052309专用制冷、空调设备</w:t>
            </w:r>
          </w:p>
        </w:tc>
        <w:tc>
          <w:tcPr>
            <w:tcW w:w="1635" w:type="dxa"/>
            <w:tcBorders>
              <w:top w:val="nil"/>
              <w:left w:val="nil"/>
              <w:bottom w:val="single" w:color="000000" w:sz="8" w:space="0"/>
              <w:right w:val="single" w:color="000000" w:sz="8" w:space="0"/>
            </w:tcBorders>
            <w:noWrap w:val="0"/>
            <w:vAlign w:val="center"/>
          </w:tcPr>
          <w:p w14:paraId="5FA086C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机房空调</w:t>
            </w:r>
          </w:p>
        </w:tc>
        <w:tc>
          <w:tcPr>
            <w:tcW w:w="4909" w:type="dxa"/>
            <w:tcBorders>
              <w:top w:val="nil"/>
              <w:left w:val="nil"/>
              <w:bottom w:val="single" w:color="auto" w:sz="4" w:space="0"/>
              <w:right w:val="single" w:color="000000" w:sz="8" w:space="0"/>
            </w:tcBorders>
            <w:noWrap w:val="0"/>
            <w:vAlign w:val="center"/>
          </w:tcPr>
          <w:p w14:paraId="43E7A15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《单元式空气调节机能效限定值及能效等级》（GB19576）</w:t>
            </w:r>
          </w:p>
        </w:tc>
      </w:tr>
      <w:tr w14:paraId="35383BAF">
        <w:tblPrEx>
          <w:tblCellMar>
            <w:top w:w="0" w:type="dxa"/>
            <w:left w:w="108" w:type="dxa"/>
            <w:bottom w:w="0" w:type="dxa"/>
            <w:right w:w="108" w:type="dxa"/>
          </w:tblCellMar>
        </w:tblPrEx>
        <w:trPr>
          <w:trHeight w:val="2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01F0F1F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3651A78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000000" w:sz="8" w:space="0"/>
              <w:right w:val="single" w:color="000000" w:sz="8" w:space="0"/>
            </w:tcBorders>
            <w:noWrap w:val="0"/>
            <w:vAlign w:val="center"/>
          </w:tcPr>
          <w:p w14:paraId="065475AC">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A02052399其他制冷空调设备</w:t>
            </w:r>
          </w:p>
        </w:tc>
        <w:tc>
          <w:tcPr>
            <w:tcW w:w="1635" w:type="dxa"/>
            <w:tcBorders>
              <w:top w:val="nil"/>
              <w:left w:val="nil"/>
              <w:bottom w:val="single" w:color="000000" w:sz="8" w:space="0"/>
              <w:right w:val="single" w:color="auto" w:sz="4" w:space="0"/>
            </w:tcBorders>
            <w:noWrap w:val="0"/>
            <w:vAlign w:val="center"/>
          </w:tcPr>
          <w:p w14:paraId="1CB2B2C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冷却塔</w:t>
            </w:r>
          </w:p>
        </w:tc>
        <w:tc>
          <w:tcPr>
            <w:tcW w:w="4909" w:type="dxa"/>
            <w:tcBorders>
              <w:top w:val="single" w:color="auto" w:sz="4" w:space="0"/>
              <w:left w:val="single" w:color="auto" w:sz="4" w:space="0"/>
              <w:bottom w:val="single" w:color="auto" w:sz="4" w:space="0"/>
              <w:right w:val="single" w:color="auto" w:sz="4" w:space="0"/>
            </w:tcBorders>
            <w:noWrap w:val="0"/>
            <w:vAlign w:val="center"/>
          </w:tcPr>
          <w:p w14:paraId="6D1E1D5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《机械通风冷却塔第1部分：中小型开式冷却塔》（GB/T7190.1）；《机械通风冷却塔第2部分：大型开式冷却塔》（GB/T7190.2）</w:t>
            </w:r>
          </w:p>
        </w:tc>
      </w:tr>
      <w:tr w14:paraId="7443B995">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5308B77A">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7</w:t>
            </w:r>
          </w:p>
        </w:tc>
        <w:tc>
          <w:tcPr>
            <w:tcW w:w="1264" w:type="dxa"/>
            <w:tcBorders>
              <w:top w:val="nil"/>
              <w:left w:val="nil"/>
              <w:bottom w:val="single" w:color="000000" w:sz="8" w:space="0"/>
              <w:right w:val="single" w:color="000000" w:sz="8" w:space="0"/>
            </w:tcBorders>
            <w:noWrap w:val="0"/>
            <w:vAlign w:val="center"/>
          </w:tcPr>
          <w:p w14:paraId="6C859AE4">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A020601电机</w:t>
            </w:r>
          </w:p>
        </w:tc>
        <w:tc>
          <w:tcPr>
            <w:tcW w:w="1290" w:type="dxa"/>
            <w:tcBorders>
              <w:top w:val="nil"/>
              <w:left w:val="nil"/>
              <w:bottom w:val="single" w:color="000000" w:sz="8" w:space="0"/>
              <w:right w:val="single" w:color="000000" w:sz="8" w:space="0"/>
            </w:tcBorders>
            <w:noWrap w:val="0"/>
            <w:vAlign w:val="center"/>
          </w:tcPr>
          <w:p w14:paraId="3C09331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6EEAB34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single" w:color="auto" w:sz="4" w:space="0"/>
              <w:left w:val="nil"/>
              <w:bottom w:val="single" w:color="000000" w:sz="8" w:space="0"/>
              <w:right w:val="single" w:color="000000" w:sz="8" w:space="0"/>
            </w:tcBorders>
            <w:noWrap w:val="0"/>
            <w:vAlign w:val="center"/>
          </w:tcPr>
          <w:p w14:paraId="52FDE44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《中小型三相异步电动机能效限定值及能效等级》（GB18613）</w:t>
            </w:r>
          </w:p>
        </w:tc>
      </w:tr>
      <w:tr w14:paraId="0C1E9E40">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4D9972F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8</w:t>
            </w:r>
          </w:p>
        </w:tc>
        <w:tc>
          <w:tcPr>
            <w:tcW w:w="1264" w:type="dxa"/>
            <w:tcBorders>
              <w:top w:val="nil"/>
              <w:left w:val="nil"/>
              <w:bottom w:val="single" w:color="000000" w:sz="8" w:space="0"/>
              <w:right w:val="single" w:color="000000" w:sz="8" w:space="0"/>
            </w:tcBorders>
            <w:noWrap w:val="0"/>
            <w:vAlign w:val="center"/>
          </w:tcPr>
          <w:p w14:paraId="55577B7C">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A020602变压器</w:t>
            </w:r>
          </w:p>
        </w:tc>
        <w:tc>
          <w:tcPr>
            <w:tcW w:w="1290" w:type="dxa"/>
            <w:tcBorders>
              <w:top w:val="nil"/>
              <w:left w:val="nil"/>
              <w:bottom w:val="single" w:color="000000" w:sz="8" w:space="0"/>
              <w:right w:val="single" w:color="000000" w:sz="8" w:space="0"/>
            </w:tcBorders>
            <w:noWrap w:val="0"/>
            <w:vAlign w:val="center"/>
          </w:tcPr>
          <w:p w14:paraId="2139C54F">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配电变压器</w:t>
            </w:r>
          </w:p>
        </w:tc>
        <w:tc>
          <w:tcPr>
            <w:tcW w:w="1635" w:type="dxa"/>
            <w:tcBorders>
              <w:top w:val="nil"/>
              <w:left w:val="nil"/>
              <w:bottom w:val="single" w:color="000000" w:sz="8" w:space="0"/>
              <w:right w:val="single" w:color="000000" w:sz="8" w:space="0"/>
            </w:tcBorders>
            <w:noWrap w:val="0"/>
            <w:vAlign w:val="center"/>
          </w:tcPr>
          <w:p w14:paraId="2ADBAE9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722E61F2">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《三相配电变压器能效限定值及能效等级》（GB20052）</w:t>
            </w:r>
          </w:p>
        </w:tc>
      </w:tr>
      <w:tr w14:paraId="4B6B7902">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505EB7E1">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9</w:t>
            </w:r>
          </w:p>
        </w:tc>
        <w:tc>
          <w:tcPr>
            <w:tcW w:w="1264" w:type="dxa"/>
            <w:tcBorders>
              <w:top w:val="nil"/>
              <w:left w:val="nil"/>
              <w:bottom w:val="single" w:color="000000" w:sz="8" w:space="0"/>
              <w:right w:val="single" w:color="000000" w:sz="8" w:space="0"/>
            </w:tcBorders>
            <w:noWrap w:val="0"/>
            <w:vAlign w:val="center"/>
          </w:tcPr>
          <w:p w14:paraId="3CA9C68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★A020609镇流器</w:t>
            </w:r>
          </w:p>
        </w:tc>
        <w:tc>
          <w:tcPr>
            <w:tcW w:w="1290" w:type="dxa"/>
            <w:tcBorders>
              <w:top w:val="nil"/>
              <w:left w:val="nil"/>
              <w:bottom w:val="single" w:color="000000" w:sz="8" w:space="0"/>
              <w:right w:val="single" w:color="000000" w:sz="8" w:space="0"/>
            </w:tcBorders>
            <w:noWrap w:val="0"/>
            <w:vAlign w:val="center"/>
          </w:tcPr>
          <w:p w14:paraId="2A05A54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管型荧光灯镇流器</w:t>
            </w:r>
          </w:p>
        </w:tc>
        <w:tc>
          <w:tcPr>
            <w:tcW w:w="1635" w:type="dxa"/>
            <w:tcBorders>
              <w:top w:val="nil"/>
              <w:left w:val="nil"/>
              <w:bottom w:val="single" w:color="000000" w:sz="8" w:space="0"/>
              <w:right w:val="single" w:color="000000" w:sz="8" w:space="0"/>
            </w:tcBorders>
            <w:noWrap w:val="0"/>
            <w:vAlign w:val="center"/>
          </w:tcPr>
          <w:p w14:paraId="09E870F9">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3C97BC1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《管形荧光灯镇流器能效限定值及能效等级》（GB17896）</w:t>
            </w:r>
          </w:p>
        </w:tc>
      </w:tr>
      <w:tr w14:paraId="0F34E31A">
        <w:tblPrEx>
          <w:tblCellMar>
            <w:top w:w="0" w:type="dxa"/>
            <w:left w:w="108" w:type="dxa"/>
            <w:bottom w:w="0" w:type="dxa"/>
            <w:right w:w="108" w:type="dxa"/>
          </w:tblCellMar>
        </w:tblPrEx>
        <w:trPr>
          <w:trHeight w:val="495" w:hRule="atLeast"/>
        </w:trPr>
        <w:tc>
          <w:tcPr>
            <w:tcW w:w="660" w:type="dxa"/>
            <w:vMerge w:val="restart"/>
            <w:tcBorders>
              <w:top w:val="nil"/>
              <w:left w:val="single" w:color="000000" w:sz="8" w:space="0"/>
              <w:bottom w:val="single" w:color="000000" w:sz="8" w:space="0"/>
              <w:right w:val="single" w:color="000000" w:sz="8" w:space="0"/>
            </w:tcBorders>
            <w:noWrap w:val="0"/>
            <w:vAlign w:val="center"/>
          </w:tcPr>
          <w:p w14:paraId="7F5CD9AC">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10</w:t>
            </w:r>
          </w:p>
        </w:tc>
        <w:tc>
          <w:tcPr>
            <w:tcW w:w="1264" w:type="dxa"/>
            <w:vMerge w:val="restart"/>
            <w:tcBorders>
              <w:top w:val="nil"/>
              <w:left w:val="single" w:color="000000" w:sz="8" w:space="0"/>
              <w:bottom w:val="single" w:color="000000" w:sz="8" w:space="0"/>
              <w:right w:val="single" w:color="000000" w:sz="8" w:space="0"/>
            </w:tcBorders>
            <w:noWrap w:val="0"/>
            <w:vAlign w:val="center"/>
          </w:tcPr>
          <w:p w14:paraId="5C3D9B4D">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A020618生活用电器</w:t>
            </w:r>
          </w:p>
        </w:tc>
        <w:tc>
          <w:tcPr>
            <w:tcW w:w="1290" w:type="dxa"/>
            <w:tcBorders>
              <w:top w:val="nil"/>
              <w:left w:val="nil"/>
              <w:bottom w:val="single" w:color="000000" w:sz="8" w:space="0"/>
              <w:right w:val="single" w:color="000000" w:sz="8" w:space="0"/>
            </w:tcBorders>
            <w:noWrap w:val="0"/>
            <w:vAlign w:val="center"/>
          </w:tcPr>
          <w:p w14:paraId="1E37AA6F">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A0206180101电冰箱</w:t>
            </w:r>
          </w:p>
        </w:tc>
        <w:tc>
          <w:tcPr>
            <w:tcW w:w="1635" w:type="dxa"/>
            <w:tcBorders>
              <w:top w:val="nil"/>
              <w:left w:val="nil"/>
              <w:bottom w:val="single" w:color="000000" w:sz="8" w:space="0"/>
              <w:right w:val="single" w:color="000000" w:sz="8" w:space="0"/>
            </w:tcBorders>
            <w:noWrap w:val="0"/>
            <w:vAlign w:val="center"/>
          </w:tcPr>
          <w:p w14:paraId="302042D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5791C6A9">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《家用电冰箱耗电量限定值及能效等级》（GB 12021.2）</w:t>
            </w:r>
          </w:p>
        </w:tc>
      </w:tr>
      <w:tr w14:paraId="21A21003">
        <w:tblPrEx>
          <w:tblCellMar>
            <w:top w:w="0" w:type="dxa"/>
            <w:left w:w="108" w:type="dxa"/>
            <w:bottom w:w="0" w:type="dxa"/>
            <w:right w:w="108" w:type="dxa"/>
          </w:tblCellMar>
        </w:tblPrEx>
        <w:trPr>
          <w:trHeight w:val="97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424D1AD6">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1FD98366">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restart"/>
            <w:tcBorders>
              <w:top w:val="nil"/>
              <w:left w:val="single" w:color="000000" w:sz="8" w:space="0"/>
              <w:bottom w:val="single" w:color="000000" w:sz="8" w:space="0"/>
              <w:right w:val="single" w:color="000000" w:sz="8" w:space="0"/>
            </w:tcBorders>
            <w:noWrap w:val="0"/>
            <w:vAlign w:val="center"/>
          </w:tcPr>
          <w:p w14:paraId="6EED8C00">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★A0206180203空调机</w:t>
            </w:r>
          </w:p>
        </w:tc>
        <w:tc>
          <w:tcPr>
            <w:tcW w:w="1635" w:type="dxa"/>
            <w:tcBorders>
              <w:top w:val="nil"/>
              <w:left w:val="nil"/>
              <w:bottom w:val="single" w:color="000000" w:sz="8" w:space="0"/>
              <w:right w:val="single" w:color="000000" w:sz="8" w:space="0"/>
            </w:tcBorders>
            <w:noWrap w:val="0"/>
            <w:vAlign w:val="center"/>
          </w:tcPr>
          <w:p w14:paraId="010BFBA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房间空气调节器</w:t>
            </w:r>
          </w:p>
        </w:tc>
        <w:tc>
          <w:tcPr>
            <w:tcW w:w="4909" w:type="dxa"/>
            <w:tcBorders>
              <w:top w:val="nil"/>
              <w:left w:val="nil"/>
              <w:bottom w:val="single" w:color="000000" w:sz="8" w:space="0"/>
              <w:right w:val="single" w:color="000000" w:sz="8" w:space="0"/>
            </w:tcBorders>
            <w:noWrap w:val="0"/>
            <w:vAlign w:val="center"/>
          </w:tcPr>
          <w:p w14:paraId="0BE768B1">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《转速可控型房间空气调节器能效限定值及能效等级》（GB21455-2013），待2019年修订发布后，按《房间空气调节器能效限定值及能效等级》（GB21455-2019实施。</w:t>
            </w:r>
          </w:p>
        </w:tc>
      </w:tr>
      <w:tr w14:paraId="7A0DEE46">
        <w:tblPrEx>
          <w:tblCellMar>
            <w:top w:w="0" w:type="dxa"/>
            <w:left w:w="108" w:type="dxa"/>
            <w:bottom w:w="0" w:type="dxa"/>
            <w:right w:w="108" w:type="dxa"/>
          </w:tblCellMar>
        </w:tblPrEx>
        <w:trPr>
          <w:trHeight w:val="73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4670B10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1A6B4902">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7030416A">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5C80961F">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多联式空调（热泵）机组（制冷量≤ 14000W）</w:t>
            </w:r>
          </w:p>
        </w:tc>
        <w:tc>
          <w:tcPr>
            <w:tcW w:w="4909" w:type="dxa"/>
            <w:tcBorders>
              <w:top w:val="nil"/>
              <w:left w:val="nil"/>
              <w:bottom w:val="single" w:color="000000" w:sz="8" w:space="0"/>
              <w:right w:val="single" w:color="000000" w:sz="8" w:space="0"/>
            </w:tcBorders>
            <w:noWrap w:val="0"/>
            <w:vAlign w:val="center"/>
          </w:tcPr>
          <w:p w14:paraId="111CF0B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《多联式空调（热泵）机组能效限定值及能源效率等级》（GB21454）</w:t>
            </w:r>
          </w:p>
        </w:tc>
      </w:tr>
      <w:tr w14:paraId="488FCD85">
        <w:tblPrEx>
          <w:tblCellMar>
            <w:top w:w="0" w:type="dxa"/>
            <w:left w:w="108" w:type="dxa"/>
            <w:bottom w:w="0" w:type="dxa"/>
            <w:right w:w="108" w:type="dxa"/>
          </w:tblCellMar>
        </w:tblPrEx>
        <w:trPr>
          <w:trHeight w:val="73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64C0D0B2">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0B15EA4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2D37103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1F57513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单元式空气调节机(制冷量≤14000W)</w:t>
            </w:r>
          </w:p>
        </w:tc>
        <w:tc>
          <w:tcPr>
            <w:tcW w:w="4909" w:type="dxa"/>
            <w:tcBorders>
              <w:top w:val="nil"/>
              <w:left w:val="nil"/>
              <w:bottom w:val="single" w:color="000000" w:sz="8" w:space="0"/>
              <w:right w:val="single" w:color="000000" w:sz="8" w:space="0"/>
            </w:tcBorders>
            <w:noWrap w:val="0"/>
            <w:vAlign w:val="center"/>
          </w:tcPr>
          <w:p w14:paraId="1A34C5E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《单元式空气调节机能效限定值及能源效率等级》（GB19576）《风管送风式空调机组能效限定值及能效等级》（GB37479）</w:t>
            </w:r>
          </w:p>
        </w:tc>
      </w:tr>
      <w:tr w14:paraId="5EB77C80">
        <w:tblPrEx>
          <w:tblCellMar>
            <w:top w:w="0" w:type="dxa"/>
            <w:left w:w="108" w:type="dxa"/>
            <w:bottom w:w="0" w:type="dxa"/>
            <w:right w:w="108" w:type="dxa"/>
          </w:tblCellMar>
        </w:tblPrEx>
        <w:trPr>
          <w:trHeight w:val="4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13E2A87B">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3ECC3DC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000000" w:sz="8" w:space="0"/>
              <w:right w:val="single" w:color="000000" w:sz="8" w:space="0"/>
            </w:tcBorders>
            <w:noWrap w:val="0"/>
            <w:vAlign w:val="center"/>
          </w:tcPr>
          <w:p w14:paraId="56EB073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A0206180301洗衣机</w:t>
            </w:r>
          </w:p>
        </w:tc>
        <w:tc>
          <w:tcPr>
            <w:tcW w:w="1635" w:type="dxa"/>
            <w:tcBorders>
              <w:top w:val="nil"/>
              <w:left w:val="nil"/>
              <w:bottom w:val="single" w:color="000000" w:sz="8" w:space="0"/>
              <w:right w:val="single" w:color="000000" w:sz="8" w:space="0"/>
            </w:tcBorders>
            <w:noWrap w:val="0"/>
            <w:vAlign w:val="center"/>
          </w:tcPr>
          <w:p w14:paraId="2A2EFCFF">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7943254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《电动洗衣机能效水效限定值及等级》（GB12021.4）</w:t>
            </w:r>
          </w:p>
        </w:tc>
      </w:tr>
      <w:tr w14:paraId="66A44871">
        <w:tblPrEx>
          <w:tblCellMar>
            <w:top w:w="0" w:type="dxa"/>
            <w:left w:w="108" w:type="dxa"/>
            <w:bottom w:w="0" w:type="dxa"/>
            <w:right w:w="108" w:type="dxa"/>
          </w:tblCellMar>
        </w:tblPrEx>
        <w:trPr>
          <w:trHeight w:val="4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078C3E69">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4195184A">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restart"/>
            <w:tcBorders>
              <w:top w:val="nil"/>
              <w:left w:val="single" w:color="000000" w:sz="8" w:space="0"/>
              <w:bottom w:val="single" w:color="000000" w:sz="8" w:space="0"/>
              <w:right w:val="single" w:color="000000" w:sz="8" w:space="0"/>
            </w:tcBorders>
            <w:noWrap w:val="0"/>
            <w:vAlign w:val="center"/>
          </w:tcPr>
          <w:p w14:paraId="717577A5">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A02061808热水器</w:t>
            </w:r>
          </w:p>
        </w:tc>
        <w:tc>
          <w:tcPr>
            <w:tcW w:w="1635" w:type="dxa"/>
            <w:tcBorders>
              <w:top w:val="nil"/>
              <w:left w:val="nil"/>
              <w:bottom w:val="single" w:color="000000" w:sz="8" w:space="0"/>
              <w:right w:val="single" w:color="000000" w:sz="8" w:space="0"/>
            </w:tcBorders>
            <w:noWrap w:val="0"/>
            <w:vAlign w:val="center"/>
          </w:tcPr>
          <w:p w14:paraId="51626D9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★电热水器</w:t>
            </w:r>
          </w:p>
        </w:tc>
        <w:tc>
          <w:tcPr>
            <w:tcW w:w="4909" w:type="dxa"/>
            <w:tcBorders>
              <w:top w:val="nil"/>
              <w:left w:val="nil"/>
              <w:bottom w:val="single" w:color="000000" w:sz="8" w:space="0"/>
              <w:right w:val="single" w:color="000000" w:sz="8" w:space="0"/>
            </w:tcBorders>
            <w:noWrap w:val="0"/>
            <w:vAlign w:val="center"/>
          </w:tcPr>
          <w:p w14:paraId="3699DD0E">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《储水式电热水器能效限定值及能效等级》（GB21519）</w:t>
            </w:r>
          </w:p>
        </w:tc>
      </w:tr>
      <w:tr w14:paraId="2237DB4F">
        <w:tblPrEx>
          <w:tblCellMar>
            <w:top w:w="0" w:type="dxa"/>
            <w:left w:w="108" w:type="dxa"/>
            <w:bottom w:w="0" w:type="dxa"/>
            <w:right w:w="108" w:type="dxa"/>
          </w:tblCellMar>
        </w:tblPrEx>
        <w:trPr>
          <w:trHeight w:val="4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523AC1B6">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391D68E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3F68CC6E">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1FE41A80">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燃气热水器</w:t>
            </w:r>
          </w:p>
        </w:tc>
        <w:tc>
          <w:tcPr>
            <w:tcW w:w="4909" w:type="dxa"/>
            <w:tcBorders>
              <w:top w:val="nil"/>
              <w:left w:val="nil"/>
              <w:bottom w:val="single" w:color="000000" w:sz="8" w:space="0"/>
              <w:right w:val="single" w:color="000000" w:sz="8" w:space="0"/>
            </w:tcBorders>
            <w:noWrap w:val="0"/>
            <w:vAlign w:val="center"/>
          </w:tcPr>
          <w:p w14:paraId="73B6C51D">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《家用燃气快速热水器和燃气采暖热水炉能效限定值及能效等级》（GB20665）</w:t>
            </w:r>
          </w:p>
        </w:tc>
      </w:tr>
      <w:tr w14:paraId="74B7EA0E">
        <w:tblPrEx>
          <w:tblCellMar>
            <w:top w:w="0" w:type="dxa"/>
            <w:left w:w="108" w:type="dxa"/>
            <w:bottom w:w="0" w:type="dxa"/>
            <w:right w:w="108" w:type="dxa"/>
          </w:tblCellMar>
        </w:tblPrEx>
        <w:trPr>
          <w:trHeight w:val="4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1AEE2BA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33B6BCC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47EC4E94">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7A433BDC">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热泵热水器</w:t>
            </w:r>
          </w:p>
        </w:tc>
        <w:tc>
          <w:tcPr>
            <w:tcW w:w="4909" w:type="dxa"/>
            <w:tcBorders>
              <w:top w:val="nil"/>
              <w:left w:val="nil"/>
              <w:bottom w:val="single" w:color="000000" w:sz="8" w:space="0"/>
              <w:right w:val="single" w:color="000000" w:sz="8" w:space="0"/>
            </w:tcBorders>
            <w:noWrap w:val="0"/>
            <w:vAlign w:val="center"/>
          </w:tcPr>
          <w:p w14:paraId="0B6F472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《热泵热水机（器）能效限定值及能效等级》（GB29541）</w:t>
            </w:r>
          </w:p>
        </w:tc>
      </w:tr>
      <w:tr w14:paraId="73195BFD">
        <w:tblPrEx>
          <w:tblCellMar>
            <w:top w:w="0" w:type="dxa"/>
            <w:left w:w="108" w:type="dxa"/>
            <w:bottom w:w="0" w:type="dxa"/>
            <w:right w:w="108" w:type="dxa"/>
          </w:tblCellMar>
        </w:tblPrEx>
        <w:trPr>
          <w:trHeight w:val="495" w:hRule="atLeast"/>
        </w:trPr>
        <w:tc>
          <w:tcPr>
            <w:tcW w:w="660" w:type="dxa"/>
            <w:vMerge w:val="continue"/>
            <w:tcBorders>
              <w:top w:val="nil"/>
              <w:left w:val="single" w:color="000000" w:sz="8" w:space="0"/>
              <w:bottom w:val="single" w:color="000000" w:sz="8" w:space="0"/>
              <w:right w:val="single" w:color="000000" w:sz="8" w:space="0"/>
            </w:tcBorders>
            <w:noWrap w:val="0"/>
            <w:vAlign w:val="center"/>
          </w:tcPr>
          <w:p w14:paraId="1B8860B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000000" w:sz="8" w:space="0"/>
              <w:bottom w:val="single" w:color="000000" w:sz="8" w:space="0"/>
              <w:right w:val="single" w:color="000000" w:sz="8" w:space="0"/>
            </w:tcBorders>
            <w:noWrap w:val="0"/>
            <w:vAlign w:val="center"/>
          </w:tcPr>
          <w:p w14:paraId="5887DFCE">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vMerge w:val="continue"/>
            <w:tcBorders>
              <w:top w:val="nil"/>
              <w:left w:val="single" w:color="000000" w:sz="8" w:space="0"/>
              <w:bottom w:val="single" w:color="000000" w:sz="8" w:space="0"/>
              <w:right w:val="single" w:color="000000" w:sz="8" w:space="0"/>
            </w:tcBorders>
            <w:noWrap w:val="0"/>
            <w:vAlign w:val="center"/>
          </w:tcPr>
          <w:p w14:paraId="09EA7D5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778F0A90">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太阳能热水系统</w:t>
            </w:r>
          </w:p>
        </w:tc>
        <w:tc>
          <w:tcPr>
            <w:tcW w:w="4909" w:type="dxa"/>
            <w:tcBorders>
              <w:top w:val="nil"/>
              <w:left w:val="nil"/>
              <w:bottom w:val="single" w:color="000000" w:sz="8" w:space="0"/>
              <w:right w:val="single" w:color="000000" w:sz="8" w:space="0"/>
            </w:tcBorders>
            <w:noWrap w:val="0"/>
            <w:vAlign w:val="center"/>
          </w:tcPr>
          <w:p w14:paraId="7C95BEB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《家用太阳能热水系统能效限定值及能效等级》（GB26969）</w:t>
            </w:r>
          </w:p>
        </w:tc>
      </w:tr>
      <w:tr w14:paraId="3B61C62E">
        <w:tblPrEx>
          <w:tblCellMar>
            <w:top w:w="0" w:type="dxa"/>
            <w:left w:w="108" w:type="dxa"/>
            <w:bottom w:w="0" w:type="dxa"/>
            <w:right w:w="108" w:type="dxa"/>
          </w:tblCellMar>
        </w:tblPrEx>
        <w:trPr>
          <w:trHeight w:val="495" w:hRule="atLeast"/>
        </w:trPr>
        <w:tc>
          <w:tcPr>
            <w:tcW w:w="660" w:type="dxa"/>
            <w:vMerge w:val="restart"/>
            <w:tcBorders>
              <w:top w:val="nil"/>
              <w:left w:val="single" w:color="auto" w:sz="8" w:space="0"/>
              <w:bottom w:val="single" w:color="auto" w:sz="8" w:space="0"/>
              <w:right w:val="single" w:color="auto" w:sz="8" w:space="0"/>
            </w:tcBorders>
            <w:noWrap w:val="0"/>
            <w:vAlign w:val="center"/>
          </w:tcPr>
          <w:p w14:paraId="6F6A1FBD">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11</w:t>
            </w:r>
          </w:p>
        </w:tc>
        <w:tc>
          <w:tcPr>
            <w:tcW w:w="1264" w:type="dxa"/>
            <w:vMerge w:val="restart"/>
            <w:tcBorders>
              <w:top w:val="nil"/>
              <w:left w:val="single" w:color="auto" w:sz="8" w:space="0"/>
              <w:bottom w:val="single" w:color="auto" w:sz="8" w:space="0"/>
              <w:right w:val="single" w:color="auto" w:sz="8" w:space="0"/>
            </w:tcBorders>
            <w:noWrap w:val="0"/>
            <w:vAlign w:val="center"/>
          </w:tcPr>
          <w:p w14:paraId="11C9D96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A020619照明设备</w:t>
            </w:r>
          </w:p>
        </w:tc>
        <w:tc>
          <w:tcPr>
            <w:tcW w:w="1290" w:type="dxa"/>
            <w:tcBorders>
              <w:top w:val="nil"/>
              <w:left w:val="nil"/>
              <w:bottom w:val="single" w:color="auto" w:sz="8" w:space="0"/>
              <w:right w:val="single" w:color="auto" w:sz="8" w:space="0"/>
            </w:tcBorders>
            <w:noWrap w:val="0"/>
            <w:vAlign w:val="center"/>
          </w:tcPr>
          <w:p w14:paraId="05D05E9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★普通照明用双端荧光灯</w:t>
            </w:r>
          </w:p>
        </w:tc>
        <w:tc>
          <w:tcPr>
            <w:tcW w:w="1635" w:type="dxa"/>
            <w:tcBorders>
              <w:top w:val="nil"/>
              <w:left w:val="nil"/>
              <w:bottom w:val="single" w:color="auto" w:sz="8" w:space="0"/>
              <w:right w:val="single" w:color="auto" w:sz="8" w:space="0"/>
            </w:tcBorders>
            <w:noWrap w:val="0"/>
            <w:vAlign w:val="center"/>
          </w:tcPr>
          <w:p w14:paraId="440133E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53CD3EDA">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《普通照明用双端荧光灯能效限定值及能效等级》（GB19043）</w:t>
            </w:r>
          </w:p>
        </w:tc>
      </w:tr>
      <w:tr w14:paraId="701ABA3D">
        <w:tblPrEx>
          <w:tblCellMar>
            <w:top w:w="0" w:type="dxa"/>
            <w:left w:w="108" w:type="dxa"/>
            <w:bottom w:w="0" w:type="dxa"/>
            <w:right w:w="108" w:type="dxa"/>
          </w:tblCellMar>
        </w:tblPrEx>
        <w:trPr>
          <w:trHeight w:val="495" w:hRule="atLeast"/>
        </w:trPr>
        <w:tc>
          <w:tcPr>
            <w:tcW w:w="660" w:type="dxa"/>
            <w:vMerge w:val="continue"/>
            <w:tcBorders>
              <w:top w:val="nil"/>
              <w:left w:val="single" w:color="auto" w:sz="8" w:space="0"/>
              <w:bottom w:val="single" w:color="auto" w:sz="8" w:space="0"/>
              <w:right w:val="single" w:color="auto" w:sz="8" w:space="0"/>
            </w:tcBorders>
            <w:noWrap w:val="0"/>
            <w:vAlign w:val="center"/>
          </w:tcPr>
          <w:p w14:paraId="74DD602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auto" w:sz="8" w:space="0"/>
              <w:bottom w:val="single" w:color="auto" w:sz="8" w:space="0"/>
              <w:right w:val="single" w:color="auto" w:sz="8" w:space="0"/>
            </w:tcBorders>
            <w:noWrap w:val="0"/>
            <w:vAlign w:val="center"/>
          </w:tcPr>
          <w:p w14:paraId="2A7E151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auto" w:sz="8" w:space="0"/>
              <w:right w:val="single" w:color="auto" w:sz="8" w:space="0"/>
            </w:tcBorders>
            <w:noWrap w:val="0"/>
            <w:vAlign w:val="center"/>
          </w:tcPr>
          <w:p w14:paraId="3C9D6730">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LED道路/隧道照明产品</w:t>
            </w:r>
          </w:p>
        </w:tc>
        <w:tc>
          <w:tcPr>
            <w:tcW w:w="1635" w:type="dxa"/>
            <w:tcBorders>
              <w:top w:val="nil"/>
              <w:left w:val="nil"/>
              <w:bottom w:val="single" w:color="auto" w:sz="8" w:space="0"/>
              <w:right w:val="single" w:color="auto" w:sz="8" w:space="0"/>
            </w:tcBorders>
            <w:noWrap w:val="0"/>
            <w:vAlign w:val="center"/>
          </w:tcPr>
          <w:p w14:paraId="7FC5EE2C">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63E6E8C0">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《道路和隧道照明用LED灯具能效限定值及能效等级》（GB37478）</w:t>
            </w:r>
          </w:p>
        </w:tc>
      </w:tr>
      <w:tr w14:paraId="7AF3889B">
        <w:tblPrEx>
          <w:tblCellMar>
            <w:top w:w="0" w:type="dxa"/>
            <w:left w:w="108" w:type="dxa"/>
            <w:bottom w:w="0" w:type="dxa"/>
            <w:right w:w="108" w:type="dxa"/>
          </w:tblCellMar>
        </w:tblPrEx>
        <w:trPr>
          <w:trHeight w:val="495" w:hRule="atLeast"/>
        </w:trPr>
        <w:tc>
          <w:tcPr>
            <w:tcW w:w="660" w:type="dxa"/>
            <w:vMerge w:val="continue"/>
            <w:tcBorders>
              <w:top w:val="nil"/>
              <w:left w:val="single" w:color="auto" w:sz="8" w:space="0"/>
              <w:bottom w:val="single" w:color="auto" w:sz="8" w:space="0"/>
              <w:right w:val="single" w:color="auto" w:sz="8" w:space="0"/>
            </w:tcBorders>
            <w:noWrap w:val="0"/>
            <w:vAlign w:val="center"/>
          </w:tcPr>
          <w:p w14:paraId="0A56C29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auto" w:sz="8" w:space="0"/>
              <w:bottom w:val="single" w:color="auto" w:sz="8" w:space="0"/>
              <w:right w:val="single" w:color="auto" w:sz="8" w:space="0"/>
            </w:tcBorders>
            <w:noWrap w:val="0"/>
            <w:vAlign w:val="center"/>
          </w:tcPr>
          <w:p w14:paraId="5E5DC9D2">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auto" w:sz="8" w:space="0"/>
              <w:right w:val="single" w:color="auto" w:sz="8" w:space="0"/>
            </w:tcBorders>
            <w:noWrap w:val="0"/>
            <w:vAlign w:val="center"/>
          </w:tcPr>
          <w:p w14:paraId="502EA6E9">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LED筒灯</w:t>
            </w:r>
          </w:p>
        </w:tc>
        <w:tc>
          <w:tcPr>
            <w:tcW w:w="1635" w:type="dxa"/>
            <w:tcBorders>
              <w:top w:val="nil"/>
              <w:left w:val="nil"/>
              <w:bottom w:val="single" w:color="auto" w:sz="8" w:space="0"/>
              <w:right w:val="single" w:color="auto" w:sz="8" w:space="0"/>
            </w:tcBorders>
            <w:noWrap w:val="0"/>
            <w:vAlign w:val="center"/>
          </w:tcPr>
          <w:p w14:paraId="47E74C7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6DC86374">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《室内照明用LED产品能效限定值及能效等级》（GB30255）</w:t>
            </w:r>
          </w:p>
        </w:tc>
      </w:tr>
      <w:tr w14:paraId="5A0041F5">
        <w:tblPrEx>
          <w:tblCellMar>
            <w:top w:w="0" w:type="dxa"/>
            <w:left w:w="108" w:type="dxa"/>
            <w:bottom w:w="0" w:type="dxa"/>
            <w:right w:w="108" w:type="dxa"/>
          </w:tblCellMar>
        </w:tblPrEx>
        <w:trPr>
          <w:trHeight w:val="735" w:hRule="atLeast"/>
        </w:trPr>
        <w:tc>
          <w:tcPr>
            <w:tcW w:w="660" w:type="dxa"/>
            <w:vMerge w:val="continue"/>
            <w:tcBorders>
              <w:top w:val="nil"/>
              <w:left w:val="single" w:color="auto" w:sz="8" w:space="0"/>
              <w:bottom w:val="single" w:color="auto" w:sz="8" w:space="0"/>
              <w:right w:val="single" w:color="auto" w:sz="8" w:space="0"/>
            </w:tcBorders>
            <w:noWrap w:val="0"/>
            <w:vAlign w:val="center"/>
          </w:tcPr>
          <w:p w14:paraId="132B6C1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auto" w:sz="8" w:space="0"/>
              <w:bottom w:val="single" w:color="auto" w:sz="8" w:space="0"/>
              <w:right w:val="single" w:color="auto" w:sz="8" w:space="0"/>
            </w:tcBorders>
            <w:noWrap w:val="0"/>
            <w:vAlign w:val="center"/>
          </w:tcPr>
          <w:p w14:paraId="35C53429">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auto" w:sz="8" w:space="0"/>
              <w:right w:val="single" w:color="auto" w:sz="8" w:space="0"/>
            </w:tcBorders>
            <w:noWrap w:val="0"/>
            <w:vAlign w:val="center"/>
          </w:tcPr>
          <w:p w14:paraId="78E6EE1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普通照明用非定向自镇流LED灯</w:t>
            </w:r>
          </w:p>
        </w:tc>
        <w:tc>
          <w:tcPr>
            <w:tcW w:w="1635" w:type="dxa"/>
            <w:tcBorders>
              <w:top w:val="nil"/>
              <w:left w:val="nil"/>
              <w:bottom w:val="single" w:color="auto" w:sz="8" w:space="0"/>
              <w:right w:val="single" w:color="auto" w:sz="8" w:space="0"/>
            </w:tcBorders>
            <w:noWrap w:val="0"/>
            <w:vAlign w:val="center"/>
          </w:tcPr>
          <w:p w14:paraId="0A91D8A5">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4A606AC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《室内照明用LED产品能效限定值及能效等级》（GB30255）</w:t>
            </w:r>
          </w:p>
        </w:tc>
      </w:tr>
      <w:tr w14:paraId="48226A63">
        <w:tblPrEx>
          <w:tblCellMar>
            <w:top w:w="0" w:type="dxa"/>
            <w:left w:w="108" w:type="dxa"/>
            <w:bottom w:w="0" w:type="dxa"/>
            <w:right w:w="108" w:type="dxa"/>
          </w:tblCellMar>
        </w:tblPrEx>
        <w:trPr>
          <w:trHeight w:val="735" w:hRule="atLeast"/>
        </w:trPr>
        <w:tc>
          <w:tcPr>
            <w:tcW w:w="660" w:type="dxa"/>
            <w:tcBorders>
              <w:top w:val="nil"/>
              <w:left w:val="single" w:color="auto" w:sz="8" w:space="0"/>
              <w:bottom w:val="single" w:color="auto" w:sz="8" w:space="0"/>
              <w:right w:val="single" w:color="auto" w:sz="8" w:space="0"/>
            </w:tcBorders>
            <w:noWrap w:val="0"/>
            <w:vAlign w:val="center"/>
          </w:tcPr>
          <w:p w14:paraId="10F8ECE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12</w:t>
            </w:r>
          </w:p>
        </w:tc>
        <w:tc>
          <w:tcPr>
            <w:tcW w:w="1264" w:type="dxa"/>
            <w:tcBorders>
              <w:top w:val="nil"/>
              <w:left w:val="nil"/>
              <w:bottom w:val="single" w:color="auto" w:sz="8" w:space="0"/>
              <w:right w:val="single" w:color="auto" w:sz="8" w:space="0"/>
            </w:tcBorders>
            <w:noWrap w:val="0"/>
            <w:vAlign w:val="center"/>
          </w:tcPr>
          <w:p w14:paraId="5C018686">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★A020910电视设备</w:t>
            </w:r>
          </w:p>
        </w:tc>
        <w:tc>
          <w:tcPr>
            <w:tcW w:w="1290" w:type="dxa"/>
            <w:tcBorders>
              <w:top w:val="nil"/>
              <w:left w:val="nil"/>
              <w:bottom w:val="single" w:color="auto" w:sz="8" w:space="0"/>
              <w:right w:val="single" w:color="auto" w:sz="8" w:space="0"/>
            </w:tcBorders>
            <w:noWrap w:val="0"/>
            <w:vAlign w:val="center"/>
          </w:tcPr>
          <w:p w14:paraId="1DACE8E6">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A02091001普通电视设备（电视机）</w:t>
            </w:r>
          </w:p>
        </w:tc>
        <w:tc>
          <w:tcPr>
            <w:tcW w:w="1635" w:type="dxa"/>
            <w:tcBorders>
              <w:top w:val="nil"/>
              <w:left w:val="nil"/>
              <w:bottom w:val="single" w:color="auto" w:sz="8" w:space="0"/>
              <w:right w:val="single" w:color="auto" w:sz="8" w:space="0"/>
            </w:tcBorders>
            <w:noWrap w:val="0"/>
            <w:vAlign w:val="center"/>
          </w:tcPr>
          <w:p w14:paraId="1A864C06">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50C273F6">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《平板电视能效限定值及能效等级》（GB24850）</w:t>
            </w:r>
          </w:p>
        </w:tc>
      </w:tr>
      <w:tr w14:paraId="37F210C4">
        <w:tblPrEx>
          <w:tblCellMar>
            <w:top w:w="0" w:type="dxa"/>
            <w:left w:w="108" w:type="dxa"/>
            <w:bottom w:w="0" w:type="dxa"/>
            <w:right w:w="108" w:type="dxa"/>
          </w:tblCellMar>
        </w:tblPrEx>
        <w:trPr>
          <w:trHeight w:val="975" w:hRule="atLeast"/>
        </w:trPr>
        <w:tc>
          <w:tcPr>
            <w:tcW w:w="660" w:type="dxa"/>
            <w:tcBorders>
              <w:top w:val="nil"/>
              <w:left w:val="single" w:color="auto" w:sz="8" w:space="0"/>
              <w:bottom w:val="single" w:color="auto" w:sz="8" w:space="0"/>
              <w:right w:val="single" w:color="auto" w:sz="8" w:space="0"/>
            </w:tcBorders>
            <w:noWrap w:val="0"/>
            <w:vAlign w:val="center"/>
          </w:tcPr>
          <w:p w14:paraId="3D6BC8E5">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13</w:t>
            </w:r>
          </w:p>
        </w:tc>
        <w:tc>
          <w:tcPr>
            <w:tcW w:w="1264" w:type="dxa"/>
            <w:tcBorders>
              <w:top w:val="nil"/>
              <w:left w:val="nil"/>
              <w:bottom w:val="single" w:color="auto" w:sz="8" w:space="0"/>
              <w:right w:val="single" w:color="auto" w:sz="8" w:space="0"/>
            </w:tcBorders>
            <w:noWrap w:val="0"/>
            <w:vAlign w:val="center"/>
          </w:tcPr>
          <w:p w14:paraId="25E4CA0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★A020911视频设备</w:t>
            </w:r>
          </w:p>
        </w:tc>
        <w:tc>
          <w:tcPr>
            <w:tcW w:w="1290" w:type="dxa"/>
            <w:tcBorders>
              <w:top w:val="nil"/>
              <w:left w:val="nil"/>
              <w:bottom w:val="single" w:color="auto" w:sz="8" w:space="0"/>
              <w:right w:val="single" w:color="auto" w:sz="8" w:space="0"/>
            </w:tcBorders>
            <w:noWrap w:val="0"/>
            <w:vAlign w:val="center"/>
          </w:tcPr>
          <w:p w14:paraId="6AAA9A3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A02091107视频监控设备</w:t>
            </w:r>
          </w:p>
        </w:tc>
        <w:tc>
          <w:tcPr>
            <w:tcW w:w="1635" w:type="dxa"/>
            <w:tcBorders>
              <w:top w:val="nil"/>
              <w:left w:val="nil"/>
              <w:bottom w:val="single" w:color="auto" w:sz="8" w:space="0"/>
              <w:right w:val="single" w:color="auto" w:sz="8" w:space="0"/>
            </w:tcBorders>
            <w:noWrap w:val="0"/>
            <w:vAlign w:val="center"/>
          </w:tcPr>
          <w:p w14:paraId="1BF005BB">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监视器</w:t>
            </w:r>
          </w:p>
        </w:tc>
        <w:tc>
          <w:tcPr>
            <w:tcW w:w="4909" w:type="dxa"/>
            <w:tcBorders>
              <w:top w:val="nil"/>
              <w:left w:val="nil"/>
              <w:bottom w:val="single" w:color="auto" w:sz="8" w:space="0"/>
              <w:right w:val="single" w:color="auto" w:sz="8" w:space="0"/>
            </w:tcBorders>
            <w:noWrap w:val="0"/>
            <w:vAlign w:val="center"/>
          </w:tcPr>
          <w:p w14:paraId="7F821237">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以射频信号为主要信号输入的监视器应符合《平板电视能效限定值及能效等级》（GB24850），以数字信号为主要信号输入的监视器应符合《计算机显示器能效限定值及能效等级》（GB21520）</w:t>
            </w:r>
          </w:p>
        </w:tc>
      </w:tr>
      <w:tr w14:paraId="4A101C99">
        <w:tblPrEx>
          <w:tblCellMar>
            <w:top w:w="0" w:type="dxa"/>
            <w:left w:w="108" w:type="dxa"/>
            <w:bottom w:w="0" w:type="dxa"/>
            <w:right w:w="108" w:type="dxa"/>
          </w:tblCellMar>
        </w:tblPrEx>
        <w:trPr>
          <w:trHeight w:val="495" w:hRule="atLeast"/>
        </w:trPr>
        <w:tc>
          <w:tcPr>
            <w:tcW w:w="660" w:type="dxa"/>
            <w:tcBorders>
              <w:top w:val="nil"/>
              <w:left w:val="single" w:color="auto" w:sz="8" w:space="0"/>
              <w:bottom w:val="single" w:color="auto" w:sz="8" w:space="0"/>
              <w:right w:val="single" w:color="auto" w:sz="8" w:space="0"/>
            </w:tcBorders>
            <w:noWrap w:val="0"/>
            <w:vAlign w:val="center"/>
          </w:tcPr>
          <w:p w14:paraId="10B4CF90">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14</w:t>
            </w:r>
          </w:p>
        </w:tc>
        <w:tc>
          <w:tcPr>
            <w:tcW w:w="1264" w:type="dxa"/>
            <w:tcBorders>
              <w:top w:val="nil"/>
              <w:left w:val="nil"/>
              <w:bottom w:val="single" w:color="auto" w:sz="8" w:space="0"/>
              <w:right w:val="single" w:color="auto" w:sz="8" w:space="0"/>
            </w:tcBorders>
            <w:noWrap w:val="0"/>
            <w:vAlign w:val="center"/>
          </w:tcPr>
          <w:p w14:paraId="150773F8">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A031210饮食炊事机械</w:t>
            </w:r>
          </w:p>
        </w:tc>
        <w:tc>
          <w:tcPr>
            <w:tcW w:w="1290" w:type="dxa"/>
            <w:tcBorders>
              <w:top w:val="nil"/>
              <w:left w:val="nil"/>
              <w:bottom w:val="single" w:color="auto" w:sz="8" w:space="0"/>
              <w:right w:val="single" w:color="auto" w:sz="8" w:space="0"/>
            </w:tcBorders>
            <w:noWrap w:val="0"/>
            <w:vAlign w:val="center"/>
          </w:tcPr>
          <w:p w14:paraId="62150AA1">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商用燃气灶具</w:t>
            </w:r>
          </w:p>
        </w:tc>
        <w:tc>
          <w:tcPr>
            <w:tcW w:w="1635" w:type="dxa"/>
            <w:tcBorders>
              <w:top w:val="nil"/>
              <w:left w:val="nil"/>
              <w:bottom w:val="single" w:color="auto" w:sz="8" w:space="0"/>
              <w:right w:val="single" w:color="auto" w:sz="8" w:space="0"/>
            </w:tcBorders>
            <w:noWrap w:val="0"/>
            <w:vAlign w:val="center"/>
          </w:tcPr>
          <w:p w14:paraId="546945BD">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383F4661">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《商用燃气灶具能效限定值及能效等级》（GB30531）</w:t>
            </w:r>
          </w:p>
        </w:tc>
      </w:tr>
      <w:tr w14:paraId="78134077">
        <w:tblPrEx>
          <w:tblCellMar>
            <w:top w:w="0" w:type="dxa"/>
            <w:left w:w="108" w:type="dxa"/>
            <w:bottom w:w="0" w:type="dxa"/>
            <w:right w:w="108" w:type="dxa"/>
          </w:tblCellMar>
        </w:tblPrEx>
        <w:trPr>
          <w:trHeight w:val="285" w:hRule="atLeast"/>
        </w:trPr>
        <w:tc>
          <w:tcPr>
            <w:tcW w:w="660" w:type="dxa"/>
            <w:vMerge w:val="restart"/>
            <w:tcBorders>
              <w:top w:val="nil"/>
              <w:left w:val="single" w:color="auto" w:sz="8" w:space="0"/>
              <w:bottom w:val="single" w:color="auto" w:sz="8" w:space="0"/>
              <w:right w:val="single" w:color="auto" w:sz="8" w:space="0"/>
            </w:tcBorders>
            <w:noWrap w:val="0"/>
            <w:vAlign w:val="center"/>
          </w:tcPr>
          <w:p w14:paraId="4A279BC3">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15</w:t>
            </w:r>
          </w:p>
        </w:tc>
        <w:tc>
          <w:tcPr>
            <w:tcW w:w="1264" w:type="dxa"/>
            <w:vMerge w:val="restart"/>
            <w:tcBorders>
              <w:top w:val="nil"/>
              <w:left w:val="single" w:color="auto" w:sz="8" w:space="0"/>
              <w:bottom w:val="single" w:color="000000" w:sz="8" w:space="0"/>
              <w:right w:val="single" w:color="auto" w:sz="8" w:space="0"/>
            </w:tcBorders>
            <w:noWrap w:val="0"/>
            <w:vAlign w:val="center"/>
          </w:tcPr>
          <w:p w14:paraId="2492AC06">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★A060805便器</w:t>
            </w:r>
          </w:p>
        </w:tc>
        <w:tc>
          <w:tcPr>
            <w:tcW w:w="1290" w:type="dxa"/>
            <w:tcBorders>
              <w:top w:val="nil"/>
              <w:left w:val="nil"/>
              <w:bottom w:val="single" w:color="auto" w:sz="8" w:space="0"/>
              <w:right w:val="single" w:color="auto" w:sz="8" w:space="0"/>
            </w:tcBorders>
            <w:noWrap w:val="0"/>
            <w:vAlign w:val="center"/>
          </w:tcPr>
          <w:p w14:paraId="1F47709A">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坐便器</w:t>
            </w:r>
          </w:p>
        </w:tc>
        <w:tc>
          <w:tcPr>
            <w:tcW w:w="1635" w:type="dxa"/>
            <w:tcBorders>
              <w:top w:val="nil"/>
              <w:left w:val="nil"/>
              <w:bottom w:val="single" w:color="auto" w:sz="8" w:space="0"/>
              <w:right w:val="single" w:color="auto" w:sz="8" w:space="0"/>
            </w:tcBorders>
            <w:noWrap w:val="0"/>
            <w:vAlign w:val="center"/>
          </w:tcPr>
          <w:p w14:paraId="3B05ABDA">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1078BFB6">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《坐便器水效限定值及水效等级》（GB25502）</w:t>
            </w:r>
          </w:p>
        </w:tc>
      </w:tr>
      <w:tr w14:paraId="55681EA9">
        <w:tblPrEx>
          <w:tblCellMar>
            <w:top w:w="0" w:type="dxa"/>
            <w:left w:w="108" w:type="dxa"/>
            <w:bottom w:w="0" w:type="dxa"/>
            <w:right w:w="108" w:type="dxa"/>
          </w:tblCellMar>
        </w:tblPrEx>
        <w:trPr>
          <w:trHeight w:val="495" w:hRule="atLeast"/>
        </w:trPr>
        <w:tc>
          <w:tcPr>
            <w:tcW w:w="660" w:type="dxa"/>
            <w:vMerge w:val="continue"/>
            <w:tcBorders>
              <w:top w:val="nil"/>
              <w:left w:val="single" w:color="auto" w:sz="8" w:space="0"/>
              <w:bottom w:val="single" w:color="auto" w:sz="8" w:space="0"/>
              <w:right w:val="single" w:color="auto" w:sz="8" w:space="0"/>
            </w:tcBorders>
            <w:noWrap w:val="0"/>
            <w:vAlign w:val="center"/>
          </w:tcPr>
          <w:p w14:paraId="6997D183">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auto" w:sz="8" w:space="0"/>
              <w:bottom w:val="single" w:color="000000" w:sz="8" w:space="0"/>
              <w:right w:val="single" w:color="auto" w:sz="8" w:space="0"/>
            </w:tcBorders>
            <w:noWrap w:val="0"/>
            <w:vAlign w:val="center"/>
          </w:tcPr>
          <w:p w14:paraId="0F811C9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auto" w:sz="8" w:space="0"/>
              <w:right w:val="single" w:color="auto" w:sz="8" w:space="0"/>
            </w:tcBorders>
            <w:noWrap w:val="0"/>
            <w:vAlign w:val="center"/>
          </w:tcPr>
          <w:p w14:paraId="4137647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蹲便器</w:t>
            </w:r>
          </w:p>
        </w:tc>
        <w:tc>
          <w:tcPr>
            <w:tcW w:w="1635" w:type="dxa"/>
            <w:tcBorders>
              <w:top w:val="nil"/>
              <w:left w:val="nil"/>
              <w:bottom w:val="single" w:color="auto" w:sz="8" w:space="0"/>
              <w:right w:val="single" w:color="auto" w:sz="8" w:space="0"/>
            </w:tcBorders>
            <w:noWrap w:val="0"/>
            <w:vAlign w:val="center"/>
          </w:tcPr>
          <w:p w14:paraId="587C0184">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6659B30F">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《蹲便器用水效率限定值及用水效率等级》（GB30717）</w:t>
            </w:r>
          </w:p>
        </w:tc>
      </w:tr>
      <w:tr w14:paraId="40E8C9A5">
        <w:tblPrEx>
          <w:tblCellMar>
            <w:top w:w="0" w:type="dxa"/>
            <w:left w:w="108" w:type="dxa"/>
            <w:bottom w:w="0" w:type="dxa"/>
            <w:right w:w="108" w:type="dxa"/>
          </w:tblCellMar>
        </w:tblPrEx>
        <w:trPr>
          <w:trHeight w:val="495" w:hRule="atLeast"/>
        </w:trPr>
        <w:tc>
          <w:tcPr>
            <w:tcW w:w="660" w:type="dxa"/>
            <w:vMerge w:val="continue"/>
            <w:tcBorders>
              <w:top w:val="nil"/>
              <w:left w:val="single" w:color="auto" w:sz="8" w:space="0"/>
              <w:bottom w:val="single" w:color="auto" w:sz="8" w:space="0"/>
              <w:right w:val="single" w:color="auto" w:sz="8" w:space="0"/>
            </w:tcBorders>
            <w:noWrap w:val="0"/>
            <w:vAlign w:val="center"/>
          </w:tcPr>
          <w:p w14:paraId="71005EC5">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64" w:type="dxa"/>
            <w:vMerge w:val="continue"/>
            <w:tcBorders>
              <w:top w:val="nil"/>
              <w:left w:val="single" w:color="auto" w:sz="8" w:space="0"/>
              <w:bottom w:val="single" w:color="000000" w:sz="8" w:space="0"/>
              <w:right w:val="single" w:color="auto" w:sz="8" w:space="0"/>
            </w:tcBorders>
            <w:noWrap w:val="0"/>
            <w:vAlign w:val="center"/>
          </w:tcPr>
          <w:p w14:paraId="04472A76">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p>
        </w:tc>
        <w:tc>
          <w:tcPr>
            <w:tcW w:w="1290" w:type="dxa"/>
            <w:tcBorders>
              <w:top w:val="nil"/>
              <w:left w:val="nil"/>
              <w:bottom w:val="single" w:color="auto" w:sz="8" w:space="0"/>
              <w:right w:val="single" w:color="auto" w:sz="8" w:space="0"/>
            </w:tcBorders>
            <w:noWrap w:val="0"/>
            <w:vAlign w:val="center"/>
          </w:tcPr>
          <w:p w14:paraId="69D35B8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小便器</w:t>
            </w:r>
          </w:p>
        </w:tc>
        <w:tc>
          <w:tcPr>
            <w:tcW w:w="1635" w:type="dxa"/>
            <w:tcBorders>
              <w:top w:val="nil"/>
              <w:left w:val="nil"/>
              <w:bottom w:val="single" w:color="auto" w:sz="8" w:space="0"/>
              <w:right w:val="single" w:color="auto" w:sz="8" w:space="0"/>
            </w:tcBorders>
            <w:noWrap w:val="0"/>
            <w:vAlign w:val="center"/>
          </w:tcPr>
          <w:p w14:paraId="05E33186">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auto" w:sz="8" w:space="0"/>
              <w:right w:val="single" w:color="auto" w:sz="8" w:space="0"/>
            </w:tcBorders>
            <w:noWrap w:val="0"/>
            <w:vAlign w:val="center"/>
          </w:tcPr>
          <w:p w14:paraId="63B9806C">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《小便器用水效率限定值及用水效率等级》（GB28377）</w:t>
            </w:r>
          </w:p>
        </w:tc>
      </w:tr>
      <w:tr w14:paraId="18151D44">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2273907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16</w:t>
            </w:r>
          </w:p>
        </w:tc>
        <w:tc>
          <w:tcPr>
            <w:tcW w:w="1264" w:type="dxa"/>
            <w:tcBorders>
              <w:top w:val="nil"/>
              <w:left w:val="nil"/>
              <w:bottom w:val="single" w:color="000000" w:sz="8" w:space="0"/>
              <w:right w:val="single" w:color="000000" w:sz="8" w:space="0"/>
            </w:tcBorders>
            <w:noWrap w:val="0"/>
            <w:vAlign w:val="center"/>
          </w:tcPr>
          <w:p w14:paraId="3F36BA6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★A060806水嘴</w:t>
            </w:r>
          </w:p>
        </w:tc>
        <w:tc>
          <w:tcPr>
            <w:tcW w:w="1290" w:type="dxa"/>
            <w:tcBorders>
              <w:top w:val="nil"/>
              <w:left w:val="nil"/>
              <w:bottom w:val="single" w:color="000000" w:sz="8" w:space="0"/>
              <w:right w:val="single" w:color="000000" w:sz="8" w:space="0"/>
            </w:tcBorders>
            <w:noWrap w:val="0"/>
            <w:vAlign w:val="center"/>
          </w:tcPr>
          <w:p w14:paraId="7CA22E6D">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03B558E5">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5547AC34">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《水嘴用水效率限定值及用水效率等级》（GB 25501）</w:t>
            </w:r>
          </w:p>
        </w:tc>
      </w:tr>
      <w:tr w14:paraId="37F9A7EB">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6018F8B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17</w:t>
            </w:r>
          </w:p>
        </w:tc>
        <w:tc>
          <w:tcPr>
            <w:tcW w:w="1264" w:type="dxa"/>
            <w:tcBorders>
              <w:top w:val="nil"/>
              <w:left w:val="nil"/>
              <w:bottom w:val="single" w:color="000000" w:sz="8" w:space="0"/>
              <w:right w:val="single" w:color="000000" w:sz="8" w:space="0"/>
            </w:tcBorders>
            <w:noWrap w:val="0"/>
            <w:vAlign w:val="center"/>
          </w:tcPr>
          <w:p w14:paraId="022DC25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A060807便器冲洗阀</w:t>
            </w:r>
          </w:p>
        </w:tc>
        <w:tc>
          <w:tcPr>
            <w:tcW w:w="1290" w:type="dxa"/>
            <w:tcBorders>
              <w:top w:val="nil"/>
              <w:left w:val="nil"/>
              <w:bottom w:val="single" w:color="000000" w:sz="8" w:space="0"/>
              <w:right w:val="single" w:color="000000" w:sz="8" w:space="0"/>
            </w:tcBorders>
            <w:noWrap w:val="0"/>
            <w:vAlign w:val="center"/>
          </w:tcPr>
          <w:p w14:paraId="1FD29121">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3E251C22">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42804648">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《便器冲洗阀用水效率限定值及用水效率等级》（GB28379）</w:t>
            </w:r>
          </w:p>
        </w:tc>
      </w:tr>
      <w:tr w14:paraId="2C106B41">
        <w:tblPrEx>
          <w:tblCellMar>
            <w:top w:w="0" w:type="dxa"/>
            <w:left w:w="108" w:type="dxa"/>
            <w:bottom w:w="0" w:type="dxa"/>
            <w:right w:w="108" w:type="dxa"/>
          </w:tblCellMar>
        </w:tblPrEx>
        <w:trPr>
          <w:trHeight w:val="495" w:hRule="atLeast"/>
        </w:trPr>
        <w:tc>
          <w:tcPr>
            <w:tcW w:w="660" w:type="dxa"/>
            <w:tcBorders>
              <w:top w:val="nil"/>
              <w:left w:val="single" w:color="000000" w:sz="8" w:space="0"/>
              <w:bottom w:val="single" w:color="000000" w:sz="8" w:space="0"/>
              <w:right w:val="single" w:color="000000" w:sz="8" w:space="0"/>
            </w:tcBorders>
            <w:noWrap w:val="0"/>
            <w:vAlign w:val="center"/>
          </w:tcPr>
          <w:p w14:paraId="0385508E">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18</w:t>
            </w:r>
          </w:p>
        </w:tc>
        <w:tc>
          <w:tcPr>
            <w:tcW w:w="1264" w:type="dxa"/>
            <w:tcBorders>
              <w:top w:val="nil"/>
              <w:left w:val="nil"/>
              <w:bottom w:val="single" w:color="000000" w:sz="8" w:space="0"/>
              <w:right w:val="single" w:color="000000" w:sz="8" w:space="0"/>
            </w:tcBorders>
            <w:noWrap w:val="0"/>
            <w:vAlign w:val="center"/>
          </w:tcPr>
          <w:p w14:paraId="650209C7">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r>
              <w:rPr>
                <w:color w:val="auto"/>
                <w:kern w:val="0"/>
                <w:sz w:val="21"/>
                <w:szCs w:val="21"/>
                <w:highlight w:val="none"/>
              </w:rPr>
              <w:t>A060810淋浴器</w:t>
            </w:r>
          </w:p>
        </w:tc>
        <w:tc>
          <w:tcPr>
            <w:tcW w:w="1290" w:type="dxa"/>
            <w:tcBorders>
              <w:top w:val="nil"/>
              <w:left w:val="nil"/>
              <w:bottom w:val="single" w:color="000000" w:sz="8" w:space="0"/>
              <w:right w:val="single" w:color="000000" w:sz="8" w:space="0"/>
            </w:tcBorders>
            <w:noWrap w:val="0"/>
            <w:vAlign w:val="center"/>
          </w:tcPr>
          <w:p w14:paraId="7AB49486">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1635" w:type="dxa"/>
            <w:tcBorders>
              <w:top w:val="nil"/>
              <w:left w:val="nil"/>
              <w:bottom w:val="single" w:color="000000" w:sz="8" w:space="0"/>
              <w:right w:val="single" w:color="000000" w:sz="8" w:space="0"/>
            </w:tcBorders>
            <w:noWrap w:val="0"/>
            <w:vAlign w:val="center"/>
          </w:tcPr>
          <w:p w14:paraId="2DC3B565">
            <w:pPr>
              <w:keepNext w:val="0"/>
              <w:keepLines w:val="0"/>
              <w:pageBreakBefore w:val="0"/>
              <w:widowControl/>
              <w:kinsoku/>
              <w:wordWrap/>
              <w:overflowPunct/>
              <w:topLinePunct w:val="0"/>
              <w:autoSpaceDE/>
              <w:autoSpaceDN/>
              <w:bidi w:val="0"/>
              <w:adjustRightInd/>
              <w:snapToGrid/>
              <w:spacing w:line="360" w:lineRule="exact"/>
              <w:jc w:val="center"/>
              <w:textAlignment w:val="auto"/>
              <w:rPr>
                <w:color w:val="auto"/>
                <w:kern w:val="0"/>
                <w:sz w:val="21"/>
                <w:szCs w:val="21"/>
                <w:highlight w:val="none"/>
              </w:rPr>
            </w:pPr>
          </w:p>
        </w:tc>
        <w:tc>
          <w:tcPr>
            <w:tcW w:w="4909" w:type="dxa"/>
            <w:tcBorders>
              <w:top w:val="nil"/>
              <w:left w:val="nil"/>
              <w:bottom w:val="single" w:color="000000" w:sz="8" w:space="0"/>
              <w:right w:val="single" w:color="000000" w:sz="8" w:space="0"/>
            </w:tcBorders>
            <w:noWrap w:val="0"/>
            <w:vAlign w:val="center"/>
          </w:tcPr>
          <w:p w14:paraId="239CE589">
            <w:pPr>
              <w:keepNext w:val="0"/>
              <w:keepLines w:val="0"/>
              <w:pageBreakBefore w:val="0"/>
              <w:widowControl/>
              <w:kinsoku/>
              <w:wordWrap/>
              <w:overflowPunct/>
              <w:topLinePunct w:val="0"/>
              <w:autoSpaceDE/>
              <w:autoSpaceDN/>
              <w:bidi w:val="0"/>
              <w:adjustRightInd/>
              <w:snapToGrid/>
              <w:spacing w:line="360" w:lineRule="exact"/>
              <w:jc w:val="left"/>
              <w:textAlignment w:val="auto"/>
              <w:rPr>
                <w:color w:val="auto"/>
                <w:kern w:val="0"/>
                <w:sz w:val="21"/>
                <w:szCs w:val="21"/>
                <w:highlight w:val="none"/>
              </w:rPr>
            </w:pPr>
            <w:r>
              <w:rPr>
                <w:color w:val="auto"/>
                <w:kern w:val="0"/>
                <w:sz w:val="21"/>
                <w:szCs w:val="21"/>
                <w:highlight w:val="none"/>
              </w:rPr>
              <w:t>《淋浴器用水效率限定值及用水效率等级》（GB28378）</w:t>
            </w:r>
          </w:p>
        </w:tc>
      </w:tr>
    </w:tbl>
    <w:p w14:paraId="3A27E255">
      <w:pPr>
        <w:pStyle w:val="13"/>
        <w:keepNext w:val="0"/>
        <w:keepLines w:val="0"/>
        <w:pageBreakBefore w:val="0"/>
        <w:widowControl w:val="0"/>
        <w:kinsoku/>
        <w:wordWrap/>
        <w:overflowPunct/>
        <w:topLinePunct w:val="0"/>
        <w:autoSpaceDE/>
        <w:autoSpaceDN/>
        <w:bidi w:val="0"/>
        <w:adjustRightInd/>
        <w:snapToGrid/>
        <w:spacing w:after="0" w:line="360" w:lineRule="auto"/>
        <w:ind w:firstLine="410" w:firstLineChars="200"/>
        <w:textAlignment w:val="auto"/>
        <w:rPr>
          <w:b/>
          <w:bCs/>
          <w:color w:val="auto"/>
          <w:szCs w:val="21"/>
          <w:highlight w:val="none"/>
        </w:rPr>
      </w:pPr>
      <w:r>
        <w:rPr>
          <w:b/>
          <w:bCs/>
          <w:color w:val="auto"/>
          <w:spacing w:val="-3"/>
          <w:szCs w:val="21"/>
          <w:highlight w:val="none"/>
        </w:rPr>
        <w:t>注：</w:t>
      </w:r>
      <w:r>
        <w:rPr>
          <w:rFonts w:hint="eastAsia"/>
          <w:b/>
          <w:bCs/>
          <w:color w:val="auto"/>
          <w:spacing w:val="-3"/>
          <w:szCs w:val="21"/>
          <w:highlight w:val="none"/>
          <w:lang w:val="en-US" w:eastAsia="zh-CN"/>
        </w:rPr>
        <w:t>1、</w:t>
      </w:r>
      <w:r>
        <w:rPr>
          <w:b/>
          <w:bCs/>
          <w:color w:val="auto"/>
          <w:spacing w:val="-3"/>
          <w:szCs w:val="21"/>
          <w:highlight w:val="none"/>
        </w:rPr>
        <w:t>节能产品认证应依据相关国家标准的最新版本，依据国家标准中二级能效（水效）</w:t>
      </w:r>
      <w:r>
        <w:rPr>
          <w:b/>
          <w:bCs/>
          <w:color w:val="auto"/>
          <w:szCs w:val="21"/>
          <w:highlight w:val="none"/>
        </w:rPr>
        <w:t>指标。</w:t>
      </w:r>
    </w:p>
    <w:p w14:paraId="2C45EFE9">
      <w:pPr>
        <w:pStyle w:val="13"/>
        <w:keepNext w:val="0"/>
        <w:keepLines w:val="0"/>
        <w:pageBreakBefore w:val="0"/>
        <w:widowControl w:val="0"/>
        <w:kinsoku/>
        <w:wordWrap/>
        <w:overflowPunct/>
        <w:topLinePunct w:val="0"/>
        <w:autoSpaceDE/>
        <w:autoSpaceDN/>
        <w:bidi w:val="0"/>
        <w:adjustRightInd/>
        <w:snapToGrid/>
        <w:spacing w:after="0" w:line="360" w:lineRule="auto"/>
        <w:ind w:firstLine="843" w:firstLineChars="400"/>
        <w:textAlignment w:val="auto"/>
        <w:rPr>
          <w:b/>
          <w:bCs/>
          <w:color w:val="auto"/>
          <w:szCs w:val="21"/>
          <w:highlight w:val="none"/>
        </w:rPr>
      </w:pPr>
      <w:r>
        <w:rPr>
          <w:rFonts w:hint="eastAsia"/>
          <w:b/>
          <w:bCs/>
          <w:color w:val="auto"/>
          <w:szCs w:val="21"/>
          <w:highlight w:val="none"/>
          <w:lang w:val="en-US" w:eastAsia="zh-CN"/>
        </w:rPr>
        <w:t>2、</w:t>
      </w:r>
      <w:r>
        <w:rPr>
          <w:b/>
          <w:bCs/>
          <w:color w:val="auto"/>
          <w:szCs w:val="21"/>
          <w:highlight w:val="none"/>
        </w:rPr>
        <w:t>以</w:t>
      </w:r>
      <w:r>
        <w:rPr>
          <w:rFonts w:hint="eastAsia"/>
          <w:b/>
          <w:bCs/>
          <w:color w:val="auto"/>
          <w:szCs w:val="21"/>
          <w:highlight w:val="none"/>
          <w:lang w:eastAsia="zh-CN"/>
        </w:rPr>
        <w:t>“</w:t>
      </w:r>
      <w:r>
        <w:rPr>
          <w:b/>
          <w:bCs/>
          <w:color w:val="auto"/>
          <w:szCs w:val="21"/>
          <w:highlight w:val="none"/>
        </w:rPr>
        <w:t>★</w:t>
      </w:r>
      <w:r>
        <w:rPr>
          <w:rFonts w:hint="eastAsia"/>
          <w:b/>
          <w:bCs/>
          <w:color w:val="auto"/>
          <w:szCs w:val="21"/>
          <w:highlight w:val="none"/>
          <w:lang w:eastAsia="zh-CN"/>
        </w:rPr>
        <w:t>”</w:t>
      </w:r>
      <w:r>
        <w:rPr>
          <w:b/>
          <w:bCs/>
          <w:color w:val="auto"/>
          <w:szCs w:val="21"/>
          <w:highlight w:val="none"/>
        </w:rPr>
        <w:t>标注的为政府强制采购产品。</w:t>
      </w:r>
    </w:p>
    <w:p w14:paraId="6BA2592B">
      <w:pPr>
        <w:rPr>
          <w:color w:val="auto"/>
        </w:rPr>
      </w:pPr>
    </w:p>
    <w:p w14:paraId="5EC3C0C7">
      <w:pPr>
        <w:pStyle w:val="10"/>
        <w:ind w:left="0" w:leftChars="0" w:firstLine="0" w:firstLineChars="0"/>
        <w:rPr>
          <w:rFonts w:eastAsia="Arial Unicode MS"/>
          <w:color w:val="auto"/>
          <w:kern w:val="0"/>
          <w:sz w:val="32"/>
          <w:szCs w:val="32"/>
          <w:highlight w:val="none"/>
        </w:rPr>
      </w:pPr>
      <w:r>
        <w:rPr>
          <w:rFonts w:eastAsia="Arial Unicode MS"/>
          <w:color w:val="auto"/>
          <w:kern w:val="0"/>
          <w:sz w:val="32"/>
          <w:szCs w:val="32"/>
          <w:highlight w:val="none"/>
        </w:rPr>
        <w:t>附件2：</w:t>
      </w:r>
    </w:p>
    <w:p w14:paraId="623BC129">
      <w:pPr>
        <w:widowControl/>
        <w:spacing w:before="120" w:beforeLines="50" w:after="120" w:afterLines="50" w:line="280" w:lineRule="exact"/>
        <w:jc w:val="center"/>
        <w:rPr>
          <w:b/>
          <w:bCs/>
          <w:color w:val="auto"/>
          <w:kern w:val="0"/>
          <w:sz w:val="30"/>
          <w:szCs w:val="30"/>
          <w:highlight w:val="none"/>
        </w:rPr>
      </w:pPr>
      <w:bookmarkStart w:id="58" w:name="_Toc28361_WPSOffice_Level2"/>
      <w:r>
        <w:rPr>
          <w:b/>
          <w:bCs/>
          <w:color w:val="auto"/>
          <w:kern w:val="0"/>
          <w:sz w:val="30"/>
          <w:szCs w:val="30"/>
          <w:highlight w:val="none"/>
        </w:rPr>
        <w:t>统计上大中小微型企业划分标准</w:t>
      </w:r>
      <w:bookmarkEnd w:id="58"/>
    </w:p>
    <w:tbl>
      <w:tblPr>
        <w:tblStyle w:val="28"/>
        <w:tblW w:w="94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13"/>
        <w:gridCol w:w="1369"/>
        <w:gridCol w:w="709"/>
        <w:gridCol w:w="1125"/>
        <w:gridCol w:w="1701"/>
        <w:gridCol w:w="1426"/>
        <w:gridCol w:w="992"/>
      </w:tblGrid>
      <w:tr w14:paraId="39D52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blHeader/>
          <w:jc w:val="center"/>
        </w:trPr>
        <w:tc>
          <w:tcPr>
            <w:tcW w:w="2113" w:type="dxa"/>
            <w:shd w:val="clear" w:color="auto" w:fill="8DB3E2"/>
            <w:noWrap w:val="0"/>
            <w:vAlign w:val="center"/>
          </w:tcPr>
          <w:p w14:paraId="3F4A83C1">
            <w:pPr>
              <w:widowControl/>
              <w:spacing w:line="280" w:lineRule="exact"/>
              <w:jc w:val="center"/>
              <w:rPr>
                <w:b/>
                <w:bCs/>
                <w:color w:val="auto"/>
                <w:kern w:val="0"/>
                <w:sz w:val="18"/>
                <w:szCs w:val="21"/>
                <w:highlight w:val="none"/>
              </w:rPr>
            </w:pPr>
            <w:r>
              <w:rPr>
                <w:b/>
                <w:bCs/>
                <w:color w:val="auto"/>
                <w:kern w:val="0"/>
                <w:sz w:val="18"/>
                <w:szCs w:val="21"/>
                <w:highlight w:val="none"/>
              </w:rPr>
              <w:t>行业名称</w:t>
            </w:r>
          </w:p>
        </w:tc>
        <w:tc>
          <w:tcPr>
            <w:tcW w:w="1369" w:type="dxa"/>
            <w:shd w:val="clear" w:color="auto" w:fill="8DB3E2"/>
            <w:noWrap w:val="0"/>
            <w:vAlign w:val="center"/>
          </w:tcPr>
          <w:p w14:paraId="2B806D03">
            <w:pPr>
              <w:widowControl/>
              <w:spacing w:line="280" w:lineRule="exact"/>
              <w:jc w:val="center"/>
              <w:rPr>
                <w:b/>
                <w:bCs/>
                <w:color w:val="auto"/>
                <w:kern w:val="0"/>
                <w:sz w:val="18"/>
                <w:szCs w:val="18"/>
                <w:highlight w:val="none"/>
              </w:rPr>
            </w:pPr>
            <w:r>
              <w:rPr>
                <w:b/>
                <w:bCs/>
                <w:color w:val="auto"/>
                <w:kern w:val="0"/>
                <w:sz w:val="18"/>
                <w:szCs w:val="18"/>
                <w:highlight w:val="none"/>
              </w:rPr>
              <w:t>指标名称</w:t>
            </w:r>
          </w:p>
        </w:tc>
        <w:tc>
          <w:tcPr>
            <w:tcW w:w="709" w:type="dxa"/>
            <w:shd w:val="clear" w:color="auto" w:fill="8DB3E2"/>
            <w:noWrap w:val="0"/>
            <w:vAlign w:val="center"/>
          </w:tcPr>
          <w:p w14:paraId="42851ABA">
            <w:pPr>
              <w:widowControl/>
              <w:spacing w:line="280" w:lineRule="exact"/>
              <w:jc w:val="center"/>
              <w:rPr>
                <w:b/>
                <w:bCs/>
                <w:color w:val="auto"/>
                <w:kern w:val="0"/>
                <w:sz w:val="18"/>
                <w:szCs w:val="18"/>
                <w:highlight w:val="none"/>
              </w:rPr>
            </w:pPr>
            <w:r>
              <w:rPr>
                <w:b/>
                <w:bCs/>
                <w:color w:val="auto"/>
                <w:kern w:val="0"/>
                <w:sz w:val="18"/>
                <w:szCs w:val="18"/>
                <w:highlight w:val="none"/>
              </w:rPr>
              <w:t>计量</w:t>
            </w:r>
          </w:p>
          <w:p w14:paraId="1E1ECEE0">
            <w:pPr>
              <w:widowControl/>
              <w:spacing w:line="280" w:lineRule="exact"/>
              <w:jc w:val="center"/>
              <w:rPr>
                <w:b/>
                <w:bCs/>
                <w:color w:val="auto"/>
                <w:kern w:val="0"/>
                <w:sz w:val="18"/>
                <w:szCs w:val="18"/>
                <w:highlight w:val="none"/>
              </w:rPr>
            </w:pPr>
            <w:r>
              <w:rPr>
                <w:b/>
                <w:bCs/>
                <w:color w:val="auto"/>
                <w:kern w:val="0"/>
                <w:sz w:val="18"/>
                <w:szCs w:val="18"/>
                <w:highlight w:val="none"/>
              </w:rPr>
              <w:t>单位</w:t>
            </w:r>
          </w:p>
        </w:tc>
        <w:tc>
          <w:tcPr>
            <w:tcW w:w="1125" w:type="dxa"/>
            <w:shd w:val="clear" w:color="auto" w:fill="8DB3E2"/>
            <w:noWrap w:val="0"/>
            <w:vAlign w:val="center"/>
          </w:tcPr>
          <w:p w14:paraId="70665BC7">
            <w:pPr>
              <w:widowControl/>
              <w:spacing w:line="280" w:lineRule="exact"/>
              <w:jc w:val="center"/>
              <w:rPr>
                <w:b/>
                <w:bCs/>
                <w:color w:val="auto"/>
                <w:kern w:val="0"/>
                <w:sz w:val="18"/>
                <w:szCs w:val="18"/>
                <w:highlight w:val="none"/>
              </w:rPr>
            </w:pPr>
            <w:r>
              <w:rPr>
                <w:b/>
                <w:bCs/>
                <w:color w:val="auto"/>
                <w:kern w:val="0"/>
                <w:sz w:val="18"/>
                <w:szCs w:val="18"/>
                <w:highlight w:val="none"/>
              </w:rPr>
              <w:t>大型</w:t>
            </w:r>
          </w:p>
        </w:tc>
        <w:tc>
          <w:tcPr>
            <w:tcW w:w="1701" w:type="dxa"/>
            <w:shd w:val="clear" w:color="auto" w:fill="8DB3E2"/>
            <w:noWrap w:val="0"/>
            <w:vAlign w:val="center"/>
          </w:tcPr>
          <w:p w14:paraId="3B32A17C">
            <w:pPr>
              <w:widowControl/>
              <w:spacing w:line="280" w:lineRule="exact"/>
              <w:jc w:val="center"/>
              <w:rPr>
                <w:b/>
                <w:bCs/>
                <w:color w:val="auto"/>
                <w:kern w:val="0"/>
                <w:sz w:val="18"/>
                <w:szCs w:val="18"/>
                <w:highlight w:val="none"/>
              </w:rPr>
            </w:pPr>
            <w:r>
              <w:rPr>
                <w:b/>
                <w:bCs/>
                <w:color w:val="auto"/>
                <w:kern w:val="0"/>
                <w:sz w:val="18"/>
                <w:szCs w:val="18"/>
                <w:highlight w:val="none"/>
              </w:rPr>
              <w:t>中型</w:t>
            </w:r>
          </w:p>
        </w:tc>
        <w:tc>
          <w:tcPr>
            <w:tcW w:w="1426" w:type="dxa"/>
            <w:shd w:val="clear" w:color="auto" w:fill="8DB3E2"/>
            <w:noWrap w:val="0"/>
            <w:vAlign w:val="center"/>
          </w:tcPr>
          <w:p w14:paraId="78493DA4">
            <w:pPr>
              <w:widowControl/>
              <w:spacing w:line="280" w:lineRule="exact"/>
              <w:jc w:val="center"/>
              <w:rPr>
                <w:b/>
                <w:bCs/>
                <w:color w:val="auto"/>
                <w:kern w:val="0"/>
                <w:sz w:val="18"/>
                <w:szCs w:val="18"/>
                <w:highlight w:val="none"/>
              </w:rPr>
            </w:pPr>
            <w:r>
              <w:rPr>
                <w:b/>
                <w:bCs/>
                <w:color w:val="auto"/>
                <w:kern w:val="0"/>
                <w:sz w:val="18"/>
                <w:szCs w:val="18"/>
                <w:highlight w:val="none"/>
              </w:rPr>
              <w:t>小型</w:t>
            </w:r>
          </w:p>
        </w:tc>
        <w:tc>
          <w:tcPr>
            <w:tcW w:w="992" w:type="dxa"/>
            <w:shd w:val="clear" w:color="auto" w:fill="8DB3E2"/>
            <w:noWrap w:val="0"/>
            <w:vAlign w:val="center"/>
          </w:tcPr>
          <w:p w14:paraId="1AF3702E">
            <w:pPr>
              <w:widowControl/>
              <w:spacing w:line="280" w:lineRule="exact"/>
              <w:jc w:val="center"/>
              <w:rPr>
                <w:b/>
                <w:bCs/>
                <w:color w:val="auto"/>
                <w:kern w:val="0"/>
                <w:sz w:val="18"/>
                <w:szCs w:val="18"/>
                <w:highlight w:val="none"/>
              </w:rPr>
            </w:pPr>
            <w:r>
              <w:rPr>
                <w:b/>
                <w:bCs/>
                <w:color w:val="auto"/>
                <w:kern w:val="0"/>
                <w:sz w:val="18"/>
                <w:szCs w:val="18"/>
                <w:highlight w:val="none"/>
              </w:rPr>
              <w:t>微型</w:t>
            </w:r>
          </w:p>
        </w:tc>
      </w:tr>
      <w:tr w14:paraId="4CAD8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noWrap w:val="0"/>
            <w:vAlign w:val="center"/>
          </w:tcPr>
          <w:p w14:paraId="338C3338">
            <w:pPr>
              <w:widowControl/>
              <w:spacing w:line="280" w:lineRule="exact"/>
              <w:jc w:val="left"/>
              <w:rPr>
                <w:color w:val="auto"/>
                <w:kern w:val="0"/>
                <w:sz w:val="18"/>
                <w:szCs w:val="18"/>
                <w:highlight w:val="none"/>
              </w:rPr>
            </w:pPr>
            <w:r>
              <w:rPr>
                <w:color w:val="auto"/>
                <w:kern w:val="0"/>
                <w:sz w:val="18"/>
                <w:szCs w:val="18"/>
                <w:highlight w:val="none"/>
              </w:rPr>
              <w:t>农、林、牧、渔业</w:t>
            </w:r>
          </w:p>
        </w:tc>
        <w:tc>
          <w:tcPr>
            <w:tcW w:w="1369" w:type="dxa"/>
            <w:noWrap w:val="0"/>
            <w:vAlign w:val="center"/>
          </w:tcPr>
          <w:p w14:paraId="0E63E3C0">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737C7872">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1CB1D569">
            <w:pPr>
              <w:widowControl/>
              <w:spacing w:line="280" w:lineRule="exact"/>
              <w:jc w:val="center"/>
              <w:rPr>
                <w:color w:val="auto"/>
                <w:kern w:val="0"/>
                <w:sz w:val="18"/>
                <w:szCs w:val="18"/>
                <w:highlight w:val="none"/>
              </w:rPr>
            </w:pPr>
            <w:r>
              <w:rPr>
                <w:color w:val="auto"/>
                <w:kern w:val="0"/>
                <w:sz w:val="18"/>
                <w:szCs w:val="18"/>
                <w:highlight w:val="none"/>
              </w:rPr>
              <w:t>Y≥20000</w:t>
            </w:r>
          </w:p>
        </w:tc>
        <w:tc>
          <w:tcPr>
            <w:tcW w:w="1701" w:type="dxa"/>
            <w:noWrap w:val="0"/>
            <w:vAlign w:val="center"/>
          </w:tcPr>
          <w:p w14:paraId="3D34D8FF">
            <w:pPr>
              <w:widowControl/>
              <w:spacing w:line="280" w:lineRule="exact"/>
              <w:jc w:val="center"/>
              <w:rPr>
                <w:color w:val="auto"/>
                <w:kern w:val="0"/>
                <w:sz w:val="18"/>
                <w:szCs w:val="18"/>
                <w:highlight w:val="none"/>
              </w:rPr>
            </w:pPr>
            <w:r>
              <w:rPr>
                <w:color w:val="auto"/>
                <w:kern w:val="0"/>
                <w:sz w:val="18"/>
                <w:szCs w:val="18"/>
                <w:highlight w:val="none"/>
              </w:rPr>
              <w:t>500≤Y＜20000</w:t>
            </w:r>
          </w:p>
        </w:tc>
        <w:tc>
          <w:tcPr>
            <w:tcW w:w="1426" w:type="dxa"/>
            <w:noWrap w:val="0"/>
            <w:vAlign w:val="center"/>
          </w:tcPr>
          <w:p w14:paraId="7FDF6115">
            <w:pPr>
              <w:widowControl/>
              <w:spacing w:line="280" w:lineRule="exact"/>
              <w:jc w:val="center"/>
              <w:rPr>
                <w:color w:val="auto"/>
                <w:kern w:val="0"/>
                <w:sz w:val="18"/>
                <w:szCs w:val="18"/>
                <w:highlight w:val="none"/>
              </w:rPr>
            </w:pPr>
            <w:r>
              <w:rPr>
                <w:color w:val="auto"/>
                <w:kern w:val="0"/>
                <w:sz w:val="18"/>
                <w:szCs w:val="18"/>
                <w:highlight w:val="none"/>
              </w:rPr>
              <w:t>50≤Y＜500</w:t>
            </w:r>
          </w:p>
        </w:tc>
        <w:tc>
          <w:tcPr>
            <w:tcW w:w="992" w:type="dxa"/>
            <w:noWrap w:val="0"/>
            <w:vAlign w:val="center"/>
          </w:tcPr>
          <w:p w14:paraId="780D2CFB">
            <w:pPr>
              <w:widowControl/>
              <w:spacing w:line="280" w:lineRule="exact"/>
              <w:jc w:val="center"/>
              <w:rPr>
                <w:color w:val="auto"/>
                <w:kern w:val="0"/>
                <w:sz w:val="18"/>
                <w:szCs w:val="18"/>
                <w:highlight w:val="none"/>
              </w:rPr>
            </w:pPr>
            <w:r>
              <w:rPr>
                <w:color w:val="auto"/>
                <w:kern w:val="0"/>
                <w:sz w:val="18"/>
                <w:szCs w:val="18"/>
                <w:highlight w:val="none"/>
              </w:rPr>
              <w:t>Y＜50</w:t>
            </w:r>
          </w:p>
        </w:tc>
      </w:tr>
      <w:tr w14:paraId="6DE2B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5E9547F8">
            <w:pPr>
              <w:widowControl/>
              <w:spacing w:line="280" w:lineRule="exact"/>
              <w:jc w:val="left"/>
              <w:rPr>
                <w:color w:val="auto"/>
                <w:kern w:val="0"/>
                <w:sz w:val="18"/>
                <w:szCs w:val="18"/>
                <w:highlight w:val="none"/>
              </w:rPr>
            </w:pPr>
            <w:r>
              <w:rPr>
                <w:color w:val="auto"/>
                <w:kern w:val="0"/>
                <w:sz w:val="18"/>
                <w:szCs w:val="18"/>
                <w:highlight w:val="none"/>
              </w:rPr>
              <w:t>工业 *</w:t>
            </w:r>
          </w:p>
        </w:tc>
        <w:tc>
          <w:tcPr>
            <w:tcW w:w="1369" w:type="dxa"/>
            <w:noWrap w:val="0"/>
            <w:vAlign w:val="center"/>
          </w:tcPr>
          <w:p w14:paraId="0EB3662F">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4CC7CF50">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0D8D9F79">
            <w:pPr>
              <w:widowControl/>
              <w:spacing w:line="280" w:lineRule="exact"/>
              <w:jc w:val="center"/>
              <w:rPr>
                <w:color w:val="auto"/>
                <w:kern w:val="0"/>
                <w:sz w:val="18"/>
                <w:szCs w:val="18"/>
                <w:highlight w:val="none"/>
              </w:rPr>
            </w:pPr>
            <w:r>
              <w:rPr>
                <w:color w:val="auto"/>
                <w:kern w:val="0"/>
                <w:sz w:val="18"/>
                <w:szCs w:val="18"/>
                <w:highlight w:val="none"/>
              </w:rPr>
              <w:t>X≥1000</w:t>
            </w:r>
          </w:p>
        </w:tc>
        <w:tc>
          <w:tcPr>
            <w:tcW w:w="1701" w:type="dxa"/>
            <w:noWrap w:val="0"/>
            <w:vAlign w:val="center"/>
          </w:tcPr>
          <w:p w14:paraId="1C706C51">
            <w:pPr>
              <w:widowControl/>
              <w:spacing w:line="280" w:lineRule="exact"/>
              <w:jc w:val="center"/>
              <w:rPr>
                <w:color w:val="auto"/>
                <w:kern w:val="0"/>
                <w:sz w:val="18"/>
                <w:szCs w:val="18"/>
                <w:highlight w:val="none"/>
              </w:rPr>
            </w:pPr>
            <w:r>
              <w:rPr>
                <w:color w:val="auto"/>
                <w:kern w:val="0"/>
                <w:sz w:val="18"/>
                <w:szCs w:val="18"/>
                <w:highlight w:val="none"/>
              </w:rPr>
              <w:t>300≤X＜1000</w:t>
            </w:r>
          </w:p>
        </w:tc>
        <w:tc>
          <w:tcPr>
            <w:tcW w:w="1426" w:type="dxa"/>
            <w:noWrap w:val="0"/>
            <w:vAlign w:val="center"/>
          </w:tcPr>
          <w:p w14:paraId="1DDA97D6">
            <w:pPr>
              <w:widowControl/>
              <w:spacing w:line="280" w:lineRule="exact"/>
              <w:jc w:val="center"/>
              <w:rPr>
                <w:color w:val="auto"/>
                <w:kern w:val="0"/>
                <w:sz w:val="18"/>
                <w:szCs w:val="18"/>
                <w:highlight w:val="none"/>
              </w:rPr>
            </w:pPr>
            <w:r>
              <w:rPr>
                <w:color w:val="auto"/>
                <w:kern w:val="0"/>
                <w:sz w:val="18"/>
                <w:szCs w:val="18"/>
                <w:highlight w:val="none"/>
              </w:rPr>
              <w:t>20≤X＜300</w:t>
            </w:r>
          </w:p>
        </w:tc>
        <w:tc>
          <w:tcPr>
            <w:tcW w:w="992" w:type="dxa"/>
            <w:noWrap w:val="0"/>
            <w:vAlign w:val="center"/>
          </w:tcPr>
          <w:p w14:paraId="5F33F182">
            <w:pPr>
              <w:widowControl/>
              <w:spacing w:line="280" w:lineRule="exact"/>
              <w:jc w:val="center"/>
              <w:rPr>
                <w:color w:val="auto"/>
                <w:kern w:val="0"/>
                <w:sz w:val="18"/>
                <w:szCs w:val="18"/>
                <w:highlight w:val="none"/>
              </w:rPr>
            </w:pPr>
            <w:r>
              <w:rPr>
                <w:color w:val="auto"/>
                <w:kern w:val="0"/>
                <w:sz w:val="18"/>
                <w:szCs w:val="18"/>
                <w:highlight w:val="none"/>
              </w:rPr>
              <w:t>X＜20</w:t>
            </w:r>
          </w:p>
        </w:tc>
      </w:tr>
      <w:tr w14:paraId="485B2A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5623A288">
            <w:pPr>
              <w:widowControl/>
              <w:spacing w:line="280" w:lineRule="exact"/>
              <w:jc w:val="left"/>
              <w:rPr>
                <w:color w:val="auto"/>
                <w:kern w:val="0"/>
                <w:sz w:val="18"/>
                <w:szCs w:val="18"/>
                <w:highlight w:val="none"/>
              </w:rPr>
            </w:pPr>
          </w:p>
        </w:tc>
        <w:tc>
          <w:tcPr>
            <w:tcW w:w="1369" w:type="dxa"/>
            <w:noWrap w:val="0"/>
            <w:vAlign w:val="center"/>
          </w:tcPr>
          <w:p w14:paraId="7C52D83D">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5247E67E">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2B7C0359">
            <w:pPr>
              <w:widowControl/>
              <w:spacing w:line="280" w:lineRule="exact"/>
              <w:jc w:val="center"/>
              <w:rPr>
                <w:color w:val="auto"/>
                <w:kern w:val="0"/>
                <w:sz w:val="18"/>
                <w:szCs w:val="18"/>
                <w:highlight w:val="none"/>
              </w:rPr>
            </w:pPr>
            <w:r>
              <w:rPr>
                <w:color w:val="auto"/>
                <w:kern w:val="0"/>
                <w:sz w:val="18"/>
                <w:szCs w:val="18"/>
                <w:highlight w:val="none"/>
              </w:rPr>
              <w:t>Y≥40000</w:t>
            </w:r>
          </w:p>
        </w:tc>
        <w:tc>
          <w:tcPr>
            <w:tcW w:w="1701" w:type="dxa"/>
            <w:noWrap w:val="0"/>
            <w:vAlign w:val="center"/>
          </w:tcPr>
          <w:p w14:paraId="5B6A70DE">
            <w:pPr>
              <w:widowControl/>
              <w:spacing w:line="280" w:lineRule="exact"/>
              <w:jc w:val="center"/>
              <w:rPr>
                <w:color w:val="auto"/>
                <w:kern w:val="0"/>
                <w:sz w:val="18"/>
                <w:szCs w:val="18"/>
                <w:highlight w:val="none"/>
              </w:rPr>
            </w:pPr>
            <w:r>
              <w:rPr>
                <w:color w:val="auto"/>
                <w:kern w:val="0"/>
                <w:sz w:val="18"/>
                <w:szCs w:val="18"/>
                <w:highlight w:val="none"/>
              </w:rPr>
              <w:t>2000≤Y＜40000</w:t>
            </w:r>
          </w:p>
        </w:tc>
        <w:tc>
          <w:tcPr>
            <w:tcW w:w="1426" w:type="dxa"/>
            <w:noWrap w:val="0"/>
            <w:vAlign w:val="center"/>
          </w:tcPr>
          <w:p w14:paraId="67AADB34">
            <w:pPr>
              <w:widowControl/>
              <w:spacing w:line="280" w:lineRule="exact"/>
              <w:jc w:val="center"/>
              <w:rPr>
                <w:color w:val="auto"/>
                <w:kern w:val="0"/>
                <w:sz w:val="18"/>
                <w:szCs w:val="18"/>
                <w:highlight w:val="none"/>
              </w:rPr>
            </w:pPr>
            <w:r>
              <w:rPr>
                <w:color w:val="auto"/>
                <w:kern w:val="0"/>
                <w:sz w:val="18"/>
                <w:szCs w:val="18"/>
                <w:highlight w:val="none"/>
              </w:rPr>
              <w:t>300≤Y＜2000</w:t>
            </w:r>
          </w:p>
        </w:tc>
        <w:tc>
          <w:tcPr>
            <w:tcW w:w="992" w:type="dxa"/>
            <w:noWrap w:val="0"/>
            <w:vAlign w:val="center"/>
          </w:tcPr>
          <w:p w14:paraId="58363679">
            <w:pPr>
              <w:widowControl/>
              <w:spacing w:line="280" w:lineRule="exact"/>
              <w:jc w:val="center"/>
              <w:rPr>
                <w:color w:val="auto"/>
                <w:kern w:val="0"/>
                <w:sz w:val="18"/>
                <w:szCs w:val="18"/>
                <w:highlight w:val="none"/>
              </w:rPr>
            </w:pPr>
            <w:r>
              <w:rPr>
                <w:color w:val="auto"/>
                <w:kern w:val="0"/>
                <w:sz w:val="18"/>
                <w:szCs w:val="18"/>
                <w:highlight w:val="none"/>
              </w:rPr>
              <w:t>Y＜300</w:t>
            </w:r>
          </w:p>
        </w:tc>
      </w:tr>
      <w:tr w14:paraId="5956E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51ED3C69">
            <w:pPr>
              <w:widowControl/>
              <w:spacing w:line="280" w:lineRule="exact"/>
              <w:jc w:val="left"/>
              <w:rPr>
                <w:color w:val="auto"/>
                <w:kern w:val="0"/>
                <w:sz w:val="18"/>
                <w:szCs w:val="18"/>
                <w:highlight w:val="none"/>
              </w:rPr>
            </w:pPr>
            <w:r>
              <w:rPr>
                <w:color w:val="auto"/>
                <w:kern w:val="0"/>
                <w:sz w:val="18"/>
                <w:szCs w:val="18"/>
                <w:highlight w:val="none"/>
              </w:rPr>
              <w:t>建筑业</w:t>
            </w:r>
          </w:p>
        </w:tc>
        <w:tc>
          <w:tcPr>
            <w:tcW w:w="1369" w:type="dxa"/>
            <w:noWrap w:val="0"/>
            <w:vAlign w:val="center"/>
          </w:tcPr>
          <w:p w14:paraId="0C17FE70">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492483CC">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3505AA40">
            <w:pPr>
              <w:widowControl/>
              <w:spacing w:line="280" w:lineRule="exact"/>
              <w:jc w:val="center"/>
              <w:rPr>
                <w:color w:val="auto"/>
                <w:kern w:val="0"/>
                <w:sz w:val="18"/>
                <w:szCs w:val="18"/>
                <w:highlight w:val="none"/>
              </w:rPr>
            </w:pPr>
            <w:r>
              <w:rPr>
                <w:color w:val="auto"/>
                <w:kern w:val="0"/>
                <w:sz w:val="18"/>
                <w:szCs w:val="18"/>
                <w:highlight w:val="none"/>
              </w:rPr>
              <w:t>Y≥80000</w:t>
            </w:r>
          </w:p>
        </w:tc>
        <w:tc>
          <w:tcPr>
            <w:tcW w:w="1701" w:type="dxa"/>
            <w:noWrap w:val="0"/>
            <w:vAlign w:val="center"/>
          </w:tcPr>
          <w:p w14:paraId="19EE9EFC">
            <w:pPr>
              <w:widowControl/>
              <w:spacing w:line="280" w:lineRule="exact"/>
              <w:jc w:val="center"/>
              <w:rPr>
                <w:color w:val="auto"/>
                <w:kern w:val="0"/>
                <w:sz w:val="18"/>
                <w:szCs w:val="18"/>
                <w:highlight w:val="none"/>
              </w:rPr>
            </w:pPr>
            <w:r>
              <w:rPr>
                <w:color w:val="auto"/>
                <w:kern w:val="0"/>
                <w:sz w:val="18"/>
                <w:szCs w:val="18"/>
                <w:highlight w:val="none"/>
              </w:rPr>
              <w:t>6000≤Y＜80000</w:t>
            </w:r>
          </w:p>
        </w:tc>
        <w:tc>
          <w:tcPr>
            <w:tcW w:w="1426" w:type="dxa"/>
            <w:noWrap w:val="0"/>
            <w:vAlign w:val="center"/>
          </w:tcPr>
          <w:p w14:paraId="56033E9D">
            <w:pPr>
              <w:widowControl/>
              <w:spacing w:line="280" w:lineRule="exact"/>
              <w:jc w:val="center"/>
              <w:rPr>
                <w:color w:val="auto"/>
                <w:kern w:val="0"/>
                <w:sz w:val="18"/>
                <w:szCs w:val="18"/>
                <w:highlight w:val="none"/>
              </w:rPr>
            </w:pPr>
            <w:r>
              <w:rPr>
                <w:color w:val="auto"/>
                <w:kern w:val="0"/>
                <w:sz w:val="18"/>
                <w:szCs w:val="18"/>
                <w:highlight w:val="none"/>
              </w:rPr>
              <w:t>300≤Y＜6000</w:t>
            </w:r>
          </w:p>
        </w:tc>
        <w:tc>
          <w:tcPr>
            <w:tcW w:w="992" w:type="dxa"/>
            <w:noWrap w:val="0"/>
            <w:vAlign w:val="center"/>
          </w:tcPr>
          <w:p w14:paraId="51CE83F9">
            <w:pPr>
              <w:widowControl/>
              <w:spacing w:line="280" w:lineRule="exact"/>
              <w:jc w:val="center"/>
              <w:rPr>
                <w:color w:val="auto"/>
                <w:kern w:val="0"/>
                <w:sz w:val="18"/>
                <w:szCs w:val="18"/>
                <w:highlight w:val="none"/>
              </w:rPr>
            </w:pPr>
            <w:r>
              <w:rPr>
                <w:color w:val="auto"/>
                <w:kern w:val="0"/>
                <w:sz w:val="18"/>
                <w:szCs w:val="18"/>
                <w:highlight w:val="none"/>
              </w:rPr>
              <w:t>Y＜300</w:t>
            </w:r>
          </w:p>
        </w:tc>
      </w:tr>
      <w:tr w14:paraId="1494B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579AEC5B">
            <w:pPr>
              <w:widowControl/>
              <w:spacing w:line="280" w:lineRule="exact"/>
              <w:jc w:val="left"/>
              <w:rPr>
                <w:color w:val="auto"/>
                <w:kern w:val="0"/>
                <w:sz w:val="18"/>
                <w:szCs w:val="18"/>
                <w:highlight w:val="none"/>
              </w:rPr>
            </w:pPr>
          </w:p>
        </w:tc>
        <w:tc>
          <w:tcPr>
            <w:tcW w:w="1369" w:type="dxa"/>
            <w:noWrap w:val="0"/>
            <w:vAlign w:val="center"/>
          </w:tcPr>
          <w:p w14:paraId="47CE722D">
            <w:pPr>
              <w:widowControl/>
              <w:spacing w:line="280" w:lineRule="exact"/>
              <w:jc w:val="center"/>
              <w:rPr>
                <w:color w:val="auto"/>
                <w:kern w:val="0"/>
                <w:sz w:val="18"/>
                <w:szCs w:val="18"/>
                <w:highlight w:val="none"/>
              </w:rPr>
            </w:pPr>
            <w:r>
              <w:rPr>
                <w:color w:val="auto"/>
                <w:kern w:val="0"/>
                <w:sz w:val="18"/>
                <w:szCs w:val="18"/>
                <w:highlight w:val="none"/>
              </w:rPr>
              <w:t>资产总额(Z)</w:t>
            </w:r>
          </w:p>
        </w:tc>
        <w:tc>
          <w:tcPr>
            <w:tcW w:w="709" w:type="dxa"/>
            <w:noWrap w:val="0"/>
            <w:vAlign w:val="center"/>
          </w:tcPr>
          <w:p w14:paraId="00FBDDB7">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7C63D403">
            <w:pPr>
              <w:widowControl/>
              <w:spacing w:line="280" w:lineRule="exact"/>
              <w:jc w:val="center"/>
              <w:rPr>
                <w:color w:val="auto"/>
                <w:kern w:val="0"/>
                <w:sz w:val="18"/>
                <w:szCs w:val="18"/>
                <w:highlight w:val="none"/>
              </w:rPr>
            </w:pPr>
            <w:r>
              <w:rPr>
                <w:color w:val="auto"/>
                <w:kern w:val="0"/>
                <w:sz w:val="18"/>
                <w:szCs w:val="18"/>
                <w:highlight w:val="none"/>
              </w:rPr>
              <w:t>Z≥80000</w:t>
            </w:r>
          </w:p>
        </w:tc>
        <w:tc>
          <w:tcPr>
            <w:tcW w:w="1701" w:type="dxa"/>
            <w:noWrap w:val="0"/>
            <w:vAlign w:val="center"/>
          </w:tcPr>
          <w:p w14:paraId="2CEB4F33">
            <w:pPr>
              <w:widowControl/>
              <w:spacing w:line="280" w:lineRule="exact"/>
              <w:jc w:val="center"/>
              <w:rPr>
                <w:color w:val="auto"/>
                <w:kern w:val="0"/>
                <w:sz w:val="18"/>
                <w:szCs w:val="18"/>
                <w:highlight w:val="none"/>
              </w:rPr>
            </w:pPr>
            <w:r>
              <w:rPr>
                <w:color w:val="auto"/>
                <w:kern w:val="0"/>
                <w:sz w:val="18"/>
                <w:szCs w:val="18"/>
                <w:highlight w:val="none"/>
              </w:rPr>
              <w:t>5000≤Z＜80000</w:t>
            </w:r>
          </w:p>
        </w:tc>
        <w:tc>
          <w:tcPr>
            <w:tcW w:w="1426" w:type="dxa"/>
            <w:noWrap w:val="0"/>
            <w:vAlign w:val="center"/>
          </w:tcPr>
          <w:p w14:paraId="1CBEFAEA">
            <w:pPr>
              <w:widowControl/>
              <w:spacing w:line="280" w:lineRule="exact"/>
              <w:jc w:val="center"/>
              <w:rPr>
                <w:color w:val="auto"/>
                <w:kern w:val="0"/>
                <w:sz w:val="18"/>
                <w:szCs w:val="18"/>
                <w:highlight w:val="none"/>
              </w:rPr>
            </w:pPr>
            <w:r>
              <w:rPr>
                <w:color w:val="auto"/>
                <w:kern w:val="0"/>
                <w:sz w:val="18"/>
                <w:szCs w:val="18"/>
                <w:highlight w:val="none"/>
              </w:rPr>
              <w:t>300≤Z＜5000</w:t>
            </w:r>
          </w:p>
        </w:tc>
        <w:tc>
          <w:tcPr>
            <w:tcW w:w="992" w:type="dxa"/>
            <w:noWrap w:val="0"/>
            <w:vAlign w:val="center"/>
          </w:tcPr>
          <w:p w14:paraId="6D6D1A70">
            <w:pPr>
              <w:widowControl/>
              <w:spacing w:line="280" w:lineRule="exact"/>
              <w:jc w:val="center"/>
              <w:rPr>
                <w:color w:val="auto"/>
                <w:kern w:val="0"/>
                <w:sz w:val="18"/>
                <w:szCs w:val="18"/>
                <w:highlight w:val="none"/>
              </w:rPr>
            </w:pPr>
            <w:r>
              <w:rPr>
                <w:color w:val="auto"/>
                <w:kern w:val="0"/>
                <w:sz w:val="18"/>
                <w:szCs w:val="18"/>
                <w:highlight w:val="none"/>
              </w:rPr>
              <w:t>Z＜300</w:t>
            </w:r>
          </w:p>
        </w:tc>
      </w:tr>
      <w:tr w14:paraId="47430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45A7F5DC">
            <w:pPr>
              <w:widowControl/>
              <w:spacing w:line="280" w:lineRule="exact"/>
              <w:jc w:val="left"/>
              <w:rPr>
                <w:color w:val="auto"/>
                <w:kern w:val="0"/>
                <w:sz w:val="18"/>
                <w:szCs w:val="18"/>
                <w:highlight w:val="none"/>
              </w:rPr>
            </w:pPr>
            <w:r>
              <w:rPr>
                <w:color w:val="auto"/>
                <w:kern w:val="0"/>
                <w:sz w:val="18"/>
                <w:szCs w:val="18"/>
                <w:highlight w:val="none"/>
              </w:rPr>
              <w:t>批发业</w:t>
            </w:r>
          </w:p>
        </w:tc>
        <w:tc>
          <w:tcPr>
            <w:tcW w:w="1369" w:type="dxa"/>
            <w:noWrap w:val="0"/>
            <w:vAlign w:val="center"/>
          </w:tcPr>
          <w:p w14:paraId="309123DC">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4ED3879C">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31C964C8">
            <w:pPr>
              <w:widowControl/>
              <w:spacing w:line="280" w:lineRule="exact"/>
              <w:jc w:val="center"/>
              <w:rPr>
                <w:color w:val="auto"/>
                <w:kern w:val="0"/>
                <w:sz w:val="18"/>
                <w:szCs w:val="18"/>
                <w:highlight w:val="none"/>
              </w:rPr>
            </w:pPr>
            <w:r>
              <w:rPr>
                <w:color w:val="auto"/>
                <w:kern w:val="0"/>
                <w:sz w:val="18"/>
                <w:szCs w:val="18"/>
                <w:highlight w:val="none"/>
              </w:rPr>
              <w:t>X≥200</w:t>
            </w:r>
          </w:p>
        </w:tc>
        <w:tc>
          <w:tcPr>
            <w:tcW w:w="1701" w:type="dxa"/>
            <w:noWrap w:val="0"/>
            <w:vAlign w:val="center"/>
          </w:tcPr>
          <w:p w14:paraId="4214C09A">
            <w:pPr>
              <w:widowControl/>
              <w:spacing w:line="280" w:lineRule="exact"/>
              <w:jc w:val="center"/>
              <w:rPr>
                <w:color w:val="auto"/>
                <w:kern w:val="0"/>
                <w:sz w:val="18"/>
                <w:szCs w:val="18"/>
                <w:highlight w:val="none"/>
              </w:rPr>
            </w:pPr>
            <w:r>
              <w:rPr>
                <w:color w:val="auto"/>
                <w:kern w:val="0"/>
                <w:sz w:val="18"/>
                <w:szCs w:val="18"/>
                <w:highlight w:val="none"/>
              </w:rPr>
              <w:t>20≤X＜200</w:t>
            </w:r>
          </w:p>
        </w:tc>
        <w:tc>
          <w:tcPr>
            <w:tcW w:w="1426" w:type="dxa"/>
            <w:noWrap w:val="0"/>
            <w:vAlign w:val="center"/>
          </w:tcPr>
          <w:p w14:paraId="0716F1E5">
            <w:pPr>
              <w:widowControl/>
              <w:spacing w:line="280" w:lineRule="exact"/>
              <w:jc w:val="center"/>
              <w:rPr>
                <w:color w:val="auto"/>
                <w:kern w:val="0"/>
                <w:sz w:val="18"/>
                <w:szCs w:val="18"/>
                <w:highlight w:val="none"/>
              </w:rPr>
            </w:pPr>
            <w:r>
              <w:rPr>
                <w:color w:val="auto"/>
                <w:kern w:val="0"/>
                <w:sz w:val="18"/>
                <w:szCs w:val="18"/>
                <w:highlight w:val="none"/>
              </w:rPr>
              <w:t>5≤X＜20</w:t>
            </w:r>
          </w:p>
        </w:tc>
        <w:tc>
          <w:tcPr>
            <w:tcW w:w="992" w:type="dxa"/>
            <w:noWrap w:val="0"/>
            <w:vAlign w:val="center"/>
          </w:tcPr>
          <w:p w14:paraId="664741BE">
            <w:pPr>
              <w:widowControl/>
              <w:spacing w:line="280" w:lineRule="exact"/>
              <w:jc w:val="center"/>
              <w:rPr>
                <w:color w:val="auto"/>
                <w:kern w:val="0"/>
                <w:sz w:val="18"/>
                <w:szCs w:val="18"/>
                <w:highlight w:val="none"/>
              </w:rPr>
            </w:pPr>
            <w:r>
              <w:rPr>
                <w:color w:val="auto"/>
                <w:kern w:val="0"/>
                <w:sz w:val="18"/>
                <w:szCs w:val="18"/>
                <w:highlight w:val="none"/>
              </w:rPr>
              <w:t>X＜5</w:t>
            </w:r>
          </w:p>
        </w:tc>
      </w:tr>
      <w:tr w14:paraId="14150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59A27304">
            <w:pPr>
              <w:widowControl/>
              <w:spacing w:line="280" w:lineRule="exact"/>
              <w:jc w:val="left"/>
              <w:rPr>
                <w:color w:val="auto"/>
                <w:kern w:val="0"/>
                <w:sz w:val="18"/>
                <w:szCs w:val="18"/>
                <w:highlight w:val="none"/>
              </w:rPr>
            </w:pPr>
          </w:p>
        </w:tc>
        <w:tc>
          <w:tcPr>
            <w:tcW w:w="1369" w:type="dxa"/>
            <w:noWrap w:val="0"/>
            <w:vAlign w:val="center"/>
          </w:tcPr>
          <w:p w14:paraId="4FF194A3">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36161665">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2084241F">
            <w:pPr>
              <w:widowControl/>
              <w:spacing w:line="280" w:lineRule="exact"/>
              <w:jc w:val="center"/>
              <w:rPr>
                <w:color w:val="auto"/>
                <w:kern w:val="0"/>
                <w:sz w:val="18"/>
                <w:szCs w:val="18"/>
                <w:highlight w:val="none"/>
              </w:rPr>
            </w:pPr>
            <w:r>
              <w:rPr>
                <w:color w:val="auto"/>
                <w:kern w:val="0"/>
                <w:sz w:val="18"/>
                <w:szCs w:val="18"/>
                <w:highlight w:val="none"/>
              </w:rPr>
              <w:t>Y≥40000</w:t>
            </w:r>
          </w:p>
        </w:tc>
        <w:tc>
          <w:tcPr>
            <w:tcW w:w="1701" w:type="dxa"/>
            <w:noWrap w:val="0"/>
            <w:vAlign w:val="center"/>
          </w:tcPr>
          <w:p w14:paraId="6CB1068D">
            <w:pPr>
              <w:widowControl/>
              <w:spacing w:line="280" w:lineRule="exact"/>
              <w:jc w:val="center"/>
              <w:rPr>
                <w:color w:val="auto"/>
                <w:kern w:val="0"/>
                <w:sz w:val="18"/>
                <w:szCs w:val="18"/>
                <w:highlight w:val="none"/>
              </w:rPr>
            </w:pPr>
            <w:r>
              <w:rPr>
                <w:color w:val="auto"/>
                <w:kern w:val="0"/>
                <w:sz w:val="18"/>
                <w:szCs w:val="18"/>
                <w:highlight w:val="none"/>
              </w:rPr>
              <w:t>5000≤Y＜40000</w:t>
            </w:r>
          </w:p>
        </w:tc>
        <w:tc>
          <w:tcPr>
            <w:tcW w:w="1426" w:type="dxa"/>
            <w:noWrap w:val="0"/>
            <w:vAlign w:val="center"/>
          </w:tcPr>
          <w:p w14:paraId="46722D77">
            <w:pPr>
              <w:widowControl/>
              <w:spacing w:line="280" w:lineRule="exact"/>
              <w:ind w:left="-1" w:leftChars="-1" w:hanging="1"/>
              <w:jc w:val="center"/>
              <w:rPr>
                <w:color w:val="auto"/>
                <w:kern w:val="0"/>
                <w:sz w:val="18"/>
                <w:szCs w:val="18"/>
                <w:highlight w:val="none"/>
              </w:rPr>
            </w:pPr>
            <w:r>
              <w:rPr>
                <w:color w:val="auto"/>
                <w:kern w:val="0"/>
                <w:sz w:val="18"/>
                <w:szCs w:val="18"/>
                <w:highlight w:val="none"/>
              </w:rPr>
              <w:t>1000≤Y＜5000</w:t>
            </w:r>
          </w:p>
        </w:tc>
        <w:tc>
          <w:tcPr>
            <w:tcW w:w="992" w:type="dxa"/>
            <w:noWrap w:val="0"/>
            <w:vAlign w:val="center"/>
          </w:tcPr>
          <w:p w14:paraId="76085129">
            <w:pPr>
              <w:widowControl/>
              <w:spacing w:line="280" w:lineRule="exact"/>
              <w:jc w:val="center"/>
              <w:rPr>
                <w:color w:val="auto"/>
                <w:kern w:val="0"/>
                <w:sz w:val="18"/>
                <w:szCs w:val="18"/>
                <w:highlight w:val="none"/>
              </w:rPr>
            </w:pPr>
            <w:r>
              <w:rPr>
                <w:color w:val="auto"/>
                <w:kern w:val="0"/>
                <w:sz w:val="18"/>
                <w:szCs w:val="18"/>
                <w:highlight w:val="none"/>
              </w:rPr>
              <w:t>Y＜1000</w:t>
            </w:r>
          </w:p>
        </w:tc>
      </w:tr>
      <w:tr w14:paraId="017B4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350E4C55">
            <w:pPr>
              <w:widowControl/>
              <w:spacing w:line="280" w:lineRule="exact"/>
              <w:jc w:val="left"/>
              <w:rPr>
                <w:color w:val="auto"/>
                <w:kern w:val="0"/>
                <w:sz w:val="18"/>
                <w:szCs w:val="18"/>
                <w:highlight w:val="none"/>
              </w:rPr>
            </w:pPr>
            <w:r>
              <w:rPr>
                <w:color w:val="auto"/>
                <w:kern w:val="0"/>
                <w:sz w:val="18"/>
                <w:szCs w:val="18"/>
                <w:highlight w:val="none"/>
              </w:rPr>
              <w:t>零售业</w:t>
            </w:r>
          </w:p>
        </w:tc>
        <w:tc>
          <w:tcPr>
            <w:tcW w:w="1369" w:type="dxa"/>
            <w:noWrap w:val="0"/>
            <w:vAlign w:val="center"/>
          </w:tcPr>
          <w:p w14:paraId="22E64B31">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1B42567F">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3CC8B7E0">
            <w:pPr>
              <w:widowControl/>
              <w:spacing w:line="280" w:lineRule="exact"/>
              <w:jc w:val="center"/>
              <w:rPr>
                <w:color w:val="auto"/>
                <w:kern w:val="0"/>
                <w:sz w:val="18"/>
                <w:szCs w:val="18"/>
                <w:highlight w:val="none"/>
              </w:rPr>
            </w:pPr>
            <w:r>
              <w:rPr>
                <w:color w:val="auto"/>
                <w:kern w:val="0"/>
                <w:sz w:val="18"/>
                <w:szCs w:val="18"/>
                <w:highlight w:val="none"/>
              </w:rPr>
              <w:t>X≥300</w:t>
            </w:r>
          </w:p>
        </w:tc>
        <w:tc>
          <w:tcPr>
            <w:tcW w:w="1701" w:type="dxa"/>
            <w:noWrap w:val="0"/>
            <w:vAlign w:val="center"/>
          </w:tcPr>
          <w:p w14:paraId="232852AB">
            <w:pPr>
              <w:widowControl/>
              <w:spacing w:line="280" w:lineRule="exact"/>
              <w:jc w:val="center"/>
              <w:rPr>
                <w:color w:val="auto"/>
                <w:kern w:val="0"/>
                <w:sz w:val="18"/>
                <w:szCs w:val="18"/>
                <w:highlight w:val="none"/>
              </w:rPr>
            </w:pPr>
            <w:r>
              <w:rPr>
                <w:color w:val="auto"/>
                <w:kern w:val="0"/>
                <w:sz w:val="18"/>
                <w:szCs w:val="18"/>
                <w:highlight w:val="none"/>
              </w:rPr>
              <w:t>50≤X＜300</w:t>
            </w:r>
          </w:p>
        </w:tc>
        <w:tc>
          <w:tcPr>
            <w:tcW w:w="1426" w:type="dxa"/>
            <w:noWrap w:val="0"/>
            <w:vAlign w:val="center"/>
          </w:tcPr>
          <w:p w14:paraId="5A8C5155">
            <w:pPr>
              <w:widowControl/>
              <w:spacing w:line="280" w:lineRule="exact"/>
              <w:ind w:left="-1" w:leftChars="-1" w:hanging="1"/>
              <w:jc w:val="center"/>
              <w:rPr>
                <w:color w:val="auto"/>
                <w:kern w:val="0"/>
                <w:sz w:val="18"/>
                <w:szCs w:val="18"/>
                <w:highlight w:val="none"/>
              </w:rPr>
            </w:pPr>
            <w:r>
              <w:rPr>
                <w:color w:val="auto"/>
                <w:kern w:val="0"/>
                <w:sz w:val="18"/>
                <w:szCs w:val="18"/>
                <w:highlight w:val="none"/>
              </w:rPr>
              <w:t xml:space="preserve">10≤X＜50 </w:t>
            </w:r>
          </w:p>
        </w:tc>
        <w:tc>
          <w:tcPr>
            <w:tcW w:w="992" w:type="dxa"/>
            <w:noWrap w:val="0"/>
            <w:vAlign w:val="center"/>
          </w:tcPr>
          <w:p w14:paraId="51F0B40A">
            <w:pPr>
              <w:widowControl/>
              <w:spacing w:line="280" w:lineRule="exact"/>
              <w:jc w:val="center"/>
              <w:rPr>
                <w:color w:val="auto"/>
                <w:kern w:val="0"/>
                <w:sz w:val="18"/>
                <w:szCs w:val="18"/>
                <w:highlight w:val="none"/>
              </w:rPr>
            </w:pPr>
            <w:r>
              <w:rPr>
                <w:color w:val="auto"/>
                <w:kern w:val="0"/>
                <w:sz w:val="18"/>
                <w:szCs w:val="18"/>
                <w:highlight w:val="none"/>
              </w:rPr>
              <w:t>X＜10</w:t>
            </w:r>
          </w:p>
        </w:tc>
      </w:tr>
      <w:tr w14:paraId="13B56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7BCE4491">
            <w:pPr>
              <w:widowControl/>
              <w:spacing w:line="280" w:lineRule="exact"/>
              <w:jc w:val="left"/>
              <w:rPr>
                <w:color w:val="auto"/>
                <w:kern w:val="0"/>
                <w:sz w:val="18"/>
                <w:szCs w:val="18"/>
                <w:highlight w:val="none"/>
              </w:rPr>
            </w:pPr>
          </w:p>
        </w:tc>
        <w:tc>
          <w:tcPr>
            <w:tcW w:w="1369" w:type="dxa"/>
            <w:noWrap w:val="0"/>
            <w:vAlign w:val="center"/>
          </w:tcPr>
          <w:p w14:paraId="5159E3A0">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30489275">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2E2EBE59">
            <w:pPr>
              <w:widowControl/>
              <w:spacing w:line="280" w:lineRule="exact"/>
              <w:jc w:val="center"/>
              <w:rPr>
                <w:color w:val="auto"/>
                <w:kern w:val="0"/>
                <w:sz w:val="18"/>
                <w:szCs w:val="18"/>
                <w:highlight w:val="none"/>
              </w:rPr>
            </w:pPr>
            <w:r>
              <w:rPr>
                <w:color w:val="auto"/>
                <w:kern w:val="0"/>
                <w:sz w:val="18"/>
                <w:szCs w:val="18"/>
                <w:highlight w:val="none"/>
              </w:rPr>
              <w:t>Y≥20000</w:t>
            </w:r>
          </w:p>
        </w:tc>
        <w:tc>
          <w:tcPr>
            <w:tcW w:w="1701" w:type="dxa"/>
            <w:noWrap w:val="0"/>
            <w:vAlign w:val="center"/>
          </w:tcPr>
          <w:p w14:paraId="210F0556">
            <w:pPr>
              <w:widowControl/>
              <w:spacing w:line="280" w:lineRule="exact"/>
              <w:jc w:val="center"/>
              <w:rPr>
                <w:color w:val="auto"/>
                <w:kern w:val="0"/>
                <w:sz w:val="18"/>
                <w:szCs w:val="18"/>
                <w:highlight w:val="none"/>
              </w:rPr>
            </w:pPr>
            <w:r>
              <w:rPr>
                <w:color w:val="auto"/>
                <w:kern w:val="0"/>
                <w:sz w:val="18"/>
                <w:szCs w:val="18"/>
                <w:highlight w:val="none"/>
              </w:rPr>
              <w:t>500≤Y＜20000</w:t>
            </w:r>
          </w:p>
        </w:tc>
        <w:tc>
          <w:tcPr>
            <w:tcW w:w="1426" w:type="dxa"/>
            <w:noWrap w:val="0"/>
            <w:vAlign w:val="center"/>
          </w:tcPr>
          <w:p w14:paraId="278433AE">
            <w:pPr>
              <w:widowControl/>
              <w:spacing w:line="280" w:lineRule="exact"/>
              <w:ind w:left="-1" w:leftChars="-1" w:hanging="1"/>
              <w:jc w:val="center"/>
              <w:rPr>
                <w:color w:val="auto"/>
                <w:kern w:val="0"/>
                <w:sz w:val="18"/>
                <w:szCs w:val="18"/>
                <w:highlight w:val="none"/>
              </w:rPr>
            </w:pPr>
            <w:r>
              <w:rPr>
                <w:color w:val="auto"/>
                <w:kern w:val="0"/>
                <w:sz w:val="18"/>
                <w:szCs w:val="18"/>
                <w:highlight w:val="none"/>
              </w:rPr>
              <w:t>100≤Y＜500</w:t>
            </w:r>
          </w:p>
        </w:tc>
        <w:tc>
          <w:tcPr>
            <w:tcW w:w="992" w:type="dxa"/>
            <w:noWrap w:val="0"/>
            <w:vAlign w:val="center"/>
          </w:tcPr>
          <w:p w14:paraId="26826E4C">
            <w:pPr>
              <w:widowControl/>
              <w:spacing w:line="280" w:lineRule="exact"/>
              <w:jc w:val="center"/>
              <w:rPr>
                <w:color w:val="auto"/>
                <w:kern w:val="0"/>
                <w:sz w:val="18"/>
                <w:szCs w:val="18"/>
                <w:highlight w:val="none"/>
              </w:rPr>
            </w:pPr>
            <w:r>
              <w:rPr>
                <w:color w:val="auto"/>
                <w:kern w:val="0"/>
                <w:sz w:val="18"/>
                <w:szCs w:val="18"/>
                <w:highlight w:val="none"/>
              </w:rPr>
              <w:t>Y＜100</w:t>
            </w:r>
          </w:p>
        </w:tc>
      </w:tr>
      <w:tr w14:paraId="39670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223E2BBA">
            <w:pPr>
              <w:widowControl/>
              <w:spacing w:line="280" w:lineRule="exact"/>
              <w:jc w:val="left"/>
              <w:rPr>
                <w:color w:val="auto"/>
                <w:kern w:val="0"/>
                <w:sz w:val="18"/>
                <w:szCs w:val="18"/>
                <w:highlight w:val="none"/>
              </w:rPr>
            </w:pPr>
            <w:r>
              <w:rPr>
                <w:color w:val="auto"/>
                <w:kern w:val="0"/>
                <w:sz w:val="18"/>
                <w:szCs w:val="18"/>
                <w:highlight w:val="none"/>
              </w:rPr>
              <w:t>交通运输业 *</w:t>
            </w:r>
          </w:p>
        </w:tc>
        <w:tc>
          <w:tcPr>
            <w:tcW w:w="1369" w:type="dxa"/>
            <w:noWrap w:val="0"/>
            <w:vAlign w:val="center"/>
          </w:tcPr>
          <w:p w14:paraId="648C0EC8">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30B02208">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12E93F80">
            <w:pPr>
              <w:widowControl/>
              <w:spacing w:line="280" w:lineRule="exact"/>
              <w:jc w:val="center"/>
              <w:rPr>
                <w:color w:val="auto"/>
                <w:kern w:val="0"/>
                <w:sz w:val="18"/>
                <w:szCs w:val="18"/>
                <w:highlight w:val="none"/>
              </w:rPr>
            </w:pPr>
            <w:r>
              <w:rPr>
                <w:color w:val="auto"/>
                <w:kern w:val="0"/>
                <w:sz w:val="18"/>
                <w:szCs w:val="18"/>
                <w:highlight w:val="none"/>
              </w:rPr>
              <w:t>X≥1000</w:t>
            </w:r>
          </w:p>
        </w:tc>
        <w:tc>
          <w:tcPr>
            <w:tcW w:w="1701" w:type="dxa"/>
            <w:noWrap w:val="0"/>
            <w:vAlign w:val="center"/>
          </w:tcPr>
          <w:p w14:paraId="62E6E499">
            <w:pPr>
              <w:widowControl/>
              <w:spacing w:line="280" w:lineRule="exact"/>
              <w:jc w:val="center"/>
              <w:rPr>
                <w:color w:val="auto"/>
                <w:kern w:val="0"/>
                <w:sz w:val="18"/>
                <w:szCs w:val="18"/>
                <w:highlight w:val="none"/>
              </w:rPr>
            </w:pPr>
            <w:r>
              <w:rPr>
                <w:color w:val="auto"/>
                <w:kern w:val="0"/>
                <w:sz w:val="18"/>
                <w:szCs w:val="18"/>
                <w:highlight w:val="none"/>
              </w:rPr>
              <w:t>300≤X＜1000</w:t>
            </w:r>
          </w:p>
        </w:tc>
        <w:tc>
          <w:tcPr>
            <w:tcW w:w="1426" w:type="dxa"/>
            <w:noWrap w:val="0"/>
            <w:vAlign w:val="center"/>
          </w:tcPr>
          <w:p w14:paraId="6E9107B8">
            <w:pPr>
              <w:widowControl/>
              <w:spacing w:line="280" w:lineRule="exact"/>
              <w:jc w:val="center"/>
              <w:rPr>
                <w:color w:val="auto"/>
                <w:kern w:val="0"/>
                <w:sz w:val="18"/>
                <w:szCs w:val="18"/>
                <w:highlight w:val="none"/>
              </w:rPr>
            </w:pPr>
            <w:r>
              <w:rPr>
                <w:color w:val="auto"/>
                <w:kern w:val="0"/>
                <w:sz w:val="18"/>
                <w:szCs w:val="18"/>
                <w:highlight w:val="none"/>
              </w:rPr>
              <w:t>20≤X＜300</w:t>
            </w:r>
          </w:p>
        </w:tc>
        <w:tc>
          <w:tcPr>
            <w:tcW w:w="992" w:type="dxa"/>
            <w:noWrap w:val="0"/>
            <w:vAlign w:val="center"/>
          </w:tcPr>
          <w:p w14:paraId="21831251">
            <w:pPr>
              <w:widowControl/>
              <w:spacing w:line="280" w:lineRule="exact"/>
              <w:jc w:val="center"/>
              <w:rPr>
                <w:color w:val="auto"/>
                <w:kern w:val="0"/>
                <w:sz w:val="18"/>
                <w:szCs w:val="18"/>
                <w:highlight w:val="none"/>
              </w:rPr>
            </w:pPr>
            <w:r>
              <w:rPr>
                <w:color w:val="auto"/>
                <w:kern w:val="0"/>
                <w:sz w:val="18"/>
                <w:szCs w:val="18"/>
                <w:highlight w:val="none"/>
              </w:rPr>
              <w:t>X＜20</w:t>
            </w:r>
          </w:p>
        </w:tc>
      </w:tr>
      <w:tr w14:paraId="7A6AB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76FFDF77">
            <w:pPr>
              <w:widowControl/>
              <w:spacing w:line="280" w:lineRule="exact"/>
              <w:jc w:val="left"/>
              <w:rPr>
                <w:color w:val="auto"/>
                <w:kern w:val="0"/>
                <w:sz w:val="18"/>
                <w:szCs w:val="18"/>
                <w:highlight w:val="none"/>
              </w:rPr>
            </w:pPr>
          </w:p>
        </w:tc>
        <w:tc>
          <w:tcPr>
            <w:tcW w:w="1369" w:type="dxa"/>
            <w:noWrap w:val="0"/>
            <w:vAlign w:val="center"/>
          </w:tcPr>
          <w:p w14:paraId="23803BA4">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1811BD10">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250E2703">
            <w:pPr>
              <w:widowControl/>
              <w:spacing w:line="280" w:lineRule="exact"/>
              <w:jc w:val="center"/>
              <w:rPr>
                <w:color w:val="auto"/>
                <w:kern w:val="0"/>
                <w:sz w:val="18"/>
                <w:szCs w:val="18"/>
                <w:highlight w:val="none"/>
              </w:rPr>
            </w:pPr>
            <w:r>
              <w:rPr>
                <w:color w:val="auto"/>
                <w:kern w:val="0"/>
                <w:sz w:val="18"/>
                <w:szCs w:val="18"/>
                <w:highlight w:val="none"/>
              </w:rPr>
              <w:t>Y≥30000</w:t>
            </w:r>
          </w:p>
        </w:tc>
        <w:tc>
          <w:tcPr>
            <w:tcW w:w="1701" w:type="dxa"/>
            <w:noWrap w:val="0"/>
            <w:vAlign w:val="center"/>
          </w:tcPr>
          <w:p w14:paraId="3EBAEF40">
            <w:pPr>
              <w:widowControl/>
              <w:spacing w:line="280" w:lineRule="exact"/>
              <w:jc w:val="center"/>
              <w:rPr>
                <w:color w:val="auto"/>
                <w:kern w:val="0"/>
                <w:sz w:val="18"/>
                <w:szCs w:val="18"/>
                <w:highlight w:val="none"/>
              </w:rPr>
            </w:pPr>
            <w:r>
              <w:rPr>
                <w:color w:val="auto"/>
                <w:kern w:val="0"/>
                <w:sz w:val="18"/>
                <w:szCs w:val="18"/>
                <w:highlight w:val="none"/>
              </w:rPr>
              <w:t>3000≤Y＜30000</w:t>
            </w:r>
          </w:p>
        </w:tc>
        <w:tc>
          <w:tcPr>
            <w:tcW w:w="1426" w:type="dxa"/>
            <w:noWrap w:val="0"/>
            <w:vAlign w:val="center"/>
          </w:tcPr>
          <w:p w14:paraId="7BC829CC">
            <w:pPr>
              <w:widowControl/>
              <w:spacing w:line="280" w:lineRule="exact"/>
              <w:jc w:val="center"/>
              <w:rPr>
                <w:color w:val="auto"/>
                <w:kern w:val="0"/>
                <w:sz w:val="18"/>
                <w:szCs w:val="18"/>
                <w:highlight w:val="none"/>
              </w:rPr>
            </w:pPr>
            <w:r>
              <w:rPr>
                <w:color w:val="auto"/>
                <w:kern w:val="0"/>
                <w:sz w:val="18"/>
                <w:szCs w:val="18"/>
                <w:highlight w:val="none"/>
              </w:rPr>
              <w:t>200≤Y＜3000</w:t>
            </w:r>
          </w:p>
        </w:tc>
        <w:tc>
          <w:tcPr>
            <w:tcW w:w="992" w:type="dxa"/>
            <w:noWrap w:val="0"/>
            <w:vAlign w:val="center"/>
          </w:tcPr>
          <w:p w14:paraId="7609FD65">
            <w:pPr>
              <w:widowControl/>
              <w:spacing w:line="280" w:lineRule="exact"/>
              <w:jc w:val="center"/>
              <w:rPr>
                <w:color w:val="auto"/>
                <w:kern w:val="0"/>
                <w:sz w:val="18"/>
                <w:szCs w:val="18"/>
                <w:highlight w:val="none"/>
              </w:rPr>
            </w:pPr>
            <w:r>
              <w:rPr>
                <w:color w:val="auto"/>
                <w:kern w:val="0"/>
                <w:sz w:val="18"/>
                <w:szCs w:val="18"/>
                <w:highlight w:val="none"/>
              </w:rPr>
              <w:t>Y＜200</w:t>
            </w:r>
          </w:p>
        </w:tc>
      </w:tr>
      <w:tr w14:paraId="7C0F1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0CF9D35C">
            <w:pPr>
              <w:widowControl/>
              <w:spacing w:line="280" w:lineRule="exact"/>
              <w:jc w:val="left"/>
              <w:rPr>
                <w:color w:val="auto"/>
                <w:kern w:val="0"/>
                <w:sz w:val="18"/>
                <w:szCs w:val="18"/>
                <w:highlight w:val="none"/>
              </w:rPr>
            </w:pPr>
            <w:r>
              <w:rPr>
                <w:color w:val="auto"/>
                <w:kern w:val="0"/>
                <w:sz w:val="18"/>
                <w:szCs w:val="18"/>
                <w:highlight w:val="none"/>
              </w:rPr>
              <w:t>仓储业*</w:t>
            </w:r>
          </w:p>
        </w:tc>
        <w:tc>
          <w:tcPr>
            <w:tcW w:w="1369" w:type="dxa"/>
            <w:noWrap w:val="0"/>
            <w:vAlign w:val="center"/>
          </w:tcPr>
          <w:p w14:paraId="0DCC7AE8">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4F8DC43C">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386EF6D9">
            <w:pPr>
              <w:widowControl/>
              <w:spacing w:line="280" w:lineRule="exact"/>
              <w:jc w:val="center"/>
              <w:rPr>
                <w:color w:val="auto"/>
                <w:kern w:val="0"/>
                <w:sz w:val="18"/>
                <w:szCs w:val="18"/>
                <w:highlight w:val="none"/>
              </w:rPr>
            </w:pPr>
            <w:r>
              <w:rPr>
                <w:color w:val="auto"/>
                <w:kern w:val="0"/>
                <w:sz w:val="18"/>
                <w:szCs w:val="18"/>
                <w:highlight w:val="none"/>
              </w:rPr>
              <w:t>X≥200</w:t>
            </w:r>
          </w:p>
        </w:tc>
        <w:tc>
          <w:tcPr>
            <w:tcW w:w="1701" w:type="dxa"/>
            <w:noWrap w:val="0"/>
            <w:vAlign w:val="center"/>
          </w:tcPr>
          <w:p w14:paraId="50F4E0B3">
            <w:pPr>
              <w:widowControl/>
              <w:spacing w:line="280" w:lineRule="exact"/>
              <w:ind w:left="1" w:leftChars="-51" w:hanging="108" w:hangingChars="60"/>
              <w:jc w:val="center"/>
              <w:rPr>
                <w:color w:val="auto"/>
                <w:kern w:val="0"/>
                <w:sz w:val="18"/>
                <w:szCs w:val="18"/>
                <w:highlight w:val="none"/>
              </w:rPr>
            </w:pPr>
            <w:r>
              <w:rPr>
                <w:color w:val="auto"/>
                <w:kern w:val="0"/>
                <w:sz w:val="18"/>
                <w:szCs w:val="18"/>
                <w:highlight w:val="none"/>
              </w:rPr>
              <w:t>100≤X＜200</w:t>
            </w:r>
          </w:p>
        </w:tc>
        <w:tc>
          <w:tcPr>
            <w:tcW w:w="1426" w:type="dxa"/>
            <w:noWrap w:val="0"/>
            <w:vAlign w:val="center"/>
          </w:tcPr>
          <w:p w14:paraId="4009B5EE">
            <w:pPr>
              <w:widowControl/>
              <w:spacing w:line="280" w:lineRule="exact"/>
              <w:jc w:val="center"/>
              <w:rPr>
                <w:color w:val="auto"/>
                <w:kern w:val="0"/>
                <w:sz w:val="18"/>
                <w:szCs w:val="18"/>
                <w:highlight w:val="none"/>
              </w:rPr>
            </w:pPr>
            <w:r>
              <w:rPr>
                <w:color w:val="auto"/>
                <w:kern w:val="0"/>
                <w:sz w:val="18"/>
                <w:szCs w:val="18"/>
                <w:highlight w:val="none"/>
              </w:rPr>
              <w:t>20≤X＜100</w:t>
            </w:r>
          </w:p>
        </w:tc>
        <w:tc>
          <w:tcPr>
            <w:tcW w:w="992" w:type="dxa"/>
            <w:noWrap w:val="0"/>
            <w:vAlign w:val="center"/>
          </w:tcPr>
          <w:p w14:paraId="003863F5">
            <w:pPr>
              <w:widowControl/>
              <w:spacing w:line="280" w:lineRule="exact"/>
              <w:jc w:val="center"/>
              <w:rPr>
                <w:color w:val="auto"/>
                <w:kern w:val="0"/>
                <w:sz w:val="18"/>
                <w:szCs w:val="18"/>
                <w:highlight w:val="none"/>
              </w:rPr>
            </w:pPr>
            <w:r>
              <w:rPr>
                <w:color w:val="auto"/>
                <w:kern w:val="0"/>
                <w:sz w:val="18"/>
                <w:szCs w:val="18"/>
                <w:highlight w:val="none"/>
              </w:rPr>
              <w:t>X＜20</w:t>
            </w:r>
          </w:p>
        </w:tc>
      </w:tr>
      <w:tr w14:paraId="7BE56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17B96835">
            <w:pPr>
              <w:widowControl/>
              <w:spacing w:line="280" w:lineRule="exact"/>
              <w:jc w:val="left"/>
              <w:rPr>
                <w:color w:val="auto"/>
                <w:kern w:val="0"/>
                <w:sz w:val="18"/>
                <w:szCs w:val="18"/>
                <w:highlight w:val="none"/>
              </w:rPr>
            </w:pPr>
          </w:p>
        </w:tc>
        <w:tc>
          <w:tcPr>
            <w:tcW w:w="1369" w:type="dxa"/>
            <w:noWrap w:val="0"/>
            <w:vAlign w:val="center"/>
          </w:tcPr>
          <w:p w14:paraId="149C2470">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5EAF5435">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78F98B96">
            <w:pPr>
              <w:widowControl/>
              <w:spacing w:line="280" w:lineRule="exact"/>
              <w:jc w:val="center"/>
              <w:rPr>
                <w:color w:val="auto"/>
                <w:kern w:val="0"/>
                <w:sz w:val="18"/>
                <w:szCs w:val="18"/>
                <w:highlight w:val="none"/>
              </w:rPr>
            </w:pPr>
            <w:r>
              <w:rPr>
                <w:color w:val="auto"/>
                <w:kern w:val="0"/>
                <w:sz w:val="18"/>
                <w:szCs w:val="18"/>
                <w:highlight w:val="none"/>
              </w:rPr>
              <w:t>Y≥30000</w:t>
            </w:r>
          </w:p>
        </w:tc>
        <w:tc>
          <w:tcPr>
            <w:tcW w:w="1701" w:type="dxa"/>
            <w:noWrap w:val="0"/>
            <w:vAlign w:val="center"/>
          </w:tcPr>
          <w:p w14:paraId="78904138">
            <w:pPr>
              <w:widowControl/>
              <w:spacing w:line="280" w:lineRule="exact"/>
              <w:jc w:val="center"/>
              <w:rPr>
                <w:color w:val="auto"/>
                <w:kern w:val="0"/>
                <w:sz w:val="18"/>
                <w:szCs w:val="18"/>
                <w:highlight w:val="none"/>
              </w:rPr>
            </w:pPr>
            <w:r>
              <w:rPr>
                <w:color w:val="auto"/>
                <w:kern w:val="0"/>
                <w:sz w:val="18"/>
                <w:szCs w:val="18"/>
                <w:highlight w:val="none"/>
              </w:rPr>
              <w:t>1000≤Y＜30000</w:t>
            </w:r>
          </w:p>
        </w:tc>
        <w:tc>
          <w:tcPr>
            <w:tcW w:w="1426" w:type="dxa"/>
            <w:noWrap w:val="0"/>
            <w:vAlign w:val="center"/>
          </w:tcPr>
          <w:p w14:paraId="4C815281">
            <w:pPr>
              <w:widowControl/>
              <w:spacing w:line="280" w:lineRule="exact"/>
              <w:jc w:val="center"/>
              <w:rPr>
                <w:color w:val="auto"/>
                <w:kern w:val="0"/>
                <w:sz w:val="18"/>
                <w:szCs w:val="18"/>
                <w:highlight w:val="none"/>
              </w:rPr>
            </w:pPr>
            <w:r>
              <w:rPr>
                <w:color w:val="auto"/>
                <w:kern w:val="0"/>
                <w:sz w:val="18"/>
                <w:szCs w:val="18"/>
                <w:highlight w:val="none"/>
              </w:rPr>
              <w:t>100≤Y＜1000</w:t>
            </w:r>
          </w:p>
        </w:tc>
        <w:tc>
          <w:tcPr>
            <w:tcW w:w="992" w:type="dxa"/>
            <w:noWrap w:val="0"/>
            <w:vAlign w:val="center"/>
          </w:tcPr>
          <w:p w14:paraId="04489114">
            <w:pPr>
              <w:widowControl/>
              <w:spacing w:line="280" w:lineRule="exact"/>
              <w:jc w:val="center"/>
              <w:rPr>
                <w:color w:val="auto"/>
                <w:kern w:val="0"/>
                <w:sz w:val="18"/>
                <w:szCs w:val="18"/>
                <w:highlight w:val="none"/>
              </w:rPr>
            </w:pPr>
            <w:r>
              <w:rPr>
                <w:color w:val="auto"/>
                <w:kern w:val="0"/>
                <w:sz w:val="18"/>
                <w:szCs w:val="18"/>
                <w:highlight w:val="none"/>
              </w:rPr>
              <w:t>Y＜100</w:t>
            </w:r>
          </w:p>
        </w:tc>
      </w:tr>
      <w:tr w14:paraId="170F1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7C39F570">
            <w:pPr>
              <w:widowControl/>
              <w:spacing w:line="280" w:lineRule="exact"/>
              <w:jc w:val="left"/>
              <w:rPr>
                <w:color w:val="auto"/>
                <w:kern w:val="0"/>
                <w:sz w:val="18"/>
                <w:szCs w:val="18"/>
                <w:highlight w:val="none"/>
              </w:rPr>
            </w:pPr>
            <w:r>
              <w:rPr>
                <w:color w:val="auto"/>
                <w:kern w:val="0"/>
                <w:sz w:val="18"/>
                <w:szCs w:val="18"/>
                <w:highlight w:val="none"/>
              </w:rPr>
              <w:t>邮政业</w:t>
            </w:r>
          </w:p>
        </w:tc>
        <w:tc>
          <w:tcPr>
            <w:tcW w:w="1369" w:type="dxa"/>
            <w:noWrap w:val="0"/>
            <w:vAlign w:val="center"/>
          </w:tcPr>
          <w:p w14:paraId="0B729F5B">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37384D2C">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75A4B072">
            <w:pPr>
              <w:widowControl/>
              <w:spacing w:line="280" w:lineRule="exact"/>
              <w:jc w:val="center"/>
              <w:rPr>
                <w:color w:val="auto"/>
                <w:kern w:val="0"/>
                <w:sz w:val="18"/>
                <w:szCs w:val="18"/>
                <w:highlight w:val="none"/>
              </w:rPr>
            </w:pPr>
            <w:r>
              <w:rPr>
                <w:color w:val="auto"/>
                <w:kern w:val="0"/>
                <w:sz w:val="18"/>
                <w:szCs w:val="18"/>
                <w:highlight w:val="none"/>
              </w:rPr>
              <w:t>X≥1000</w:t>
            </w:r>
          </w:p>
        </w:tc>
        <w:tc>
          <w:tcPr>
            <w:tcW w:w="1701" w:type="dxa"/>
            <w:noWrap w:val="0"/>
            <w:vAlign w:val="center"/>
          </w:tcPr>
          <w:p w14:paraId="4057F15D">
            <w:pPr>
              <w:widowControl/>
              <w:spacing w:line="280" w:lineRule="exact"/>
              <w:jc w:val="center"/>
              <w:rPr>
                <w:color w:val="auto"/>
                <w:kern w:val="0"/>
                <w:sz w:val="18"/>
                <w:szCs w:val="18"/>
                <w:highlight w:val="none"/>
              </w:rPr>
            </w:pPr>
            <w:r>
              <w:rPr>
                <w:color w:val="auto"/>
                <w:kern w:val="0"/>
                <w:sz w:val="18"/>
                <w:szCs w:val="18"/>
                <w:highlight w:val="none"/>
              </w:rPr>
              <w:t>300≤X＜1000</w:t>
            </w:r>
          </w:p>
        </w:tc>
        <w:tc>
          <w:tcPr>
            <w:tcW w:w="1426" w:type="dxa"/>
            <w:noWrap w:val="0"/>
            <w:vAlign w:val="center"/>
          </w:tcPr>
          <w:p w14:paraId="01D8CB45">
            <w:pPr>
              <w:widowControl/>
              <w:spacing w:line="280" w:lineRule="exact"/>
              <w:jc w:val="center"/>
              <w:rPr>
                <w:color w:val="auto"/>
                <w:kern w:val="0"/>
                <w:sz w:val="18"/>
                <w:szCs w:val="18"/>
                <w:highlight w:val="none"/>
              </w:rPr>
            </w:pPr>
            <w:r>
              <w:rPr>
                <w:color w:val="auto"/>
                <w:kern w:val="0"/>
                <w:sz w:val="18"/>
                <w:szCs w:val="18"/>
                <w:highlight w:val="none"/>
              </w:rPr>
              <w:t>20≤X＜300</w:t>
            </w:r>
          </w:p>
        </w:tc>
        <w:tc>
          <w:tcPr>
            <w:tcW w:w="992" w:type="dxa"/>
            <w:noWrap w:val="0"/>
            <w:vAlign w:val="center"/>
          </w:tcPr>
          <w:p w14:paraId="4A5F7E97">
            <w:pPr>
              <w:widowControl/>
              <w:spacing w:line="280" w:lineRule="exact"/>
              <w:jc w:val="center"/>
              <w:rPr>
                <w:color w:val="auto"/>
                <w:kern w:val="0"/>
                <w:sz w:val="18"/>
                <w:szCs w:val="18"/>
                <w:highlight w:val="none"/>
              </w:rPr>
            </w:pPr>
            <w:r>
              <w:rPr>
                <w:color w:val="auto"/>
                <w:kern w:val="0"/>
                <w:sz w:val="18"/>
                <w:szCs w:val="18"/>
                <w:highlight w:val="none"/>
              </w:rPr>
              <w:t>X＜20</w:t>
            </w:r>
          </w:p>
        </w:tc>
      </w:tr>
      <w:tr w14:paraId="1B60D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5FB6DD53">
            <w:pPr>
              <w:widowControl/>
              <w:spacing w:line="280" w:lineRule="exact"/>
              <w:jc w:val="left"/>
              <w:rPr>
                <w:color w:val="auto"/>
                <w:kern w:val="0"/>
                <w:sz w:val="18"/>
                <w:szCs w:val="18"/>
                <w:highlight w:val="none"/>
              </w:rPr>
            </w:pPr>
          </w:p>
        </w:tc>
        <w:tc>
          <w:tcPr>
            <w:tcW w:w="1369" w:type="dxa"/>
            <w:noWrap w:val="0"/>
            <w:vAlign w:val="center"/>
          </w:tcPr>
          <w:p w14:paraId="22D7E210">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7D31E10A">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0C989E92">
            <w:pPr>
              <w:widowControl/>
              <w:spacing w:line="280" w:lineRule="exact"/>
              <w:jc w:val="center"/>
              <w:rPr>
                <w:color w:val="auto"/>
                <w:kern w:val="0"/>
                <w:sz w:val="18"/>
                <w:szCs w:val="18"/>
                <w:highlight w:val="none"/>
              </w:rPr>
            </w:pPr>
            <w:r>
              <w:rPr>
                <w:color w:val="auto"/>
                <w:kern w:val="0"/>
                <w:sz w:val="18"/>
                <w:szCs w:val="18"/>
                <w:highlight w:val="none"/>
              </w:rPr>
              <w:t>Y≥30000</w:t>
            </w:r>
          </w:p>
        </w:tc>
        <w:tc>
          <w:tcPr>
            <w:tcW w:w="1701" w:type="dxa"/>
            <w:noWrap w:val="0"/>
            <w:vAlign w:val="center"/>
          </w:tcPr>
          <w:p w14:paraId="67861FBF">
            <w:pPr>
              <w:widowControl/>
              <w:spacing w:line="280" w:lineRule="exact"/>
              <w:jc w:val="center"/>
              <w:rPr>
                <w:color w:val="auto"/>
                <w:kern w:val="0"/>
                <w:sz w:val="18"/>
                <w:szCs w:val="18"/>
                <w:highlight w:val="none"/>
              </w:rPr>
            </w:pPr>
            <w:r>
              <w:rPr>
                <w:color w:val="auto"/>
                <w:kern w:val="0"/>
                <w:sz w:val="18"/>
                <w:szCs w:val="18"/>
                <w:highlight w:val="none"/>
              </w:rPr>
              <w:t>2000≤Y＜30000</w:t>
            </w:r>
          </w:p>
        </w:tc>
        <w:tc>
          <w:tcPr>
            <w:tcW w:w="1426" w:type="dxa"/>
            <w:noWrap w:val="0"/>
            <w:vAlign w:val="center"/>
          </w:tcPr>
          <w:p w14:paraId="18FB5EC3">
            <w:pPr>
              <w:widowControl/>
              <w:spacing w:line="280" w:lineRule="exact"/>
              <w:jc w:val="center"/>
              <w:rPr>
                <w:color w:val="auto"/>
                <w:kern w:val="0"/>
                <w:sz w:val="18"/>
                <w:szCs w:val="18"/>
                <w:highlight w:val="none"/>
              </w:rPr>
            </w:pPr>
            <w:r>
              <w:rPr>
                <w:color w:val="auto"/>
                <w:kern w:val="0"/>
                <w:sz w:val="18"/>
                <w:szCs w:val="18"/>
                <w:highlight w:val="none"/>
              </w:rPr>
              <w:t>100≤Y＜2000</w:t>
            </w:r>
          </w:p>
        </w:tc>
        <w:tc>
          <w:tcPr>
            <w:tcW w:w="992" w:type="dxa"/>
            <w:noWrap w:val="0"/>
            <w:vAlign w:val="center"/>
          </w:tcPr>
          <w:p w14:paraId="4E3ED5DF">
            <w:pPr>
              <w:widowControl/>
              <w:spacing w:line="280" w:lineRule="exact"/>
              <w:jc w:val="center"/>
              <w:rPr>
                <w:color w:val="auto"/>
                <w:kern w:val="0"/>
                <w:sz w:val="18"/>
                <w:szCs w:val="18"/>
                <w:highlight w:val="none"/>
              </w:rPr>
            </w:pPr>
            <w:r>
              <w:rPr>
                <w:color w:val="auto"/>
                <w:kern w:val="0"/>
                <w:sz w:val="18"/>
                <w:szCs w:val="18"/>
                <w:highlight w:val="none"/>
              </w:rPr>
              <w:t>Y＜100</w:t>
            </w:r>
          </w:p>
        </w:tc>
      </w:tr>
      <w:tr w14:paraId="789CA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3B958B42">
            <w:pPr>
              <w:widowControl/>
              <w:spacing w:line="280" w:lineRule="exact"/>
              <w:jc w:val="left"/>
              <w:rPr>
                <w:color w:val="auto"/>
                <w:kern w:val="0"/>
                <w:sz w:val="18"/>
                <w:szCs w:val="18"/>
                <w:highlight w:val="none"/>
              </w:rPr>
            </w:pPr>
            <w:r>
              <w:rPr>
                <w:color w:val="auto"/>
                <w:kern w:val="0"/>
                <w:sz w:val="18"/>
                <w:szCs w:val="18"/>
                <w:highlight w:val="none"/>
              </w:rPr>
              <w:t>住宿业</w:t>
            </w:r>
          </w:p>
        </w:tc>
        <w:tc>
          <w:tcPr>
            <w:tcW w:w="1369" w:type="dxa"/>
            <w:noWrap w:val="0"/>
            <w:vAlign w:val="center"/>
          </w:tcPr>
          <w:p w14:paraId="6A11326A">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1274DBD3">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48255193">
            <w:pPr>
              <w:widowControl/>
              <w:spacing w:line="280" w:lineRule="exact"/>
              <w:jc w:val="center"/>
              <w:rPr>
                <w:color w:val="auto"/>
                <w:kern w:val="0"/>
                <w:sz w:val="18"/>
                <w:szCs w:val="18"/>
                <w:highlight w:val="none"/>
              </w:rPr>
            </w:pPr>
            <w:r>
              <w:rPr>
                <w:color w:val="auto"/>
                <w:kern w:val="0"/>
                <w:sz w:val="18"/>
                <w:szCs w:val="18"/>
                <w:highlight w:val="none"/>
              </w:rPr>
              <w:t>X≥300</w:t>
            </w:r>
          </w:p>
        </w:tc>
        <w:tc>
          <w:tcPr>
            <w:tcW w:w="1701" w:type="dxa"/>
            <w:noWrap w:val="0"/>
            <w:vAlign w:val="center"/>
          </w:tcPr>
          <w:p w14:paraId="2322352F">
            <w:pPr>
              <w:widowControl/>
              <w:spacing w:line="280" w:lineRule="exact"/>
              <w:ind w:left="1" w:leftChars="-51" w:hanging="108" w:hangingChars="60"/>
              <w:jc w:val="center"/>
              <w:rPr>
                <w:color w:val="auto"/>
                <w:kern w:val="0"/>
                <w:sz w:val="18"/>
                <w:szCs w:val="18"/>
                <w:highlight w:val="none"/>
              </w:rPr>
            </w:pPr>
            <w:r>
              <w:rPr>
                <w:color w:val="auto"/>
                <w:kern w:val="0"/>
                <w:sz w:val="18"/>
                <w:szCs w:val="18"/>
                <w:highlight w:val="none"/>
              </w:rPr>
              <w:t>100≤X＜300</w:t>
            </w:r>
          </w:p>
        </w:tc>
        <w:tc>
          <w:tcPr>
            <w:tcW w:w="1426" w:type="dxa"/>
            <w:noWrap w:val="0"/>
            <w:vAlign w:val="center"/>
          </w:tcPr>
          <w:p w14:paraId="44E09EF0">
            <w:pPr>
              <w:widowControl/>
              <w:spacing w:line="280" w:lineRule="exact"/>
              <w:jc w:val="center"/>
              <w:rPr>
                <w:color w:val="auto"/>
                <w:kern w:val="0"/>
                <w:sz w:val="18"/>
                <w:szCs w:val="18"/>
                <w:highlight w:val="none"/>
              </w:rPr>
            </w:pPr>
            <w:r>
              <w:rPr>
                <w:color w:val="auto"/>
                <w:kern w:val="0"/>
                <w:sz w:val="18"/>
                <w:szCs w:val="18"/>
                <w:highlight w:val="none"/>
              </w:rPr>
              <w:t>10≤X＜100</w:t>
            </w:r>
          </w:p>
        </w:tc>
        <w:tc>
          <w:tcPr>
            <w:tcW w:w="992" w:type="dxa"/>
            <w:noWrap w:val="0"/>
            <w:vAlign w:val="center"/>
          </w:tcPr>
          <w:p w14:paraId="18058492">
            <w:pPr>
              <w:widowControl/>
              <w:spacing w:line="280" w:lineRule="exact"/>
              <w:jc w:val="center"/>
              <w:rPr>
                <w:color w:val="auto"/>
                <w:kern w:val="0"/>
                <w:sz w:val="18"/>
                <w:szCs w:val="18"/>
                <w:highlight w:val="none"/>
              </w:rPr>
            </w:pPr>
            <w:r>
              <w:rPr>
                <w:color w:val="auto"/>
                <w:kern w:val="0"/>
                <w:sz w:val="18"/>
                <w:szCs w:val="18"/>
                <w:highlight w:val="none"/>
              </w:rPr>
              <w:t>X＜10</w:t>
            </w:r>
          </w:p>
        </w:tc>
      </w:tr>
      <w:tr w14:paraId="02D924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4C287DDE">
            <w:pPr>
              <w:widowControl/>
              <w:spacing w:line="280" w:lineRule="exact"/>
              <w:jc w:val="left"/>
              <w:rPr>
                <w:color w:val="auto"/>
                <w:kern w:val="0"/>
                <w:sz w:val="18"/>
                <w:szCs w:val="18"/>
                <w:highlight w:val="none"/>
              </w:rPr>
            </w:pPr>
          </w:p>
        </w:tc>
        <w:tc>
          <w:tcPr>
            <w:tcW w:w="1369" w:type="dxa"/>
            <w:noWrap w:val="0"/>
            <w:vAlign w:val="center"/>
          </w:tcPr>
          <w:p w14:paraId="2D9CD752">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6FBD3692">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7F710D9F">
            <w:pPr>
              <w:widowControl/>
              <w:spacing w:line="280" w:lineRule="exact"/>
              <w:jc w:val="center"/>
              <w:rPr>
                <w:color w:val="auto"/>
                <w:kern w:val="0"/>
                <w:sz w:val="18"/>
                <w:szCs w:val="18"/>
                <w:highlight w:val="none"/>
              </w:rPr>
            </w:pPr>
            <w:r>
              <w:rPr>
                <w:color w:val="auto"/>
                <w:kern w:val="0"/>
                <w:sz w:val="18"/>
                <w:szCs w:val="18"/>
                <w:highlight w:val="none"/>
              </w:rPr>
              <w:t>Y≥10000</w:t>
            </w:r>
          </w:p>
        </w:tc>
        <w:tc>
          <w:tcPr>
            <w:tcW w:w="1701" w:type="dxa"/>
            <w:noWrap w:val="0"/>
            <w:vAlign w:val="center"/>
          </w:tcPr>
          <w:p w14:paraId="0A93BD97">
            <w:pPr>
              <w:widowControl/>
              <w:spacing w:line="280" w:lineRule="exact"/>
              <w:jc w:val="center"/>
              <w:rPr>
                <w:color w:val="auto"/>
                <w:kern w:val="0"/>
                <w:sz w:val="18"/>
                <w:szCs w:val="18"/>
                <w:highlight w:val="none"/>
              </w:rPr>
            </w:pPr>
            <w:r>
              <w:rPr>
                <w:color w:val="auto"/>
                <w:kern w:val="0"/>
                <w:sz w:val="18"/>
                <w:szCs w:val="18"/>
                <w:highlight w:val="none"/>
              </w:rPr>
              <w:t>2000≤Y＜10000</w:t>
            </w:r>
          </w:p>
        </w:tc>
        <w:tc>
          <w:tcPr>
            <w:tcW w:w="1426" w:type="dxa"/>
            <w:noWrap w:val="0"/>
            <w:vAlign w:val="center"/>
          </w:tcPr>
          <w:p w14:paraId="1FE2C574">
            <w:pPr>
              <w:widowControl/>
              <w:spacing w:line="280" w:lineRule="exact"/>
              <w:jc w:val="center"/>
              <w:rPr>
                <w:color w:val="auto"/>
                <w:kern w:val="0"/>
                <w:sz w:val="18"/>
                <w:szCs w:val="18"/>
                <w:highlight w:val="none"/>
              </w:rPr>
            </w:pPr>
            <w:r>
              <w:rPr>
                <w:color w:val="auto"/>
                <w:kern w:val="0"/>
                <w:sz w:val="18"/>
                <w:szCs w:val="18"/>
                <w:highlight w:val="none"/>
              </w:rPr>
              <w:t>100≤Y＜2000</w:t>
            </w:r>
          </w:p>
        </w:tc>
        <w:tc>
          <w:tcPr>
            <w:tcW w:w="992" w:type="dxa"/>
            <w:noWrap w:val="0"/>
            <w:vAlign w:val="center"/>
          </w:tcPr>
          <w:p w14:paraId="45731BCE">
            <w:pPr>
              <w:widowControl/>
              <w:spacing w:line="280" w:lineRule="exact"/>
              <w:jc w:val="center"/>
              <w:rPr>
                <w:color w:val="auto"/>
                <w:kern w:val="0"/>
                <w:sz w:val="18"/>
                <w:szCs w:val="18"/>
                <w:highlight w:val="none"/>
              </w:rPr>
            </w:pPr>
            <w:r>
              <w:rPr>
                <w:color w:val="auto"/>
                <w:kern w:val="0"/>
                <w:sz w:val="18"/>
                <w:szCs w:val="18"/>
                <w:highlight w:val="none"/>
              </w:rPr>
              <w:t>Y＜100</w:t>
            </w:r>
          </w:p>
        </w:tc>
      </w:tr>
      <w:tr w14:paraId="7FE0C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4EE3A647">
            <w:pPr>
              <w:widowControl/>
              <w:spacing w:line="280" w:lineRule="exact"/>
              <w:jc w:val="left"/>
              <w:rPr>
                <w:color w:val="auto"/>
                <w:kern w:val="0"/>
                <w:sz w:val="18"/>
                <w:szCs w:val="18"/>
                <w:highlight w:val="none"/>
              </w:rPr>
            </w:pPr>
            <w:r>
              <w:rPr>
                <w:color w:val="auto"/>
                <w:kern w:val="0"/>
                <w:sz w:val="18"/>
                <w:szCs w:val="18"/>
                <w:highlight w:val="none"/>
              </w:rPr>
              <w:t>餐饮业</w:t>
            </w:r>
          </w:p>
        </w:tc>
        <w:tc>
          <w:tcPr>
            <w:tcW w:w="1369" w:type="dxa"/>
            <w:noWrap w:val="0"/>
            <w:vAlign w:val="center"/>
          </w:tcPr>
          <w:p w14:paraId="189C7B00">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73A2C909">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4078C65F">
            <w:pPr>
              <w:widowControl/>
              <w:spacing w:line="280" w:lineRule="exact"/>
              <w:jc w:val="center"/>
              <w:rPr>
                <w:color w:val="auto"/>
                <w:kern w:val="0"/>
                <w:sz w:val="18"/>
                <w:szCs w:val="18"/>
                <w:highlight w:val="none"/>
              </w:rPr>
            </w:pPr>
            <w:r>
              <w:rPr>
                <w:color w:val="auto"/>
                <w:kern w:val="0"/>
                <w:sz w:val="18"/>
                <w:szCs w:val="18"/>
                <w:highlight w:val="none"/>
              </w:rPr>
              <w:t>X≥300</w:t>
            </w:r>
          </w:p>
        </w:tc>
        <w:tc>
          <w:tcPr>
            <w:tcW w:w="1701" w:type="dxa"/>
            <w:noWrap w:val="0"/>
            <w:vAlign w:val="center"/>
          </w:tcPr>
          <w:p w14:paraId="319518CD">
            <w:pPr>
              <w:widowControl/>
              <w:spacing w:line="280" w:lineRule="exact"/>
              <w:ind w:left="1" w:leftChars="-51" w:hanging="108" w:hangingChars="60"/>
              <w:jc w:val="center"/>
              <w:rPr>
                <w:color w:val="auto"/>
                <w:kern w:val="0"/>
                <w:sz w:val="18"/>
                <w:szCs w:val="18"/>
                <w:highlight w:val="none"/>
              </w:rPr>
            </w:pPr>
            <w:r>
              <w:rPr>
                <w:color w:val="auto"/>
                <w:kern w:val="0"/>
                <w:sz w:val="18"/>
                <w:szCs w:val="18"/>
                <w:highlight w:val="none"/>
              </w:rPr>
              <w:t xml:space="preserve">100≤X＜300 </w:t>
            </w:r>
          </w:p>
        </w:tc>
        <w:tc>
          <w:tcPr>
            <w:tcW w:w="1426" w:type="dxa"/>
            <w:noWrap w:val="0"/>
            <w:vAlign w:val="center"/>
          </w:tcPr>
          <w:p w14:paraId="5431B3E1">
            <w:pPr>
              <w:widowControl/>
              <w:spacing w:line="280" w:lineRule="exact"/>
              <w:jc w:val="center"/>
              <w:rPr>
                <w:color w:val="auto"/>
                <w:kern w:val="0"/>
                <w:sz w:val="18"/>
                <w:szCs w:val="18"/>
                <w:highlight w:val="none"/>
              </w:rPr>
            </w:pPr>
            <w:r>
              <w:rPr>
                <w:color w:val="auto"/>
                <w:kern w:val="0"/>
                <w:sz w:val="18"/>
                <w:szCs w:val="18"/>
                <w:highlight w:val="none"/>
              </w:rPr>
              <w:t>10≤X＜100</w:t>
            </w:r>
          </w:p>
        </w:tc>
        <w:tc>
          <w:tcPr>
            <w:tcW w:w="992" w:type="dxa"/>
            <w:noWrap w:val="0"/>
            <w:vAlign w:val="center"/>
          </w:tcPr>
          <w:p w14:paraId="171511F2">
            <w:pPr>
              <w:widowControl/>
              <w:spacing w:line="280" w:lineRule="exact"/>
              <w:jc w:val="center"/>
              <w:rPr>
                <w:color w:val="auto"/>
                <w:kern w:val="0"/>
                <w:sz w:val="18"/>
                <w:szCs w:val="18"/>
                <w:highlight w:val="none"/>
              </w:rPr>
            </w:pPr>
            <w:r>
              <w:rPr>
                <w:color w:val="auto"/>
                <w:kern w:val="0"/>
                <w:sz w:val="18"/>
                <w:szCs w:val="18"/>
                <w:highlight w:val="none"/>
              </w:rPr>
              <w:t>X＜10</w:t>
            </w:r>
          </w:p>
        </w:tc>
      </w:tr>
      <w:tr w14:paraId="65034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2479FFBA">
            <w:pPr>
              <w:widowControl/>
              <w:spacing w:line="280" w:lineRule="exact"/>
              <w:jc w:val="left"/>
              <w:rPr>
                <w:color w:val="auto"/>
                <w:kern w:val="0"/>
                <w:sz w:val="18"/>
                <w:szCs w:val="18"/>
                <w:highlight w:val="none"/>
              </w:rPr>
            </w:pPr>
          </w:p>
        </w:tc>
        <w:tc>
          <w:tcPr>
            <w:tcW w:w="1369" w:type="dxa"/>
            <w:noWrap w:val="0"/>
            <w:vAlign w:val="center"/>
          </w:tcPr>
          <w:p w14:paraId="6EE15F29">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11F3AD79">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194D3E20">
            <w:pPr>
              <w:widowControl/>
              <w:spacing w:line="280" w:lineRule="exact"/>
              <w:jc w:val="center"/>
              <w:rPr>
                <w:color w:val="auto"/>
                <w:kern w:val="0"/>
                <w:sz w:val="18"/>
                <w:szCs w:val="18"/>
                <w:highlight w:val="none"/>
              </w:rPr>
            </w:pPr>
            <w:r>
              <w:rPr>
                <w:color w:val="auto"/>
                <w:kern w:val="0"/>
                <w:sz w:val="18"/>
                <w:szCs w:val="18"/>
                <w:highlight w:val="none"/>
              </w:rPr>
              <w:t>Y≥10000</w:t>
            </w:r>
          </w:p>
        </w:tc>
        <w:tc>
          <w:tcPr>
            <w:tcW w:w="1701" w:type="dxa"/>
            <w:noWrap w:val="0"/>
            <w:vAlign w:val="center"/>
          </w:tcPr>
          <w:p w14:paraId="4C0F907D">
            <w:pPr>
              <w:widowControl/>
              <w:spacing w:line="280" w:lineRule="exact"/>
              <w:jc w:val="center"/>
              <w:rPr>
                <w:color w:val="auto"/>
                <w:kern w:val="0"/>
                <w:sz w:val="18"/>
                <w:szCs w:val="18"/>
                <w:highlight w:val="none"/>
              </w:rPr>
            </w:pPr>
            <w:r>
              <w:rPr>
                <w:color w:val="auto"/>
                <w:kern w:val="0"/>
                <w:sz w:val="18"/>
                <w:szCs w:val="18"/>
                <w:highlight w:val="none"/>
              </w:rPr>
              <w:t>2000≤Y＜10000</w:t>
            </w:r>
          </w:p>
        </w:tc>
        <w:tc>
          <w:tcPr>
            <w:tcW w:w="1426" w:type="dxa"/>
            <w:noWrap w:val="0"/>
            <w:vAlign w:val="center"/>
          </w:tcPr>
          <w:p w14:paraId="56BBEAE1">
            <w:pPr>
              <w:widowControl/>
              <w:spacing w:line="280" w:lineRule="exact"/>
              <w:jc w:val="center"/>
              <w:rPr>
                <w:color w:val="auto"/>
                <w:kern w:val="0"/>
                <w:sz w:val="18"/>
                <w:szCs w:val="18"/>
                <w:highlight w:val="none"/>
              </w:rPr>
            </w:pPr>
            <w:r>
              <w:rPr>
                <w:color w:val="auto"/>
                <w:kern w:val="0"/>
                <w:sz w:val="18"/>
                <w:szCs w:val="18"/>
                <w:highlight w:val="none"/>
              </w:rPr>
              <w:t>100≤Y＜2000</w:t>
            </w:r>
          </w:p>
        </w:tc>
        <w:tc>
          <w:tcPr>
            <w:tcW w:w="992" w:type="dxa"/>
            <w:noWrap w:val="0"/>
            <w:vAlign w:val="center"/>
          </w:tcPr>
          <w:p w14:paraId="3B01737E">
            <w:pPr>
              <w:widowControl/>
              <w:spacing w:line="280" w:lineRule="exact"/>
              <w:jc w:val="center"/>
              <w:rPr>
                <w:color w:val="auto"/>
                <w:kern w:val="0"/>
                <w:sz w:val="18"/>
                <w:szCs w:val="18"/>
                <w:highlight w:val="none"/>
              </w:rPr>
            </w:pPr>
            <w:r>
              <w:rPr>
                <w:color w:val="auto"/>
                <w:kern w:val="0"/>
                <w:sz w:val="18"/>
                <w:szCs w:val="18"/>
                <w:highlight w:val="none"/>
              </w:rPr>
              <w:t>Y＜100</w:t>
            </w:r>
          </w:p>
        </w:tc>
      </w:tr>
      <w:tr w14:paraId="0DDF5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restart"/>
            <w:noWrap w:val="0"/>
            <w:vAlign w:val="center"/>
          </w:tcPr>
          <w:p w14:paraId="7B587831">
            <w:pPr>
              <w:widowControl/>
              <w:spacing w:line="280" w:lineRule="exact"/>
              <w:jc w:val="left"/>
              <w:rPr>
                <w:color w:val="auto"/>
                <w:kern w:val="0"/>
                <w:sz w:val="18"/>
                <w:szCs w:val="18"/>
                <w:highlight w:val="none"/>
              </w:rPr>
            </w:pPr>
            <w:r>
              <w:rPr>
                <w:color w:val="auto"/>
                <w:kern w:val="0"/>
                <w:sz w:val="18"/>
                <w:szCs w:val="18"/>
                <w:highlight w:val="none"/>
              </w:rPr>
              <w:t>信息传输业 *</w:t>
            </w:r>
          </w:p>
        </w:tc>
        <w:tc>
          <w:tcPr>
            <w:tcW w:w="1369" w:type="dxa"/>
            <w:noWrap w:val="0"/>
            <w:vAlign w:val="center"/>
          </w:tcPr>
          <w:p w14:paraId="31B026F7">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001BABA0">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193DBD9E">
            <w:pPr>
              <w:widowControl/>
              <w:spacing w:line="280" w:lineRule="exact"/>
              <w:jc w:val="center"/>
              <w:rPr>
                <w:color w:val="auto"/>
                <w:kern w:val="0"/>
                <w:sz w:val="18"/>
                <w:szCs w:val="18"/>
                <w:highlight w:val="none"/>
              </w:rPr>
            </w:pPr>
            <w:r>
              <w:rPr>
                <w:color w:val="auto"/>
                <w:kern w:val="0"/>
                <w:sz w:val="18"/>
                <w:szCs w:val="18"/>
                <w:highlight w:val="none"/>
              </w:rPr>
              <w:t>X≥2000</w:t>
            </w:r>
          </w:p>
        </w:tc>
        <w:tc>
          <w:tcPr>
            <w:tcW w:w="1701" w:type="dxa"/>
            <w:noWrap w:val="0"/>
            <w:vAlign w:val="center"/>
          </w:tcPr>
          <w:p w14:paraId="46F57436">
            <w:pPr>
              <w:widowControl/>
              <w:spacing w:line="280" w:lineRule="exact"/>
              <w:jc w:val="center"/>
              <w:rPr>
                <w:color w:val="auto"/>
                <w:kern w:val="0"/>
                <w:sz w:val="18"/>
                <w:szCs w:val="18"/>
                <w:highlight w:val="none"/>
              </w:rPr>
            </w:pPr>
            <w:r>
              <w:rPr>
                <w:color w:val="auto"/>
                <w:kern w:val="0"/>
                <w:sz w:val="18"/>
                <w:szCs w:val="18"/>
                <w:highlight w:val="none"/>
              </w:rPr>
              <w:t>100≤X＜2000</w:t>
            </w:r>
          </w:p>
        </w:tc>
        <w:tc>
          <w:tcPr>
            <w:tcW w:w="1426" w:type="dxa"/>
            <w:noWrap w:val="0"/>
            <w:vAlign w:val="center"/>
          </w:tcPr>
          <w:p w14:paraId="342FC4B0">
            <w:pPr>
              <w:widowControl/>
              <w:spacing w:line="280" w:lineRule="exact"/>
              <w:jc w:val="center"/>
              <w:rPr>
                <w:color w:val="auto"/>
                <w:kern w:val="0"/>
                <w:sz w:val="18"/>
                <w:szCs w:val="18"/>
                <w:highlight w:val="none"/>
              </w:rPr>
            </w:pPr>
            <w:r>
              <w:rPr>
                <w:color w:val="auto"/>
                <w:kern w:val="0"/>
                <w:sz w:val="18"/>
                <w:szCs w:val="18"/>
                <w:highlight w:val="none"/>
              </w:rPr>
              <w:t>10≤X＜100</w:t>
            </w:r>
          </w:p>
        </w:tc>
        <w:tc>
          <w:tcPr>
            <w:tcW w:w="992" w:type="dxa"/>
            <w:noWrap w:val="0"/>
            <w:vAlign w:val="center"/>
          </w:tcPr>
          <w:p w14:paraId="09DA568B">
            <w:pPr>
              <w:widowControl/>
              <w:spacing w:line="280" w:lineRule="exact"/>
              <w:jc w:val="center"/>
              <w:rPr>
                <w:color w:val="auto"/>
                <w:kern w:val="0"/>
                <w:sz w:val="18"/>
                <w:szCs w:val="18"/>
                <w:highlight w:val="none"/>
              </w:rPr>
            </w:pPr>
            <w:r>
              <w:rPr>
                <w:color w:val="auto"/>
                <w:kern w:val="0"/>
                <w:sz w:val="18"/>
                <w:szCs w:val="18"/>
                <w:highlight w:val="none"/>
              </w:rPr>
              <w:t>X＜10</w:t>
            </w:r>
          </w:p>
        </w:tc>
      </w:tr>
      <w:tr w14:paraId="42869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vMerge w:val="continue"/>
            <w:noWrap w:val="0"/>
            <w:vAlign w:val="center"/>
          </w:tcPr>
          <w:p w14:paraId="41F3120A">
            <w:pPr>
              <w:widowControl/>
              <w:spacing w:line="280" w:lineRule="exact"/>
              <w:jc w:val="left"/>
              <w:rPr>
                <w:color w:val="auto"/>
                <w:kern w:val="0"/>
                <w:sz w:val="18"/>
                <w:szCs w:val="18"/>
                <w:highlight w:val="none"/>
              </w:rPr>
            </w:pPr>
          </w:p>
        </w:tc>
        <w:tc>
          <w:tcPr>
            <w:tcW w:w="1369" w:type="dxa"/>
            <w:noWrap w:val="0"/>
            <w:vAlign w:val="center"/>
          </w:tcPr>
          <w:p w14:paraId="6141A177">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05393DFA">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24996E61">
            <w:pPr>
              <w:widowControl/>
              <w:spacing w:line="280" w:lineRule="exact"/>
              <w:jc w:val="center"/>
              <w:rPr>
                <w:color w:val="auto"/>
                <w:kern w:val="0"/>
                <w:sz w:val="18"/>
                <w:szCs w:val="18"/>
                <w:highlight w:val="none"/>
              </w:rPr>
            </w:pPr>
            <w:r>
              <w:rPr>
                <w:color w:val="auto"/>
                <w:kern w:val="0"/>
                <w:sz w:val="18"/>
                <w:szCs w:val="18"/>
                <w:highlight w:val="none"/>
              </w:rPr>
              <w:t>Y≥100000</w:t>
            </w:r>
          </w:p>
        </w:tc>
        <w:tc>
          <w:tcPr>
            <w:tcW w:w="1701" w:type="dxa"/>
            <w:noWrap w:val="0"/>
            <w:vAlign w:val="center"/>
          </w:tcPr>
          <w:p w14:paraId="52911311">
            <w:pPr>
              <w:widowControl/>
              <w:spacing w:line="280" w:lineRule="exact"/>
              <w:jc w:val="center"/>
              <w:rPr>
                <w:color w:val="auto"/>
                <w:kern w:val="0"/>
                <w:sz w:val="18"/>
                <w:szCs w:val="18"/>
                <w:highlight w:val="none"/>
              </w:rPr>
            </w:pPr>
            <w:r>
              <w:rPr>
                <w:color w:val="auto"/>
                <w:kern w:val="0"/>
                <w:sz w:val="18"/>
                <w:szCs w:val="18"/>
                <w:highlight w:val="none"/>
              </w:rPr>
              <w:t>1000≤Y＜100000</w:t>
            </w:r>
          </w:p>
        </w:tc>
        <w:tc>
          <w:tcPr>
            <w:tcW w:w="1426" w:type="dxa"/>
            <w:noWrap w:val="0"/>
            <w:vAlign w:val="center"/>
          </w:tcPr>
          <w:p w14:paraId="0FC26406">
            <w:pPr>
              <w:widowControl/>
              <w:spacing w:line="280" w:lineRule="exact"/>
              <w:jc w:val="center"/>
              <w:rPr>
                <w:color w:val="auto"/>
                <w:kern w:val="0"/>
                <w:sz w:val="18"/>
                <w:szCs w:val="18"/>
                <w:highlight w:val="none"/>
              </w:rPr>
            </w:pPr>
            <w:r>
              <w:rPr>
                <w:color w:val="auto"/>
                <w:kern w:val="0"/>
                <w:sz w:val="18"/>
                <w:szCs w:val="18"/>
                <w:highlight w:val="none"/>
              </w:rPr>
              <w:t>100≤Y＜1000</w:t>
            </w:r>
          </w:p>
        </w:tc>
        <w:tc>
          <w:tcPr>
            <w:tcW w:w="992" w:type="dxa"/>
            <w:noWrap w:val="0"/>
            <w:vAlign w:val="center"/>
          </w:tcPr>
          <w:p w14:paraId="3019625B">
            <w:pPr>
              <w:widowControl/>
              <w:spacing w:line="280" w:lineRule="exact"/>
              <w:jc w:val="center"/>
              <w:rPr>
                <w:color w:val="auto"/>
                <w:kern w:val="0"/>
                <w:sz w:val="18"/>
                <w:szCs w:val="18"/>
                <w:highlight w:val="none"/>
              </w:rPr>
            </w:pPr>
            <w:r>
              <w:rPr>
                <w:color w:val="auto"/>
                <w:kern w:val="0"/>
                <w:sz w:val="18"/>
                <w:szCs w:val="18"/>
                <w:highlight w:val="none"/>
              </w:rPr>
              <w:t>Y＜100</w:t>
            </w:r>
          </w:p>
        </w:tc>
      </w:tr>
      <w:tr w14:paraId="6E89A3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restart"/>
            <w:noWrap w:val="0"/>
            <w:vAlign w:val="center"/>
          </w:tcPr>
          <w:p w14:paraId="47EEC8DA">
            <w:pPr>
              <w:widowControl/>
              <w:spacing w:line="280" w:lineRule="exact"/>
              <w:jc w:val="left"/>
              <w:rPr>
                <w:color w:val="auto"/>
                <w:spacing w:val="-12"/>
                <w:kern w:val="0"/>
                <w:sz w:val="18"/>
                <w:szCs w:val="18"/>
                <w:highlight w:val="none"/>
              </w:rPr>
            </w:pPr>
            <w:r>
              <w:rPr>
                <w:color w:val="auto"/>
                <w:spacing w:val="-12"/>
                <w:kern w:val="0"/>
                <w:sz w:val="18"/>
                <w:szCs w:val="18"/>
                <w:highlight w:val="none"/>
              </w:rPr>
              <w:t>软件和信息技术服</w:t>
            </w:r>
            <w:r>
              <w:rPr>
                <w:color w:val="auto"/>
                <w:kern w:val="0"/>
                <w:sz w:val="18"/>
                <w:szCs w:val="18"/>
                <w:highlight w:val="none"/>
              </w:rPr>
              <w:t>务业</w:t>
            </w:r>
          </w:p>
        </w:tc>
        <w:tc>
          <w:tcPr>
            <w:tcW w:w="1369" w:type="dxa"/>
            <w:noWrap w:val="0"/>
            <w:vAlign w:val="center"/>
          </w:tcPr>
          <w:p w14:paraId="33EB04BB">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11210B04">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722E51C9">
            <w:pPr>
              <w:widowControl/>
              <w:spacing w:line="280" w:lineRule="exact"/>
              <w:jc w:val="center"/>
              <w:rPr>
                <w:color w:val="auto"/>
                <w:kern w:val="0"/>
                <w:sz w:val="18"/>
                <w:szCs w:val="18"/>
                <w:highlight w:val="none"/>
              </w:rPr>
            </w:pPr>
            <w:r>
              <w:rPr>
                <w:color w:val="auto"/>
                <w:kern w:val="0"/>
                <w:sz w:val="18"/>
                <w:szCs w:val="18"/>
                <w:highlight w:val="none"/>
              </w:rPr>
              <w:t>X≥300</w:t>
            </w:r>
          </w:p>
        </w:tc>
        <w:tc>
          <w:tcPr>
            <w:tcW w:w="1701" w:type="dxa"/>
            <w:noWrap w:val="0"/>
            <w:vAlign w:val="center"/>
          </w:tcPr>
          <w:p w14:paraId="105C7484">
            <w:pPr>
              <w:widowControl/>
              <w:spacing w:line="280" w:lineRule="exact"/>
              <w:ind w:left="1" w:leftChars="-51" w:hanging="108" w:hangingChars="60"/>
              <w:jc w:val="center"/>
              <w:rPr>
                <w:color w:val="auto"/>
                <w:kern w:val="0"/>
                <w:sz w:val="18"/>
                <w:szCs w:val="18"/>
                <w:highlight w:val="none"/>
              </w:rPr>
            </w:pPr>
            <w:r>
              <w:rPr>
                <w:color w:val="auto"/>
                <w:kern w:val="0"/>
                <w:sz w:val="18"/>
                <w:szCs w:val="18"/>
                <w:highlight w:val="none"/>
              </w:rPr>
              <w:t xml:space="preserve">100≤X＜300 </w:t>
            </w:r>
          </w:p>
        </w:tc>
        <w:tc>
          <w:tcPr>
            <w:tcW w:w="1426" w:type="dxa"/>
            <w:noWrap w:val="0"/>
            <w:vAlign w:val="center"/>
          </w:tcPr>
          <w:p w14:paraId="0BEA32BB">
            <w:pPr>
              <w:widowControl/>
              <w:spacing w:line="280" w:lineRule="exact"/>
              <w:jc w:val="center"/>
              <w:rPr>
                <w:color w:val="auto"/>
                <w:kern w:val="0"/>
                <w:sz w:val="18"/>
                <w:szCs w:val="18"/>
                <w:highlight w:val="none"/>
              </w:rPr>
            </w:pPr>
            <w:r>
              <w:rPr>
                <w:color w:val="auto"/>
                <w:kern w:val="0"/>
                <w:sz w:val="18"/>
                <w:szCs w:val="18"/>
                <w:highlight w:val="none"/>
              </w:rPr>
              <w:t>10≤X＜100</w:t>
            </w:r>
          </w:p>
        </w:tc>
        <w:tc>
          <w:tcPr>
            <w:tcW w:w="992" w:type="dxa"/>
            <w:noWrap w:val="0"/>
            <w:vAlign w:val="center"/>
          </w:tcPr>
          <w:p w14:paraId="61473622">
            <w:pPr>
              <w:widowControl/>
              <w:spacing w:line="280" w:lineRule="exact"/>
              <w:jc w:val="center"/>
              <w:rPr>
                <w:color w:val="auto"/>
                <w:kern w:val="0"/>
                <w:sz w:val="18"/>
                <w:szCs w:val="18"/>
                <w:highlight w:val="none"/>
              </w:rPr>
            </w:pPr>
            <w:r>
              <w:rPr>
                <w:color w:val="auto"/>
                <w:kern w:val="0"/>
                <w:sz w:val="18"/>
                <w:szCs w:val="18"/>
                <w:highlight w:val="none"/>
              </w:rPr>
              <w:t>X＜10</w:t>
            </w:r>
          </w:p>
        </w:tc>
      </w:tr>
      <w:tr w14:paraId="3593CA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continue"/>
            <w:noWrap w:val="0"/>
            <w:vAlign w:val="center"/>
          </w:tcPr>
          <w:p w14:paraId="13D58493">
            <w:pPr>
              <w:widowControl/>
              <w:spacing w:line="280" w:lineRule="exact"/>
              <w:jc w:val="left"/>
              <w:rPr>
                <w:color w:val="auto"/>
                <w:spacing w:val="-12"/>
                <w:kern w:val="0"/>
                <w:sz w:val="18"/>
                <w:szCs w:val="18"/>
                <w:highlight w:val="none"/>
              </w:rPr>
            </w:pPr>
          </w:p>
        </w:tc>
        <w:tc>
          <w:tcPr>
            <w:tcW w:w="1369" w:type="dxa"/>
            <w:noWrap w:val="0"/>
            <w:vAlign w:val="center"/>
          </w:tcPr>
          <w:p w14:paraId="6041D58E">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5A7B995D">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63C0D28E">
            <w:pPr>
              <w:widowControl/>
              <w:spacing w:line="280" w:lineRule="exact"/>
              <w:jc w:val="center"/>
              <w:rPr>
                <w:color w:val="auto"/>
                <w:kern w:val="0"/>
                <w:sz w:val="18"/>
                <w:szCs w:val="18"/>
                <w:highlight w:val="none"/>
              </w:rPr>
            </w:pPr>
            <w:r>
              <w:rPr>
                <w:color w:val="auto"/>
                <w:kern w:val="0"/>
                <w:sz w:val="18"/>
                <w:szCs w:val="18"/>
                <w:highlight w:val="none"/>
              </w:rPr>
              <w:t>Y≥10000</w:t>
            </w:r>
          </w:p>
        </w:tc>
        <w:tc>
          <w:tcPr>
            <w:tcW w:w="1701" w:type="dxa"/>
            <w:noWrap w:val="0"/>
            <w:vAlign w:val="center"/>
          </w:tcPr>
          <w:p w14:paraId="65667FD4">
            <w:pPr>
              <w:widowControl/>
              <w:spacing w:line="280" w:lineRule="exact"/>
              <w:jc w:val="center"/>
              <w:rPr>
                <w:color w:val="auto"/>
                <w:kern w:val="0"/>
                <w:sz w:val="18"/>
                <w:szCs w:val="18"/>
                <w:highlight w:val="none"/>
              </w:rPr>
            </w:pPr>
            <w:r>
              <w:rPr>
                <w:color w:val="auto"/>
                <w:kern w:val="0"/>
                <w:sz w:val="18"/>
                <w:szCs w:val="18"/>
                <w:highlight w:val="none"/>
              </w:rPr>
              <w:t>1000≤Y＜10000</w:t>
            </w:r>
          </w:p>
        </w:tc>
        <w:tc>
          <w:tcPr>
            <w:tcW w:w="1426" w:type="dxa"/>
            <w:noWrap w:val="0"/>
            <w:vAlign w:val="center"/>
          </w:tcPr>
          <w:p w14:paraId="0D591CD0">
            <w:pPr>
              <w:widowControl/>
              <w:spacing w:line="280" w:lineRule="exact"/>
              <w:jc w:val="center"/>
              <w:rPr>
                <w:color w:val="auto"/>
                <w:kern w:val="0"/>
                <w:sz w:val="18"/>
                <w:szCs w:val="18"/>
                <w:highlight w:val="none"/>
              </w:rPr>
            </w:pPr>
            <w:r>
              <w:rPr>
                <w:color w:val="auto"/>
                <w:kern w:val="0"/>
                <w:sz w:val="18"/>
                <w:szCs w:val="18"/>
                <w:highlight w:val="none"/>
              </w:rPr>
              <w:t>50≤Y＜1000</w:t>
            </w:r>
          </w:p>
        </w:tc>
        <w:tc>
          <w:tcPr>
            <w:tcW w:w="992" w:type="dxa"/>
            <w:noWrap w:val="0"/>
            <w:vAlign w:val="center"/>
          </w:tcPr>
          <w:p w14:paraId="021FF16A">
            <w:pPr>
              <w:widowControl/>
              <w:spacing w:line="280" w:lineRule="exact"/>
              <w:jc w:val="center"/>
              <w:rPr>
                <w:color w:val="auto"/>
                <w:kern w:val="0"/>
                <w:sz w:val="18"/>
                <w:szCs w:val="18"/>
                <w:highlight w:val="none"/>
              </w:rPr>
            </w:pPr>
            <w:r>
              <w:rPr>
                <w:color w:val="auto"/>
                <w:kern w:val="0"/>
                <w:sz w:val="18"/>
                <w:szCs w:val="18"/>
                <w:highlight w:val="none"/>
              </w:rPr>
              <w:t>Y＜50</w:t>
            </w:r>
          </w:p>
        </w:tc>
      </w:tr>
      <w:tr w14:paraId="2E1EC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restart"/>
            <w:noWrap w:val="0"/>
            <w:vAlign w:val="center"/>
          </w:tcPr>
          <w:p w14:paraId="3FD984A9">
            <w:pPr>
              <w:widowControl/>
              <w:spacing w:line="280" w:lineRule="exact"/>
              <w:jc w:val="left"/>
              <w:rPr>
                <w:color w:val="auto"/>
                <w:kern w:val="0"/>
                <w:sz w:val="18"/>
                <w:szCs w:val="18"/>
                <w:highlight w:val="none"/>
              </w:rPr>
            </w:pPr>
            <w:r>
              <w:rPr>
                <w:color w:val="auto"/>
                <w:kern w:val="0"/>
                <w:sz w:val="18"/>
                <w:szCs w:val="18"/>
                <w:highlight w:val="none"/>
              </w:rPr>
              <w:t>房地产开发经营</w:t>
            </w:r>
          </w:p>
        </w:tc>
        <w:tc>
          <w:tcPr>
            <w:tcW w:w="1369" w:type="dxa"/>
            <w:noWrap w:val="0"/>
            <w:vAlign w:val="center"/>
          </w:tcPr>
          <w:p w14:paraId="0ACB5F60">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2A19D7F8">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741CF387">
            <w:pPr>
              <w:widowControl/>
              <w:spacing w:line="280" w:lineRule="exact"/>
              <w:jc w:val="center"/>
              <w:rPr>
                <w:color w:val="auto"/>
                <w:kern w:val="0"/>
                <w:sz w:val="18"/>
                <w:szCs w:val="18"/>
                <w:highlight w:val="none"/>
              </w:rPr>
            </w:pPr>
            <w:r>
              <w:rPr>
                <w:color w:val="auto"/>
                <w:kern w:val="0"/>
                <w:sz w:val="18"/>
                <w:szCs w:val="18"/>
                <w:highlight w:val="none"/>
              </w:rPr>
              <w:t>Y≥200000</w:t>
            </w:r>
          </w:p>
        </w:tc>
        <w:tc>
          <w:tcPr>
            <w:tcW w:w="1701" w:type="dxa"/>
            <w:noWrap w:val="0"/>
            <w:vAlign w:val="center"/>
          </w:tcPr>
          <w:p w14:paraId="1799F5AD">
            <w:pPr>
              <w:widowControl/>
              <w:spacing w:line="280" w:lineRule="exact"/>
              <w:jc w:val="center"/>
              <w:rPr>
                <w:color w:val="auto"/>
                <w:kern w:val="0"/>
                <w:sz w:val="18"/>
                <w:szCs w:val="18"/>
                <w:highlight w:val="none"/>
              </w:rPr>
            </w:pPr>
            <w:r>
              <w:rPr>
                <w:color w:val="auto"/>
                <w:kern w:val="0"/>
                <w:sz w:val="18"/>
                <w:szCs w:val="18"/>
                <w:highlight w:val="none"/>
              </w:rPr>
              <w:t>1000≤Y＜200000</w:t>
            </w:r>
          </w:p>
        </w:tc>
        <w:tc>
          <w:tcPr>
            <w:tcW w:w="1426" w:type="dxa"/>
            <w:noWrap w:val="0"/>
            <w:vAlign w:val="center"/>
          </w:tcPr>
          <w:p w14:paraId="13715B97">
            <w:pPr>
              <w:widowControl/>
              <w:spacing w:line="280" w:lineRule="exact"/>
              <w:jc w:val="center"/>
              <w:rPr>
                <w:color w:val="auto"/>
                <w:kern w:val="0"/>
                <w:sz w:val="18"/>
                <w:szCs w:val="18"/>
                <w:highlight w:val="none"/>
              </w:rPr>
            </w:pPr>
            <w:r>
              <w:rPr>
                <w:color w:val="auto"/>
                <w:kern w:val="0"/>
                <w:sz w:val="18"/>
                <w:szCs w:val="18"/>
                <w:highlight w:val="none"/>
              </w:rPr>
              <w:t>100≤Y＜1000</w:t>
            </w:r>
          </w:p>
        </w:tc>
        <w:tc>
          <w:tcPr>
            <w:tcW w:w="992" w:type="dxa"/>
            <w:noWrap w:val="0"/>
            <w:vAlign w:val="center"/>
          </w:tcPr>
          <w:p w14:paraId="2C565DC8">
            <w:pPr>
              <w:widowControl/>
              <w:spacing w:line="280" w:lineRule="exact"/>
              <w:jc w:val="center"/>
              <w:rPr>
                <w:color w:val="auto"/>
                <w:kern w:val="0"/>
                <w:sz w:val="18"/>
                <w:szCs w:val="18"/>
                <w:highlight w:val="none"/>
              </w:rPr>
            </w:pPr>
            <w:r>
              <w:rPr>
                <w:color w:val="auto"/>
                <w:kern w:val="0"/>
                <w:sz w:val="18"/>
                <w:szCs w:val="18"/>
                <w:highlight w:val="none"/>
              </w:rPr>
              <w:t>Y＜100</w:t>
            </w:r>
          </w:p>
        </w:tc>
      </w:tr>
      <w:tr w14:paraId="5AF53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continue"/>
            <w:noWrap w:val="0"/>
            <w:vAlign w:val="center"/>
          </w:tcPr>
          <w:p w14:paraId="39A8F2B6">
            <w:pPr>
              <w:widowControl/>
              <w:spacing w:line="280" w:lineRule="exact"/>
              <w:jc w:val="left"/>
              <w:rPr>
                <w:color w:val="auto"/>
                <w:kern w:val="0"/>
                <w:sz w:val="18"/>
                <w:szCs w:val="18"/>
                <w:highlight w:val="none"/>
              </w:rPr>
            </w:pPr>
          </w:p>
        </w:tc>
        <w:tc>
          <w:tcPr>
            <w:tcW w:w="1369" w:type="dxa"/>
            <w:noWrap w:val="0"/>
            <w:vAlign w:val="center"/>
          </w:tcPr>
          <w:p w14:paraId="1436A3F8">
            <w:pPr>
              <w:widowControl/>
              <w:spacing w:line="280" w:lineRule="exact"/>
              <w:jc w:val="center"/>
              <w:rPr>
                <w:color w:val="auto"/>
                <w:kern w:val="0"/>
                <w:sz w:val="18"/>
                <w:szCs w:val="18"/>
                <w:highlight w:val="none"/>
              </w:rPr>
            </w:pPr>
            <w:r>
              <w:rPr>
                <w:color w:val="auto"/>
                <w:kern w:val="0"/>
                <w:sz w:val="18"/>
                <w:szCs w:val="18"/>
                <w:highlight w:val="none"/>
              </w:rPr>
              <w:t>资产总额(Z)</w:t>
            </w:r>
          </w:p>
        </w:tc>
        <w:tc>
          <w:tcPr>
            <w:tcW w:w="709" w:type="dxa"/>
            <w:noWrap w:val="0"/>
            <w:vAlign w:val="center"/>
          </w:tcPr>
          <w:p w14:paraId="7A5817CC">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5049CADE">
            <w:pPr>
              <w:widowControl/>
              <w:spacing w:line="280" w:lineRule="exact"/>
              <w:jc w:val="center"/>
              <w:rPr>
                <w:color w:val="auto"/>
                <w:kern w:val="0"/>
                <w:sz w:val="18"/>
                <w:szCs w:val="18"/>
                <w:highlight w:val="none"/>
              </w:rPr>
            </w:pPr>
            <w:r>
              <w:rPr>
                <w:color w:val="auto"/>
                <w:kern w:val="0"/>
                <w:sz w:val="18"/>
                <w:szCs w:val="18"/>
                <w:highlight w:val="none"/>
              </w:rPr>
              <w:t>Z≥10000</w:t>
            </w:r>
          </w:p>
        </w:tc>
        <w:tc>
          <w:tcPr>
            <w:tcW w:w="1701" w:type="dxa"/>
            <w:noWrap w:val="0"/>
            <w:vAlign w:val="center"/>
          </w:tcPr>
          <w:p w14:paraId="045937A2">
            <w:pPr>
              <w:widowControl/>
              <w:spacing w:line="280" w:lineRule="exact"/>
              <w:jc w:val="center"/>
              <w:rPr>
                <w:color w:val="auto"/>
                <w:kern w:val="0"/>
                <w:sz w:val="18"/>
                <w:szCs w:val="18"/>
                <w:highlight w:val="none"/>
              </w:rPr>
            </w:pPr>
            <w:r>
              <w:rPr>
                <w:color w:val="auto"/>
                <w:kern w:val="0"/>
                <w:sz w:val="18"/>
                <w:szCs w:val="18"/>
                <w:highlight w:val="none"/>
              </w:rPr>
              <w:t>5000≤Z＜10000</w:t>
            </w:r>
          </w:p>
        </w:tc>
        <w:tc>
          <w:tcPr>
            <w:tcW w:w="1426" w:type="dxa"/>
            <w:noWrap w:val="0"/>
            <w:vAlign w:val="center"/>
          </w:tcPr>
          <w:p w14:paraId="70F795F0">
            <w:pPr>
              <w:widowControl/>
              <w:spacing w:line="280" w:lineRule="exact"/>
              <w:jc w:val="center"/>
              <w:rPr>
                <w:color w:val="auto"/>
                <w:kern w:val="0"/>
                <w:sz w:val="18"/>
                <w:szCs w:val="18"/>
                <w:highlight w:val="none"/>
              </w:rPr>
            </w:pPr>
            <w:r>
              <w:rPr>
                <w:color w:val="auto"/>
                <w:kern w:val="0"/>
                <w:sz w:val="18"/>
                <w:szCs w:val="18"/>
                <w:highlight w:val="none"/>
              </w:rPr>
              <w:t>2000≤Z＜5000</w:t>
            </w:r>
          </w:p>
        </w:tc>
        <w:tc>
          <w:tcPr>
            <w:tcW w:w="992" w:type="dxa"/>
            <w:noWrap w:val="0"/>
            <w:vAlign w:val="center"/>
          </w:tcPr>
          <w:p w14:paraId="08FE04CD">
            <w:pPr>
              <w:widowControl/>
              <w:spacing w:line="280" w:lineRule="exact"/>
              <w:jc w:val="center"/>
              <w:rPr>
                <w:color w:val="auto"/>
                <w:kern w:val="0"/>
                <w:sz w:val="18"/>
                <w:szCs w:val="18"/>
                <w:highlight w:val="none"/>
              </w:rPr>
            </w:pPr>
            <w:r>
              <w:rPr>
                <w:color w:val="auto"/>
                <w:kern w:val="0"/>
                <w:sz w:val="18"/>
                <w:szCs w:val="18"/>
                <w:highlight w:val="none"/>
              </w:rPr>
              <w:t>Z＜2000</w:t>
            </w:r>
          </w:p>
        </w:tc>
      </w:tr>
      <w:tr w14:paraId="2690F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restart"/>
            <w:noWrap w:val="0"/>
            <w:vAlign w:val="center"/>
          </w:tcPr>
          <w:p w14:paraId="04178201">
            <w:pPr>
              <w:widowControl/>
              <w:spacing w:line="280" w:lineRule="exact"/>
              <w:jc w:val="left"/>
              <w:rPr>
                <w:color w:val="auto"/>
                <w:kern w:val="0"/>
                <w:sz w:val="18"/>
                <w:szCs w:val="18"/>
                <w:highlight w:val="none"/>
              </w:rPr>
            </w:pPr>
            <w:r>
              <w:rPr>
                <w:color w:val="auto"/>
                <w:kern w:val="0"/>
                <w:sz w:val="18"/>
                <w:szCs w:val="18"/>
                <w:highlight w:val="none"/>
              </w:rPr>
              <w:t>物业管理</w:t>
            </w:r>
          </w:p>
        </w:tc>
        <w:tc>
          <w:tcPr>
            <w:tcW w:w="1369" w:type="dxa"/>
            <w:noWrap w:val="0"/>
            <w:vAlign w:val="center"/>
          </w:tcPr>
          <w:p w14:paraId="0C9F0D13">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097657E0">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1BC162F9">
            <w:pPr>
              <w:widowControl/>
              <w:spacing w:line="280" w:lineRule="exact"/>
              <w:jc w:val="center"/>
              <w:rPr>
                <w:color w:val="auto"/>
                <w:kern w:val="0"/>
                <w:sz w:val="18"/>
                <w:szCs w:val="18"/>
                <w:highlight w:val="none"/>
              </w:rPr>
            </w:pPr>
            <w:r>
              <w:rPr>
                <w:color w:val="auto"/>
                <w:kern w:val="0"/>
                <w:sz w:val="18"/>
                <w:szCs w:val="18"/>
                <w:highlight w:val="none"/>
              </w:rPr>
              <w:t>X≥1000</w:t>
            </w:r>
          </w:p>
        </w:tc>
        <w:tc>
          <w:tcPr>
            <w:tcW w:w="1701" w:type="dxa"/>
            <w:noWrap w:val="0"/>
            <w:vAlign w:val="center"/>
          </w:tcPr>
          <w:p w14:paraId="48FE54FB">
            <w:pPr>
              <w:widowControl/>
              <w:spacing w:line="280" w:lineRule="exact"/>
              <w:jc w:val="center"/>
              <w:rPr>
                <w:color w:val="auto"/>
                <w:kern w:val="0"/>
                <w:sz w:val="18"/>
                <w:szCs w:val="18"/>
                <w:highlight w:val="none"/>
              </w:rPr>
            </w:pPr>
            <w:r>
              <w:rPr>
                <w:color w:val="auto"/>
                <w:kern w:val="0"/>
                <w:sz w:val="18"/>
                <w:szCs w:val="18"/>
                <w:highlight w:val="none"/>
              </w:rPr>
              <w:t>300≤X＜1000</w:t>
            </w:r>
          </w:p>
        </w:tc>
        <w:tc>
          <w:tcPr>
            <w:tcW w:w="1426" w:type="dxa"/>
            <w:noWrap w:val="0"/>
            <w:vAlign w:val="center"/>
          </w:tcPr>
          <w:p w14:paraId="19F63434">
            <w:pPr>
              <w:widowControl/>
              <w:spacing w:line="280" w:lineRule="exact"/>
              <w:jc w:val="center"/>
              <w:rPr>
                <w:color w:val="auto"/>
                <w:kern w:val="0"/>
                <w:sz w:val="18"/>
                <w:szCs w:val="18"/>
                <w:highlight w:val="none"/>
              </w:rPr>
            </w:pPr>
            <w:r>
              <w:rPr>
                <w:color w:val="auto"/>
                <w:kern w:val="0"/>
                <w:sz w:val="18"/>
                <w:szCs w:val="18"/>
                <w:highlight w:val="none"/>
              </w:rPr>
              <w:t>100≤X＜300</w:t>
            </w:r>
          </w:p>
        </w:tc>
        <w:tc>
          <w:tcPr>
            <w:tcW w:w="992" w:type="dxa"/>
            <w:noWrap w:val="0"/>
            <w:vAlign w:val="center"/>
          </w:tcPr>
          <w:p w14:paraId="095D0EA3">
            <w:pPr>
              <w:widowControl/>
              <w:spacing w:line="280" w:lineRule="exact"/>
              <w:jc w:val="center"/>
              <w:rPr>
                <w:color w:val="auto"/>
                <w:kern w:val="0"/>
                <w:sz w:val="18"/>
                <w:szCs w:val="18"/>
                <w:highlight w:val="none"/>
              </w:rPr>
            </w:pPr>
            <w:r>
              <w:rPr>
                <w:color w:val="auto"/>
                <w:kern w:val="0"/>
                <w:sz w:val="18"/>
                <w:szCs w:val="18"/>
                <w:highlight w:val="none"/>
              </w:rPr>
              <w:t>X＜100</w:t>
            </w:r>
          </w:p>
        </w:tc>
      </w:tr>
      <w:tr w14:paraId="55BBE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continue"/>
            <w:noWrap w:val="0"/>
            <w:vAlign w:val="center"/>
          </w:tcPr>
          <w:p w14:paraId="49BF8D8E">
            <w:pPr>
              <w:widowControl/>
              <w:spacing w:line="280" w:lineRule="exact"/>
              <w:jc w:val="left"/>
              <w:rPr>
                <w:color w:val="auto"/>
                <w:kern w:val="0"/>
                <w:sz w:val="18"/>
                <w:szCs w:val="18"/>
                <w:highlight w:val="none"/>
              </w:rPr>
            </w:pPr>
          </w:p>
        </w:tc>
        <w:tc>
          <w:tcPr>
            <w:tcW w:w="1369" w:type="dxa"/>
            <w:noWrap w:val="0"/>
            <w:vAlign w:val="center"/>
          </w:tcPr>
          <w:p w14:paraId="3ADC08C8">
            <w:pPr>
              <w:widowControl/>
              <w:spacing w:line="280" w:lineRule="exact"/>
              <w:jc w:val="center"/>
              <w:rPr>
                <w:color w:val="auto"/>
                <w:kern w:val="0"/>
                <w:sz w:val="18"/>
                <w:szCs w:val="18"/>
                <w:highlight w:val="none"/>
              </w:rPr>
            </w:pPr>
            <w:r>
              <w:rPr>
                <w:color w:val="auto"/>
                <w:kern w:val="0"/>
                <w:sz w:val="18"/>
                <w:szCs w:val="18"/>
                <w:highlight w:val="none"/>
              </w:rPr>
              <w:t>营业收入(Y)</w:t>
            </w:r>
          </w:p>
        </w:tc>
        <w:tc>
          <w:tcPr>
            <w:tcW w:w="709" w:type="dxa"/>
            <w:noWrap w:val="0"/>
            <w:vAlign w:val="center"/>
          </w:tcPr>
          <w:p w14:paraId="55CC6B85">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5D78A603">
            <w:pPr>
              <w:widowControl/>
              <w:spacing w:line="280" w:lineRule="exact"/>
              <w:jc w:val="center"/>
              <w:rPr>
                <w:color w:val="auto"/>
                <w:kern w:val="0"/>
                <w:sz w:val="18"/>
                <w:szCs w:val="18"/>
                <w:highlight w:val="none"/>
              </w:rPr>
            </w:pPr>
            <w:r>
              <w:rPr>
                <w:color w:val="auto"/>
                <w:kern w:val="0"/>
                <w:sz w:val="18"/>
                <w:szCs w:val="18"/>
                <w:highlight w:val="none"/>
              </w:rPr>
              <w:t>Y≥5000</w:t>
            </w:r>
          </w:p>
        </w:tc>
        <w:tc>
          <w:tcPr>
            <w:tcW w:w="1701" w:type="dxa"/>
            <w:noWrap w:val="0"/>
            <w:vAlign w:val="center"/>
          </w:tcPr>
          <w:p w14:paraId="6D9D1384">
            <w:pPr>
              <w:widowControl/>
              <w:spacing w:line="280" w:lineRule="exact"/>
              <w:ind w:left="1" w:leftChars="-51" w:hanging="108" w:hangingChars="60"/>
              <w:jc w:val="center"/>
              <w:rPr>
                <w:color w:val="auto"/>
                <w:kern w:val="0"/>
                <w:sz w:val="18"/>
                <w:szCs w:val="18"/>
                <w:highlight w:val="none"/>
              </w:rPr>
            </w:pPr>
            <w:r>
              <w:rPr>
                <w:color w:val="auto"/>
                <w:kern w:val="0"/>
                <w:sz w:val="18"/>
                <w:szCs w:val="18"/>
                <w:highlight w:val="none"/>
              </w:rPr>
              <w:t>1000≤Y＜5000</w:t>
            </w:r>
          </w:p>
        </w:tc>
        <w:tc>
          <w:tcPr>
            <w:tcW w:w="1426" w:type="dxa"/>
            <w:noWrap w:val="0"/>
            <w:vAlign w:val="center"/>
          </w:tcPr>
          <w:p w14:paraId="501763B0">
            <w:pPr>
              <w:widowControl/>
              <w:spacing w:line="280" w:lineRule="exact"/>
              <w:jc w:val="center"/>
              <w:rPr>
                <w:color w:val="auto"/>
                <w:kern w:val="0"/>
                <w:sz w:val="18"/>
                <w:szCs w:val="18"/>
                <w:highlight w:val="none"/>
              </w:rPr>
            </w:pPr>
            <w:r>
              <w:rPr>
                <w:color w:val="auto"/>
                <w:kern w:val="0"/>
                <w:sz w:val="18"/>
                <w:szCs w:val="18"/>
                <w:highlight w:val="none"/>
              </w:rPr>
              <w:t>500≤Y＜1000</w:t>
            </w:r>
          </w:p>
        </w:tc>
        <w:tc>
          <w:tcPr>
            <w:tcW w:w="992" w:type="dxa"/>
            <w:noWrap w:val="0"/>
            <w:vAlign w:val="center"/>
          </w:tcPr>
          <w:p w14:paraId="5A9ABBA0">
            <w:pPr>
              <w:widowControl/>
              <w:spacing w:line="280" w:lineRule="exact"/>
              <w:jc w:val="center"/>
              <w:rPr>
                <w:color w:val="auto"/>
                <w:kern w:val="0"/>
                <w:sz w:val="18"/>
                <w:szCs w:val="18"/>
                <w:highlight w:val="none"/>
              </w:rPr>
            </w:pPr>
            <w:r>
              <w:rPr>
                <w:color w:val="auto"/>
                <w:kern w:val="0"/>
                <w:sz w:val="18"/>
                <w:szCs w:val="18"/>
                <w:highlight w:val="none"/>
              </w:rPr>
              <w:t>Y＜500</w:t>
            </w:r>
          </w:p>
        </w:tc>
      </w:tr>
      <w:tr w14:paraId="4C9C8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restart"/>
            <w:noWrap w:val="0"/>
            <w:vAlign w:val="center"/>
          </w:tcPr>
          <w:p w14:paraId="21F6FF83">
            <w:pPr>
              <w:widowControl/>
              <w:spacing w:line="280" w:lineRule="exact"/>
              <w:jc w:val="left"/>
              <w:rPr>
                <w:color w:val="auto"/>
                <w:kern w:val="0"/>
                <w:sz w:val="18"/>
                <w:szCs w:val="18"/>
                <w:highlight w:val="none"/>
              </w:rPr>
            </w:pPr>
            <w:r>
              <w:rPr>
                <w:color w:val="auto"/>
                <w:kern w:val="0"/>
                <w:sz w:val="18"/>
                <w:szCs w:val="18"/>
                <w:highlight w:val="none"/>
              </w:rPr>
              <w:t>租赁和商务服务业</w:t>
            </w:r>
          </w:p>
        </w:tc>
        <w:tc>
          <w:tcPr>
            <w:tcW w:w="1369" w:type="dxa"/>
            <w:noWrap w:val="0"/>
            <w:vAlign w:val="center"/>
          </w:tcPr>
          <w:p w14:paraId="55902846">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18B67D1B">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347187AA">
            <w:pPr>
              <w:widowControl/>
              <w:spacing w:line="280" w:lineRule="exact"/>
              <w:jc w:val="center"/>
              <w:rPr>
                <w:color w:val="auto"/>
                <w:kern w:val="0"/>
                <w:sz w:val="18"/>
                <w:szCs w:val="18"/>
                <w:highlight w:val="none"/>
              </w:rPr>
            </w:pPr>
            <w:r>
              <w:rPr>
                <w:color w:val="auto"/>
                <w:kern w:val="0"/>
                <w:sz w:val="18"/>
                <w:szCs w:val="18"/>
                <w:highlight w:val="none"/>
              </w:rPr>
              <w:t>X≥300</w:t>
            </w:r>
          </w:p>
        </w:tc>
        <w:tc>
          <w:tcPr>
            <w:tcW w:w="1701" w:type="dxa"/>
            <w:noWrap w:val="0"/>
            <w:vAlign w:val="center"/>
          </w:tcPr>
          <w:p w14:paraId="23CB254F">
            <w:pPr>
              <w:widowControl/>
              <w:spacing w:line="280" w:lineRule="exact"/>
              <w:ind w:left="1" w:leftChars="-51" w:hanging="108" w:hangingChars="60"/>
              <w:jc w:val="center"/>
              <w:rPr>
                <w:color w:val="auto"/>
                <w:kern w:val="0"/>
                <w:sz w:val="18"/>
                <w:szCs w:val="18"/>
                <w:highlight w:val="none"/>
              </w:rPr>
            </w:pPr>
            <w:r>
              <w:rPr>
                <w:color w:val="auto"/>
                <w:kern w:val="0"/>
                <w:sz w:val="18"/>
                <w:szCs w:val="18"/>
                <w:highlight w:val="none"/>
              </w:rPr>
              <w:t>100≤X＜300</w:t>
            </w:r>
          </w:p>
        </w:tc>
        <w:tc>
          <w:tcPr>
            <w:tcW w:w="1426" w:type="dxa"/>
            <w:noWrap w:val="0"/>
            <w:vAlign w:val="center"/>
          </w:tcPr>
          <w:p w14:paraId="25892693">
            <w:pPr>
              <w:widowControl/>
              <w:spacing w:line="280" w:lineRule="exact"/>
              <w:jc w:val="center"/>
              <w:rPr>
                <w:color w:val="auto"/>
                <w:kern w:val="0"/>
                <w:sz w:val="18"/>
                <w:szCs w:val="18"/>
                <w:highlight w:val="none"/>
              </w:rPr>
            </w:pPr>
            <w:r>
              <w:rPr>
                <w:color w:val="auto"/>
                <w:kern w:val="0"/>
                <w:sz w:val="18"/>
                <w:szCs w:val="18"/>
                <w:highlight w:val="none"/>
              </w:rPr>
              <w:t>10≤X＜100</w:t>
            </w:r>
          </w:p>
        </w:tc>
        <w:tc>
          <w:tcPr>
            <w:tcW w:w="992" w:type="dxa"/>
            <w:noWrap w:val="0"/>
            <w:vAlign w:val="center"/>
          </w:tcPr>
          <w:p w14:paraId="6303F951">
            <w:pPr>
              <w:widowControl/>
              <w:spacing w:line="280" w:lineRule="exact"/>
              <w:jc w:val="center"/>
              <w:rPr>
                <w:color w:val="auto"/>
                <w:kern w:val="0"/>
                <w:sz w:val="18"/>
                <w:szCs w:val="18"/>
                <w:highlight w:val="none"/>
              </w:rPr>
            </w:pPr>
            <w:r>
              <w:rPr>
                <w:color w:val="auto"/>
                <w:kern w:val="0"/>
                <w:sz w:val="18"/>
                <w:szCs w:val="18"/>
                <w:highlight w:val="none"/>
              </w:rPr>
              <w:t>X＜10</w:t>
            </w:r>
          </w:p>
        </w:tc>
      </w:tr>
      <w:tr w14:paraId="46296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2113" w:type="dxa"/>
            <w:vMerge w:val="continue"/>
            <w:noWrap w:val="0"/>
            <w:vAlign w:val="center"/>
          </w:tcPr>
          <w:p w14:paraId="2AE4F878">
            <w:pPr>
              <w:widowControl/>
              <w:spacing w:line="280" w:lineRule="exact"/>
              <w:jc w:val="left"/>
              <w:rPr>
                <w:color w:val="auto"/>
                <w:kern w:val="0"/>
                <w:sz w:val="18"/>
                <w:szCs w:val="18"/>
                <w:highlight w:val="none"/>
              </w:rPr>
            </w:pPr>
          </w:p>
        </w:tc>
        <w:tc>
          <w:tcPr>
            <w:tcW w:w="1369" w:type="dxa"/>
            <w:noWrap w:val="0"/>
            <w:vAlign w:val="center"/>
          </w:tcPr>
          <w:p w14:paraId="1789BAF3">
            <w:pPr>
              <w:widowControl/>
              <w:spacing w:line="280" w:lineRule="exact"/>
              <w:jc w:val="center"/>
              <w:rPr>
                <w:color w:val="auto"/>
                <w:kern w:val="0"/>
                <w:sz w:val="18"/>
                <w:szCs w:val="18"/>
                <w:highlight w:val="none"/>
              </w:rPr>
            </w:pPr>
            <w:r>
              <w:rPr>
                <w:color w:val="auto"/>
                <w:kern w:val="0"/>
                <w:sz w:val="18"/>
                <w:szCs w:val="18"/>
                <w:highlight w:val="none"/>
              </w:rPr>
              <w:t>资产总额(Z)</w:t>
            </w:r>
          </w:p>
        </w:tc>
        <w:tc>
          <w:tcPr>
            <w:tcW w:w="709" w:type="dxa"/>
            <w:noWrap w:val="0"/>
            <w:vAlign w:val="center"/>
          </w:tcPr>
          <w:p w14:paraId="195528AD">
            <w:pPr>
              <w:widowControl/>
              <w:spacing w:line="280" w:lineRule="exact"/>
              <w:jc w:val="center"/>
              <w:rPr>
                <w:color w:val="auto"/>
                <w:kern w:val="0"/>
                <w:sz w:val="18"/>
                <w:szCs w:val="18"/>
                <w:highlight w:val="none"/>
              </w:rPr>
            </w:pPr>
            <w:r>
              <w:rPr>
                <w:color w:val="auto"/>
                <w:kern w:val="0"/>
                <w:sz w:val="18"/>
                <w:szCs w:val="18"/>
                <w:highlight w:val="none"/>
              </w:rPr>
              <w:t>万元</w:t>
            </w:r>
          </w:p>
        </w:tc>
        <w:tc>
          <w:tcPr>
            <w:tcW w:w="1125" w:type="dxa"/>
            <w:noWrap w:val="0"/>
            <w:vAlign w:val="center"/>
          </w:tcPr>
          <w:p w14:paraId="6F1827BD">
            <w:pPr>
              <w:widowControl/>
              <w:spacing w:line="280" w:lineRule="exact"/>
              <w:jc w:val="center"/>
              <w:rPr>
                <w:color w:val="auto"/>
                <w:kern w:val="0"/>
                <w:sz w:val="18"/>
                <w:szCs w:val="18"/>
                <w:highlight w:val="none"/>
              </w:rPr>
            </w:pPr>
            <w:r>
              <w:rPr>
                <w:color w:val="auto"/>
                <w:kern w:val="0"/>
                <w:sz w:val="18"/>
                <w:szCs w:val="18"/>
                <w:highlight w:val="none"/>
              </w:rPr>
              <w:t>Z≥120000</w:t>
            </w:r>
          </w:p>
        </w:tc>
        <w:tc>
          <w:tcPr>
            <w:tcW w:w="1701" w:type="dxa"/>
            <w:noWrap w:val="0"/>
            <w:vAlign w:val="center"/>
          </w:tcPr>
          <w:p w14:paraId="135A7EDA">
            <w:pPr>
              <w:widowControl/>
              <w:spacing w:line="280" w:lineRule="exact"/>
              <w:jc w:val="center"/>
              <w:rPr>
                <w:color w:val="auto"/>
                <w:kern w:val="0"/>
                <w:sz w:val="18"/>
                <w:szCs w:val="18"/>
                <w:highlight w:val="none"/>
              </w:rPr>
            </w:pPr>
            <w:r>
              <w:rPr>
                <w:color w:val="auto"/>
                <w:kern w:val="0"/>
                <w:sz w:val="18"/>
                <w:szCs w:val="18"/>
                <w:highlight w:val="none"/>
              </w:rPr>
              <w:t>8000≤Z＜120000</w:t>
            </w:r>
          </w:p>
        </w:tc>
        <w:tc>
          <w:tcPr>
            <w:tcW w:w="1426" w:type="dxa"/>
            <w:noWrap w:val="0"/>
            <w:vAlign w:val="center"/>
          </w:tcPr>
          <w:p w14:paraId="6A4846A9">
            <w:pPr>
              <w:widowControl/>
              <w:spacing w:line="280" w:lineRule="exact"/>
              <w:jc w:val="center"/>
              <w:rPr>
                <w:color w:val="auto"/>
                <w:kern w:val="0"/>
                <w:sz w:val="18"/>
                <w:szCs w:val="18"/>
                <w:highlight w:val="none"/>
              </w:rPr>
            </w:pPr>
            <w:r>
              <w:rPr>
                <w:color w:val="auto"/>
                <w:kern w:val="0"/>
                <w:sz w:val="18"/>
                <w:szCs w:val="18"/>
                <w:highlight w:val="none"/>
              </w:rPr>
              <w:t>100≤Z＜8000</w:t>
            </w:r>
          </w:p>
        </w:tc>
        <w:tc>
          <w:tcPr>
            <w:tcW w:w="992" w:type="dxa"/>
            <w:noWrap w:val="0"/>
            <w:vAlign w:val="center"/>
          </w:tcPr>
          <w:p w14:paraId="378AA8B7">
            <w:pPr>
              <w:widowControl/>
              <w:spacing w:line="280" w:lineRule="exact"/>
              <w:jc w:val="center"/>
              <w:rPr>
                <w:color w:val="auto"/>
                <w:kern w:val="0"/>
                <w:sz w:val="18"/>
                <w:szCs w:val="18"/>
                <w:highlight w:val="none"/>
              </w:rPr>
            </w:pPr>
            <w:r>
              <w:rPr>
                <w:color w:val="auto"/>
                <w:kern w:val="0"/>
                <w:sz w:val="18"/>
                <w:szCs w:val="18"/>
                <w:highlight w:val="none"/>
              </w:rPr>
              <w:t>Z＜100</w:t>
            </w:r>
          </w:p>
        </w:tc>
      </w:tr>
      <w:tr w14:paraId="282F0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13" w:type="dxa"/>
            <w:noWrap w:val="0"/>
            <w:vAlign w:val="center"/>
          </w:tcPr>
          <w:p w14:paraId="7606EC21">
            <w:pPr>
              <w:widowControl/>
              <w:spacing w:line="280" w:lineRule="exact"/>
              <w:jc w:val="left"/>
              <w:rPr>
                <w:color w:val="auto"/>
                <w:kern w:val="0"/>
                <w:sz w:val="18"/>
                <w:szCs w:val="18"/>
                <w:highlight w:val="none"/>
              </w:rPr>
            </w:pPr>
            <w:r>
              <w:rPr>
                <w:color w:val="auto"/>
                <w:kern w:val="0"/>
                <w:sz w:val="18"/>
                <w:szCs w:val="18"/>
                <w:highlight w:val="none"/>
              </w:rPr>
              <w:t>其他未列明行业 *</w:t>
            </w:r>
          </w:p>
        </w:tc>
        <w:tc>
          <w:tcPr>
            <w:tcW w:w="1369" w:type="dxa"/>
            <w:noWrap w:val="0"/>
            <w:vAlign w:val="center"/>
          </w:tcPr>
          <w:p w14:paraId="7837187A">
            <w:pPr>
              <w:widowControl/>
              <w:spacing w:line="280" w:lineRule="exact"/>
              <w:jc w:val="center"/>
              <w:rPr>
                <w:color w:val="auto"/>
                <w:kern w:val="0"/>
                <w:sz w:val="18"/>
                <w:szCs w:val="18"/>
                <w:highlight w:val="none"/>
              </w:rPr>
            </w:pPr>
            <w:r>
              <w:rPr>
                <w:color w:val="auto"/>
                <w:kern w:val="0"/>
                <w:sz w:val="18"/>
                <w:szCs w:val="18"/>
                <w:highlight w:val="none"/>
              </w:rPr>
              <w:t>从业人员(X)</w:t>
            </w:r>
          </w:p>
        </w:tc>
        <w:tc>
          <w:tcPr>
            <w:tcW w:w="709" w:type="dxa"/>
            <w:noWrap w:val="0"/>
            <w:vAlign w:val="center"/>
          </w:tcPr>
          <w:p w14:paraId="45C3B944">
            <w:pPr>
              <w:widowControl/>
              <w:spacing w:line="280" w:lineRule="exact"/>
              <w:jc w:val="center"/>
              <w:rPr>
                <w:color w:val="auto"/>
                <w:kern w:val="0"/>
                <w:sz w:val="18"/>
                <w:szCs w:val="18"/>
                <w:highlight w:val="none"/>
              </w:rPr>
            </w:pPr>
            <w:r>
              <w:rPr>
                <w:color w:val="auto"/>
                <w:kern w:val="0"/>
                <w:sz w:val="18"/>
                <w:szCs w:val="18"/>
                <w:highlight w:val="none"/>
              </w:rPr>
              <w:t>人</w:t>
            </w:r>
          </w:p>
        </w:tc>
        <w:tc>
          <w:tcPr>
            <w:tcW w:w="1125" w:type="dxa"/>
            <w:noWrap w:val="0"/>
            <w:vAlign w:val="center"/>
          </w:tcPr>
          <w:p w14:paraId="10CB758E">
            <w:pPr>
              <w:widowControl/>
              <w:spacing w:line="280" w:lineRule="exact"/>
              <w:jc w:val="center"/>
              <w:rPr>
                <w:color w:val="auto"/>
                <w:kern w:val="0"/>
                <w:sz w:val="18"/>
                <w:szCs w:val="18"/>
                <w:highlight w:val="none"/>
              </w:rPr>
            </w:pPr>
            <w:r>
              <w:rPr>
                <w:color w:val="auto"/>
                <w:kern w:val="0"/>
                <w:sz w:val="18"/>
                <w:szCs w:val="18"/>
                <w:highlight w:val="none"/>
              </w:rPr>
              <w:t>X≥300</w:t>
            </w:r>
          </w:p>
        </w:tc>
        <w:tc>
          <w:tcPr>
            <w:tcW w:w="1701" w:type="dxa"/>
            <w:noWrap w:val="0"/>
            <w:vAlign w:val="center"/>
          </w:tcPr>
          <w:p w14:paraId="71C76685">
            <w:pPr>
              <w:widowControl/>
              <w:spacing w:line="280" w:lineRule="exact"/>
              <w:ind w:left="1" w:leftChars="-51" w:hanging="108" w:hangingChars="60"/>
              <w:jc w:val="center"/>
              <w:rPr>
                <w:color w:val="auto"/>
                <w:kern w:val="0"/>
                <w:sz w:val="18"/>
                <w:szCs w:val="18"/>
                <w:highlight w:val="none"/>
              </w:rPr>
            </w:pPr>
            <w:r>
              <w:rPr>
                <w:color w:val="auto"/>
                <w:kern w:val="0"/>
                <w:sz w:val="18"/>
                <w:szCs w:val="18"/>
                <w:highlight w:val="none"/>
              </w:rPr>
              <w:t>100≤X＜300</w:t>
            </w:r>
          </w:p>
        </w:tc>
        <w:tc>
          <w:tcPr>
            <w:tcW w:w="1426" w:type="dxa"/>
            <w:noWrap w:val="0"/>
            <w:vAlign w:val="center"/>
          </w:tcPr>
          <w:p w14:paraId="2A790819">
            <w:pPr>
              <w:widowControl/>
              <w:spacing w:line="280" w:lineRule="exact"/>
              <w:jc w:val="center"/>
              <w:rPr>
                <w:color w:val="auto"/>
                <w:kern w:val="0"/>
                <w:sz w:val="18"/>
                <w:szCs w:val="18"/>
                <w:highlight w:val="none"/>
              </w:rPr>
            </w:pPr>
            <w:r>
              <w:rPr>
                <w:color w:val="auto"/>
                <w:kern w:val="0"/>
                <w:sz w:val="18"/>
                <w:szCs w:val="18"/>
                <w:highlight w:val="none"/>
              </w:rPr>
              <w:t>10≤X＜100</w:t>
            </w:r>
          </w:p>
        </w:tc>
        <w:tc>
          <w:tcPr>
            <w:tcW w:w="992" w:type="dxa"/>
            <w:noWrap w:val="0"/>
            <w:vAlign w:val="center"/>
          </w:tcPr>
          <w:p w14:paraId="545CB405">
            <w:pPr>
              <w:widowControl/>
              <w:spacing w:line="280" w:lineRule="exact"/>
              <w:jc w:val="center"/>
              <w:rPr>
                <w:color w:val="auto"/>
                <w:kern w:val="0"/>
                <w:sz w:val="18"/>
                <w:szCs w:val="18"/>
                <w:highlight w:val="none"/>
              </w:rPr>
            </w:pPr>
            <w:r>
              <w:rPr>
                <w:color w:val="auto"/>
                <w:kern w:val="0"/>
                <w:sz w:val="18"/>
                <w:szCs w:val="18"/>
                <w:highlight w:val="none"/>
              </w:rPr>
              <w:t>X＜10</w:t>
            </w:r>
          </w:p>
        </w:tc>
      </w:tr>
    </w:tbl>
    <w:p w14:paraId="3A707FE8">
      <w:pPr>
        <w:widowControl/>
        <w:spacing w:line="280" w:lineRule="exact"/>
        <w:rPr>
          <w:color w:val="auto"/>
          <w:spacing w:val="8"/>
          <w:kern w:val="0"/>
          <w:sz w:val="24"/>
          <w:highlight w:val="none"/>
        </w:rPr>
      </w:pPr>
    </w:p>
    <w:p w14:paraId="523D3F48">
      <w:pPr>
        <w:widowControl/>
        <w:spacing w:line="480" w:lineRule="auto"/>
        <w:rPr>
          <w:color w:val="auto"/>
          <w:spacing w:val="8"/>
          <w:kern w:val="0"/>
          <w:szCs w:val="21"/>
          <w:highlight w:val="none"/>
        </w:rPr>
      </w:pPr>
      <w:r>
        <w:rPr>
          <w:color w:val="auto"/>
          <w:spacing w:val="8"/>
          <w:kern w:val="0"/>
          <w:szCs w:val="21"/>
          <w:highlight w:val="none"/>
        </w:rPr>
        <w:t>说明：</w:t>
      </w:r>
    </w:p>
    <w:p w14:paraId="2F3A6DBC">
      <w:pPr>
        <w:pStyle w:val="18"/>
        <w:adjustRightInd w:val="0"/>
        <w:spacing w:line="480" w:lineRule="auto"/>
        <w:ind w:firstLine="432" w:firstLineChars="200"/>
        <w:contextualSpacing/>
        <w:rPr>
          <w:rFonts w:ascii="Times New Roman" w:hAnsi="Times New Roman"/>
          <w:color w:val="auto"/>
          <w:spacing w:val="8"/>
          <w:highlight w:val="none"/>
        </w:rPr>
      </w:pPr>
      <w:r>
        <w:rPr>
          <w:rFonts w:ascii="Times New Roman" w:hAnsi="Times New Roman"/>
          <w:color w:val="auto"/>
          <w:spacing w:val="8"/>
          <w:highlight w:val="none"/>
        </w:rPr>
        <w:t>1.大型、中型和小型企业须同时满足所列指标的下限，否则下划一档；微型企业只须满足所列指标中的一项即可。</w:t>
      </w:r>
    </w:p>
    <w:p w14:paraId="19D12AF3">
      <w:pPr>
        <w:pStyle w:val="18"/>
        <w:adjustRightInd w:val="0"/>
        <w:spacing w:line="480" w:lineRule="auto"/>
        <w:ind w:firstLine="432" w:firstLineChars="200"/>
        <w:contextualSpacing/>
        <w:rPr>
          <w:rFonts w:ascii="Times New Roman" w:hAnsi="Times New Roman"/>
          <w:color w:val="auto"/>
          <w:spacing w:val="8"/>
          <w:highlight w:val="none"/>
        </w:rPr>
      </w:pPr>
      <w:r>
        <w:rPr>
          <w:rFonts w:ascii="Times New Roman" w:hAnsi="Times New Roman"/>
          <w:color w:val="auto"/>
          <w:spacing w:val="8"/>
          <w:highlight w:val="none"/>
        </w:rPr>
        <w:t>2.附表中各行业的范围以《国民经济行业分类》（GB/T4754-2017）为准。带*的项为行业组合类别，其中，工业包括采矿业，制造业，电力、热力、燃气及水生产和供应业；交通运输业包括道路运输业，水上运输业，航空运输业，管道运输业，多式联运和运输代理业、装卸搬运，不包括铁路运输业；仓储业包括通用仓储，低温仓储，危险品仓储，谷物、棉花等农产品仓储，中药材仓储和其他仓储业</w:t>
      </w:r>
      <w:r>
        <w:rPr>
          <w:rFonts w:ascii="Times New Roman" w:hAnsi="Times New Roman"/>
          <w:color w:val="auto"/>
          <w:spacing w:val="8"/>
          <w:highlight w:val="none"/>
          <w:lang w:eastAsia="zh-CN"/>
        </w:rPr>
        <w:t>；</w:t>
      </w:r>
      <w:r>
        <w:rPr>
          <w:rFonts w:ascii="Times New Roman" w:hAnsi="Times New Roman"/>
          <w:color w:val="auto"/>
          <w:spacing w:val="8"/>
          <w:highlight w:val="none"/>
        </w:rPr>
        <w:t>信息传输业包括电信、广播电视和卫星传输服务，互联网和相关服务；其他未列明行业包括科学研究和技术服务业，水利、环境和公共设施管理业，居民服务、修理和其他服务业，社会工作，文化、体育和娱乐业，以及房地产中介服务，其他房地产业等，不包括自有房地产经营活动。</w:t>
      </w:r>
    </w:p>
    <w:p w14:paraId="01053F8F">
      <w:pPr>
        <w:pStyle w:val="18"/>
        <w:spacing w:line="480" w:lineRule="auto"/>
        <w:ind w:firstLine="432" w:firstLineChars="200"/>
        <w:rPr>
          <w:rFonts w:ascii="Times New Roman" w:hAnsi="Times New Roman" w:eastAsia="宋体" w:cs="Times New Roman"/>
          <w:color w:val="auto"/>
          <w:spacing w:val="8"/>
          <w:highlight w:val="none"/>
          <w:lang w:val="en-US" w:eastAsia="zh-CN"/>
        </w:rPr>
      </w:pPr>
      <w:r>
        <w:rPr>
          <w:rFonts w:ascii="Times New Roman" w:hAnsi="Times New Roman" w:eastAsia="宋体" w:cs="Times New Roman"/>
          <w:color w:val="auto"/>
          <w:spacing w:val="8"/>
          <w:highlight w:val="none"/>
        </w:rPr>
        <w:t>3.企业划分指标以现行统计制度为准。（1）从业人员，是指期末从业人员数，没有期末从业人员数的，采用全年平均人员数代替。（2）营业收入，工业、建筑业、限额以上批发和零售业、限额以上住宿和餐饮业以及其他设置主营业务收入指标的行业，采用主营业务收入；限额以下批发与零售业企业采用商品销售额代替；限额以下住宿与餐饮业企业采用营业额代替；农、林、牧、渔业企业采用营业总</w:t>
      </w:r>
      <w:r>
        <w:rPr>
          <w:rFonts w:ascii="Times New Roman" w:hAnsi="Times New Roman" w:eastAsia="宋体" w:cs="Times New Roman"/>
          <w:color w:val="auto"/>
          <w:spacing w:val="8"/>
          <w:highlight w:val="none"/>
          <w:lang w:val="en-US" w:eastAsia="zh-CN"/>
        </w:rPr>
        <w:t>收入代替；其他未设置主营业务收入的行业，采用营业收入指标。（3）资产总额，采用资产总计代替。</w:t>
      </w:r>
    </w:p>
    <w:p w14:paraId="0B138B9B">
      <w:pPr>
        <w:pStyle w:val="10"/>
        <w:rPr>
          <w:rFonts w:eastAsia="Arial Unicode MS"/>
          <w:color w:val="auto"/>
          <w:kern w:val="0"/>
          <w:sz w:val="32"/>
          <w:szCs w:val="32"/>
          <w:highlight w:val="none"/>
        </w:rPr>
      </w:pPr>
    </w:p>
    <w:p w14:paraId="310E7AAC">
      <w:pPr>
        <w:rPr>
          <w:rFonts w:hint="eastAsia" w:ascii="华文中宋" w:hAnsi="华文中宋" w:eastAsia="华文中宋" w:cs="华文中宋"/>
          <w:color w:val="auto"/>
          <w:sz w:val="32"/>
          <w:szCs w:val="32"/>
        </w:rPr>
      </w:pPr>
      <w:bookmarkStart w:id="59" w:name="_Toc16791"/>
      <w:bookmarkStart w:id="60" w:name="_Toc3319"/>
      <w:bookmarkStart w:id="61" w:name="_Toc24174"/>
      <w:bookmarkStart w:id="62" w:name="_Toc80886927"/>
      <w:bookmarkStart w:id="63" w:name="_Toc13614"/>
      <w:bookmarkStart w:id="64" w:name="_Toc21050"/>
      <w:bookmarkStart w:id="65" w:name="_Toc9239"/>
      <w:bookmarkStart w:id="66" w:name="_Toc7704"/>
      <w:r>
        <w:rPr>
          <w:rFonts w:hint="eastAsia" w:ascii="华文中宋" w:hAnsi="华文中宋" w:eastAsia="华文中宋" w:cs="华文中宋"/>
          <w:color w:val="auto"/>
          <w:sz w:val="32"/>
          <w:szCs w:val="32"/>
        </w:rPr>
        <w:br w:type="page"/>
      </w:r>
    </w:p>
    <w:p w14:paraId="3630E76E">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华文中宋" w:hAnsi="华文中宋" w:eastAsia="华文中宋" w:cs="华文中宋"/>
          <w:color w:val="auto"/>
          <w:sz w:val="32"/>
          <w:szCs w:val="32"/>
        </w:rPr>
      </w:pPr>
      <w:bookmarkStart w:id="67" w:name="_Toc28406"/>
      <w:bookmarkStart w:id="68" w:name="_Toc7739"/>
      <w:r>
        <w:rPr>
          <w:rFonts w:hint="eastAsia" w:ascii="华文中宋" w:hAnsi="华文中宋" w:eastAsia="华文中宋" w:cs="华文中宋"/>
          <w:color w:val="auto"/>
          <w:sz w:val="32"/>
          <w:szCs w:val="32"/>
        </w:rPr>
        <w:t xml:space="preserve">第三章 </w:t>
      </w:r>
      <w:r>
        <w:rPr>
          <w:rFonts w:hint="eastAsia" w:ascii="华文中宋" w:hAnsi="华文中宋" w:eastAsia="华文中宋" w:cs="华文中宋"/>
          <w:color w:val="auto"/>
          <w:sz w:val="32"/>
          <w:szCs w:val="32"/>
          <w:lang w:val="en-US" w:eastAsia="zh-CN"/>
        </w:rPr>
        <w:t xml:space="preserve"> </w:t>
      </w:r>
      <w:r>
        <w:rPr>
          <w:rFonts w:hint="eastAsia" w:ascii="华文中宋" w:hAnsi="华文中宋" w:eastAsia="华文中宋" w:cs="华文中宋"/>
          <w:color w:val="auto"/>
          <w:sz w:val="32"/>
          <w:szCs w:val="32"/>
        </w:rPr>
        <w:t>供应商须知</w:t>
      </w:r>
      <w:bookmarkEnd w:id="59"/>
      <w:bookmarkEnd w:id="60"/>
      <w:bookmarkEnd w:id="61"/>
      <w:bookmarkEnd w:id="62"/>
      <w:bookmarkEnd w:id="63"/>
      <w:bookmarkEnd w:id="64"/>
      <w:bookmarkEnd w:id="65"/>
      <w:bookmarkEnd w:id="66"/>
      <w:bookmarkEnd w:id="67"/>
      <w:bookmarkEnd w:id="68"/>
    </w:p>
    <w:p w14:paraId="092C0B8E">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b/>
          <w:color w:val="auto"/>
          <w:sz w:val="32"/>
          <w:szCs w:val="32"/>
          <w:highlight w:val="none"/>
        </w:rPr>
      </w:pPr>
      <w:bookmarkStart w:id="69" w:name="_Toc80886928"/>
      <w:bookmarkStart w:id="70" w:name="_Toc30571"/>
      <w:bookmarkStart w:id="71" w:name="_Toc9482"/>
      <w:bookmarkStart w:id="72" w:name="_Toc30660"/>
      <w:r>
        <w:rPr>
          <w:rFonts w:hint="eastAsia" w:ascii="宋体" w:hAnsi="宋体" w:eastAsia="宋体" w:cs="宋体"/>
          <w:b/>
          <w:bCs/>
          <w:color w:val="auto"/>
          <w:sz w:val="30"/>
          <w:szCs w:val="30"/>
          <w:highlight w:val="none"/>
        </w:rPr>
        <w:t xml:space="preserve">第一节 </w:t>
      </w:r>
      <w:r>
        <w:rPr>
          <w:rFonts w:hint="eastAsia" w:ascii="宋体" w:hAnsi="宋体" w:cs="宋体"/>
          <w:b/>
          <w:bCs/>
          <w:color w:val="auto"/>
          <w:sz w:val="30"/>
          <w:szCs w:val="30"/>
          <w:highlight w:val="none"/>
          <w:lang w:val="en-US" w:eastAsia="zh-CN"/>
        </w:rPr>
        <w:t xml:space="preserve"> </w:t>
      </w:r>
      <w:r>
        <w:rPr>
          <w:rFonts w:hint="eastAsia" w:ascii="宋体" w:hAnsi="宋体" w:eastAsia="宋体" w:cs="宋体"/>
          <w:b/>
          <w:bCs/>
          <w:color w:val="auto"/>
          <w:sz w:val="30"/>
          <w:szCs w:val="30"/>
          <w:highlight w:val="none"/>
        </w:rPr>
        <w:t>供应商须知前附表</w:t>
      </w:r>
      <w:bookmarkEnd w:id="69"/>
      <w:bookmarkEnd w:id="70"/>
      <w:bookmarkEnd w:id="71"/>
      <w:bookmarkEnd w:id="72"/>
    </w:p>
    <w:tbl>
      <w:tblPr>
        <w:tblStyle w:val="28"/>
        <w:tblW w:w="9750" w:type="dxa"/>
        <w:tblInd w:w="12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63"/>
        <w:gridCol w:w="2321"/>
        <w:gridCol w:w="6466"/>
      </w:tblGrid>
      <w:tr w14:paraId="400FFD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blHeader/>
        </w:trPr>
        <w:tc>
          <w:tcPr>
            <w:tcW w:w="963" w:type="dxa"/>
            <w:shd w:val="clear" w:color="auto" w:fill="8DB3E2" w:themeFill="text2" w:themeFillTint="66"/>
            <w:noWrap w:val="0"/>
            <w:vAlign w:val="center"/>
          </w:tcPr>
          <w:p w14:paraId="7582CDF2">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bCs w:val="0"/>
                <w:color w:val="auto"/>
                <w:sz w:val="21"/>
                <w:szCs w:val="21"/>
                <w:highlight w:val="none"/>
              </w:rPr>
            </w:pPr>
            <w:r>
              <w:rPr>
                <w:rFonts w:hint="eastAsia" w:ascii="Times New Roman" w:hAnsi="Times New Roman" w:eastAsia="宋体" w:cs="宋体"/>
                <w:b/>
                <w:bCs w:val="0"/>
                <w:color w:val="auto"/>
                <w:sz w:val="21"/>
                <w:szCs w:val="21"/>
                <w:highlight w:val="none"/>
              </w:rPr>
              <w:t>条款号</w:t>
            </w:r>
          </w:p>
        </w:tc>
        <w:tc>
          <w:tcPr>
            <w:tcW w:w="2321" w:type="dxa"/>
            <w:shd w:val="clear" w:color="auto" w:fill="8DB3E2" w:themeFill="text2" w:themeFillTint="66"/>
            <w:noWrap w:val="0"/>
            <w:vAlign w:val="center"/>
          </w:tcPr>
          <w:p w14:paraId="7AA5E9C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bCs w:val="0"/>
                <w:color w:val="auto"/>
                <w:sz w:val="21"/>
                <w:szCs w:val="21"/>
                <w:highlight w:val="none"/>
              </w:rPr>
            </w:pPr>
            <w:r>
              <w:rPr>
                <w:rFonts w:hint="eastAsia" w:ascii="Times New Roman" w:hAnsi="Times New Roman" w:eastAsia="宋体" w:cs="宋体"/>
                <w:b/>
                <w:bCs w:val="0"/>
                <w:color w:val="auto"/>
                <w:sz w:val="21"/>
                <w:szCs w:val="21"/>
                <w:highlight w:val="none"/>
              </w:rPr>
              <w:t>条款内容</w:t>
            </w:r>
          </w:p>
        </w:tc>
        <w:tc>
          <w:tcPr>
            <w:tcW w:w="6466" w:type="dxa"/>
            <w:shd w:val="clear" w:color="auto" w:fill="8DB3E2" w:themeFill="text2" w:themeFillTint="66"/>
            <w:noWrap w:val="0"/>
            <w:vAlign w:val="center"/>
          </w:tcPr>
          <w:p w14:paraId="1D97602F">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bCs w:val="0"/>
                <w:color w:val="auto"/>
                <w:sz w:val="21"/>
                <w:szCs w:val="21"/>
                <w:highlight w:val="none"/>
              </w:rPr>
            </w:pPr>
            <w:r>
              <w:rPr>
                <w:rFonts w:hint="eastAsia" w:ascii="Times New Roman" w:hAnsi="Times New Roman" w:eastAsia="宋体" w:cs="宋体"/>
                <w:b/>
                <w:bCs w:val="0"/>
                <w:color w:val="auto"/>
                <w:sz w:val="21"/>
                <w:szCs w:val="21"/>
                <w:highlight w:val="none"/>
              </w:rPr>
              <w:t>具体要求</w:t>
            </w:r>
          </w:p>
        </w:tc>
      </w:tr>
      <w:tr w14:paraId="52C0E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6982DA8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3.1</w:t>
            </w:r>
          </w:p>
        </w:tc>
        <w:tc>
          <w:tcPr>
            <w:tcW w:w="2321" w:type="dxa"/>
            <w:noWrap w:val="0"/>
            <w:vAlign w:val="center"/>
          </w:tcPr>
          <w:p w14:paraId="026D362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供应商资格条件</w:t>
            </w:r>
          </w:p>
        </w:tc>
        <w:tc>
          <w:tcPr>
            <w:tcW w:w="6466" w:type="dxa"/>
            <w:noWrap w:val="0"/>
            <w:vAlign w:val="center"/>
          </w:tcPr>
          <w:p w14:paraId="70FFED96">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详见竞争性磋商公告。</w:t>
            </w:r>
          </w:p>
        </w:tc>
      </w:tr>
      <w:tr w14:paraId="5825EB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3C43A50F">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5.1</w:t>
            </w:r>
          </w:p>
        </w:tc>
        <w:tc>
          <w:tcPr>
            <w:tcW w:w="2321" w:type="dxa"/>
            <w:noWrap w:val="0"/>
            <w:vAlign w:val="center"/>
          </w:tcPr>
          <w:p w14:paraId="3733E5A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是否接受联合体竞标</w:t>
            </w:r>
          </w:p>
        </w:tc>
        <w:tc>
          <w:tcPr>
            <w:tcW w:w="6466" w:type="dxa"/>
            <w:noWrap w:val="0"/>
            <w:vAlign w:val="center"/>
          </w:tcPr>
          <w:p w14:paraId="4A4EC588">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bookmarkStart w:id="73" w:name="PO_3000001868_PM007"/>
            <w:r>
              <w:rPr>
                <w:rFonts w:hint="eastAsia" w:ascii="Times New Roman" w:hAnsi="Times New Roman" w:eastAsia="宋体" w:cs="宋体"/>
                <w:color w:val="auto"/>
                <w:sz w:val="21"/>
                <w:szCs w:val="21"/>
                <w:highlight w:val="none"/>
              </w:rPr>
              <w:t>详见竞争性磋商公告</w:t>
            </w:r>
            <w:bookmarkEnd w:id="73"/>
          </w:p>
        </w:tc>
      </w:tr>
      <w:tr w14:paraId="728580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4B4A2F5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5.2</w:t>
            </w:r>
          </w:p>
        </w:tc>
        <w:tc>
          <w:tcPr>
            <w:tcW w:w="2321" w:type="dxa"/>
            <w:noWrap w:val="0"/>
            <w:vAlign w:val="center"/>
          </w:tcPr>
          <w:p w14:paraId="0AB434CA">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联合体竞标要求</w:t>
            </w:r>
          </w:p>
        </w:tc>
        <w:tc>
          <w:tcPr>
            <w:tcW w:w="6466" w:type="dxa"/>
            <w:noWrap w:val="0"/>
            <w:vAlign w:val="center"/>
          </w:tcPr>
          <w:p w14:paraId="2E955ABB">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无</w:t>
            </w:r>
          </w:p>
        </w:tc>
      </w:tr>
      <w:tr w14:paraId="27E44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048603C8">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6.1</w:t>
            </w:r>
          </w:p>
        </w:tc>
        <w:tc>
          <w:tcPr>
            <w:tcW w:w="2321" w:type="dxa"/>
            <w:noWrap w:val="0"/>
            <w:vAlign w:val="center"/>
          </w:tcPr>
          <w:p w14:paraId="58363E87">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是否允许分包</w:t>
            </w:r>
          </w:p>
        </w:tc>
        <w:tc>
          <w:tcPr>
            <w:tcW w:w="6466" w:type="dxa"/>
            <w:noWrap w:val="0"/>
            <w:vAlign w:val="center"/>
          </w:tcPr>
          <w:p w14:paraId="389711CE">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☑不允许分包</w:t>
            </w:r>
          </w:p>
          <w:p w14:paraId="647A63C0">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□允许分包</w:t>
            </w:r>
          </w:p>
          <w:p w14:paraId="359160ED">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u w:val="single"/>
                <w:lang w:val="en-US" w:eastAsia="zh-CN"/>
              </w:rPr>
            </w:pPr>
            <w:r>
              <w:rPr>
                <w:rFonts w:hint="eastAsia" w:ascii="Times New Roman" w:hAnsi="Times New Roman" w:eastAsia="宋体" w:cs="宋体"/>
                <w:color w:val="auto"/>
                <w:sz w:val="21"/>
                <w:szCs w:val="21"/>
                <w:highlight w:val="none"/>
                <w:lang w:val="en-US" w:eastAsia="zh-CN"/>
              </w:rPr>
              <w:t>分包内容：</w:t>
            </w:r>
            <w:r>
              <w:rPr>
                <w:rFonts w:hint="eastAsia" w:ascii="Times New Roman" w:hAnsi="Times New Roman" w:eastAsia="宋体" w:cs="宋体"/>
                <w:color w:val="auto"/>
                <w:sz w:val="21"/>
                <w:szCs w:val="21"/>
                <w:highlight w:val="none"/>
                <w:u w:val="single"/>
                <w:lang w:val="en-US" w:eastAsia="zh-CN"/>
              </w:rPr>
              <w:t xml:space="preserve"> </w:t>
            </w:r>
            <w:r>
              <w:rPr>
                <w:rFonts w:hint="eastAsia" w:ascii="Times New Roman" w:hAnsi="Times New Roman" w:cs="宋体"/>
                <w:color w:val="auto"/>
                <w:sz w:val="21"/>
                <w:szCs w:val="21"/>
                <w:highlight w:val="none"/>
                <w:u w:val="single"/>
                <w:lang w:val="en-US" w:eastAsia="zh-CN"/>
              </w:rPr>
              <w:t>/</w:t>
            </w:r>
            <w:r>
              <w:rPr>
                <w:rFonts w:hint="eastAsia" w:ascii="Times New Roman" w:hAnsi="Times New Roman" w:eastAsia="宋体" w:cs="宋体"/>
                <w:color w:val="auto"/>
                <w:sz w:val="21"/>
                <w:szCs w:val="21"/>
                <w:highlight w:val="none"/>
                <w:u w:val="single"/>
                <w:lang w:val="en-US" w:eastAsia="zh-CN"/>
              </w:rPr>
              <w:t xml:space="preserve"> </w:t>
            </w:r>
            <w:r>
              <w:rPr>
                <w:rFonts w:hint="eastAsia" w:ascii="Times New Roman" w:hAnsi="Times New Roman" w:eastAsia="宋体" w:cs="宋体"/>
                <w:color w:val="auto"/>
                <w:sz w:val="21"/>
                <w:szCs w:val="21"/>
                <w:highlight w:val="none"/>
                <w:u w:val="none"/>
                <w:lang w:val="en-US" w:eastAsia="zh-CN"/>
              </w:rPr>
              <w:t>。</w:t>
            </w:r>
          </w:p>
          <w:p w14:paraId="4A9CC888">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分包金额或者比例：</w:t>
            </w:r>
            <w:r>
              <w:rPr>
                <w:rFonts w:hint="eastAsia" w:ascii="Times New Roman" w:hAnsi="Times New Roman" w:eastAsia="宋体" w:cs="宋体"/>
                <w:color w:val="auto"/>
                <w:sz w:val="21"/>
                <w:szCs w:val="21"/>
                <w:highlight w:val="none"/>
                <w:u w:val="single"/>
                <w:lang w:val="en-US" w:eastAsia="zh-CN"/>
              </w:rPr>
              <w:t xml:space="preserve"> </w:t>
            </w:r>
            <w:r>
              <w:rPr>
                <w:rFonts w:hint="eastAsia" w:ascii="Times New Roman" w:hAnsi="Times New Roman" w:cs="宋体"/>
                <w:color w:val="auto"/>
                <w:sz w:val="21"/>
                <w:szCs w:val="21"/>
                <w:highlight w:val="none"/>
                <w:u w:val="single"/>
                <w:lang w:val="en-US" w:eastAsia="zh-CN"/>
              </w:rPr>
              <w:t>/</w:t>
            </w:r>
            <w:r>
              <w:rPr>
                <w:rFonts w:hint="eastAsia" w:ascii="Times New Roman" w:hAnsi="Times New Roman" w:eastAsia="宋体" w:cs="宋体"/>
                <w:color w:val="auto"/>
                <w:sz w:val="21"/>
                <w:szCs w:val="21"/>
                <w:highlight w:val="none"/>
                <w:u w:val="single"/>
                <w:lang w:val="en-US" w:eastAsia="zh-CN"/>
              </w:rPr>
              <w:t xml:space="preserve"> </w:t>
            </w:r>
            <w:r>
              <w:rPr>
                <w:rFonts w:hint="eastAsia" w:ascii="Times New Roman" w:hAnsi="Times New Roman" w:eastAsia="宋体" w:cs="宋体"/>
                <w:color w:val="auto"/>
                <w:sz w:val="21"/>
                <w:szCs w:val="21"/>
                <w:highlight w:val="none"/>
                <w:u w:val="none"/>
                <w:lang w:val="en-US" w:eastAsia="zh-CN"/>
              </w:rPr>
              <w:t>。</w:t>
            </w:r>
          </w:p>
        </w:tc>
      </w:tr>
      <w:tr w14:paraId="3FDDD8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11E8FE86">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12.1.1</w:t>
            </w:r>
          </w:p>
        </w:tc>
        <w:tc>
          <w:tcPr>
            <w:tcW w:w="2321" w:type="dxa"/>
            <w:noWrap w:val="0"/>
            <w:vAlign w:val="center"/>
          </w:tcPr>
          <w:p w14:paraId="295B0DAA">
            <w:pPr>
              <w:keepNext w:val="0"/>
              <w:keepLines w:val="0"/>
              <w:pageBreakBefore w:val="0"/>
              <w:widowControl w:val="0"/>
              <w:kinsoku/>
              <w:wordWrap/>
              <w:overflowPunct/>
              <w:topLinePunct w:val="0"/>
              <w:bidi w:val="0"/>
              <w:adjustRightInd/>
              <w:snapToGrid w:val="0"/>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资格证明文件组成</w:t>
            </w:r>
          </w:p>
        </w:tc>
        <w:tc>
          <w:tcPr>
            <w:tcW w:w="6466" w:type="dxa"/>
            <w:noWrap w:val="0"/>
            <w:vAlign w:val="center"/>
          </w:tcPr>
          <w:p w14:paraId="78823010">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1.供应商法人或者其他组织的提供其营业执照等证明文件复印件（如营业执照或者事业单位法人证书或者执业许可证等），供应商为自然人的提供其有效身份证正反面复印件；（</w:t>
            </w:r>
            <w:r>
              <w:rPr>
                <w:rFonts w:hint="eastAsia" w:ascii="Times New Roman" w:hAnsi="Times New Roman" w:eastAsia="宋体" w:cs="宋体"/>
                <w:b/>
                <w:color w:val="auto"/>
                <w:sz w:val="21"/>
                <w:szCs w:val="21"/>
                <w:highlight w:val="none"/>
                <w:lang w:val="en-US" w:eastAsia="zh-CN"/>
              </w:rPr>
              <w:t>必须提供，否则响应文件按无效响应处理</w:t>
            </w:r>
            <w:r>
              <w:rPr>
                <w:rFonts w:hint="eastAsia" w:ascii="Times New Roman" w:hAnsi="Times New Roman" w:eastAsia="宋体" w:cs="宋体"/>
                <w:color w:val="auto"/>
                <w:sz w:val="21"/>
                <w:szCs w:val="21"/>
                <w:highlight w:val="none"/>
                <w:lang w:val="en-US" w:eastAsia="zh-CN"/>
              </w:rPr>
              <w:t>）</w:t>
            </w:r>
          </w:p>
          <w:p w14:paraId="76216011">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2.供应商依法缴纳税收的相关材料（</w:t>
            </w:r>
            <w:r>
              <w:rPr>
                <w:rFonts w:hint="eastAsia" w:ascii="Times New Roman" w:hAnsi="Times New Roman" w:eastAsia="宋体" w:cs="宋体"/>
                <w:color w:val="auto"/>
                <w:sz w:val="21"/>
                <w:szCs w:val="21"/>
                <w:highlight w:val="none"/>
                <w:u w:val="none"/>
                <w:lang w:val="en-US" w:eastAsia="zh-CN"/>
              </w:rPr>
              <w:t>提供税款所属时期为</w:t>
            </w:r>
            <w:r>
              <w:rPr>
                <w:rFonts w:hint="eastAsia" w:ascii="Times New Roman" w:hAnsi="Times New Roman" w:eastAsia="宋体" w:cs="宋体"/>
                <w:color w:val="auto"/>
                <w:sz w:val="21"/>
                <w:szCs w:val="21"/>
                <w:highlight w:val="none"/>
                <w:u w:val="single"/>
                <w:lang w:val="en-US" w:eastAsia="zh-CN"/>
              </w:rPr>
              <w:t>202</w:t>
            </w:r>
            <w:r>
              <w:rPr>
                <w:rFonts w:hint="eastAsia" w:ascii="Times New Roman" w:hAnsi="Times New Roman" w:cs="宋体"/>
                <w:color w:val="auto"/>
                <w:sz w:val="21"/>
                <w:szCs w:val="21"/>
                <w:highlight w:val="none"/>
                <w:u w:val="single"/>
                <w:lang w:val="en-US" w:eastAsia="zh-CN"/>
              </w:rPr>
              <w:t>5</w:t>
            </w:r>
            <w:r>
              <w:rPr>
                <w:rFonts w:hint="eastAsia" w:ascii="Times New Roman" w:hAnsi="Times New Roman" w:eastAsia="宋体" w:cs="宋体"/>
                <w:color w:val="auto"/>
                <w:sz w:val="21"/>
                <w:szCs w:val="21"/>
                <w:highlight w:val="none"/>
              </w:rPr>
              <w:t>年</w:t>
            </w:r>
            <w:r>
              <w:rPr>
                <w:rFonts w:hint="eastAsia" w:ascii="Times New Roman" w:hAnsi="Times New Roman" w:cs="宋体"/>
                <w:color w:val="auto"/>
                <w:sz w:val="21"/>
                <w:szCs w:val="21"/>
                <w:highlight w:val="none"/>
                <w:u w:val="single"/>
                <w:lang w:val="en-US" w:eastAsia="zh-CN"/>
              </w:rPr>
              <w:t>8</w:t>
            </w:r>
            <w:r>
              <w:rPr>
                <w:rFonts w:hint="eastAsia" w:ascii="Times New Roman" w:hAnsi="Times New Roman" w:eastAsia="宋体" w:cs="宋体"/>
                <w:color w:val="auto"/>
                <w:sz w:val="21"/>
                <w:szCs w:val="21"/>
                <w:highlight w:val="none"/>
              </w:rPr>
              <w:t>月至</w:t>
            </w:r>
            <w:r>
              <w:rPr>
                <w:rFonts w:hint="eastAsia" w:ascii="Times New Roman" w:hAnsi="Times New Roman" w:eastAsia="宋体" w:cs="宋体"/>
                <w:color w:val="auto"/>
                <w:sz w:val="21"/>
                <w:szCs w:val="21"/>
                <w:highlight w:val="none"/>
                <w:lang w:val="en-US" w:eastAsia="zh-CN"/>
              </w:rPr>
              <w:t>首次响应</w:t>
            </w:r>
            <w:r>
              <w:rPr>
                <w:rFonts w:hint="eastAsia" w:ascii="Times New Roman" w:hAnsi="Times New Roman" w:eastAsia="宋体" w:cs="宋体"/>
                <w:color w:val="auto"/>
                <w:sz w:val="21"/>
                <w:szCs w:val="21"/>
                <w:highlight w:val="none"/>
              </w:rPr>
              <w:t>文件提交截止时间止</w:t>
            </w:r>
            <w:r>
              <w:rPr>
                <w:rFonts w:hint="eastAsia" w:ascii="Times New Roman" w:hAnsi="Times New Roman" w:eastAsia="宋体" w:cs="宋体"/>
                <w:color w:val="auto"/>
                <w:sz w:val="21"/>
                <w:szCs w:val="21"/>
                <w:highlight w:val="none"/>
                <w:lang w:val="en-US" w:eastAsia="zh-CN"/>
              </w:rPr>
              <w:t>的</w:t>
            </w:r>
            <w:r>
              <w:rPr>
                <w:rFonts w:hint="eastAsia" w:ascii="Times New Roman" w:hAnsi="Times New Roman" w:eastAsia="宋体" w:cs="宋体"/>
                <w:color w:val="auto"/>
                <w:sz w:val="21"/>
                <w:szCs w:val="21"/>
                <w:highlight w:val="none"/>
                <w:lang w:eastAsia="zh-CN"/>
              </w:rPr>
              <w:t>任意</w:t>
            </w:r>
            <w:r>
              <w:rPr>
                <w:rFonts w:hint="eastAsia" w:ascii="Times New Roman" w:hAnsi="Times New Roman" w:cs="宋体"/>
                <w:color w:val="auto"/>
                <w:sz w:val="21"/>
                <w:szCs w:val="21"/>
                <w:highlight w:val="none"/>
                <w:u w:val="single"/>
                <w:lang w:val="en-US" w:eastAsia="zh-CN"/>
              </w:rPr>
              <w:t>1</w:t>
            </w:r>
            <w:r>
              <w:rPr>
                <w:rFonts w:hint="eastAsia" w:ascii="Times New Roman" w:hAnsi="Times New Roman" w:eastAsia="宋体" w:cs="宋体"/>
                <w:color w:val="auto"/>
                <w:sz w:val="21"/>
                <w:szCs w:val="21"/>
                <w:highlight w:val="none"/>
              </w:rPr>
              <w:t>个月的依法缴纳税收的凭据复印件；依法免税的供应商，必须提供相应文件证明其依法免税。从取得营业执照时间起到首次响应文件提交截止时间为止不足要求月数的，只需提供从取得营业执照起的依法缴纳税收相应证明文件）；（</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5D30425D">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3.供应商依法缴纳社会保障资金的相关材料（</w:t>
            </w:r>
            <w:r>
              <w:rPr>
                <w:rFonts w:hint="eastAsia" w:ascii="Times New Roman" w:hAnsi="Times New Roman" w:eastAsia="宋体" w:cs="宋体"/>
                <w:color w:val="auto"/>
                <w:sz w:val="21"/>
                <w:szCs w:val="21"/>
                <w:highlight w:val="none"/>
                <w:u w:val="none"/>
                <w:lang w:val="en-US" w:eastAsia="zh-CN"/>
              </w:rPr>
              <w:t>提供税款所属时期或缴费起始时间为</w:t>
            </w:r>
            <w:r>
              <w:rPr>
                <w:rFonts w:hint="eastAsia" w:ascii="Times New Roman" w:hAnsi="Times New Roman" w:eastAsia="宋体" w:cs="宋体"/>
                <w:color w:val="auto"/>
                <w:sz w:val="21"/>
                <w:szCs w:val="21"/>
                <w:highlight w:val="none"/>
                <w:u w:val="single"/>
                <w:lang w:val="en-US" w:eastAsia="zh-CN"/>
              </w:rPr>
              <w:t>202</w:t>
            </w:r>
            <w:r>
              <w:rPr>
                <w:rFonts w:hint="eastAsia" w:ascii="Times New Roman" w:hAnsi="Times New Roman" w:cs="宋体"/>
                <w:color w:val="auto"/>
                <w:sz w:val="21"/>
                <w:szCs w:val="21"/>
                <w:highlight w:val="none"/>
                <w:u w:val="single"/>
                <w:lang w:val="en-US" w:eastAsia="zh-CN"/>
              </w:rPr>
              <w:t>5</w:t>
            </w:r>
            <w:r>
              <w:rPr>
                <w:rFonts w:hint="eastAsia" w:ascii="Times New Roman" w:hAnsi="Times New Roman" w:eastAsia="宋体" w:cs="宋体"/>
                <w:color w:val="auto"/>
                <w:sz w:val="21"/>
                <w:szCs w:val="21"/>
                <w:highlight w:val="none"/>
              </w:rPr>
              <w:t>年</w:t>
            </w:r>
            <w:r>
              <w:rPr>
                <w:rFonts w:hint="eastAsia" w:ascii="Times New Roman" w:hAnsi="Times New Roman" w:cs="宋体"/>
                <w:color w:val="auto"/>
                <w:sz w:val="21"/>
                <w:szCs w:val="21"/>
                <w:highlight w:val="none"/>
                <w:u w:val="single"/>
                <w:lang w:val="en-US" w:eastAsia="zh-CN"/>
              </w:rPr>
              <w:t>8</w:t>
            </w:r>
            <w:r>
              <w:rPr>
                <w:rFonts w:hint="eastAsia" w:ascii="Times New Roman" w:hAnsi="Times New Roman" w:eastAsia="宋体" w:cs="宋体"/>
                <w:color w:val="auto"/>
                <w:sz w:val="21"/>
                <w:szCs w:val="21"/>
                <w:highlight w:val="none"/>
              </w:rPr>
              <w:t>月至</w:t>
            </w:r>
            <w:r>
              <w:rPr>
                <w:rFonts w:hint="eastAsia" w:ascii="Times New Roman" w:hAnsi="Times New Roman" w:eastAsia="宋体" w:cs="宋体"/>
                <w:color w:val="auto"/>
                <w:sz w:val="21"/>
                <w:szCs w:val="21"/>
                <w:highlight w:val="none"/>
                <w:lang w:val="en-US" w:eastAsia="zh-CN"/>
              </w:rPr>
              <w:t>首次响应</w:t>
            </w:r>
            <w:r>
              <w:rPr>
                <w:rFonts w:hint="eastAsia" w:ascii="Times New Roman" w:hAnsi="Times New Roman" w:eastAsia="宋体" w:cs="宋体"/>
                <w:color w:val="auto"/>
                <w:sz w:val="21"/>
                <w:szCs w:val="21"/>
                <w:highlight w:val="none"/>
              </w:rPr>
              <w:t>文件提交截止时间止</w:t>
            </w:r>
            <w:r>
              <w:rPr>
                <w:rFonts w:hint="eastAsia" w:ascii="Times New Roman" w:hAnsi="Times New Roman" w:eastAsia="宋体" w:cs="宋体"/>
                <w:color w:val="auto"/>
                <w:sz w:val="21"/>
                <w:szCs w:val="21"/>
                <w:highlight w:val="none"/>
                <w:lang w:val="en-US" w:eastAsia="zh-CN"/>
              </w:rPr>
              <w:t>的</w:t>
            </w:r>
            <w:r>
              <w:rPr>
                <w:rFonts w:hint="eastAsia" w:ascii="Times New Roman" w:hAnsi="Times New Roman" w:eastAsia="宋体" w:cs="宋体"/>
                <w:color w:val="auto"/>
                <w:sz w:val="21"/>
                <w:szCs w:val="21"/>
                <w:highlight w:val="none"/>
                <w:u w:val="none"/>
                <w:lang w:val="en-US" w:eastAsia="zh-CN"/>
              </w:rPr>
              <w:t>任意</w:t>
            </w:r>
            <w:r>
              <w:rPr>
                <w:rFonts w:hint="eastAsia" w:ascii="Times New Roman" w:hAnsi="Times New Roman" w:cs="宋体"/>
                <w:color w:val="auto"/>
                <w:sz w:val="21"/>
                <w:szCs w:val="21"/>
                <w:highlight w:val="none"/>
                <w:u w:val="single"/>
                <w:lang w:val="en-US" w:eastAsia="zh-CN"/>
              </w:rPr>
              <w:t>1</w:t>
            </w:r>
            <w:r>
              <w:rPr>
                <w:rFonts w:hint="eastAsia" w:ascii="Times New Roman" w:hAnsi="Times New Roman" w:eastAsia="宋体" w:cs="宋体"/>
                <w:color w:val="auto"/>
                <w:sz w:val="21"/>
                <w:szCs w:val="21"/>
                <w:highlight w:val="none"/>
              </w:rPr>
              <w:t>个月的依法缴纳社会保障资金的缴费凭证复印件；依法不需要缴纳社会保障资金的供应商，必须提供相应文件证明不需要缴纳社会保障资金。从取得营业执照时间起到首次响应文件提交截止时间为止不足要求月数的只需提供从取得营业执照起的依法缴纳社会保障资金的相应证明文件）；（</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0590E5AE">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color w:val="auto"/>
                <w:sz w:val="21"/>
                <w:szCs w:val="21"/>
                <w:highlight w:val="none"/>
              </w:rPr>
              <w:t>4.供应商财务状况报告（提供</w:t>
            </w:r>
            <w:r>
              <w:rPr>
                <w:rFonts w:hint="eastAsia" w:ascii="Times New Roman" w:hAnsi="Times New Roman" w:cs="宋体"/>
                <w:b/>
                <w:bCs/>
                <w:color w:val="auto"/>
                <w:sz w:val="21"/>
                <w:szCs w:val="21"/>
                <w:highlight w:val="none"/>
                <w:u w:val="single"/>
                <w:lang w:val="en-US" w:eastAsia="zh-CN"/>
              </w:rPr>
              <w:t xml:space="preserve"> </w:t>
            </w:r>
            <w:r>
              <w:rPr>
                <w:rFonts w:hint="eastAsia" w:ascii="Times New Roman" w:hAnsi="Times New Roman" w:eastAsia="宋体" w:cs="宋体"/>
                <w:b/>
                <w:bCs/>
                <w:color w:val="auto"/>
                <w:sz w:val="21"/>
                <w:szCs w:val="21"/>
                <w:highlight w:val="none"/>
                <w:u w:val="single"/>
                <w:lang w:val="en-US" w:eastAsia="zh-CN"/>
              </w:rPr>
              <w:t>2024年度</w:t>
            </w:r>
            <w:r>
              <w:rPr>
                <w:rFonts w:hint="eastAsia" w:ascii="Times New Roman" w:hAnsi="Times New Roman" w:cs="宋体"/>
                <w:b/>
                <w:bCs/>
                <w:color w:val="auto"/>
                <w:sz w:val="21"/>
                <w:szCs w:val="21"/>
                <w:highlight w:val="none"/>
                <w:u w:val="single"/>
                <w:lang w:val="en-US" w:eastAsia="zh-CN"/>
              </w:rPr>
              <w:t xml:space="preserve"> </w:t>
            </w:r>
            <w:r>
              <w:rPr>
                <w:rFonts w:hint="eastAsia" w:ascii="Times New Roman" w:hAnsi="Times New Roman" w:eastAsia="宋体" w:cs="宋体"/>
                <w:color w:val="auto"/>
                <w:sz w:val="21"/>
                <w:szCs w:val="21"/>
                <w:highlight w:val="none"/>
              </w:rPr>
              <w:t>经审计的财务报告复印件或者截标时间前半年内至少一个月能反映财务状况的报表或者供应商自拟的截标时间前半年内至少一个月的财务情况说明）；</w:t>
            </w:r>
            <w:r>
              <w:rPr>
                <w:rFonts w:hint="eastAsia" w:ascii="Times New Roman" w:hAnsi="Times New Roman" w:eastAsia="宋体" w:cs="宋体"/>
                <w:bCs/>
                <w:color w:val="auto"/>
                <w:sz w:val="21"/>
                <w:szCs w:val="21"/>
                <w:highlight w:val="none"/>
              </w:rPr>
              <w:t>（</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bCs/>
                <w:color w:val="auto"/>
                <w:sz w:val="21"/>
                <w:szCs w:val="21"/>
                <w:highlight w:val="none"/>
              </w:rPr>
              <w:t>）</w:t>
            </w:r>
          </w:p>
          <w:p w14:paraId="6FF20591">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5.本项目的特定资格要求设置供应商提供的资格证明材料（</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03D9EFF1">
            <w:pPr>
              <w:keepNext w:val="0"/>
              <w:keepLines w:val="0"/>
              <w:pageBreakBefore w:val="0"/>
              <w:widowControl w:val="0"/>
              <w:kinsoku/>
              <w:wordWrap/>
              <w:overflowPunct/>
              <w:topLinePunct w:val="0"/>
              <w:bidi w:val="0"/>
              <w:adjustRightInd/>
              <w:snapToGrid w:val="0"/>
              <w:spacing w:line="390" w:lineRule="exact"/>
              <w:jc w:val="both"/>
              <w:rPr>
                <w:rFonts w:hint="eastAsia" w:cs="宋体"/>
                <w:color w:val="auto"/>
                <w:sz w:val="21"/>
                <w:szCs w:val="21"/>
                <w:highlight w:val="none"/>
                <w:lang w:val="en-US" w:eastAsia="zh-CN"/>
              </w:rPr>
            </w:pPr>
            <w:r>
              <w:rPr>
                <w:rFonts w:hint="default" w:ascii="Calibri" w:hAnsi="Calibri" w:eastAsia="宋体" w:cs="Calibri"/>
                <w:color w:val="auto"/>
                <w:sz w:val="21"/>
                <w:szCs w:val="21"/>
                <w:highlight w:val="none"/>
                <w:lang w:val="en-US" w:eastAsia="zh-CN"/>
              </w:rPr>
              <w:t>①</w:t>
            </w:r>
            <w:r>
              <w:rPr>
                <w:rFonts w:hint="eastAsia" w:cs="宋体"/>
                <w:color w:val="auto"/>
                <w:sz w:val="21"/>
                <w:szCs w:val="21"/>
                <w:highlight w:val="none"/>
                <w:lang w:val="en-US" w:eastAsia="zh-CN"/>
              </w:rPr>
              <w:t>有效的</w:t>
            </w:r>
            <w:r>
              <w:rPr>
                <w:rFonts w:hint="eastAsia" w:ascii="Times New Roman" w:hAnsi="Times New Roman" w:eastAsia="宋体" w:cs="宋体"/>
                <w:color w:val="auto"/>
                <w:sz w:val="21"/>
                <w:szCs w:val="21"/>
                <w:highlight w:val="none"/>
                <w:u w:val="single"/>
                <w:lang w:val="en-US" w:eastAsia="zh-CN"/>
              </w:rPr>
              <w:t>建筑工程施工总承包三级（含三级）以上</w:t>
            </w:r>
            <w:r>
              <w:rPr>
                <w:rFonts w:hint="eastAsia" w:ascii="Times New Roman" w:hAnsi="Times New Roman" w:eastAsia="宋体" w:cs="宋体"/>
                <w:color w:val="auto"/>
                <w:sz w:val="21"/>
                <w:szCs w:val="21"/>
                <w:highlight w:val="none"/>
                <w:lang w:val="en-US" w:eastAsia="zh-CN"/>
              </w:rPr>
              <w:t>资质</w:t>
            </w:r>
            <w:r>
              <w:rPr>
                <w:rFonts w:hint="eastAsia" w:cs="宋体"/>
                <w:color w:val="auto"/>
                <w:sz w:val="21"/>
                <w:szCs w:val="21"/>
                <w:highlight w:val="none"/>
                <w:lang w:val="en-US" w:eastAsia="zh-CN"/>
              </w:rPr>
              <w:t>复印件；</w:t>
            </w:r>
          </w:p>
          <w:p w14:paraId="51CBA96A">
            <w:pPr>
              <w:keepNext w:val="0"/>
              <w:keepLines w:val="0"/>
              <w:pageBreakBefore w:val="0"/>
              <w:widowControl w:val="0"/>
              <w:kinsoku/>
              <w:wordWrap/>
              <w:overflowPunct/>
              <w:topLinePunct w:val="0"/>
              <w:bidi w:val="0"/>
              <w:adjustRightInd/>
              <w:snapToGrid w:val="0"/>
              <w:spacing w:line="390" w:lineRule="exact"/>
              <w:jc w:val="both"/>
              <w:rPr>
                <w:rFonts w:hint="eastAsia" w:cs="宋体"/>
                <w:color w:val="auto"/>
                <w:sz w:val="21"/>
                <w:szCs w:val="21"/>
                <w:highlight w:val="none"/>
                <w:lang w:val="en-US" w:eastAsia="zh-CN"/>
              </w:rPr>
            </w:pPr>
            <w:r>
              <w:rPr>
                <w:rFonts w:hint="default" w:ascii="Calibri" w:hAnsi="Calibri" w:eastAsia="宋体" w:cs="Calibri"/>
                <w:color w:val="auto"/>
                <w:sz w:val="21"/>
                <w:szCs w:val="21"/>
                <w:highlight w:val="none"/>
                <w:lang w:val="en-US" w:eastAsia="zh-CN"/>
              </w:rPr>
              <w:t>②</w:t>
            </w:r>
            <w:r>
              <w:rPr>
                <w:rFonts w:hint="eastAsia" w:ascii="Calibri" w:hAnsi="Calibri" w:cs="Calibri"/>
                <w:color w:val="auto"/>
                <w:sz w:val="21"/>
                <w:szCs w:val="21"/>
                <w:highlight w:val="none"/>
                <w:lang w:val="en-US" w:eastAsia="zh-CN"/>
              </w:rPr>
              <w:t>有效的安全生生产许可证复印件；</w:t>
            </w:r>
          </w:p>
          <w:p w14:paraId="31EBB1D8">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default" w:ascii="Calibri" w:hAnsi="Calibri" w:eastAsia="宋体" w:cs="Calibri"/>
                <w:color w:val="auto"/>
                <w:sz w:val="21"/>
                <w:szCs w:val="21"/>
                <w:highlight w:val="none"/>
                <w:lang w:val="en-US" w:eastAsia="zh-CN"/>
              </w:rPr>
              <w:t>③</w:t>
            </w:r>
            <w:r>
              <w:rPr>
                <w:rFonts w:hint="eastAsia" w:ascii="Times New Roman" w:hAnsi="Times New Roman" w:eastAsia="宋体" w:cs="宋体"/>
                <w:color w:val="auto"/>
                <w:sz w:val="21"/>
                <w:szCs w:val="21"/>
                <w:highlight w:val="none"/>
                <w:lang w:val="en-US" w:eastAsia="zh-CN"/>
              </w:rPr>
              <w:t>拟派项目经理有效的</w:t>
            </w:r>
            <w:r>
              <w:rPr>
                <w:rFonts w:hint="eastAsia" w:ascii="Times New Roman" w:hAnsi="Times New Roman" w:eastAsia="宋体" w:cs="宋体"/>
                <w:b/>
                <w:bCs/>
                <w:color w:val="auto"/>
                <w:sz w:val="21"/>
                <w:szCs w:val="21"/>
                <w:highlight w:val="none"/>
                <w:u w:val="single"/>
                <w:lang w:val="en-US" w:eastAsia="zh-CN"/>
              </w:rPr>
              <w:t>建筑工程</w:t>
            </w:r>
            <w:r>
              <w:rPr>
                <w:rFonts w:hint="eastAsia" w:ascii="Times New Roman" w:hAnsi="Times New Roman" w:eastAsia="宋体" w:cs="宋体"/>
                <w:color w:val="auto"/>
                <w:sz w:val="21"/>
                <w:szCs w:val="21"/>
                <w:highlight w:val="none"/>
                <w:lang w:val="en-US" w:eastAsia="zh-CN"/>
              </w:rPr>
              <w:t>专业</w:t>
            </w:r>
            <w:r>
              <w:rPr>
                <w:rFonts w:hint="eastAsia" w:ascii="Times New Roman" w:hAnsi="Times New Roman" w:eastAsia="宋体" w:cs="宋体"/>
                <w:b/>
                <w:bCs/>
                <w:color w:val="auto"/>
                <w:sz w:val="21"/>
                <w:szCs w:val="21"/>
                <w:highlight w:val="none"/>
                <w:u w:val="single"/>
                <w:lang w:val="en-US" w:eastAsia="zh-CN"/>
              </w:rPr>
              <w:t>二级（含）以上</w:t>
            </w:r>
            <w:r>
              <w:rPr>
                <w:rFonts w:hint="eastAsia" w:ascii="Times New Roman" w:hAnsi="Times New Roman" w:eastAsia="宋体" w:cs="宋体"/>
                <w:color w:val="auto"/>
                <w:sz w:val="21"/>
                <w:szCs w:val="21"/>
                <w:highlight w:val="none"/>
                <w:lang w:val="en-US" w:eastAsia="zh-CN"/>
              </w:rPr>
              <w:t>注册建造师执业资格</w:t>
            </w:r>
            <w:r>
              <w:rPr>
                <w:rFonts w:hint="eastAsia" w:cs="宋体"/>
                <w:color w:val="auto"/>
                <w:sz w:val="21"/>
                <w:szCs w:val="21"/>
                <w:highlight w:val="none"/>
                <w:lang w:val="en-US" w:eastAsia="zh-CN"/>
              </w:rPr>
              <w:t>证书复印件和</w:t>
            </w:r>
            <w:r>
              <w:rPr>
                <w:rFonts w:hint="eastAsia" w:ascii="Times New Roman" w:hAnsi="Times New Roman" w:eastAsia="宋体" w:cs="宋体"/>
                <w:color w:val="auto"/>
                <w:sz w:val="21"/>
                <w:szCs w:val="21"/>
                <w:highlight w:val="none"/>
                <w:lang w:val="en-US" w:eastAsia="zh-CN"/>
              </w:rPr>
              <w:t>有效的安全生产考核合格证书（B类）</w:t>
            </w:r>
            <w:r>
              <w:rPr>
                <w:rFonts w:hint="eastAsia"/>
                <w:color w:val="auto"/>
                <w:lang w:eastAsia="zh-CN"/>
              </w:rPr>
              <w:t>复印件</w:t>
            </w:r>
            <w:r>
              <w:rPr>
                <w:rFonts w:hint="eastAsia" w:ascii="Times New Roman" w:hAnsi="Times New Roman" w:eastAsia="宋体" w:cs="宋体"/>
                <w:color w:val="auto"/>
                <w:sz w:val="21"/>
                <w:szCs w:val="21"/>
                <w:highlight w:val="none"/>
              </w:rPr>
              <w:t>；</w:t>
            </w:r>
          </w:p>
          <w:p w14:paraId="086594CE">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6.</w:t>
            </w:r>
            <w:r>
              <w:rPr>
                <w:rFonts w:hint="eastAsia" w:ascii="Times New Roman" w:hAnsi="Times New Roman" w:eastAsia="宋体" w:cs="宋体"/>
                <w:color w:val="auto"/>
                <w:sz w:val="21"/>
                <w:szCs w:val="21"/>
                <w:highlight w:val="none"/>
                <w:lang w:eastAsia="zh-CN"/>
              </w:rPr>
              <w:t>声明函</w:t>
            </w:r>
            <w:r>
              <w:rPr>
                <w:rFonts w:hint="eastAsia" w:ascii="Times New Roman" w:hAnsi="Times New Roman" w:eastAsia="宋体" w:cs="宋体"/>
                <w:color w:val="auto"/>
                <w:sz w:val="21"/>
                <w:szCs w:val="21"/>
                <w:highlight w:val="none"/>
              </w:rPr>
              <w:t>（格式后附）；（</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0AF6025A">
            <w:pPr>
              <w:keepNext w:val="0"/>
              <w:keepLines w:val="0"/>
              <w:pageBreakBefore w:val="0"/>
              <w:kinsoku/>
              <w:wordWrap/>
              <w:overflowPunct/>
              <w:topLinePunct w:val="0"/>
              <w:bidi w:val="0"/>
              <w:adjustRightInd/>
              <w:spacing w:line="390" w:lineRule="exact"/>
              <w:jc w:val="both"/>
              <w:rPr>
                <w:rFonts w:hint="default" w:ascii="Times New Roman" w:hAnsi="Times New Roman" w:eastAsia="宋体" w:cs="宋体"/>
                <w:color w:val="auto"/>
                <w:sz w:val="21"/>
                <w:szCs w:val="21"/>
                <w:highlight w:val="none"/>
                <w:lang w:val="en-US" w:eastAsia="zh-CN"/>
              </w:rPr>
            </w:pPr>
            <w:r>
              <w:rPr>
                <w:rFonts w:hint="eastAsia" w:ascii="Times New Roman" w:hAnsi="Times New Roman" w:cs="宋体"/>
                <w:color w:val="auto"/>
                <w:sz w:val="21"/>
                <w:szCs w:val="21"/>
                <w:highlight w:val="none"/>
                <w:lang w:val="en-US" w:eastAsia="zh-CN"/>
              </w:rPr>
              <w:t>7.</w:t>
            </w:r>
            <w:r>
              <w:rPr>
                <w:rFonts w:hint="eastAsia" w:ascii="Times New Roman" w:hAnsi="Times New Roman" w:cs="宋体"/>
                <w:color w:val="auto"/>
                <w:sz w:val="21"/>
                <w:szCs w:val="21"/>
                <w:highlight w:val="none"/>
              </w:rPr>
              <w:t>中小企业声明函或者残疾人福利性单位声明函（格式后附）或者</w:t>
            </w:r>
            <w:r>
              <w:rPr>
                <w:rFonts w:hint="eastAsia" w:ascii="Times New Roman" w:hAnsi="Times New Roman" w:eastAsia="宋体" w:cs="宋体"/>
                <w:i w:val="0"/>
                <w:iCs w:val="0"/>
                <w:color w:val="auto"/>
                <w:sz w:val="21"/>
                <w:szCs w:val="21"/>
                <w:highlight w:val="none"/>
                <w:lang w:eastAsia="zh-CN"/>
              </w:rPr>
              <w:t>供应商</w:t>
            </w:r>
            <w:r>
              <w:rPr>
                <w:rFonts w:hint="eastAsia" w:ascii="Times New Roman" w:hAnsi="Times New Roman" w:cs="宋体"/>
                <w:color w:val="auto"/>
                <w:sz w:val="21"/>
                <w:szCs w:val="21"/>
                <w:highlight w:val="none"/>
              </w:rPr>
              <w:t>属于监狱企业的</w:t>
            </w:r>
            <w:r>
              <w:rPr>
                <w:rFonts w:hint="eastAsia" w:ascii="Times New Roman" w:hAnsi="Times New Roman" w:cs="宋体"/>
                <w:color w:val="auto"/>
                <w:sz w:val="21"/>
                <w:szCs w:val="21"/>
                <w:highlight w:val="none"/>
                <w:lang w:eastAsia="zh-CN"/>
              </w:rPr>
              <w:t>，</w:t>
            </w:r>
            <w:r>
              <w:rPr>
                <w:rFonts w:hint="eastAsia" w:ascii="Times New Roman" w:hAnsi="Times New Roman" w:eastAsia="宋体" w:cs="宋体"/>
                <w:i w:val="0"/>
                <w:iCs w:val="0"/>
                <w:color w:val="auto"/>
                <w:sz w:val="21"/>
                <w:szCs w:val="21"/>
                <w:highlight w:val="none"/>
                <w:lang w:eastAsia="zh-CN"/>
              </w:rPr>
              <w:t>提供由省级以上监狱管理局、戒毒管理局（含新疆生产建设兵团）出具的属于监狱企业的证明文件</w:t>
            </w:r>
            <w:r>
              <w:rPr>
                <w:rFonts w:hint="eastAsia" w:ascii="Times New Roman" w:hAnsi="Times New Roman" w:cs="宋体"/>
                <w:color w:val="auto"/>
                <w:sz w:val="21"/>
                <w:szCs w:val="21"/>
                <w:highlight w:val="none"/>
              </w:rPr>
              <w:t>；</w:t>
            </w:r>
            <w:r>
              <w:rPr>
                <w:rFonts w:hint="eastAsia" w:ascii="Times New Roman" w:hAnsi="Times New Roman"/>
                <w:color w:val="auto"/>
                <w:sz w:val="21"/>
                <w:szCs w:val="21"/>
                <w:highlight w:val="none"/>
              </w:rPr>
              <w:t>（</w:t>
            </w:r>
            <w:r>
              <w:rPr>
                <w:rFonts w:hint="eastAsia" w:ascii="Times New Roman" w:hAnsi="Times New Roman"/>
                <w:b/>
                <w:color w:val="auto"/>
                <w:sz w:val="21"/>
                <w:szCs w:val="21"/>
                <w:highlight w:val="none"/>
              </w:rPr>
              <w:t>必须提供，否则响应文件按无效响应处理</w:t>
            </w:r>
            <w:r>
              <w:rPr>
                <w:rFonts w:hint="eastAsia" w:ascii="Times New Roman" w:hAnsi="Times New Roman"/>
                <w:color w:val="auto"/>
                <w:sz w:val="21"/>
                <w:szCs w:val="21"/>
                <w:highlight w:val="none"/>
              </w:rPr>
              <w:t>）</w:t>
            </w:r>
          </w:p>
          <w:p w14:paraId="7B75295C">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cs="宋体"/>
                <w:color w:val="auto"/>
                <w:sz w:val="21"/>
                <w:szCs w:val="21"/>
                <w:highlight w:val="none"/>
                <w:lang w:val="en-US" w:eastAsia="zh-CN"/>
              </w:rPr>
              <w:t>8.</w:t>
            </w:r>
            <w:r>
              <w:rPr>
                <w:rFonts w:hint="eastAsia" w:ascii="Times New Roman" w:hAnsi="Times New Roman" w:eastAsia="宋体" w:cs="宋体"/>
                <w:color w:val="auto"/>
                <w:sz w:val="21"/>
                <w:szCs w:val="21"/>
                <w:highlight w:val="none"/>
              </w:rPr>
              <w:t>除竞争性磋商文件规定必须提供以外，供应商认为需要提供的其他证明材料（格式自拟）</w:t>
            </w:r>
            <w:r>
              <w:rPr>
                <w:rFonts w:hint="eastAsia" w:ascii="Times New Roman" w:hAnsi="Times New Roman" w:eastAsia="宋体" w:cs="宋体"/>
                <w:color w:val="auto"/>
                <w:sz w:val="21"/>
                <w:szCs w:val="21"/>
                <w:highlight w:val="none"/>
                <w:lang w:eastAsia="zh-CN"/>
              </w:rPr>
              <w:t>。</w:t>
            </w:r>
          </w:p>
          <w:p w14:paraId="41C7C762">
            <w:pPr>
              <w:pStyle w:val="11"/>
              <w:keepNext w:val="0"/>
              <w:keepLines w:val="0"/>
              <w:pageBreakBefore w:val="0"/>
              <w:widowControl w:val="0"/>
              <w:numPr>
                <w:ilvl w:val="0"/>
                <w:numId w:val="0"/>
              </w:numPr>
              <w:kinsoku/>
              <w:wordWrap/>
              <w:overflowPunct/>
              <w:topLinePunct w:val="0"/>
              <w:bidi w:val="0"/>
              <w:adjustRightInd/>
              <w:spacing w:line="390" w:lineRule="exact"/>
              <w:jc w:val="both"/>
              <w:rPr>
                <w:rFonts w:hint="eastAsia" w:ascii="Times New Roman" w:hAnsi="Times New Roman" w:eastAsia="宋体" w:cs="宋体"/>
                <w:b/>
                <w:color w:val="auto"/>
                <w:sz w:val="21"/>
                <w:szCs w:val="21"/>
                <w:highlight w:val="none"/>
                <w:lang w:val="en-US" w:eastAsia="zh-CN"/>
              </w:rPr>
            </w:pPr>
            <w:r>
              <w:rPr>
                <w:rFonts w:hint="eastAsia" w:ascii="Times New Roman" w:hAnsi="Times New Roman" w:eastAsia="宋体" w:cs="宋体"/>
                <w:b/>
                <w:color w:val="auto"/>
                <w:sz w:val="21"/>
                <w:szCs w:val="21"/>
                <w:highlight w:val="none"/>
                <w:lang w:val="en-US" w:eastAsia="zh-CN"/>
              </w:rPr>
              <w:t>注：以上标明“必须提供”的材料属于复印件的扫描件的，必须加盖供应商公章，否则响应文件按无效响应处理。</w:t>
            </w:r>
          </w:p>
        </w:tc>
      </w:tr>
      <w:tr w14:paraId="6435A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restart"/>
            <w:noWrap w:val="0"/>
            <w:vAlign w:val="center"/>
          </w:tcPr>
          <w:p w14:paraId="1847F3B1">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12.1.2</w:t>
            </w:r>
          </w:p>
        </w:tc>
        <w:tc>
          <w:tcPr>
            <w:tcW w:w="2321" w:type="dxa"/>
            <w:noWrap w:val="0"/>
            <w:vAlign w:val="center"/>
          </w:tcPr>
          <w:p w14:paraId="4661D20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商务文件组成</w:t>
            </w:r>
          </w:p>
        </w:tc>
        <w:tc>
          <w:tcPr>
            <w:tcW w:w="6466" w:type="dxa"/>
            <w:noWrap w:val="0"/>
            <w:vAlign w:val="center"/>
          </w:tcPr>
          <w:p w14:paraId="44C38C63">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1.无串通竞标行为的承诺函（格式后附）；（</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42F95F1C">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2.法定代表人身份证明及法定代表人有效身份证正反面复印件（格式后附）；（</w:t>
            </w:r>
            <w:r>
              <w:rPr>
                <w:rFonts w:hint="eastAsia" w:ascii="Times New Roman" w:hAnsi="Times New Roman" w:eastAsia="宋体" w:cs="宋体"/>
                <w:b/>
                <w:bCs/>
                <w:color w:val="auto"/>
                <w:sz w:val="21"/>
                <w:szCs w:val="21"/>
                <w:highlight w:val="none"/>
              </w:rPr>
              <w:t>除自然人竞标外</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76C4FFED">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3.法定代表人授权委托书及委托代理人有效身份证正反面复印件（格式后附）；（</w:t>
            </w:r>
            <w:r>
              <w:rPr>
                <w:rFonts w:hint="eastAsia" w:ascii="Times New Roman" w:hAnsi="Times New Roman" w:eastAsia="宋体" w:cs="宋体"/>
                <w:b/>
                <w:color w:val="auto"/>
                <w:sz w:val="21"/>
                <w:szCs w:val="21"/>
                <w:highlight w:val="none"/>
              </w:rPr>
              <w:t>委托时必须提供，否则响应文件按无效响应处理</w:t>
            </w:r>
            <w:r>
              <w:rPr>
                <w:rFonts w:hint="eastAsia" w:ascii="Times New Roman" w:hAnsi="Times New Roman" w:eastAsia="宋体" w:cs="宋体"/>
                <w:color w:val="auto"/>
                <w:sz w:val="21"/>
                <w:szCs w:val="21"/>
                <w:highlight w:val="none"/>
              </w:rPr>
              <w:t>）</w:t>
            </w:r>
          </w:p>
          <w:p w14:paraId="2E1DA5D0">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4.磋商保证金提交凭证；（</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59BA3657">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5.商务条款偏离表（格式后附）；（</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266F5B31">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6.建设工程项目管理承诺书（格式后附）；（</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3CA1C97E">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7.供应商情况介绍（格式自拟）；</w:t>
            </w:r>
          </w:p>
          <w:p w14:paraId="218B554E">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8.对应采购需求的商务条款提供的其他文件资料（格式自拟）；</w:t>
            </w:r>
          </w:p>
          <w:p w14:paraId="6E3FAC6B">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9.供应商认为需要提供的其他有关资料（格式自拟）。</w:t>
            </w:r>
          </w:p>
          <w:p w14:paraId="0E8E4755">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注：</w:t>
            </w:r>
          </w:p>
          <w:p w14:paraId="0490ABE2">
            <w:pPr>
              <w:keepNext w:val="0"/>
              <w:keepLines w:val="0"/>
              <w:pageBreakBefore w:val="0"/>
              <w:widowControl w:val="0"/>
              <w:kinsoku/>
              <w:wordWrap/>
              <w:overflowPunct/>
              <w:topLinePunct w:val="0"/>
              <w:bidi w:val="0"/>
              <w:adjustRightInd/>
              <w:spacing w:line="390" w:lineRule="exact"/>
              <w:ind w:firstLine="413" w:firstLineChars="196"/>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1.法定代表人授权委托书必须由法定代表人及其委托代理人签字，并加盖供应商公章，否则响应文件按无效响应处理。</w:t>
            </w:r>
          </w:p>
          <w:p w14:paraId="0C205A97">
            <w:pPr>
              <w:keepNext w:val="0"/>
              <w:keepLines w:val="0"/>
              <w:pageBreakBefore w:val="0"/>
              <w:widowControl w:val="0"/>
              <w:kinsoku/>
              <w:wordWrap/>
              <w:overflowPunct/>
              <w:topLinePunct w:val="0"/>
              <w:bidi w:val="0"/>
              <w:adjustRightInd/>
              <w:spacing w:line="390" w:lineRule="exact"/>
              <w:ind w:firstLine="413" w:firstLineChars="196"/>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2.以上标明“必须提供”的材料属于复印件的扫描件的，必须加盖供应商公章，否则响应文件按无效响应处理。</w:t>
            </w:r>
          </w:p>
        </w:tc>
      </w:tr>
      <w:tr w14:paraId="07FE2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continue"/>
            <w:noWrap w:val="0"/>
            <w:vAlign w:val="center"/>
          </w:tcPr>
          <w:p w14:paraId="7C54438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p>
        </w:tc>
        <w:tc>
          <w:tcPr>
            <w:tcW w:w="2321" w:type="dxa"/>
            <w:noWrap w:val="0"/>
            <w:vAlign w:val="center"/>
          </w:tcPr>
          <w:p w14:paraId="5863CF48">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技术文件组成</w:t>
            </w:r>
          </w:p>
        </w:tc>
        <w:tc>
          <w:tcPr>
            <w:tcW w:w="6466" w:type="dxa"/>
            <w:noWrap w:val="0"/>
            <w:vAlign w:val="center"/>
          </w:tcPr>
          <w:p w14:paraId="3E3B40BC">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1.技术需求偏离表（格式后附）；（</w:t>
            </w:r>
            <w:r>
              <w:rPr>
                <w:rFonts w:hint="eastAsia" w:ascii="Times New Roman" w:hAnsi="Times New Roman" w:eastAsia="宋体" w:cs="宋体"/>
                <w:b/>
                <w:color w:val="auto"/>
                <w:sz w:val="21"/>
                <w:szCs w:val="21"/>
                <w:highlight w:val="none"/>
              </w:rPr>
              <w:t>必须提供，否则响应文件按无效响应处理</w:t>
            </w:r>
            <w:r>
              <w:rPr>
                <w:rFonts w:hint="eastAsia" w:ascii="Times New Roman" w:hAnsi="Times New Roman" w:eastAsia="宋体" w:cs="宋体"/>
                <w:color w:val="auto"/>
                <w:sz w:val="21"/>
                <w:szCs w:val="21"/>
                <w:highlight w:val="none"/>
              </w:rPr>
              <w:t>）</w:t>
            </w:r>
          </w:p>
          <w:p w14:paraId="7A0C0AFE">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2.施工组织设计（格式自拟）；</w:t>
            </w:r>
          </w:p>
          <w:p w14:paraId="4E594083">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3.项目</w:t>
            </w:r>
            <w:r>
              <w:rPr>
                <w:rFonts w:hint="eastAsia" w:ascii="Times New Roman" w:hAnsi="Times New Roman" w:cs="宋体"/>
                <w:color w:val="auto"/>
                <w:sz w:val="21"/>
                <w:szCs w:val="21"/>
                <w:highlight w:val="none"/>
                <w:lang w:eastAsia="zh-CN"/>
              </w:rPr>
              <w:t>管理</w:t>
            </w:r>
            <w:r>
              <w:rPr>
                <w:rFonts w:hint="eastAsia" w:ascii="Times New Roman" w:hAnsi="Times New Roman" w:eastAsia="宋体" w:cs="宋体"/>
                <w:color w:val="auto"/>
                <w:sz w:val="21"/>
                <w:szCs w:val="21"/>
                <w:highlight w:val="none"/>
              </w:rPr>
              <w:t xml:space="preserve">人员一览表（格式后附）； </w:t>
            </w:r>
          </w:p>
          <w:p w14:paraId="70B135F4">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4.对应采购需求的服务需求提供的其他文件资料（格式自拟）；</w:t>
            </w:r>
          </w:p>
          <w:p w14:paraId="1645C3FD">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5.供应商认为需要提供的其他有关资料（格式自拟）。</w:t>
            </w:r>
          </w:p>
          <w:p w14:paraId="7BB019A5">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注：以上标明</w:t>
            </w:r>
            <w:r>
              <w:rPr>
                <w:rFonts w:hint="eastAsia" w:ascii="Times New Roman" w:hAnsi="Times New Roman" w:eastAsia="宋体" w:cs="宋体"/>
                <w:b/>
                <w:color w:val="auto"/>
                <w:sz w:val="21"/>
                <w:szCs w:val="21"/>
                <w:highlight w:val="none"/>
                <w:lang w:eastAsia="zh-CN"/>
              </w:rPr>
              <w:t>“</w:t>
            </w:r>
            <w:r>
              <w:rPr>
                <w:rFonts w:hint="eastAsia" w:ascii="Times New Roman" w:hAnsi="Times New Roman" w:eastAsia="宋体" w:cs="宋体"/>
                <w:b/>
                <w:color w:val="auto"/>
                <w:sz w:val="21"/>
                <w:szCs w:val="21"/>
                <w:highlight w:val="none"/>
              </w:rPr>
              <w:t>必须提供</w:t>
            </w:r>
            <w:r>
              <w:rPr>
                <w:rFonts w:hint="eastAsia" w:ascii="Times New Roman" w:hAnsi="Times New Roman" w:eastAsia="宋体" w:cs="宋体"/>
                <w:b/>
                <w:color w:val="auto"/>
                <w:sz w:val="21"/>
                <w:szCs w:val="21"/>
                <w:highlight w:val="none"/>
                <w:lang w:eastAsia="zh-CN"/>
              </w:rPr>
              <w:t>”</w:t>
            </w:r>
            <w:r>
              <w:rPr>
                <w:rFonts w:hint="eastAsia" w:ascii="Times New Roman" w:hAnsi="Times New Roman" w:eastAsia="宋体" w:cs="宋体"/>
                <w:b/>
                <w:color w:val="auto"/>
                <w:sz w:val="21"/>
                <w:szCs w:val="21"/>
                <w:highlight w:val="none"/>
              </w:rPr>
              <w:t>的材料属于复印件的，必须加盖供应商公章，否则响应文件按无效响应处理。</w:t>
            </w:r>
          </w:p>
        </w:tc>
      </w:tr>
      <w:tr w14:paraId="27A22F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1FF28D25">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12.1.</w:t>
            </w:r>
            <w:r>
              <w:rPr>
                <w:rFonts w:hint="eastAsia" w:ascii="Times New Roman" w:hAnsi="Times New Roman" w:eastAsia="宋体" w:cs="宋体"/>
                <w:color w:val="auto"/>
                <w:sz w:val="21"/>
                <w:szCs w:val="21"/>
                <w:highlight w:val="none"/>
                <w:lang w:val="en-US" w:eastAsia="zh-CN"/>
              </w:rPr>
              <w:t>3</w:t>
            </w:r>
          </w:p>
        </w:tc>
        <w:tc>
          <w:tcPr>
            <w:tcW w:w="2321" w:type="dxa"/>
            <w:noWrap w:val="0"/>
            <w:vAlign w:val="center"/>
          </w:tcPr>
          <w:p w14:paraId="2631E3AA">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报价文件组成</w:t>
            </w:r>
          </w:p>
        </w:tc>
        <w:tc>
          <w:tcPr>
            <w:tcW w:w="6466" w:type="dxa"/>
            <w:noWrap w:val="0"/>
            <w:vAlign w:val="center"/>
          </w:tcPr>
          <w:p w14:paraId="0AF850D9">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1.响应函（格式后附）；（</w:t>
            </w:r>
            <w:r>
              <w:rPr>
                <w:rFonts w:hint="eastAsia" w:ascii="Times New Roman" w:hAnsi="Times New Roman" w:eastAsia="宋体" w:cs="宋体"/>
                <w:b/>
                <w:bCs/>
                <w:color w:val="auto"/>
                <w:sz w:val="21"/>
                <w:szCs w:val="21"/>
                <w:highlight w:val="none"/>
              </w:rPr>
              <w:t>必须提供并加盖</w:t>
            </w:r>
            <w:r>
              <w:rPr>
                <w:rFonts w:hint="eastAsia" w:ascii="Times New Roman" w:hAnsi="Times New Roman" w:eastAsia="宋体" w:cs="宋体"/>
                <w:b/>
                <w:bCs/>
                <w:color w:val="auto"/>
                <w:sz w:val="21"/>
                <w:szCs w:val="21"/>
                <w:highlight w:val="none"/>
                <w:lang w:eastAsia="zh-CN"/>
              </w:rPr>
              <w:t>供应商公章</w:t>
            </w:r>
            <w:r>
              <w:rPr>
                <w:rFonts w:hint="eastAsia" w:ascii="Times New Roman" w:hAnsi="Times New Roman" w:eastAsia="宋体" w:cs="宋体"/>
                <w:b/>
                <w:bCs/>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07198FB5">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2.响应报价表（格式后附）；（</w:t>
            </w:r>
            <w:r>
              <w:rPr>
                <w:rFonts w:hint="eastAsia" w:ascii="Times New Roman" w:hAnsi="Times New Roman" w:eastAsia="宋体" w:cs="宋体"/>
                <w:b/>
                <w:bCs/>
                <w:color w:val="auto"/>
                <w:sz w:val="21"/>
                <w:szCs w:val="21"/>
                <w:highlight w:val="none"/>
              </w:rPr>
              <w:t>必须提供并加盖</w:t>
            </w:r>
            <w:r>
              <w:rPr>
                <w:rFonts w:hint="eastAsia" w:ascii="Times New Roman" w:hAnsi="Times New Roman" w:eastAsia="宋体" w:cs="宋体"/>
                <w:b/>
                <w:bCs/>
                <w:color w:val="auto"/>
                <w:sz w:val="21"/>
                <w:szCs w:val="21"/>
                <w:highlight w:val="none"/>
                <w:lang w:eastAsia="zh-CN"/>
              </w:rPr>
              <w:t>供应商公章</w:t>
            </w:r>
            <w:r>
              <w:rPr>
                <w:rFonts w:hint="eastAsia" w:ascii="Times New Roman" w:hAnsi="Times New Roman" w:eastAsia="宋体" w:cs="宋体"/>
                <w:b/>
                <w:bCs/>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0FB23372">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3.已标价工程量清单；（</w:t>
            </w:r>
            <w:r>
              <w:rPr>
                <w:rFonts w:hint="eastAsia" w:ascii="Times New Roman" w:hAnsi="Times New Roman" w:eastAsia="宋体" w:cs="宋体"/>
                <w:b/>
                <w:bCs/>
                <w:color w:val="auto"/>
                <w:sz w:val="21"/>
                <w:szCs w:val="21"/>
                <w:highlight w:val="none"/>
              </w:rPr>
              <w:t>必须提供并加盖</w:t>
            </w:r>
            <w:r>
              <w:rPr>
                <w:rFonts w:hint="eastAsia" w:ascii="Times New Roman" w:hAnsi="Times New Roman" w:eastAsia="宋体" w:cs="宋体"/>
                <w:b/>
                <w:bCs/>
                <w:color w:val="auto"/>
                <w:sz w:val="21"/>
                <w:szCs w:val="21"/>
                <w:highlight w:val="none"/>
                <w:lang w:eastAsia="zh-CN"/>
              </w:rPr>
              <w:t>供应商公章</w:t>
            </w:r>
            <w:r>
              <w:rPr>
                <w:rFonts w:hint="eastAsia" w:ascii="Times New Roman" w:hAnsi="Times New Roman" w:eastAsia="宋体" w:cs="宋体"/>
                <w:b/>
                <w:bCs/>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10864EAA">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color w:val="auto"/>
                <w:sz w:val="21"/>
                <w:szCs w:val="21"/>
              </w:rPr>
            </w:pPr>
            <w:r>
              <w:rPr>
                <w:rFonts w:hint="eastAsia" w:ascii="Times New Roman" w:hAnsi="Times New Roman" w:eastAsia="宋体" w:cs="宋体"/>
                <w:color w:val="auto"/>
                <w:sz w:val="21"/>
                <w:szCs w:val="21"/>
                <w:highlight w:val="none"/>
                <w:lang w:val="en-US" w:eastAsia="zh-CN"/>
              </w:rPr>
              <w:t>4</w:t>
            </w:r>
            <w:r>
              <w:rPr>
                <w:rFonts w:hint="eastAsia" w:ascii="Times New Roman" w:hAnsi="Times New Roman" w:eastAsia="宋体" w:cs="宋体"/>
                <w:color w:val="auto"/>
                <w:sz w:val="21"/>
                <w:szCs w:val="21"/>
                <w:highlight w:val="none"/>
              </w:rPr>
              <w:t>.</w:t>
            </w:r>
            <w:r>
              <w:rPr>
                <w:rFonts w:hint="eastAsia" w:ascii="Times New Roman" w:hAnsi="Times New Roman"/>
                <w:color w:val="auto"/>
                <w:sz w:val="21"/>
                <w:szCs w:val="21"/>
              </w:rPr>
              <w:t>供应商针对报价需要说明的其他文件和说明（格式自拟）。</w:t>
            </w:r>
          </w:p>
        </w:tc>
      </w:tr>
      <w:tr w14:paraId="47E87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1E934D68">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12.2</w:t>
            </w:r>
          </w:p>
        </w:tc>
        <w:tc>
          <w:tcPr>
            <w:tcW w:w="2321" w:type="dxa"/>
            <w:noWrap w:val="0"/>
            <w:vAlign w:val="center"/>
          </w:tcPr>
          <w:p w14:paraId="59A27AF5">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响应文件电子版要求</w:t>
            </w:r>
          </w:p>
        </w:tc>
        <w:tc>
          <w:tcPr>
            <w:tcW w:w="6466" w:type="dxa"/>
            <w:noWrap w:val="0"/>
            <w:vAlign w:val="center"/>
          </w:tcPr>
          <w:p w14:paraId="2EA96AE9">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1.响应文件电子版要求：按照本采购文件</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第五章 响应文件格式</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编写</w:t>
            </w:r>
            <w:r>
              <w:rPr>
                <w:rFonts w:hint="eastAsia" w:ascii="Times New Roman" w:hAnsi="Times New Roman" w:eastAsia="宋体" w:cs="宋体"/>
                <w:b/>
                <w:bCs/>
                <w:color w:val="auto"/>
                <w:sz w:val="21"/>
                <w:szCs w:val="21"/>
                <w:highlight w:val="none"/>
              </w:rPr>
              <w:t>（第五章未附格式的，由供应商自行拟定）</w:t>
            </w:r>
            <w:r>
              <w:rPr>
                <w:rFonts w:hint="eastAsia" w:ascii="Times New Roman" w:hAnsi="Times New Roman" w:eastAsia="宋体" w:cs="宋体"/>
                <w:color w:val="auto"/>
                <w:sz w:val="21"/>
                <w:szCs w:val="21"/>
                <w:highlight w:val="none"/>
              </w:rPr>
              <w:t>，并在规定加盖公章处加盖公章，</w:t>
            </w:r>
            <w:r>
              <w:rPr>
                <w:rFonts w:hint="eastAsia" w:ascii="Times New Roman" w:hAnsi="Times New Roman" w:eastAsia="宋体" w:cs="宋体"/>
                <w:b/>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64E56259">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2.响应文件电子版密封方式：电子响应文件通过平台有效CA加密后在</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sz w:val="21"/>
                <w:szCs w:val="21"/>
                <w:highlight w:val="none"/>
              </w:rPr>
              <w:t>投送。</w:t>
            </w:r>
          </w:p>
        </w:tc>
      </w:tr>
      <w:tr w14:paraId="22194C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50BAFC67">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15.2</w:t>
            </w:r>
          </w:p>
        </w:tc>
        <w:tc>
          <w:tcPr>
            <w:tcW w:w="2321" w:type="dxa"/>
            <w:noWrap w:val="0"/>
            <w:vAlign w:val="center"/>
          </w:tcPr>
          <w:p w14:paraId="0C5054F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响应报价的价格构成</w:t>
            </w:r>
          </w:p>
        </w:tc>
        <w:tc>
          <w:tcPr>
            <w:tcW w:w="6466" w:type="dxa"/>
            <w:noWrap w:val="0"/>
            <w:vAlign w:val="center"/>
          </w:tcPr>
          <w:p w14:paraId="6298CECE">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响应报价必须包括</w:t>
            </w:r>
            <w:r>
              <w:rPr>
                <w:rFonts w:hint="eastAsia" w:ascii="Times New Roman" w:hAnsi="Times New Roman" w:cs="宋体"/>
                <w:color w:val="auto"/>
                <w:sz w:val="21"/>
                <w:szCs w:val="21"/>
                <w:highlight w:val="none"/>
                <w:lang w:eastAsia="zh-CN"/>
              </w:rPr>
              <w:t>完成本项目</w:t>
            </w:r>
            <w:r>
              <w:rPr>
                <w:rFonts w:hint="eastAsia" w:ascii="Times New Roman" w:hAnsi="Times New Roman" w:eastAsia="宋体" w:cs="宋体"/>
                <w:color w:val="auto"/>
                <w:sz w:val="21"/>
                <w:szCs w:val="21"/>
                <w:highlight w:val="none"/>
              </w:rPr>
              <w:t>的所有费用，包括材料费、人工费、施工机具使用费、企业管理费、利润、规费、税金等，合同履行过程中，采购人不再支付合同以外的其他费用。</w:t>
            </w:r>
          </w:p>
          <w:p w14:paraId="207F9FE8">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bCs/>
                <w:color w:val="auto"/>
                <w:sz w:val="21"/>
                <w:szCs w:val="21"/>
                <w:highlight w:val="none"/>
              </w:rPr>
            </w:pPr>
            <w:r>
              <w:rPr>
                <w:rFonts w:hint="eastAsia" w:ascii="Times New Roman" w:hAnsi="Times New Roman" w:eastAsia="宋体"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响应报价包含验收费用</w:t>
            </w:r>
          </w:p>
          <w:p w14:paraId="65AD6F17">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响应报价不包含验收费用</w:t>
            </w:r>
          </w:p>
        </w:tc>
      </w:tr>
      <w:tr w14:paraId="514F8C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19C579CB">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15.3.1</w:t>
            </w:r>
          </w:p>
        </w:tc>
        <w:tc>
          <w:tcPr>
            <w:tcW w:w="2321" w:type="dxa"/>
            <w:noWrap w:val="0"/>
            <w:vAlign w:val="center"/>
          </w:tcPr>
          <w:p w14:paraId="618D593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供应商的响应报价</w:t>
            </w:r>
            <w:r>
              <w:rPr>
                <w:rFonts w:hint="eastAsia" w:cs="宋体"/>
                <w:b w:val="0"/>
                <w:bCs/>
                <w:color w:val="auto"/>
                <w:sz w:val="21"/>
                <w:szCs w:val="21"/>
                <w:highlight w:val="none"/>
                <w:lang w:eastAsia="zh-CN"/>
              </w:rPr>
              <w:t>和工程量清单报价</w:t>
            </w:r>
            <w:r>
              <w:rPr>
                <w:rFonts w:hint="eastAsia" w:ascii="Times New Roman" w:hAnsi="Times New Roman" w:eastAsia="宋体" w:cs="宋体"/>
                <w:b w:val="0"/>
                <w:bCs/>
                <w:color w:val="auto"/>
                <w:sz w:val="21"/>
                <w:szCs w:val="21"/>
                <w:highlight w:val="none"/>
              </w:rPr>
              <w:t>要求</w:t>
            </w:r>
          </w:p>
        </w:tc>
        <w:tc>
          <w:tcPr>
            <w:tcW w:w="6466" w:type="dxa"/>
            <w:noWrap w:val="0"/>
            <w:vAlign w:val="center"/>
          </w:tcPr>
          <w:p w14:paraId="268A98FB">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本项目增值税计税方法：☑一般计税法</w:t>
            </w:r>
            <w:r>
              <w:rPr>
                <w:rFonts w:hint="eastAsia" w:ascii="Times New Roman" w:hAnsi="Times New Roman" w:eastAsia="宋体" w:cs="宋体"/>
                <w:color w:val="auto"/>
                <w:sz w:val="21"/>
                <w:szCs w:val="21"/>
                <w:highlight w:val="none"/>
                <w:lang w:val="en-US" w:eastAsia="zh-CN"/>
              </w:rPr>
              <w:t xml:space="preserve">    </w:t>
            </w:r>
            <w:r>
              <w:rPr>
                <w:rFonts w:hint="eastAsia" w:ascii="Times New Roman" w:hAnsi="Times New Roman" w:eastAsia="宋体" w:cs="宋体"/>
                <w:color w:val="auto"/>
                <w:sz w:val="21"/>
                <w:szCs w:val="21"/>
                <w:highlight w:val="none"/>
              </w:rPr>
              <w:t>□简易计税法</w:t>
            </w:r>
          </w:p>
          <w:p w14:paraId="56BF5830">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【备注：根据《关于全面推开营业税改征增值税试点的通知》（财税〔2016〕36号）、《关于建筑服务等营改增试点政策的通知》（财税〔2017〕58号）文件规定选择】</w:t>
            </w:r>
          </w:p>
          <w:p w14:paraId="7970661D">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2</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本项目</w:t>
            </w:r>
            <w:r>
              <w:rPr>
                <w:rFonts w:hint="eastAsia" w:cs="宋体"/>
                <w:color w:val="auto"/>
                <w:sz w:val="21"/>
                <w:szCs w:val="21"/>
                <w:highlight w:val="none"/>
                <w:lang w:eastAsia="zh-CN"/>
              </w:rPr>
              <w:t>的响应报价为工程总价，响应报价和已报价工程量清单的工程总价金额一致，其报价金额不得高于</w:t>
            </w:r>
            <w:r>
              <w:rPr>
                <w:rFonts w:hint="eastAsia" w:ascii="Times New Roman" w:hAnsi="Times New Roman" w:eastAsia="宋体" w:cs="宋体"/>
                <w:color w:val="auto"/>
                <w:sz w:val="21"/>
                <w:szCs w:val="21"/>
                <w:highlight w:val="none"/>
              </w:rPr>
              <w:t>最高限价：</w:t>
            </w:r>
            <w:r>
              <w:rPr>
                <w:rFonts w:hint="default" w:ascii="Times New Roman" w:hAnsi="Times New Roman" w:cs="宋体"/>
                <w:color w:val="auto"/>
                <w:sz w:val="21"/>
                <w:szCs w:val="21"/>
                <w:highlight w:val="none"/>
                <w:lang w:val="en-US"/>
              </w:rPr>
              <w:t>（大写）</w:t>
            </w:r>
            <w:r>
              <w:rPr>
                <w:rFonts w:hint="default" w:ascii="Times New Roman" w:hAnsi="Times New Roman" w:cs="宋体"/>
                <w:color w:val="auto"/>
                <w:sz w:val="21"/>
                <w:szCs w:val="21"/>
                <w:highlight w:val="none"/>
                <w:u w:val="single"/>
                <w:lang w:val="en-US"/>
              </w:rPr>
              <w:t>人民币壹佰捌拾肆万肆仟肆佰壹拾叁元柒角肆分</w:t>
            </w:r>
            <w:r>
              <w:rPr>
                <w:rFonts w:hint="default" w:ascii="Times New Roman" w:hAnsi="Times New Roman" w:cs="宋体"/>
                <w:color w:val="auto"/>
                <w:sz w:val="21"/>
                <w:szCs w:val="21"/>
                <w:highlight w:val="none"/>
                <w:lang w:val="en-US"/>
              </w:rPr>
              <w:t>（小写）¥</w:t>
            </w:r>
            <w:r>
              <w:rPr>
                <w:rFonts w:hint="default" w:ascii="Times New Roman" w:hAnsi="Times New Roman" w:cs="宋体"/>
                <w:color w:val="auto"/>
                <w:sz w:val="21"/>
                <w:szCs w:val="21"/>
                <w:highlight w:val="none"/>
                <w:u w:val="single"/>
                <w:lang w:val="en-US"/>
              </w:rPr>
              <w:t>1844413.74</w:t>
            </w:r>
            <w:r>
              <w:rPr>
                <w:rFonts w:hint="eastAsia" w:cs="宋体"/>
                <w:color w:val="auto"/>
                <w:sz w:val="21"/>
                <w:szCs w:val="21"/>
                <w:highlight w:val="none"/>
                <w:u w:val="single"/>
                <w:lang w:val="en-US" w:eastAsia="zh-CN"/>
              </w:rPr>
              <w:t>，</w:t>
            </w:r>
            <w:r>
              <w:rPr>
                <w:rFonts w:hint="eastAsia" w:cs="宋体"/>
                <w:b/>
                <w:bCs/>
                <w:color w:val="auto"/>
                <w:sz w:val="21"/>
                <w:szCs w:val="21"/>
                <w:highlight w:val="none"/>
                <w:u w:val="none"/>
                <w:lang w:val="en-US" w:eastAsia="zh-CN"/>
              </w:rPr>
              <w:t>否则作无效响应处理。</w:t>
            </w:r>
          </w:p>
          <w:p w14:paraId="67D7CA1F">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val="en-US" w:eastAsia="zh-CN"/>
              </w:rPr>
              <w:t>3、工程量清单报价为供应商提供的“已报价工程量清单”</w:t>
            </w:r>
            <w:r>
              <w:rPr>
                <w:rFonts w:hint="eastAsia" w:ascii="Times New Roman" w:hAnsi="Times New Roman" w:eastAsia="宋体" w:cs="宋体"/>
                <w:color w:val="auto"/>
                <w:sz w:val="21"/>
                <w:szCs w:val="21"/>
                <w:highlight w:val="none"/>
              </w:rPr>
              <w:t>，供应商应依据竞争性磋商文件、采购人提供的工程量清单（以下简称“工程量清单”）以及《建设工程工程量清单计价规范（GB5050-2013）》及其广西实施细则、《建设工程工程量清单计算规范（GB5854~50862-2013）》及其广西实施细则（修订本）自主报价，自主报价不得违反计价规范强制性条文规定。供应商不得采用总价让利或以百分比让利等形式进行报价，任何优惠（或降价、让利）均应反映在相应清单项目的综合单价中。供应商在首次响应文件提交截止时间前修改响应报价表中磋商总报价的，应同时修改已标价工程量清单中的相应报价。</w:t>
            </w:r>
          </w:p>
          <w:p w14:paraId="07C20BD0">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val="en-US" w:eastAsia="zh-CN"/>
              </w:rPr>
              <w:t>（1）</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b/>
                <w:bCs/>
                <w:color w:val="auto"/>
                <w:sz w:val="21"/>
                <w:szCs w:val="21"/>
                <w:highlight w:val="none"/>
              </w:rPr>
              <w:t>供应商应按工程量清单填报价格。供应商已标价工程量清单中的项目编码（12位）、计量单位、工程量必须与工程量清单一致，供应商不得对工程量清单项目进行增减调整，否则响应文件按无效响应处理。</w:t>
            </w:r>
          </w:p>
          <w:p w14:paraId="66B70503">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val="en-US" w:eastAsia="zh-CN"/>
              </w:rPr>
              <w:t>（2）</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供应商应按工程量清单中列出的分部分项工程项目和工程量填报单价和合价。每一项目只允许有一个报价。任何有选择的报价将不予接受。供应商未填单价或合价的工程项目在实施后，采购人将不予以支付，并视为该项费用已包括在其他有价款的单价或合价内，供应商必须按采购人的指令完成工程量清单中未填入单价或总额价的工程项目，但不能得到支付与结算。</w:t>
            </w:r>
          </w:p>
          <w:p w14:paraId="47133455">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val="en-US" w:eastAsia="zh-CN"/>
              </w:rPr>
              <w:t>（3）</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综合单价中应包含竞争性磋商文件中划分的应由供应商承担的风险范围及其费用。</w:t>
            </w:r>
          </w:p>
          <w:p w14:paraId="452DE916">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b/>
                <w:bCs/>
                <w:color w:val="auto"/>
                <w:sz w:val="21"/>
                <w:szCs w:val="21"/>
                <w:highlight w:val="none"/>
              </w:rPr>
            </w:pPr>
            <w:r>
              <w:rPr>
                <w:rFonts w:hint="eastAsia" w:cs="宋体"/>
                <w:color w:val="auto"/>
                <w:sz w:val="21"/>
                <w:szCs w:val="21"/>
                <w:highlight w:val="none"/>
                <w:lang w:eastAsia="zh-CN"/>
              </w:rPr>
              <w:t>（</w:t>
            </w:r>
            <w:r>
              <w:rPr>
                <w:rFonts w:hint="eastAsia" w:cs="宋体"/>
                <w:color w:val="auto"/>
                <w:sz w:val="21"/>
                <w:szCs w:val="21"/>
                <w:highlight w:val="none"/>
                <w:lang w:val="en-US" w:eastAsia="zh-CN"/>
              </w:rPr>
              <w:t>4</w:t>
            </w:r>
            <w:r>
              <w:rPr>
                <w:rFonts w:hint="eastAsia" w:cs="宋体"/>
                <w:color w:val="auto"/>
                <w:sz w:val="21"/>
                <w:szCs w:val="21"/>
                <w:highlight w:val="none"/>
                <w:lang w:eastAsia="zh-CN"/>
              </w:rPr>
              <w:t>）</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分部分项工程项目和单价措施项目，应根据竞争性磋商文件和工程量清单项目中的特征描述确定综合单价计算。</w:t>
            </w:r>
          </w:p>
          <w:p w14:paraId="4815F6FF">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eastAsia="zh-CN"/>
              </w:rPr>
              <w:t>（</w:t>
            </w:r>
            <w:r>
              <w:rPr>
                <w:rFonts w:hint="eastAsia" w:cs="宋体"/>
                <w:color w:val="auto"/>
                <w:sz w:val="21"/>
                <w:szCs w:val="21"/>
                <w:highlight w:val="none"/>
                <w:lang w:val="en-US" w:eastAsia="zh-CN"/>
              </w:rPr>
              <w:t>5</w:t>
            </w:r>
            <w:r>
              <w:rPr>
                <w:rFonts w:hint="eastAsia" w:cs="宋体"/>
                <w:color w:val="auto"/>
                <w:sz w:val="21"/>
                <w:szCs w:val="21"/>
                <w:highlight w:val="none"/>
                <w:lang w:eastAsia="zh-CN"/>
              </w:rPr>
              <w:t>）</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总价措施项目的金额应根据竞争性磋商文件及磋商时拟定的施工组织设计或施工方案，按计价规范的规定自主确定。但安全文明施工费按国家、省级或行业建设主管部门的有关规定执行。</w:t>
            </w:r>
          </w:p>
          <w:p w14:paraId="0B86DB54">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eastAsia="zh-CN"/>
              </w:rPr>
              <w:t>（</w:t>
            </w:r>
            <w:r>
              <w:rPr>
                <w:rFonts w:hint="eastAsia" w:cs="宋体"/>
                <w:color w:val="auto"/>
                <w:sz w:val="21"/>
                <w:szCs w:val="21"/>
                <w:highlight w:val="none"/>
                <w:lang w:val="en-US" w:eastAsia="zh-CN"/>
              </w:rPr>
              <w:t>6</w:t>
            </w:r>
            <w:r>
              <w:rPr>
                <w:rFonts w:hint="eastAsia" w:cs="宋体"/>
                <w:color w:val="auto"/>
                <w:sz w:val="21"/>
                <w:szCs w:val="21"/>
                <w:highlight w:val="none"/>
                <w:lang w:eastAsia="zh-CN"/>
              </w:rPr>
              <w:t>）</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其他项目费应按下列规定报价：</w:t>
            </w:r>
          </w:p>
          <w:p w14:paraId="23398716">
            <w:pPr>
              <w:keepNext w:val="0"/>
              <w:keepLines w:val="0"/>
              <w:pageBreakBefore w:val="0"/>
              <w:widowControl w:val="0"/>
              <w:kinsoku/>
              <w:wordWrap/>
              <w:overflowPunct/>
              <w:topLinePunct w:val="0"/>
              <w:autoSpaceDE/>
              <w:autoSpaceDN/>
              <w:bidi w:val="0"/>
              <w:adjustRightInd/>
              <w:snapToGrid w:val="0"/>
              <w:spacing w:line="390" w:lineRule="exact"/>
              <w:ind w:firstLine="420" w:firstLineChars="200"/>
              <w:jc w:val="both"/>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w:t>
            </w:r>
            <w:r>
              <w:rPr>
                <w:rFonts w:hint="eastAsia" w:ascii="Times New Roman" w:hAnsi="Times New Roman" w:eastAsia="宋体" w:cs="宋体"/>
                <w:b/>
                <w:bCs/>
                <w:color w:val="auto"/>
                <w:sz w:val="21"/>
                <w:szCs w:val="21"/>
                <w:highlight w:val="none"/>
              </w:rPr>
              <w:t>暂列金额应按工程量清单中列出的金额填写</w:t>
            </w:r>
            <w:r>
              <w:rPr>
                <w:rFonts w:hint="eastAsia" w:ascii="Times New Roman" w:hAnsi="Times New Roman" w:eastAsia="宋体"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487FDE04">
            <w:pPr>
              <w:keepNext w:val="0"/>
              <w:keepLines w:val="0"/>
              <w:pageBreakBefore w:val="0"/>
              <w:widowControl w:val="0"/>
              <w:kinsoku/>
              <w:wordWrap/>
              <w:overflowPunct/>
              <w:topLinePunct w:val="0"/>
              <w:autoSpaceDE/>
              <w:autoSpaceDN/>
              <w:bidi w:val="0"/>
              <w:adjustRightInd/>
              <w:snapToGrid w:val="0"/>
              <w:spacing w:line="390" w:lineRule="exact"/>
              <w:ind w:firstLine="420" w:firstLineChars="200"/>
              <w:jc w:val="both"/>
              <w:textAlignment w:val="auto"/>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2）材料、工程设备暂估价应按工程量清单中列出的单价计入综合单价</w:t>
            </w:r>
            <w:r>
              <w:rPr>
                <w:rFonts w:hint="eastAsia" w:ascii="Times New Roman" w:hAnsi="Times New Roman" w:eastAsia="宋体"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44951BEE">
            <w:pPr>
              <w:keepNext w:val="0"/>
              <w:keepLines w:val="0"/>
              <w:pageBreakBefore w:val="0"/>
              <w:widowControl w:val="0"/>
              <w:kinsoku/>
              <w:wordWrap/>
              <w:overflowPunct/>
              <w:topLinePunct w:val="0"/>
              <w:autoSpaceDE/>
              <w:autoSpaceDN/>
              <w:bidi w:val="0"/>
              <w:adjustRightInd/>
              <w:snapToGrid w:val="0"/>
              <w:spacing w:line="390" w:lineRule="exact"/>
              <w:ind w:firstLine="420" w:firstLineChars="200"/>
              <w:jc w:val="both"/>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w:t>
            </w:r>
            <w:r>
              <w:rPr>
                <w:rFonts w:hint="eastAsia" w:ascii="Times New Roman" w:hAnsi="Times New Roman" w:eastAsia="宋体" w:cs="宋体"/>
                <w:b/>
                <w:bCs/>
                <w:color w:val="auto"/>
                <w:sz w:val="21"/>
                <w:szCs w:val="21"/>
                <w:highlight w:val="none"/>
              </w:rPr>
              <w:t>专业工程暂估价应按工程量清单中列出的金额填写</w:t>
            </w:r>
            <w:r>
              <w:rPr>
                <w:rFonts w:hint="eastAsia" w:ascii="Times New Roman" w:hAnsi="Times New Roman" w:eastAsia="宋体" w:cs="宋体"/>
                <w:b/>
                <w:bCs/>
                <w:color w:val="auto"/>
                <w:sz w:val="21"/>
                <w:szCs w:val="21"/>
                <w:highlight w:val="none"/>
                <w:lang w:eastAsia="zh-CN"/>
              </w:rPr>
              <w:t>，安全生产责任保险费暂估价</w:t>
            </w:r>
            <w:r>
              <w:rPr>
                <w:rFonts w:hint="eastAsia" w:ascii="Times New Roman" w:hAnsi="Times New Roman" w:eastAsia="宋体" w:cs="宋体"/>
                <w:b/>
                <w:bCs/>
                <w:color w:val="auto"/>
                <w:sz w:val="21"/>
                <w:szCs w:val="21"/>
                <w:highlight w:val="none"/>
              </w:rPr>
              <w:t>应按工程量清单中列出的金额填写</w:t>
            </w:r>
            <w:r>
              <w:rPr>
                <w:rFonts w:hint="eastAsia" w:ascii="Times New Roman" w:hAnsi="Times New Roman" w:eastAsia="宋体"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420A0544">
            <w:pPr>
              <w:keepNext w:val="0"/>
              <w:keepLines w:val="0"/>
              <w:pageBreakBefore w:val="0"/>
              <w:widowControl w:val="0"/>
              <w:kinsoku/>
              <w:wordWrap/>
              <w:overflowPunct/>
              <w:topLinePunct w:val="0"/>
              <w:autoSpaceDE/>
              <w:autoSpaceDN/>
              <w:bidi w:val="0"/>
              <w:adjustRightInd/>
              <w:snapToGrid w:val="0"/>
              <w:spacing w:line="390" w:lineRule="exact"/>
              <w:ind w:firstLine="420" w:firstLineChars="200"/>
              <w:jc w:val="both"/>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4）计日工应按工程量清单中列出的项目和估算数量，自主确定综合单价并计算计日工总额；</w:t>
            </w:r>
          </w:p>
          <w:p w14:paraId="654D690C">
            <w:pPr>
              <w:keepNext w:val="0"/>
              <w:keepLines w:val="0"/>
              <w:pageBreakBefore w:val="0"/>
              <w:widowControl w:val="0"/>
              <w:kinsoku/>
              <w:wordWrap/>
              <w:overflowPunct/>
              <w:topLinePunct w:val="0"/>
              <w:autoSpaceDE/>
              <w:autoSpaceDN/>
              <w:bidi w:val="0"/>
              <w:adjustRightInd/>
              <w:snapToGrid w:val="0"/>
              <w:spacing w:line="390" w:lineRule="exact"/>
              <w:ind w:firstLine="420" w:firstLineChars="200"/>
              <w:jc w:val="both"/>
              <w:textAlignment w:val="auto"/>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5）总承包服务费应根据工程量清单中列出的内容和供应材料、设备情况，按照采购人提出的协调、配合与服务要求和施工现场管理需要自主确定。</w:t>
            </w:r>
          </w:p>
          <w:p w14:paraId="629793A7">
            <w:pPr>
              <w:keepNext w:val="0"/>
              <w:keepLines w:val="0"/>
              <w:pageBreakBefore w:val="0"/>
              <w:widowControl w:val="0"/>
              <w:kinsoku/>
              <w:wordWrap/>
              <w:overflowPunct/>
              <w:topLinePunct w:val="0"/>
              <w:autoSpaceDE/>
              <w:autoSpaceDN/>
              <w:bidi w:val="0"/>
              <w:adjustRightInd/>
              <w:snapToGrid w:val="0"/>
              <w:spacing w:line="390" w:lineRule="exact"/>
              <w:ind w:firstLine="422" w:firstLineChars="200"/>
              <w:jc w:val="both"/>
              <w:textAlignment w:val="auto"/>
              <w:rPr>
                <w:rFonts w:hint="eastAsia" w:ascii="Times New Roman" w:hAnsi="Times New Roman" w:eastAsia="宋体" w:cs="宋体"/>
                <w:b/>
                <w:bCs/>
                <w:color w:val="auto"/>
                <w:spacing w:val="0"/>
                <w:kern w:val="2"/>
                <w:sz w:val="21"/>
                <w:szCs w:val="21"/>
                <w:highlight w:val="none"/>
                <w:lang w:val="en-US" w:eastAsia="zh-CN" w:bidi="ar-SA"/>
              </w:rPr>
            </w:pPr>
            <w:r>
              <w:rPr>
                <w:rFonts w:hint="eastAsia" w:ascii="Times New Roman" w:hAnsi="Times New Roman" w:eastAsia="宋体" w:cs="宋体"/>
                <w:b/>
                <w:bCs/>
                <w:color w:val="auto"/>
                <w:spacing w:val="0"/>
                <w:kern w:val="2"/>
                <w:sz w:val="21"/>
                <w:szCs w:val="21"/>
                <w:highlight w:val="none"/>
                <w:lang w:val="en-US" w:eastAsia="zh-CN" w:bidi="ar-SA"/>
              </w:rPr>
              <w:t>6）安全文明施工费和规费、增值税按我区费用定额及造价管理相关文件规定报价（园林绿化及仿古建筑工程除外），否则响应文件按无效响应处理。</w:t>
            </w:r>
          </w:p>
          <w:p w14:paraId="05BF1CF8">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bCs w:val="0"/>
                <w:color w:val="auto"/>
                <w:spacing w:val="0"/>
                <w:kern w:val="2"/>
                <w:sz w:val="21"/>
                <w:szCs w:val="21"/>
                <w:highlight w:val="none"/>
                <w:lang w:val="en-US" w:eastAsia="zh-CN" w:bidi="ar-SA"/>
              </w:rPr>
            </w:pPr>
            <w:r>
              <w:rPr>
                <w:rFonts w:hint="eastAsia" w:cs="宋体"/>
                <w:bCs w:val="0"/>
                <w:color w:val="auto"/>
                <w:spacing w:val="0"/>
                <w:kern w:val="2"/>
                <w:sz w:val="21"/>
                <w:szCs w:val="21"/>
                <w:highlight w:val="none"/>
                <w:lang w:val="en-US" w:eastAsia="zh-CN" w:bidi="ar-SA"/>
              </w:rPr>
              <w:t>（7）</w:t>
            </w:r>
            <w:r>
              <w:rPr>
                <w:rFonts w:hint="eastAsia" w:ascii="Times New Roman" w:hAnsi="Times New Roman" w:eastAsia="宋体" w:cs="宋体"/>
                <w:bCs w:val="0"/>
                <w:color w:val="auto"/>
                <w:spacing w:val="0"/>
                <w:kern w:val="2"/>
                <w:sz w:val="21"/>
                <w:szCs w:val="21"/>
                <w:highlight w:val="none"/>
                <w:lang w:val="en-US" w:eastAsia="zh-CN" w:bidi="ar-SA"/>
              </w:rPr>
              <w:t>增值税应按规定确定。</w:t>
            </w:r>
          </w:p>
          <w:p w14:paraId="687C8573">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bCs w:val="0"/>
                <w:color w:val="auto"/>
                <w:spacing w:val="0"/>
                <w:kern w:val="2"/>
                <w:sz w:val="21"/>
                <w:szCs w:val="21"/>
                <w:highlight w:val="none"/>
                <w:lang w:val="en-US" w:eastAsia="zh-CN" w:bidi="ar-SA"/>
              </w:rPr>
              <w:t>（8）</w:t>
            </w:r>
            <w:r>
              <w:rPr>
                <w:rFonts w:hint="eastAsia" w:ascii="Times New Roman" w:hAnsi="Times New Roman" w:eastAsia="宋体" w:cs="宋体"/>
                <w:bCs w:val="0"/>
                <w:color w:val="auto"/>
                <w:spacing w:val="0"/>
                <w:kern w:val="2"/>
                <w:sz w:val="21"/>
                <w:szCs w:val="21"/>
                <w:highlight w:val="none"/>
                <w:lang w:val="en-US" w:eastAsia="zh-CN" w:bidi="ar-SA"/>
              </w:rPr>
              <w:t>工程量清单与计价表中列明的所有需要填写的单价和合价的项目，供应</w:t>
            </w:r>
            <w:r>
              <w:rPr>
                <w:rFonts w:hint="eastAsia" w:ascii="Times New Roman" w:hAnsi="Times New Roman" w:eastAsia="宋体" w:cs="宋体"/>
                <w:color w:val="auto"/>
                <w:sz w:val="21"/>
                <w:szCs w:val="21"/>
                <w:highlight w:val="none"/>
              </w:rPr>
              <w:t>商均应填写且只允许有一个报价。未填写单价和合价的项目，视为此项费用已包含在已标价工程量清单中其他项目的单价和合价之中。竣工结算时，此项目不得重新组价予以调整。</w:t>
            </w:r>
          </w:p>
          <w:p w14:paraId="06906F04">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b/>
                <w:bCs/>
                <w:color w:val="auto"/>
                <w:sz w:val="21"/>
                <w:szCs w:val="21"/>
                <w:highlight w:val="none"/>
              </w:rPr>
            </w:pPr>
            <w:r>
              <w:rPr>
                <w:rFonts w:hint="eastAsia" w:cs="宋体"/>
                <w:b/>
                <w:bCs/>
                <w:color w:val="auto"/>
                <w:sz w:val="21"/>
                <w:szCs w:val="21"/>
                <w:highlight w:val="none"/>
                <w:lang w:eastAsia="zh-CN"/>
              </w:rPr>
              <w:t>（</w:t>
            </w:r>
            <w:r>
              <w:rPr>
                <w:rFonts w:hint="eastAsia" w:cs="宋体"/>
                <w:b/>
                <w:bCs/>
                <w:color w:val="auto"/>
                <w:sz w:val="21"/>
                <w:szCs w:val="21"/>
                <w:highlight w:val="none"/>
                <w:lang w:val="en-US" w:eastAsia="zh-CN"/>
              </w:rPr>
              <w:t>9</w:t>
            </w:r>
            <w:r>
              <w:rPr>
                <w:rFonts w:hint="eastAsia" w:cs="宋体"/>
                <w:b/>
                <w:bCs/>
                <w:color w:val="auto"/>
                <w:sz w:val="21"/>
                <w:szCs w:val="21"/>
                <w:highlight w:val="none"/>
                <w:lang w:eastAsia="zh-CN"/>
              </w:rPr>
              <w:t>）工程总价</w:t>
            </w:r>
            <w:r>
              <w:rPr>
                <w:rFonts w:hint="eastAsia" w:ascii="Times New Roman" w:hAnsi="Times New Roman" w:eastAsia="宋体" w:cs="宋体"/>
                <w:b/>
                <w:bCs/>
                <w:color w:val="auto"/>
                <w:sz w:val="21"/>
                <w:szCs w:val="21"/>
                <w:highlight w:val="none"/>
              </w:rPr>
              <w:t>应当与分部分项工程和单价措施项目费用、总价措施项目费用</w:t>
            </w:r>
            <w:r>
              <w:rPr>
                <w:rFonts w:hint="eastAsia"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其他项目费用</w:t>
            </w:r>
            <w:r>
              <w:rPr>
                <w:rFonts w:hint="eastAsia" w:cs="宋体"/>
                <w:b/>
                <w:bCs/>
                <w:color w:val="auto"/>
                <w:sz w:val="21"/>
                <w:szCs w:val="21"/>
                <w:highlight w:val="none"/>
                <w:lang w:eastAsia="zh-CN"/>
              </w:rPr>
              <w:t>的</w:t>
            </w:r>
            <w:r>
              <w:rPr>
                <w:rFonts w:hint="eastAsia" w:ascii="Times New Roman" w:hAnsi="Times New Roman" w:eastAsia="宋体" w:cs="宋体"/>
                <w:b/>
                <w:bCs/>
                <w:color w:val="auto"/>
                <w:sz w:val="21"/>
                <w:szCs w:val="21"/>
                <w:highlight w:val="none"/>
              </w:rPr>
              <w:t>合计金额一致</w:t>
            </w:r>
            <w:r>
              <w:rPr>
                <w:rFonts w:hint="eastAsia" w:cs="宋体"/>
                <w:b/>
                <w:bCs/>
                <w:color w:val="auto"/>
                <w:sz w:val="21"/>
                <w:szCs w:val="21"/>
                <w:highlight w:val="none"/>
                <w:lang w:eastAsia="zh-CN"/>
              </w:rPr>
              <w:t>，否则响应文件按无效响应处理</w:t>
            </w:r>
            <w:r>
              <w:rPr>
                <w:rFonts w:hint="eastAsia" w:ascii="Times New Roman" w:hAnsi="Times New Roman" w:eastAsia="宋体" w:cs="宋体"/>
                <w:b/>
                <w:bCs/>
                <w:color w:val="auto"/>
                <w:sz w:val="21"/>
                <w:szCs w:val="21"/>
                <w:highlight w:val="none"/>
              </w:rPr>
              <w:t>。</w:t>
            </w:r>
          </w:p>
          <w:p w14:paraId="05656A3D">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eastAsia="zh-CN"/>
              </w:rPr>
              <w:t>（</w:t>
            </w:r>
            <w:r>
              <w:rPr>
                <w:rFonts w:hint="eastAsia" w:cs="宋体"/>
                <w:color w:val="auto"/>
                <w:sz w:val="21"/>
                <w:szCs w:val="21"/>
                <w:highlight w:val="none"/>
                <w:lang w:val="en-US" w:eastAsia="zh-CN"/>
              </w:rPr>
              <w:t>10</w:t>
            </w:r>
            <w:r>
              <w:rPr>
                <w:rFonts w:hint="eastAsia" w:cs="宋体"/>
                <w:color w:val="auto"/>
                <w:sz w:val="21"/>
                <w:szCs w:val="21"/>
                <w:highlight w:val="none"/>
                <w:lang w:eastAsia="zh-CN"/>
              </w:rPr>
              <w:t>）</w:t>
            </w:r>
            <w:r>
              <w:rPr>
                <w:rFonts w:hint="eastAsia" w:ascii="Times New Roman" w:hAnsi="Times New Roman" w:eastAsia="宋体" w:cs="宋体"/>
                <w:color w:val="auto"/>
                <w:sz w:val="21"/>
                <w:szCs w:val="21"/>
                <w:highlight w:val="none"/>
              </w:rPr>
              <w:t>供应商应按《允许调整主要材料和工程设备一览表》的内容填报，不得擅自调整材料和设备名称型号</w:t>
            </w:r>
            <w:r>
              <w:rPr>
                <w:rFonts w:hint="eastAsia" w:cs="宋体"/>
                <w:color w:val="auto"/>
                <w:sz w:val="21"/>
                <w:szCs w:val="21"/>
                <w:highlight w:val="none"/>
                <w:lang w:eastAsia="zh-CN"/>
              </w:rPr>
              <w:t>、</w:t>
            </w:r>
            <w:r>
              <w:rPr>
                <w:rFonts w:hint="eastAsia" w:ascii="Times New Roman" w:hAnsi="Times New Roman" w:eastAsia="宋体" w:cs="宋体"/>
                <w:color w:val="auto"/>
                <w:sz w:val="21"/>
                <w:szCs w:val="21"/>
                <w:highlight w:val="none"/>
              </w:rPr>
              <w:t>规格、</w:t>
            </w:r>
            <w:r>
              <w:rPr>
                <w:rFonts w:hint="eastAsia" w:cs="宋体"/>
                <w:color w:val="auto"/>
                <w:sz w:val="21"/>
                <w:szCs w:val="21"/>
                <w:highlight w:val="none"/>
                <w:lang w:eastAsia="zh-CN"/>
              </w:rPr>
              <w:t>现行价格指数</w:t>
            </w:r>
            <w:r>
              <w:rPr>
                <w:rFonts w:hint="eastAsia" w:ascii="Times New Roman" w:hAnsi="Times New Roman" w:eastAsia="宋体" w:cs="宋体"/>
                <w:color w:val="auto"/>
                <w:sz w:val="21"/>
                <w:szCs w:val="21"/>
                <w:highlight w:val="none"/>
              </w:rPr>
              <w:t>。</w:t>
            </w:r>
          </w:p>
          <w:p w14:paraId="6A8F0FAB">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color w:val="auto"/>
                <w:sz w:val="21"/>
                <w:szCs w:val="21"/>
                <w:highlight w:val="none"/>
              </w:rPr>
            </w:pPr>
            <w:r>
              <w:rPr>
                <w:rFonts w:hint="eastAsia" w:cs="宋体"/>
                <w:color w:val="auto"/>
                <w:sz w:val="21"/>
                <w:szCs w:val="21"/>
                <w:highlight w:val="none"/>
                <w:lang w:eastAsia="zh-CN"/>
              </w:rPr>
              <w:t>（</w:t>
            </w:r>
            <w:r>
              <w:rPr>
                <w:rFonts w:hint="eastAsia" w:cs="宋体"/>
                <w:color w:val="auto"/>
                <w:sz w:val="21"/>
                <w:szCs w:val="21"/>
                <w:highlight w:val="none"/>
                <w:lang w:val="en-US" w:eastAsia="zh-CN"/>
              </w:rPr>
              <w:t>11</w:t>
            </w:r>
            <w:r>
              <w:rPr>
                <w:rFonts w:hint="eastAsia" w:cs="宋体"/>
                <w:color w:val="auto"/>
                <w:sz w:val="21"/>
                <w:szCs w:val="21"/>
                <w:highlight w:val="none"/>
                <w:lang w:eastAsia="zh-CN"/>
              </w:rPr>
              <w:t>）</w:t>
            </w:r>
            <w:r>
              <w:rPr>
                <w:rFonts w:hint="eastAsia" w:ascii="Times New Roman" w:hAnsi="Times New Roman" w:eastAsia="宋体" w:cs="宋体"/>
                <w:color w:val="auto"/>
                <w:sz w:val="21"/>
                <w:szCs w:val="21"/>
                <w:highlight w:val="none"/>
              </w:rPr>
              <w:t>未尽事宜详见本项目工程量清单、招标控制价编制说明以及现行《计价规范》等有关规定执行。</w:t>
            </w:r>
          </w:p>
          <w:p w14:paraId="3BDEE48C">
            <w:pPr>
              <w:keepNext w:val="0"/>
              <w:keepLines w:val="0"/>
              <w:pageBreakBefore w:val="0"/>
              <w:numPr>
                <w:ilvl w:val="0"/>
                <w:numId w:val="0"/>
              </w:numPr>
              <w:kinsoku/>
              <w:wordWrap/>
              <w:overflowPunct/>
              <w:topLinePunct w:val="0"/>
              <w:bidi w:val="0"/>
              <w:adjustRightInd/>
              <w:snapToGrid w:val="0"/>
              <w:spacing w:line="390" w:lineRule="exact"/>
              <w:jc w:val="both"/>
              <w:rPr>
                <w:rFonts w:hint="eastAsia" w:ascii="Times New Roman" w:hAnsi="Times New Roman" w:cs="宋体"/>
                <w:color w:val="auto"/>
                <w:sz w:val="21"/>
                <w:szCs w:val="21"/>
                <w:lang w:eastAsia="zh-CN"/>
              </w:rPr>
            </w:pPr>
            <w:r>
              <w:rPr>
                <w:rFonts w:hint="eastAsia" w:cs="宋体"/>
                <w:color w:val="auto"/>
                <w:sz w:val="21"/>
                <w:szCs w:val="21"/>
                <w:lang w:val="en-US" w:eastAsia="zh-CN"/>
              </w:rPr>
              <w:t>4.</w:t>
            </w:r>
            <w:r>
              <w:rPr>
                <w:rFonts w:hint="eastAsia" w:ascii="Times New Roman" w:hAnsi="Times New Roman" w:cs="宋体"/>
                <w:color w:val="auto"/>
                <w:sz w:val="21"/>
                <w:szCs w:val="21"/>
                <w:lang w:val="en-US" w:eastAsia="zh-CN"/>
              </w:rPr>
              <w:t>供应商</w:t>
            </w:r>
            <w:r>
              <w:rPr>
                <w:rFonts w:hint="eastAsia" w:ascii="Times New Roman" w:hAnsi="Times New Roman" w:cs="宋体"/>
                <w:color w:val="auto"/>
                <w:sz w:val="21"/>
                <w:szCs w:val="21"/>
              </w:rPr>
              <w:t>已标价工程量清单的项目名称或项目特征与招标工程量清单不一致，评标委员会要求澄清、说明或补正，但</w:t>
            </w:r>
            <w:r>
              <w:rPr>
                <w:rFonts w:hint="eastAsia" w:ascii="Times New Roman" w:hAnsi="Times New Roman" w:cs="宋体"/>
                <w:color w:val="auto"/>
                <w:sz w:val="21"/>
                <w:szCs w:val="21"/>
                <w:lang w:val="en-US" w:eastAsia="zh-CN"/>
              </w:rPr>
              <w:t>供应商</w:t>
            </w:r>
            <w:r>
              <w:rPr>
                <w:rFonts w:hint="eastAsia" w:ascii="Times New Roman" w:hAnsi="Times New Roman" w:cs="宋体"/>
                <w:color w:val="auto"/>
                <w:sz w:val="21"/>
                <w:szCs w:val="21"/>
              </w:rPr>
              <w:t>拒绝澄清、说明或补正的</w:t>
            </w:r>
            <w:r>
              <w:rPr>
                <w:rFonts w:hint="eastAsia" w:ascii="Times New Roman" w:hAnsi="Times New Roman" w:cs="宋体"/>
                <w:color w:val="auto"/>
                <w:sz w:val="21"/>
                <w:szCs w:val="21"/>
                <w:lang w:eastAsia="zh-CN"/>
              </w:rPr>
              <w:t>，</w:t>
            </w:r>
            <w:r>
              <w:rPr>
                <w:rFonts w:hint="eastAsia" w:ascii="Times New Roman" w:hAnsi="Times New Roman" w:cs="宋体"/>
                <w:b/>
                <w:bCs/>
                <w:color w:val="auto"/>
                <w:sz w:val="21"/>
                <w:szCs w:val="21"/>
                <w:lang w:eastAsia="zh-CN"/>
              </w:rPr>
              <w:t>响应文件按无效响应处理。</w:t>
            </w:r>
          </w:p>
          <w:p w14:paraId="6FAE64D4">
            <w:pPr>
              <w:keepNext w:val="0"/>
              <w:keepLines w:val="0"/>
              <w:pageBreakBefore w:val="0"/>
              <w:numPr>
                <w:ilvl w:val="0"/>
                <w:numId w:val="0"/>
              </w:numPr>
              <w:kinsoku/>
              <w:wordWrap/>
              <w:overflowPunct/>
              <w:topLinePunct w:val="0"/>
              <w:bidi w:val="0"/>
              <w:adjustRightInd/>
              <w:snapToGrid w:val="0"/>
              <w:spacing w:line="390" w:lineRule="exact"/>
              <w:jc w:val="both"/>
              <w:rPr>
                <w:rFonts w:hint="eastAsia" w:ascii="Times New Roman" w:hAnsi="Times New Roman" w:eastAsia="宋体" w:cs="宋体"/>
                <w:b/>
                <w:bCs/>
                <w:color w:val="auto"/>
                <w:sz w:val="21"/>
                <w:szCs w:val="21"/>
                <w:lang w:val="en-US" w:eastAsia="zh-CN"/>
              </w:rPr>
            </w:pPr>
            <w:r>
              <w:rPr>
                <w:rFonts w:hint="eastAsia" w:cs="宋体"/>
                <w:color w:val="auto"/>
                <w:sz w:val="21"/>
                <w:szCs w:val="21"/>
                <w:lang w:val="en-US" w:eastAsia="zh-CN"/>
              </w:rPr>
              <w:t>5.</w:t>
            </w:r>
            <w:r>
              <w:rPr>
                <w:rFonts w:hint="eastAsia" w:ascii="Times New Roman" w:hAnsi="Times New Roman" w:cs="宋体"/>
                <w:color w:val="auto"/>
                <w:sz w:val="21"/>
                <w:szCs w:val="21"/>
                <w:lang w:val="en-US" w:eastAsia="zh-CN"/>
              </w:rPr>
              <w:t>响应报价表</w:t>
            </w:r>
            <w:r>
              <w:rPr>
                <w:rFonts w:hint="eastAsia" w:ascii="Times New Roman" w:hAnsi="Times New Roman" w:cs="宋体"/>
                <w:color w:val="auto"/>
                <w:sz w:val="21"/>
                <w:szCs w:val="21"/>
              </w:rPr>
              <w:t>中的报价与已标价的工程量清单汇总表不一致的</w:t>
            </w:r>
            <w:r>
              <w:rPr>
                <w:rFonts w:hint="eastAsia" w:ascii="Times New Roman" w:hAnsi="Times New Roman" w:cs="宋体"/>
                <w:color w:val="auto"/>
                <w:sz w:val="21"/>
                <w:szCs w:val="21"/>
                <w:lang w:eastAsia="zh-CN"/>
              </w:rPr>
              <w:t>，</w:t>
            </w:r>
            <w:r>
              <w:rPr>
                <w:rFonts w:hint="eastAsia" w:ascii="Times New Roman" w:hAnsi="Times New Roman" w:cs="宋体"/>
                <w:b/>
                <w:bCs/>
                <w:color w:val="auto"/>
                <w:sz w:val="21"/>
                <w:szCs w:val="21"/>
                <w:lang w:eastAsia="zh-CN"/>
              </w:rPr>
              <w:t>响应文件按无效响应处理。</w:t>
            </w:r>
          </w:p>
          <w:p w14:paraId="10A58B34">
            <w:pPr>
              <w:keepNext w:val="0"/>
              <w:keepLines w:val="0"/>
              <w:pageBreakBefore w:val="0"/>
              <w:widowControl/>
              <w:numPr>
                <w:ilvl w:val="0"/>
                <w:numId w:val="0"/>
              </w:numPr>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b/>
                <w:bCs/>
                <w:color w:val="auto"/>
                <w:sz w:val="21"/>
                <w:szCs w:val="21"/>
                <w:highlight w:val="none"/>
              </w:rPr>
            </w:pPr>
            <w:r>
              <w:rPr>
                <w:rFonts w:hint="eastAsia" w:cs="宋体"/>
                <w:color w:val="auto"/>
                <w:sz w:val="21"/>
                <w:szCs w:val="21"/>
                <w:lang w:val="en-US" w:eastAsia="zh-CN"/>
              </w:rPr>
              <w:t>6.</w:t>
            </w:r>
            <w:r>
              <w:rPr>
                <w:rFonts w:hint="eastAsia" w:ascii="Times New Roman" w:hAnsi="Times New Roman" w:cs="宋体"/>
                <w:color w:val="auto"/>
                <w:sz w:val="21"/>
                <w:szCs w:val="21"/>
              </w:rPr>
              <w:t>在单价合同工程中</w:t>
            </w:r>
            <w:r>
              <w:rPr>
                <w:rFonts w:hint="eastAsia" w:ascii="Times New Roman" w:hAnsi="Times New Roman" w:cs="宋体"/>
                <w:color w:val="auto"/>
                <w:sz w:val="21"/>
                <w:szCs w:val="21"/>
                <w:lang w:val="en-US" w:eastAsia="zh-CN"/>
              </w:rPr>
              <w:t>供应商</w:t>
            </w:r>
            <w:r>
              <w:rPr>
                <w:rFonts w:hint="eastAsia" w:ascii="Times New Roman" w:hAnsi="Times New Roman" w:cs="宋体"/>
                <w:color w:val="auto"/>
                <w:sz w:val="21"/>
                <w:szCs w:val="21"/>
              </w:rPr>
              <w:t>采用总价优惠或以总价百分比优惠的方式进行</w:t>
            </w:r>
            <w:r>
              <w:rPr>
                <w:rFonts w:hint="eastAsia" w:ascii="Times New Roman" w:hAnsi="Times New Roman" w:cs="宋体"/>
                <w:color w:val="auto"/>
                <w:sz w:val="21"/>
                <w:szCs w:val="21"/>
                <w:lang w:val="en-US" w:eastAsia="zh-CN"/>
              </w:rPr>
              <w:t>竞</w:t>
            </w:r>
            <w:r>
              <w:rPr>
                <w:rFonts w:hint="eastAsia" w:ascii="Times New Roman" w:hAnsi="Times New Roman" w:cs="宋体"/>
                <w:color w:val="auto"/>
                <w:sz w:val="21"/>
                <w:szCs w:val="21"/>
              </w:rPr>
              <w:t>标报价的</w:t>
            </w:r>
            <w:r>
              <w:rPr>
                <w:rFonts w:hint="eastAsia" w:ascii="Times New Roman" w:hAnsi="Times New Roman" w:cs="宋体"/>
                <w:color w:val="auto"/>
                <w:sz w:val="21"/>
                <w:szCs w:val="21"/>
                <w:lang w:eastAsia="zh-CN"/>
              </w:rPr>
              <w:t>，响应文件按无效响应处理。</w:t>
            </w:r>
          </w:p>
          <w:p w14:paraId="059F6B03">
            <w:pPr>
              <w:keepNext w:val="0"/>
              <w:keepLines w:val="0"/>
              <w:pageBreakBefore w:val="0"/>
              <w:widowControl/>
              <w:numPr>
                <w:ilvl w:val="0"/>
                <w:numId w:val="0"/>
              </w:numPr>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b/>
                <w:bCs/>
                <w:color w:val="auto"/>
                <w:sz w:val="21"/>
                <w:szCs w:val="21"/>
                <w:highlight w:val="none"/>
              </w:rPr>
            </w:pPr>
            <w:r>
              <w:rPr>
                <w:rFonts w:hint="eastAsia" w:cs="宋体"/>
                <w:b/>
                <w:bCs/>
                <w:color w:val="auto"/>
                <w:sz w:val="21"/>
                <w:szCs w:val="21"/>
                <w:highlight w:val="none"/>
                <w:lang w:val="en-US" w:eastAsia="zh-CN"/>
              </w:rPr>
              <w:t>7.</w:t>
            </w:r>
            <w:r>
              <w:rPr>
                <w:rFonts w:hint="eastAsia" w:ascii="Times New Roman" w:hAnsi="Times New Roman" w:eastAsia="宋体" w:cs="宋体"/>
                <w:b/>
                <w:bCs/>
                <w:color w:val="auto"/>
                <w:sz w:val="21"/>
                <w:szCs w:val="21"/>
                <w:highlight w:val="none"/>
              </w:rPr>
              <w:t>最后报价须</w:t>
            </w:r>
            <w:r>
              <w:rPr>
                <w:rFonts w:hint="eastAsia" w:ascii="Times New Roman" w:hAnsi="Times New Roman" w:eastAsia="宋体" w:cs="宋体"/>
                <w:b/>
                <w:bCs/>
                <w:color w:val="auto"/>
                <w:sz w:val="21"/>
                <w:szCs w:val="21"/>
                <w:highlight w:val="none"/>
                <w:lang w:eastAsia="zh-CN"/>
              </w:rPr>
              <w:t>提供</w:t>
            </w:r>
            <w:r>
              <w:rPr>
                <w:rFonts w:hint="eastAsia" w:ascii="Times New Roman" w:hAnsi="Times New Roman" w:eastAsia="宋体" w:cs="宋体"/>
                <w:b/>
                <w:bCs/>
                <w:color w:val="auto"/>
                <w:sz w:val="21"/>
                <w:szCs w:val="21"/>
                <w:highlight w:val="none"/>
              </w:rPr>
              <w:t>最后报价表，否则视同放弃报价权利退出磋商，最后报价不得以总价下浮的方式做最后报价，否则响应文件按无效响应处理。</w:t>
            </w:r>
          </w:p>
          <w:p w14:paraId="0BDCFA36">
            <w:pPr>
              <w:keepNext w:val="0"/>
              <w:keepLines w:val="0"/>
              <w:pageBreakBefore w:val="0"/>
              <w:widowControl w:val="0"/>
              <w:kinsoku/>
              <w:wordWrap/>
              <w:overflowPunct/>
              <w:topLinePunct w:val="0"/>
              <w:autoSpaceDE/>
              <w:autoSpaceDN/>
              <w:bidi w:val="0"/>
              <w:adjustRightInd/>
              <w:snapToGrid w:val="0"/>
              <w:spacing w:line="390" w:lineRule="exact"/>
              <w:jc w:val="both"/>
              <w:textAlignment w:val="auto"/>
              <w:rPr>
                <w:rFonts w:hint="eastAsia" w:ascii="Times New Roman" w:hAnsi="Times New Roman" w:eastAsia="宋体" w:cs="宋体"/>
                <w:b/>
                <w:bCs/>
                <w:color w:val="auto"/>
                <w:sz w:val="21"/>
                <w:szCs w:val="21"/>
                <w:highlight w:val="none"/>
                <w:lang w:val="zh-CN" w:eastAsia="zh-CN"/>
              </w:rPr>
            </w:pPr>
            <w:r>
              <w:rPr>
                <w:rFonts w:hint="eastAsia" w:ascii="Times New Roman" w:hAnsi="Times New Roman" w:eastAsia="宋体" w:cs="宋体"/>
                <w:b/>
                <w:bCs/>
                <w:color w:val="auto"/>
                <w:sz w:val="21"/>
                <w:szCs w:val="21"/>
                <w:highlight w:val="none"/>
              </w:rPr>
              <w:t>重要提示：最后报价有时间限制，供应商</w:t>
            </w:r>
            <w:r>
              <w:rPr>
                <w:rFonts w:hint="eastAsia" w:ascii="Times New Roman" w:hAnsi="Times New Roman" w:eastAsia="宋体" w:cs="宋体"/>
                <w:b/>
                <w:bCs/>
                <w:color w:val="auto"/>
                <w:sz w:val="21"/>
                <w:szCs w:val="21"/>
                <w:highlight w:val="none"/>
                <w:lang w:eastAsia="zh-CN"/>
              </w:rPr>
              <w:t>可</w:t>
            </w:r>
            <w:r>
              <w:rPr>
                <w:rFonts w:hint="eastAsia" w:ascii="Times New Roman" w:hAnsi="Times New Roman" w:eastAsia="宋体" w:cs="宋体"/>
                <w:b/>
                <w:bCs/>
                <w:color w:val="auto"/>
                <w:sz w:val="21"/>
                <w:szCs w:val="21"/>
                <w:highlight w:val="none"/>
              </w:rPr>
              <w:t>按竞争性磋商文件</w:t>
            </w:r>
            <w:r>
              <w:rPr>
                <w:rFonts w:hint="eastAsia" w:ascii="Times New Roman" w:hAnsi="Times New Roman" w:eastAsia="宋体"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第五章 响应文件格式</w:t>
            </w:r>
            <w:r>
              <w:rPr>
                <w:rFonts w:hint="eastAsia" w:ascii="Times New Roman" w:hAnsi="Times New Roman" w:eastAsia="宋体" w:cs="宋体"/>
                <w:b/>
                <w:bCs/>
                <w:color w:val="auto"/>
                <w:sz w:val="21"/>
                <w:szCs w:val="21"/>
                <w:highlight w:val="none"/>
                <w:lang w:eastAsia="zh-CN"/>
              </w:rPr>
              <w:t>”</w:t>
            </w:r>
            <w:r>
              <w:rPr>
                <w:rFonts w:hint="eastAsia" w:cs="宋体"/>
                <w:b/>
                <w:bCs/>
                <w:color w:val="auto"/>
                <w:sz w:val="21"/>
                <w:szCs w:val="21"/>
                <w:highlight w:val="none"/>
                <w:lang w:eastAsia="zh-CN"/>
              </w:rPr>
              <w:t>中“最后报价表”的格式</w:t>
            </w:r>
            <w:r>
              <w:rPr>
                <w:rFonts w:hint="eastAsia" w:ascii="Times New Roman" w:hAnsi="Times New Roman" w:eastAsia="宋体" w:cs="宋体"/>
                <w:b/>
                <w:bCs/>
                <w:color w:val="auto"/>
                <w:sz w:val="21"/>
                <w:szCs w:val="21"/>
                <w:highlight w:val="none"/>
              </w:rPr>
              <w:t>提前准备最后报价表（如</w:t>
            </w:r>
            <w:r>
              <w:rPr>
                <w:rFonts w:hint="eastAsia" w:cs="宋体"/>
                <w:b/>
                <w:bCs/>
                <w:color w:val="auto"/>
                <w:sz w:val="21"/>
                <w:szCs w:val="21"/>
                <w:highlight w:val="none"/>
                <w:lang w:eastAsia="zh-CN"/>
              </w:rPr>
              <w:t>供应商</w:t>
            </w:r>
            <w:r>
              <w:rPr>
                <w:rFonts w:hint="eastAsia" w:ascii="Times New Roman" w:hAnsi="Times New Roman" w:eastAsia="宋体" w:cs="宋体"/>
                <w:b/>
                <w:bCs/>
                <w:color w:val="auto"/>
                <w:sz w:val="21"/>
                <w:szCs w:val="21"/>
                <w:highlight w:val="none"/>
              </w:rPr>
              <w:t>最后报价与首次报价不一致的，</w:t>
            </w:r>
            <w:r>
              <w:rPr>
                <w:rFonts w:hint="eastAsia" w:cs="宋体"/>
                <w:b/>
                <w:bCs/>
                <w:color w:val="auto"/>
                <w:sz w:val="21"/>
                <w:szCs w:val="21"/>
                <w:highlight w:val="none"/>
                <w:lang w:eastAsia="zh-CN"/>
              </w:rPr>
              <w:t>须附与最后报价相对应的“</w:t>
            </w:r>
            <w:r>
              <w:rPr>
                <w:rFonts w:hint="eastAsia" w:ascii="Times New Roman" w:hAnsi="Times New Roman" w:eastAsia="宋体" w:cs="宋体"/>
                <w:b/>
                <w:bCs/>
                <w:color w:val="auto"/>
                <w:sz w:val="21"/>
                <w:szCs w:val="21"/>
                <w:highlight w:val="none"/>
              </w:rPr>
              <w:t>已标价工程量清单</w:t>
            </w:r>
            <w:r>
              <w:rPr>
                <w:rFonts w:hint="eastAsia" w:cs="宋体"/>
                <w:b/>
                <w:bCs/>
                <w:color w:val="auto"/>
                <w:sz w:val="21"/>
                <w:szCs w:val="21"/>
                <w:highlight w:val="none"/>
                <w:lang w:eastAsia="zh-CN"/>
              </w:rPr>
              <w:t>”，否则其响应按无效响应处理</w:t>
            </w:r>
            <w:r>
              <w:rPr>
                <w:rFonts w:hint="eastAsia" w:ascii="Times New Roman" w:hAnsi="Times New Roman" w:eastAsia="宋体" w:cs="宋体"/>
                <w:b/>
                <w:bCs/>
                <w:color w:val="auto"/>
                <w:sz w:val="21"/>
                <w:szCs w:val="21"/>
                <w:highlight w:val="none"/>
              </w:rPr>
              <w:t>）并按时提交，以免耽误最后报价</w:t>
            </w:r>
            <w:r>
              <w:rPr>
                <w:rFonts w:hint="eastAsia" w:cs="宋体"/>
                <w:b/>
                <w:bCs/>
                <w:color w:val="auto"/>
                <w:sz w:val="21"/>
                <w:szCs w:val="21"/>
                <w:highlight w:val="none"/>
                <w:lang w:eastAsia="zh-CN"/>
              </w:rPr>
              <w:t>。</w:t>
            </w:r>
          </w:p>
        </w:tc>
      </w:tr>
      <w:tr w14:paraId="4C93B4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32F61A9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16.2</w:t>
            </w:r>
          </w:p>
        </w:tc>
        <w:tc>
          <w:tcPr>
            <w:tcW w:w="2321" w:type="dxa"/>
            <w:noWrap w:val="0"/>
            <w:vAlign w:val="center"/>
          </w:tcPr>
          <w:p w14:paraId="798667D8">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竞标有效期</w:t>
            </w:r>
          </w:p>
        </w:tc>
        <w:tc>
          <w:tcPr>
            <w:tcW w:w="6466" w:type="dxa"/>
            <w:noWrap w:val="0"/>
            <w:vAlign w:val="center"/>
          </w:tcPr>
          <w:p w14:paraId="3B059A75">
            <w:pPr>
              <w:pStyle w:val="9"/>
              <w:keepNext w:val="0"/>
              <w:keepLines w:val="0"/>
              <w:pageBreakBefore w:val="0"/>
              <w:widowControl w:val="0"/>
              <w:tabs>
                <w:tab w:val="clear" w:pos="454"/>
              </w:tabs>
              <w:kinsoku/>
              <w:wordWrap/>
              <w:overflowPunct/>
              <w:topLinePunct w:val="0"/>
              <w:bidi w:val="0"/>
              <w:adjustRightInd/>
              <w:snapToGrid w:val="0"/>
              <w:spacing w:after="0" w:afterLines="0" w:line="390" w:lineRule="exact"/>
              <w:ind w:left="283" w:hanging="283" w:hangingChars="135"/>
              <w:jc w:val="both"/>
              <w:rPr>
                <w:rFonts w:hint="eastAsia" w:ascii="Times New Roman" w:hAnsi="Times New Roman" w:eastAsia="宋体" w:cs="宋体"/>
                <w:color w:val="auto"/>
                <w:kern w:val="2"/>
                <w:sz w:val="21"/>
                <w:szCs w:val="21"/>
                <w:highlight w:val="none"/>
              </w:rPr>
            </w:pPr>
            <w:r>
              <w:rPr>
                <w:rFonts w:hint="eastAsia" w:ascii="Times New Roman" w:hAnsi="Times New Roman" w:eastAsia="宋体" w:cs="宋体"/>
                <w:color w:val="auto"/>
                <w:kern w:val="2"/>
                <w:sz w:val="21"/>
                <w:szCs w:val="21"/>
                <w:highlight w:val="none"/>
              </w:rPr>
              <w:t>自首次响应文件提交截止之日起</w:t>
            </w:r>
            <w:r>
              <w:rPr>
                <w:rFonts w:hint="eastAsia" w:ascii="Times New Roman" w:hAnsi="Times New Roman" w:eastAsia="宋体" w:cs="宋体"/>
                <w:color w:val="auto"/>
                <w:kern w:val="2"/>
                <w:sz w:val="21"/>
                <w:szCs w:val="21"/>
                <w:highlight w:val="none"/>
                <w:u w:val="single"/>
              </w:rPr>
              <w:t xml:space="preserve"> 60 </w:t>
            </w:r>
            <w:r>
              <w:rPr>
                <w:rFonts w:hint="eastAsia" w:ascii="Times New Roman" w:hAnsi="Times New Roman" w:eastAsia="宋体" w:cs="宋体"/>
                <w:color w:val="auto"/>
                <w:kern w:val="2"/>
                <w:sz w:val="21"/>
                <w:szCs w:val="21"/>
                <w:highlight w:val="none"/>
              </w:rPr>
              <w:t>日。</w:t>
            </w:r>
          </w:p>
        </w:tc>
      </w:tr>
      <w:tr w14:paraId="227BA8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527A5073">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17.1</w:t>
            </w:r>
          </w:p>
        </w:tc>
        <w:tc>
          <w:tcPr>
            <w:tcW w:w="2321" w:type="dxa"/>
            <w:noWrap w:val="0"/>
            <w:vAlign w:val="center"/>
          </w:tcPr>
          <w:p w14:paraId="0E0B9339">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磋商保证金</w:t>
            </w:r>
          </w:p>
        </w:tc>
        <w:tc>
          <w:tcPr>
            <w:tcW w:w="6466" w:type="dxa"/>
            <w:noWrap w:val="0"/>
            <w:vAlign w:val="center"/>
          </w:tcPr>
          <w:p w14:paraId="2EB7FE1E">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b/>
                <w:bCs/>
                <w:color w:val="auto"/>
                <w:sz w:val="21"/>
                <w:szCs w:val="21"/>
                <w:highlight w:val="none"/>
              </w:rPr>
            </w:pPr>
            <w:r>
              <w:rPr>
                <w:rFonts w:hint="eastAsia" w:ascii="Times New Roman" w:hAnsi="Times New Roman"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 xml:space="preserve"> 本项目不需要缴</w:t>
            </w:r>
            <w:r>
              <w:rPr>
                <w:rFonts w:hint="eastAsia" w:ascii="Times New Roman" w:hAnsi="Times New Roman" w:eastAsia="宋体" w:cs="宋体"/>
                <w:b/>
                <w:bCs/>
                <w:color w:val="auto"/>
                <w:kern w:val="0"/>
                <w:sz w:val="21"/>
                <w:szCs w:val="21"/>
                <w:highlight w:val="none"/>
              </w:rPr>
              <w:t>纳</w:t>
            </w:r>
            <w:r>
              <w:rPr>
                <w:rFonts w:hint="eastAsia" w:ascii="Times New Roman" w:hAnsi="Times New Roman" w:eastAsia="宋体" w:cs="宋体"/>
                <w:b/>
                <w:bCs/>
                <w:color w:val="auto"/>
                <w:sz w:val="21"/>
                <w:szCs w:val="21"/>
                <w:highlight w:val="none"/>
              </w:rPr>
              <w:t>磋商保证金。</w:t>
            </w:r>
          </w:p>
          <w:p w14:paraId="462E1BF1">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bCs/>
                <w:color w:val="auto"/>
                <w:sz w:val="21"/>
                <w:szCs w:val="21"/>
                <w:highlight w:val="none"/>
              </w:rPr>
            </w:pPr>
            <w:r>
              <w:rPr>
                <w:rFonts w:hint="eastAsia" w:ascii="Times New Roman" w:hAnsi="Times New Roman"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 xml:space="preserve"> 本项目需要缴</w:t>
            </w:r>
            <w:r>
              <w:rPr>
                <w:rFonts w:hint="eastAsia" w:ascii="Times New Roman" w:hAnsi="Times New Roman" w:eastAsia="宋体" w:cs="宋体"/>
                <w:b/>
                <w:bCs/>
                <w:color w:val="auto"/>
                <w:kern w:val="0"/>
                <w:sz w:val="21"/>
                <w:szCs w:val="21"/>
                <w:highlight w:val="none"/>
              </w:rPr>
              <w:t>纳</w:t>
            </w:r>
            <w:r>
              <w:rPr>
                <w:rFonts w:hint="eastAsia" w:ascii="Times New Roman" w:hAnsi="Times New Roman" w:eastAsia="宋体" w:cs="宋体"/>
                <w:b/>
                <w:bCs/>
                <w:color w:val="auto"/>
                <w:sz w:val="21"/>
                <w:szCs w:val="21"/>
                <w:highlight w:val="none"/>
              </w:rPr>
              <w:t>磋商保证金，相关要求如下：</w:t>
            </w:r>
          </w:p>
          <w:p w14:paraId="0DB0BA0D">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1.磋商保证金的缴纳方式：详见竞争性磋商公告。</w:t>
            </w:r>
          </w:p>
          <w:p w14:paraId="15127D4B">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2.磋商保证金的金额：详见竞争性磋商公告。</w:t>
            </w:r>
          </w:p>
          <w:p w14:paraId="7DCDA6BB">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3.磋商保证金采用银行转账缴纳方式的，在首次响应文件提交截止时间前交至采购代理机构指定账户并且到账，供应商应将银行转账底单的复印件作为磋商保证金提交凭证，放置于商务文件中，</w:t>
            </w:r>
            <w:r>
              <w:rPr>
                <w:rFonts w:hint="eastAsia" w:ascii="Times New Roman" w:hAnsi="Times New Roman" w:eastAsia="宋体" w:cs="宋体"/>
                <w:b/>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w:t>
            </w:r>
          </w:p>
          <w:p w14:paraId="771F3A05">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4.磋商保证金采用支票、汇票、本票或者金融机构、担保机构出具的保函</w:t>
            </w:r>
            <w:r>
              <w:rPr>
                <w:rFonts w:hint="eastAsia" w:ascii="Times New Roman" w:hAnsi="Times New Roman" w:eastAsia="宋体" w:cs="宋体"/>
                <w:color w:val="auto"/>
                <w:sz w:val="21"/>
                <w:szCs w:val="21"/>
                <w:highlight w:val="none"/>
                <w:lang w:eastAsia="zh-CN"/>
              </w:rPr>
              <w:t>等缴</w:t>
            </w:r>
            <w:r>
              <w:rPr>
                <w:rFonts w:hint="eastAsia" w:ascii="Times New Roman" w:hAnsi="Times New Roman" w:eastAsia="宋体" w:cs="宋体"/>
                <w:color w:val="auto"/>
                <w:sz w:val="21"/>
                <w:szCs w:val="21"/>
                <w:highlight w:val="none"/>
              </w:rPr>
              <w:t>纳方式的，供应商应将支票、汇票、本票或者金融</w:t>
            </w:r>
            <w:r>
              <w:rPr>
                <w:rFonts w:hint="eastAsia" w:ascii="Times New Roman" w:hAnsi="Times New Roman" w:eastAsia="宋体" w:cs="宋体"/>
                <w:color w:val="auto"/>
                <w:sz w:val="21"/>
                <w:szCs w:val="21"/>
                <w:highlight w:val="none"/>
                <w:lang w:eastAsia="zh-CN"/>
              </w:rPr>
              <w:t>机构</w:t>
            </w:r>
            <w:r>
              <w:rPr>
                <w:rFonts w:hint="eastAsia" w:ascii="Times New Roman" w:hAnsi="Times New Roman" w:eastAsia="宋体" w:cs="宋体"/>
                <w:color w:val="auto"/>
                <w:sz w:val="21"/>
                <w:szCs w:val="21"/>
                <w:highlight w:val="none"/>
              </w:rPr>
              <w:t>、担保机构出具的保函</w:t>
            </w:r>
            <w:r>
              <w:rPr>
                <w:rFonts w:hint="eastAsia" w:ascii="Times New Roman" w:hAnsi="Times New Roman" w:eastAsia="宋体" w:cs="宋体"/>
                <w:color w:val="auto"/>
                <w:sz w:val="21"/>
                <w:szCs w:val="21"/>
                <w:highlight w:val="none"/>
                <w:lang w:eastAsia="zh-CN"/>
              </w:rPr>
              <w:t>等</w:t>
            </w:r>
            <w:r>
              <w:rPr>
                <w:rFonts w:hint="eastAsia" w:ascii="Times New Roman" w:hAnsi="Times New Roman" w:eastAsia="宋体" w:cs="宋体"/>
                <w:color w:val="auto"/>
                <w:sz w:val="21"/>
                <w:szCs w:val="21"/>
                <w:highlight w:val="none"/>
              </w:rPr>
              <w:t>的复印件或者金融</w:t>
            </w:r>
            <w:r>
              <w:rPr>
                <w:rFonts w:hint="eastAsia" w:ascii="Times New Roman" w:hAnsi="Times New Roman" w:eastAsia="宋体" w:cs="宋体"/>
                <w:color w:val="auto"/>
                <w:sz w:val="21"/>
                <w:szCs w:val="21"/>
                <w:highlight w:val="none"/>
                <w:lang w:eastAsia="zh-CN"/>
              </w:rPr>
              <w:t>机构</w:t>
            </w:r>
            <w:r>
              <w:rPr>
                <w:rFonts w:hint="eastAsia" w:ascii="Times New Roman" w:hAnsi="Times New Roman" w:eastAsia="宋体" w:cs="宋体"/>
                <w:color w:val="auto"/>
                <w:sz w:val="21"/>
                <w:szCs w:val="21"/>
                <w:highlight w:val="none"/>
              </w:rPr>
              <w:t>、担保机构出具的</w:t>
            </w:r>
            <w:r>
              <w:rPr>
                <w:rFonts w:hint="eastAsia" w:ascii="Times New Roman" w:hAnsi="Times New Roman" w:eastAsia="宋体" w:cs="宋体"/>
                <w:color w:val="auto"/>
                <w:kern w:val="0"/>
                <w:sz w:val="21"/>
                <w:szCs w:val="21"/>
                <w:highlight w:val="none"/>
                <w:lang w:val="en-US" w:eastAsia="zh-CN"/>
              </w:rPr>
              <w:t>电子保函</w:t>
            </w:r>
            <w:r>
              <w:rPr>
                <w:rFonts w:hint="eastAsia" w:ascii="Times New Roman" w:hAnsi="Times New Roman" w:eastAsia="宋体" w:cs="宋体"/>
                <w:color w:val="auto"/>
                <w:sz w:val="21"/>
                <w:szCs w:val="21"/>
                <w:highlight w:val="none"/>
              </w:rPr>
              <w:t>作为磋商保证金提交凭证，放置于商务文件中，</w:t>
            </w:r>
            <w:r>
              <w:rPr>
                <w:rFonts w:hint="eastAsia" w:ascii="Times New Roman" w:hAnsi="Times New Roman" w:eastAsia="宋体" w:cs="宋体"/>
                <w:b/>
                <w:color w:val="auto"/>
                <w:sz w:val="21"/>
                <w:szCs w:val="21"/>
                <w:highlight w:val="none"/>
              </w:rPr>
              <w:t>否则响应文件按无效响应处理</w:t>
            </w:r>
            <w:r>
              <w:rPr>
                <w:rFonts w:hint="eastAsia" w:ascii="Times New Roman" w:hAnsi="Times New Roman" w:eastAsia="宋体" w:cs="宋体"/>
                <w:color w:val="auto"/>
                <w:sz w:val="21"/>
                <w:szCs w:val="21"/>
                <w:highlight w:val="none"/>
              </w:rPr>
              <w:t>。供应商必须</w:t>
            </w:r>
            <w:r>
              <w:rPr>
                <w:rFonts w:hint="eastAsia" w:ascii="Times New Roman" w:hAnsi="Times New Roman" w:eastAsia="宋体" w:cs="宋体"/>
                <w:color w:val="auto"/>
                <w:sz w:val="21"/>
                <w:szCs w:val="21"/>
                <w:highlight w:val="none"/>
                <w:lang w:eastAsia="zh-CN"/>
              </w:rPr>
              <w:t>在</w:t>
            </w:r>
            <w:r>
              <w:rPr>
                <w:rFonts w:hint="eastAsia" w:ascii="Times New Roman" w:hAnsi="Times New Roman" w:eastAsia="宋体" w:cs="宋体"/>
                <w:color w:val="auto"/>
                <w:kern w:val="0"/>
                <w:sz w:val="21"/>
                <w:szCs w:val="21"/>
                <w:highlight w:val="none"/>
              </w:rPr>
              <w:t>首次响应文件提交截止时间前</w:t>
            </w:r>
            <w:r>
              <w:rPr>
                <w:rFonts w:hint="eastAsia" w:ascii="Times New Roman" w:hAnsi="Times New Roman" w:eastAsia="宋体" w:cs="宋体"/>
                <w:color w:val="auto"/>
                <w:sz w:val="21"/>
                <w:szCs w:val="21"/>
                <w:highlight w:val="none"/>
              </w:rPr>
              <w:t>将支票、汇票、本票或者金融</w:t>
            </w:r>
            <w:r>
              <w:rPr>
                <w:rFonts w:hint="eastAsia" w:ascii="Times New Roman" w:hAnsi="Times New Roman" w:eastAsia="宋体" w:cs="宋体"/>
                <w:color w:val="auto"/>
                <w:sz w:val="21"/>
                <w:szCs w:val="21"/>
                <w:highlight w:val="none"/>
                <w:lang w:eastAsia="zh-CN"/>
              </w:rPr>
              <w:t>机构</w:t>
            </w:r>
            <w:r>
              <w:rPr>
                <w:rFonts w:hint="eastAsia" w:ascii="Times New Roman" w:hAnsi="Times New Roman" w:eastAsia="宋体" w:cs="宋体"/>
                <w:color w:val="auto"/>
                <w:sz w:val="21"/>
                <w:szCs w:val="21"/>
                <w:highlight w:val="none"/>
              </w:rPr>
              <w:t>、担保机构出具的保函</w:t>
            </w: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kern w:val="0"/>
                <w:sz w:val="21"/>
                <w:szCs w:val="21"/>
                <w:highlight w:val="none"/>
                <w:lang w:val="en-US" w:eastAsia="zh-CN"/>
              </w:rPr>
              <w:t>电子保函除外</w:t>
            </w:r>
            <w:r>
              <w:rPr>
                <w:rFonts w:hint="eastAsia" w:ascii="Times New Roman" w:hAnsi="Times New Roman" w:eastAsia="宋体" w:cs="宋体"/>
                <w:color w:val="auto"/>
                <w:sz w:val="21"/>
                <w:szCs w:val="21"/>
                <w:highlight w:val="none"/>
                <w:lang w:eastAsia="zh-CN"/>
              </w:rPr>
              <w:t>）等</w:t>
            </w:r>
            <w:r>
              <w:rPr>
                <w:rFonts w:hint="eastAsia" w:ascii="Times New Roman" w:hAnsi="Times New Roman" w:eastAsia="宋体" w:cs="宋体"/>
                <w:color w:val="auto"/>
                <w:sz w:val="21"/>
                <w:szCs w:val="21"/>
                <w:highlight w:val="none"/>
              </w:rPr>
              <w:t>原件提交给采购代理机构，由采购代理机构向供应商出具回执，并妥善保管。</w:t>
            </w:r>
          </w:p>
          <w:p w14:paraId="05405286">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5.磋商保证金指定账户：详见竞争性磋商公告。</w:t>
            </w:r>
          </w:p>
          <w:p w14:paraId="150DBA50">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color w:val="auto"/>
                <w:sz w:val="21"/>
                <w:szCs w:val="21"/>
                <w:highlight w:val="none"/>
              </w:rPr>
              <w:t>6.供应商为联合体的，可以由联合体中的一方或者多方共同缴纳磋商保证金，其缴纳的磋商保证金对联合体各方均具有约束力。</w:t>
            </w:r>
          </w:p>
          <w:p w14:paraId="2C0BE219">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 xml:space="preserve">备注： </w:t>
            </w:r>
          </w:p>
          <w:p w14:paraId="7F312D76">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1.磋商保证金在首次响应文件提交截止时间后提交的，或者不按规定缴纳方式缴纳的，或者未足额缴纳的（包含保函额度不足的），视为无效磋商保证金。</w:t>
            </w:r>
          </w:p>
          <w:p w14:paraId="15A153BD">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2.供应商采用现金方式或者从个人账户（自然人竞标除外）转出的磋商保证金，视为无效磋商保证金。</w:t>
            </w:r>
          </w:p>
          <w:p w14:paraId="4AB54FAB">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3.支票、汇票或者本票出现无效或者背书情形的，视为无效磋商保证金。</w:t>
            </w:r>
          </w:p>
          <w:p w14:paraId="32070DE9">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sz w:val="21"/>
                <w:szCs w:val="21"/>
                <w:highlight w:val="none"/>
              </w:rPr>
            </w:pPr>
            <w:r>
              <w:rPr>
                <w:rFonts w:hint="eastAsia" w:ascii="Times New Roman" w:hAnsi="Times New Roman" w:eastAsia="宋体" w:cs="宋体"/>
                <w:b/>
                <w:color w:val="auto"/>
                <w:sz w:val="21"/>
                <w:szCs w:val="21"/>
                <w:highlight w:val="none"/>
              </w:rPr>
              <w:t>4.保函有效期低于竞标有效期的，视为无效磋商保证金。</w:t>
            </w:r>
          </w:p>
          <w:p w14:paraId="6C294930">
            <w:pPr>
              <w:keepNext w:val="0"/>
              <w:keepLines w:val="0"/>
              <w:pageBreakBefore w:val="0"/>
              <w:widowControl w:val="0"/>
              <w:kinsoku/>
              <w:wordWrap/>
              <w:overflowPunct/>
              <w:topLinePunct w:val="0"/>
              <w:autoSpaceDE w:val="0"/>
              <w:autoSpaceDN w:val="0"/>
              <w:bidi w:val="0"/>
              <w:adjustRightInd/>
              <w:snapToGrid w:val="0"/>
              <w:spacing w:line="390" w:lineRule="exact"/>
              <w:jc w:val="both"/>
              <w:textAlignment w:val="bottom"/>
              <w:rPr>
                <w:rFonts w:hint="eastAsia" w:ascii="Times New Roman" w:hAnsi="Times New Roman" w:eastAsia="宋体" w:cs="宋体"/>
                <w:color w:val="auto"/>
                <w:sz w:val="21"/>
                <w:szCs w:val="21"/>
                <w:highlight w:val="none"/>
              </w:rPr>
            </w:pPr>
            <w:r>
              <w:rPr>
                <w:rFonts w:hint="eastAsia" w:ascii="Times New Roman" w:hAnsi="Times New Roman" w:eastAsia="宋体" w:cs="宋体"/>
                <w:b/>
                <w:color w:val="auto"/>
                <w:sz w:val="21"/>
                <w:szCs w:val="21"/>
                <w:highlight w:val="none"/>
              </w:rPr>
              <w:t>5.采用金融、担保机构出具保函的，必须为无条件保函，否则视为无效磋商保证金。</w:t>
            </w:r>
          </w:p>
        </w:tc>
      </w:tr>
      <w:tr w14:paraId="118C6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restart"/>
            <w:noWrap w:val="0"/>
            <w:vAlign w:val="center"/>
          </w:tcPr>
          <w:p w14:paraId="7181A75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20.1</w:t>
            </w:r>
          </w:p>
        </w:tc>
        <w:tc>
          <w:tcPr>
            <w:tcW w:w="2321" w:type="dxa"/>
            <w:noWrap w:val="0"/>
            <w:vAlign w:val="center"/>
          </w:tcPr>
          <w:p w14:paraId="3D488357">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首次响应文件</w:t>
            </w:r>
          </w:p>
          <w:p w14:paraId="752295DA">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提交截止时间</w:t>
            </w:r>
          </w:p>
        </w:tc>
        <w:tc>
          <w:tcPr>
            <w:tcW w:w="6466" w:type="dxa"/>
            <w:noWrap w:val="0"/>
            <w:vAlign w:val="center"/>
          </w:tcPr>
          <w:p w14:paraId="1D881454">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u w:val="single"/>
              </w:rPr>
            </w:pPr>
            <w:r>
              <w:rPr>
                <w:rFonts w:hint="eastAsia" w:ascii="Times New Roman" w:hAnsi="Times New Roman" w:eastAsia="宋体" w:cs="宋体"/>
                <w:color w:val="auto"/>
                <w:sz w:val="21"/>
                <w:szCs w:val="21"/>
                <w:highlight w:val="none"/>
              </w:rPr>
              <w:t>详见竞争性磋商公告。</w:t>
            </w:r>
          </w:p>
        </w:tc>
      </w:tr>
      <w:tr w14:paraId="6AB19E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continue"/>
            <w:noWrap w:val="0"/>
            <w:vAlign w:val="center"/>
          </w:tcPr>
          <w:p w14:paraId="18407356">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p>
        </w:tc>
        <w:tc>
          <w:tcPr>
            <w:tcW w:w="2321" w:type="dxa"/>
            <w:noWrap w:val="0"/>
            <w:vAlign w:val="center"/>
          </w:tcPr>
          <w:p w14:paraId="5334E319">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首次响应文件</w:t>
            </w:r>
          </w:p>
          <w:p w14:paraId="7EBCD32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开启时间</w:t>
            </w:r>
          </w:p>
        </w:tc>
        <w:tc>
          <w:tcPr>
            <w:tcW w:w="6466" w:type="dxa"/>
            <w:noWrap w:val="0"/>
            <w:vAlign w:val="center"/>
          </w:tcPr>
          <w:p w14:paraId="5F9E72FF">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详见竞争性磋商公告。</w:t>
            </w:r>
          </w:p>
        </w:tc>
      </w:tr>
      <w:tr w14:paraId="70BB57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continue"/>
            <w:noWrap w:val="0"/>
            <w:vAlign w:val="center"/>
          </w:tcPr>
          <w:p w14:paraId="69E32F5A">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p>
        </w:tc>
        <w:tc>
          <w:tcPr>
            <w:tcW w:w="2321" w:type="dxa"/>
            <w:noWrap w:val="0"/>
            <w:vAlign w:val="center"/>
          </w:tcPr>
          <w:p w14:paraId="091F8DD2">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首次响应文件提交地点</w:t>
            </w:r>
          </w:p>
        </w:tc>
        <w:tc>
          <w:tcPr>
            <w:tcW w:w="6466" w:type="dxa"/>
            <w:noWrap w:val="0"/>
            <w:vAlign w:val="center"/>
          </w:tcPr>
          <w:p w14:paraId="171F6559">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u w:val="single"/>
              </w:rPr>
            </w:pPr>
            <w:r>
              <w:rPr>
                <w:rFonts w:hint="eastAsia" w:ascii="Times New Roman" w:hAnsi="Times New Roman" w:eastAsia="宋体" w:cs="宋体"/>
                <w:color w:val="auto"/>
                <w:sz w:val="21"/>
                <w:szCs w:val="21"/>
                <w:highlight w:val="none"/>
              </w:rPr>
              <w:t>详见竞争性磋商公告。</w:t>
            </w:r>
          </w:p>
        </w:tc>
      </w:tr>
      <w:tr w14:paraId="70495A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761D238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20.6</w:t>
            </w:r>
          </w:p>
        </w:tc>
        <w:tc>
          <w:tcPr>
            <w:tcW w:w="2321" w:type="dxa"/>
            <w:noWrap w:val="0"/>
            <w:vAlign w:val="center"/>
          </w:tcPr>
          <w:p w14:paraId="55658FD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备份响应文件</w:t>
            </w:r>
          </w:p>
        </w:tc>
        <w:tc>
          <w:tcPr>
            <w:tcW w:w="6466" w:type="dxa"/>
            <w:noWrap w:val="0"/>
            <w:vAlign w:val="center"/>
          </w:tcPr>
          <w:p w14:paraId="188CD823">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本项目不接受备份响应文件。</w:t>
            </w:r>
          </w:p>
        </w:tc>
      </w:tr>
      <w:tr w14:paraId="5CF061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59DA8880">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21</w:t>
            </w:r>
          </w:p>
        </w:tc>
        <w:tc>
          <w:tcPr>
            <w:tcW w:w="2321" w:type="dxa"/>
            <w:noWrap w:val="0"/>
            <w:vAlign w:val="center"/>
          </w:tcPr>
          <w:p w14:paraId="05B7D8A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首次响应文件的补充、修改与撤回</w:t>
            </w:r>
          </w:p>
        </w:tc>
        <w:tc>
          <w:tcPr>
            <w:tcW w:w="6466" w:type="dxa"/>
            <w:noWrap w:val="0"/>
            <w:vAlign w:val="center"/>
          </w:tcPr>
          <w:p w14:paraId="5C48C9A8">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详见</w:t>
            </w:r>
            <w:r>
              <w:rPr>
                <w:rFonts w:hint="eastAsia" w:ascii="Times New Roman" w:hAnsi="Times New Roman" w:eastAsia="宋体" w:cs="宋体"/>
                <w:b w:val="0"/>
                <w:bCs/>
                <w:color w:val="auto"/>
                <w:sz w:val="21"/>
                <w:szCs w:val="21"/>
                <w:highlight w:val="none"/>
              </w:rPr>
              <w:t>供应商须知正文</w:t>
            </w:r>
            <w:r>
              <w:rPr>
                <w:rFonts w:hint="eastAsia" w:ascii="Times New Roman" w:hAnsi="Times New Roman" w:eastAsia="宋体" w:cs="宋体"/>
                <w:color w:val="auto"/>
                <w:sz w:val="21"/>
                <w:szCs w:val="21"/>
                <w:highlight w:val="none"/>
              </w:rPr>
              <w:t>。</w:t>
            </w:r>
          </w:p>
        </w:tc>
      </w:tr>
      <w:tr w14:paraId="5DD66C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restart"/>
            <w:noWrap w:val="0"/>
            <w:vAlign w:val="center"/>
          </w:tcPr>
          <w:p w14:paraId="569FAAD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25</w:t>
            </w:r>
          </w:p>
        </w:tc>
        <w:tc>
          <w:tcPr>
            <w:tcW w:w="2321" w:type="dxa"/>
            <w:noWrap w:val="0"/>
            <w:vAlign w:val="center"/>
          </w:tcPr>
          <w:p w14:paraId="3F677933">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负偏离要求</w:t>
            </w:r>
          </w:p>
        </w:tc>
        <w:tc>
          <w:tcPr>
            <w:tcW w:w="6466" w:type="dxa"/>
            <w:noWrap w:val="0"/>
            <w:vAlign w:val="center"/>
          </w:tcPr>
          <w:p w14:paraId="066935A1">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商务条款评审中允许负偏离的条款数为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lang w:val="en-US" w:eastAsia="zh-CN"/>
              </w:rPr>
              <w:t>0</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项。</w:t>
            </w:r>
          </w:p>
          <w:p w14:paraId="5FCD6686">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cs="宋体"/>
                <w:color w:val="auto"/>
                <w:sz w:val="21"/>
                <w:szCs w:val="21"/>
                <w:highlight w:val="none"/>
                <w:lang w:eastAsia="zh-CN"/>
              </w:rPr>
              <w:t>技术</w:t>
            </w:r>
            <w:r>
              <w:rPr>
                <w:rFonts w:hint="eastAsia" w:ascii="Times New Roman" w:hAnsi="Times New Roman" w:eastAsia="宋体" w:cs="宋体"/>
                <w:color w:val="auto"/>
                <w:sz w:val="21"/>
                <w:szCs w:val="21"/>
                <w:highlight w:val="none"/>
              </w:rPr>
              <w:t>需求评审中允许负偏离的条款数为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cs="宋体"/>
                <w:color w:val="auto"/>
                <w:sz w:val="21"/>
                <w:szCs w:val="21"/>
                <w:highlight w:val="none"/>
                <w:u w:val="single"/>
                <w:lang w:val="en-US" w:eastAsia="zh-CN"/>
              </w:rPr>
              <w:t>2</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项</w:t>
            </w:r>
            <w:r>
              <w:rPr>
                <w:rFonts w:hint="eastAsia" w:ascii="Times New Roman" w:hAnsi="Times New Roman" w:cs="宋体"/>
                <w:b w:val="0"/>
                <w:bCs w:val="0"/>
                <w:color w:val="auto"/>
                <w:sz w:val="21"/>
                <w:szCs w:val="21"/>
                <w:highlight w:val="none"/>
                <w:lang w:eastAsia="zh-CN"/>
              </w:rPr>
              <w:t>（非标注“</w:t>
            </w:r>
            <w:r>
              <w:rPr>
                <w:rFonts w:hint="eastAsia" w:ascii="宋体" w:hAnsi="宋体" w:cs="宋体"/>
                <w:b w:val="0"/>
                <w:bCs w:val="0"/>
                <w:color w:val="auto"/>
                <w:highlight w:val="none"/>
              </w:rPr>
              <w:t>▲</w:t>
            </w:r>
            <w:r>
              <w:rPr>
                <w:rFonts w:hint="eastAsia" w:ascii="宋体" w:hAnsi="宋体" w:cs="宋体"/>
                <w:b w:val="0"/>
                <w:bCs w:val="0"/>
                <w:color w:val="auto"/>
                <w:highlight w:val="none"/>
                <w:lang w:eastAsia="zh-CN"/>
              </w:rPr>
              <w:t>”项</w:t>
            </w:r>
            <w:r>
              <w:rPr>
                <w:rFonts w:hint="eastAsia" w:ascii="Times New Roman" w:hAnsi="Times New Roman" w:cs="宋体"/>
                <w:b w:val="0"/>
                <w:bCs w:val="0"/>
                <w:color w:val="auto"/>
                <w:sz w:val="21"/>
                <w:szCs w:val="21"/>
                <w:highlight w:val="none"/>
                <w:lang w:eastAsia="zh-CN"/>
              </w:rPr>
              <w:t>）</w:t>
            </w:r>
            <w:r>
              <w:rPr>
                <w:rFonts w:hint="eastAsia" w:ascii="Times New Roman" w:hAnsi="Times New Roman" w:eastAsia="宋体" w:cs="宋体"/>
                <w:color w:val="auto"/>
                <w:sz w:val="21"/>
                <w:szCs w:val="21"/>
                <w:highlight w:val="none"/>
              </w:rPr>
              <w:t>。</w:t>
            </w:r>
          </w:p>
        </w:tc>
      </w:tr>
      <w:tr w14:paraId="2DF0FE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continue"/>
            <w:noWrap w:val="0"/>
            <w:vAlign w:val="center"/>
          </w:tcPr>
          <w:p w14:paraId="679EF4B7">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p>
        </w:tc>
        <w:tc>
          <w:tcPr>
            <w:tcW w:w="2321" w:type="dxa"/>
            <w:noWrap w:val="0"/>
            <w:vAlign w:val="center"/>
          </w:tcPr>
          <w:p w14:paraId="7B362C47">
            <w:pPr>
              <w:keepNext w:val="0"/>
              <w:keepLines w:val="0"/>
              <w:pageBreakBefore w:val="0"/>
              <w:widowControl w:val="0"/>
              <w:kinsoku/>
              <w:wordWrap/>
              <w:overflowPunct/>
              <w:topLinePunct w:val="0"/>
              <w:bidi w:val="0"/>
              <w:adjustRightInd/>
              <w:snapToGrid w:val="0"/>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评</w:t>
            </w:r>
            <w:r>
              <w:rPr>
                <w:rFonts w:hint="eastAsia" w:ascii="Times New Roman" w:hAnsi="Times New Roman" w:eastAsia="宋体" w:cs="宋体"/>
                <w:b w:val="0"/>
                <w:bCs/>
                <w:color w:val="auto"/>
                <w:sz w:val="21"/>
                <w:szCs w:val="21"/>
                <w:highlight w:val="none"/>
                <w:lang w:val="en-US" w:eastAsia="zh-CN"/>
              </w:rPr>
              <w:t>审</w:t>
            </w:r>
            <w:r>
              <w:rPr>
                <w:rFonts w:hint="eastAsia" w:ascii="Times New Roman" w:hAnsi="Times New Roman" w:eastAsia="宋体" w:cs="宋体"/>
                <w:b w:val="0"/>
                <w:bCs/>
                <w:color w:val="auto"/>
                <w:sz w:val="21"/>
                <w:szCs w:val="21"/>
                <w:highlight w:val="none"/>
              </w:rPr>
              <w:t>方法</w:t>
            </w:r>
          </w:p>
        </w:tc>
        <w:tc>
          <w:tcPr>
            <w:tcW w:w="6466" w:type="dxa"/>
            <w:noWrap w:val="0"/>
            <w:vAlign w:val="center"/>
          </w:tcPr>
          <w:p w14:paraId="3A679123">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lang w:val="en-US" w:eastAsia="zh-CN"/>
              </w:rPr>
              <w:t>本项目采用综合评分法。综合评分法是指响应文件满足竞争性磋商文件全部实质性要求且按评审因素的量化指标评审得分最高的供应商为成交候选供应商的评审方法。</w:t>
            </w:r>
          </w:p>
        </w:tc>
      </w:tr>
      <w:tr w14:paraId="1A5693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continue"/>
            <w:noWrap w:val="0"/>
            <w:vAlign w:val="center"/>
          </w:tcPr>
          <w:p w14:paraId="7539944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p>
        </w:tc>
        <w:tc>
          <w:tcPr>
            <w:tcW w:w="2321" w:type="dxa"/>
            <w:noWrap w:val="0"/>
            <w:vAlign w:val="center"/>
          </w:tcPr>
          <w:p w14:paraId="3E452986">
            <w:pPr>
              <w:keepNext w:val="0"/>
              <w:keepLines w:val="0"/>
              <w:pageBreakBefore w:val="0"/>
              <w:widowControl w:val="0"/>
              <w:kinsoku/>
              <w:wordWrap/>
              <w:overflowPunct/>
              <w:topLinePunct w:val="0"/>
              <w:bidi w:val="0"/>
              <w:adjustRightInd/>
              <w:snapToGrid w:val="0"/>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磋商的顺序</w:t>
            </w:r>
          </w:p>
        </w:tc>
        <w:tc>
          <w:tcPr>
            <w:tcW w:w="6466" w:type="dxa"/>
            <w:noWrap w:val="0"/>
            <w:vAlign w:val="center"/>
          </w:tcPr>
          <w:p w14:paraId="7C497A2D">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□按照提交首次响应文件的顺序，通知磋商时，若某供应商不在通知现场时，该供应商排序到最后磋商，按照签到的顺序由其下一位供应商先参与磋商。</w:t>
            </w:r>
          </w:p>
          <w:p w14:paraId="0B7F6091">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lang w:eastAsia="zh-CN"/>
              </w:rPr>
              <w:t>☑</w:t>
            </w:r>
            <w:r>
              <w:rPr>
                <w:rFonts w:hint="eastAsia" w:ascii="Times New Roman" w:hAnsi="Times New Roman" w:eastAsia="宋体" w:cs="宋体"/>
                <w:color w:val="auto"/>
                <w:sz w:val="21"/>
                <w:szCs w:val="21"/>
                <w:highlight w:val="none"/>
              </w:rPr>
              <w:t>随机排序。</w:t>
            </w:r>
          </w:p>
          <w:p w14:paraId="4395CB73">
            <w:pPr>
              <w:pStyle w:val="11"/>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b/>
                <w:color w:val="auto"/>
                <w:sz w:val="21"/>
                <w:szCs w:val="21"/>
                <w:highlight w:val="none"/>
              </w:rPr>
              <w:t>参与磋商前，磋商小组</w:t>
            </w:r>
            <w:r>
              <w:rPr>
                <w:rFonts w:hint="eastAsia" w:ascii="Times New Roman" w:hAnsi="Times New Roman" w:eastAsia="宋体" w:cs="宋体"/>
                <w:b/>
                <w:color w:val="auto"/>
                <w:sz w:val="21"/>
                <w:szCs w:val="21"/>
                <w:highlight w:val="none"/>
                <w:lang w:eastAsia="zh-CN"/>
              </w:rPr>
              <w:t>如有要求，</w:t>
            </w:r>
            <w:r>
              <w:rPr>
                <w:rFonts w:hint="eastAsia" w:ascii="Times New Roman" w:hAnsi="Times New Roman" w:eastAsia="宋体" w:cs="宋体"/>
                <w:b/>
                <w:color w:val="auto"/>
                <w:sz w:val="21"/>
                <w:szCs w:val="21"/>
                <w:highlight w:val="none"/>
              </w:rPr>
              <w:t>供应商法定代表人或者委托代理人必须向磋商小组出示本人有效证件原件[有效证件可以是身份证（含临时身份证明）、机动车驾驶证、社会保障卡或者护照的其中一项]，若参与磋商的委托代理人不是响应文件中授权的委托代理人时，必须同时出示有效的法定代表人授权委托书原件，否则磋商小组将拒绝其参与磋商。</w:t>
            </w:r>
          </w:p>
        </w:tc>
      </w:tr>
      <w:tr w14:paraId="154AD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3BD300C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27</w:t>
            </w:r>
          </w:p>
        </w:tc>
        <w:tc>
          <w:tcPr>
            <w:tcW w:w="2321" w:type="dxa"/>
            <w:noWrap w:val="0"/>
            <w:vAlign w:val="center"/>
          </w:tcPr>
          <w:p w14:paraId="25600159">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履约保证金</w:t>
            </w:r>
          </w:p>
        </w:tc>
        <w:tc>
          <w:tcPr>
            <w:tcW w:w="6466" w:type="dxa"/>
            <w:noWrap w:val="0"/>
            <w:vAlign w:val="center"/>
          </w:tcPr>
          <w:p w14:paraId="354D0D68">
            <w:pPr>
              <w:keepNext w:val="0"/>
              <w:keepLines w:val="0"/>
              <w:pageBreakBefore w:val="0"/>
              <w:widowControl w:val="0"/>
              <w:kinsoku/>
              <w:wordWrap/>
              <w:overflowPunct/>
              <w:topLinePunct w:val="0"/>
              <w:bidi w:val="0"/>
              <w:adjustRightInd/>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b/>
                <w:bCs/>
                <w:color w:val="auto"/>
                <w:sz w:val="21"/>
                <w:szCs w:val="21"/>
                <w:highlight w:val="none"/>
              </w:rPr>
              <w:t>本项目不需要缴</w:t>
            </w:r>
            <w:r>
              <w:rPr>
                <w:rFonts w:hint="eastAsia" w:ascii="Times New Roman" w:hAnsi="Times New Roman" w:eastAsia="宋体" w:cs="宋体"/>
                <w:b/>
                <w:bCs/>
                <w:color w:val="auto"/>
                <w:kern w:val="0"/>
                <w:sz w:val="21"/>
                <w:szCs w:val="21"/>
                <w:highlight w:val="none"/>
              </w:rPr>
              <w:t>纳</w:t>
            </w:r>
            <w:r>
              <w:rPr>
                <w:rFonts w:hint="eastAsia" w:ascii="Times New Roman" w:hAnsi="Times New Roman" w:eastAsia="宋体" w:cs="宋体"/>
                <w:b/>
                <w:bCs/>
                <w:color w:val="auto"/>
                <w:sz w:val="21"/>
                <w:szCs w:val="21"/>
                <w:highlight w:val="none"/>
              </w:rPr>
              <w:t>履约保证金。</w:t>
            </w:r>
          </w:p>
        </w:tc>
      </w:tr>
      <w:tr w14:paraId="4CA8B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7074606E">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w:t>
            </w:r>
            <w:r>
              <w:rPr>
                <w:rFonts w:hint="eastAsia" w:ascii="Times New Roman" w:hAnsi="Times New Roman" w:eastAsia="宋体" w:cs="宋体"/>
                <w:color w:val="auto"/>
                <w:sz w:val="21"/>
                <w:szCs w:val="21"/>
                <w:highlight w:val="none"/>
                <w:lang w:val="en-US" w:eastAsia="zh-CN"/>
              </w:rPr>
              <w:t>8</w:t>
            </w:r>
            <w:r>
              <w:rPr>
                <w:rFonts w:hint="eastAsia" w:ascii="Times New Roman" w:hAnsi="Times New Roman" w:eastAsia="宋体" w:cs="宋体"/>
                <w:color w:val="auto"/>
                <w:sz w:val="21"/>
                <w:szCs w:val="21"/>
                <w:highlight w:val="none"/>
              </w:rPr>
              <w:t>.5</w:t>
            </w:r>
          </w:p>
        </w:tc>
        <w:tc>
          <w:tcPr>
            <w:tcW w:w="2321" w:type="dxa"/>
            <w:noWrap w:val="0"/>
            <w:vAlign w:val="center"/>
          </w:tcPr>
          <w:p w14:paraId="0E62630E">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签订合同携带的材料</w:t>
            </w:r>
          </w:p>
        </w:tc>
        <w:tc>
          <w:tcPr>
            <w:tcW w:w="6466" w:type="dxa"/>
            <w:noWrap w:val="0"/>
            <w:vAlign w:val="center"/>
          </w:tcPr>
          <w:p w14:paraId="7EF92ED1">
            <w:pPr>
              <w:keepNext w:val="0"/>
              <w:keepLines w:val="0"/>
              <w:pageBreakBefore w:val="0"/>
              <w:widowControl w:val="0"/>
              <w:kinsoku/>
              <w:wordWrap/>
              <w:overflowPunct/>
              <w:topLinePunct w:val="0"/>
              <w:autoSpaceDE w:val="0"/>
              <w:autoSpaceDN w:val="0"/>
              <w:bidi w:val="0"/>
              <w:adjustRightInd/>
              <w:snapToGrid w:val="0"/>
              <w:spacing w:line="390" w:lineRule="exact"/>
              <w:jc w:val="both"/>
              <w:textAlignment w:val="bottom"/>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委托代理人负责签订合同的，须携带</w:t>
            </w:r>
            <w:r>
              <w:rPr>
                <w:rFonts w:hint="eastAsia" w:ascii="Times New Roman" w:hAnsi="Times New Roman" w:eastAsia="宋体" w:cs="宋体"/>
                <w:color w:val="auto"/>
                <w:sz w:val="21"/>
                <w:szCs w:val="21"/>
                <w:highlight w:val="none"/>
                <w:lang w:eastAsia="zh-CN"/>
              </w:rPr>
              <w:t>有效的法定代表人</w:t>
            </w:r>
            <w:r>
              <w:rPr>
                <w:rFonts w:hint="eastAsia" w:ascii="Times New Roman" w:hAnsi="Times New Roman" w:eastAsia="宋体" w:cs="宋体"/>
                <w:color w:val="auto"/>
                <w:sz w:val="21"/>
                <w:szCs w:val="21"/>
                <w:highlight w:val="none"/>
              </w:rPr>
              <w:t>授权委托书及</w:t>
            </w:r>
            <w:r>
              <w:rPr>
                <w:rFonts w:hint="eastAsia" w:ascii="Times New Roman" w:hAnsi="Times New Roman" w:eastAsia="宋体" w:cs="宋体"/>
                <w:color w:val="auto"/>
                <w:sz w:val="21"/>
                <w:szCs w:val="21"/>
                <w:highlight w:val="none"/>
                <w:lang w:eastAsia="zh-CN"/>
              </w:rPr>
              <w:t>其</w:t>
            </w:r>
            <w:r>
              <w:rPr>
                <w:rFonts w:hint="eastAsia" w:ascii="Times New Roman" w:hAnsi="Times New Roman" w:eastAsia="宋体" w:cs="宋体"/>
                <w:color w:val="auto"/>
                <w:sz w:val="21"/>
                <w:szCs w:val="21"/>
                <w:highlight w:val="none"/>
              </w:rPr>
              <w:t>委托代理人身份证原件等</w:t>
            </w:r>
            <w:r>
              <w:rPr>
                <w:rFonts w:hint="eastAsia" w:ascii="Times New Roman" w:hAnsi="Times New Roman" w:eastAsia="宋体" w:cs="宋体"/>
                <w:color w:val="auto"/>
                <w:sz w:val="21"/>
                <w:szCs w:val="21"/>
                <w:highlight w:val="none"/>
                <w:lang w:eastAsia="zh-CN"/>
              </w:rPr>
              <w:t>其他</w:t>
            </w:r>
            <w:r>
              <w:rPr>
                <w:rFonts w:hint="eastAsia" w:ascii="Times New Roman" w:hAnsi="Times New Roman" w:eastAsia="宋体" w:cs="宋体"/>
                <w:color w:val="auto"/>
                <w:sz w:val="21"/>
                <w:szCs w:val="21"/>
                <w:highlight w:val="none"/>
              </w:rPr>
              <w:t>资格证件。</w:t>
            </w:r>
          </w:p>
          <w:p w14:paraId="3368F4CA">
            <w:pPr>
              <w:keepNext w:val="0"/>
              <w:keepLines w:val="0"/>
              <w:pageBreakBefore w:val="0"/>
              <w:widowControl w:val="0"/>
              <w:kinsoku/>
              <w:wordWrap/>
              <w:overflowPunct/>
              <w:topLinePunct w:val="0"/>
              <w:autoSpaceDE w:val="0"/>
              <w:autoSpaceDN w:val="0"/>
              <w:bidi w:val="0"/>
              <w:adjustRightInd/>
              <w:snapToGrid w:val="0"/>
              <w:spacing w:line="390" w:lineRule="exact"/>
              <w:jc w:val="both"/>
              <w:textAlignment w:val="bottom"/>
              <w:rPr>
                <w:rFonts w:hint="eastAsia" w:ascii="Times New Roman" w:hAnsi="Times New Roman" w:eastAsia="宋体" w:cs="宋体"/>
                <w:b/>
                <w:bCs/>
                <w:i/>
                <w:iCs/>
                <w:color w:val="auto"/>
                <w:sz w:val="21"/>
                <w:szCs w:val="21"/>
                <w:highlight w:val="none"/>
              </w:rPr>
            </w:pPr>
            <w:r>
              <w:rPr>
                <w:rFonts w:hint="eastAsia" w:ascii="Times New Roman" w:hAnsi="Times New Roman" w:eastAsia="宋体" w:cs="宋体"/>
                <w:color w:val="auto"/>
                <w:sz w:val="21"/>
                <w:szCs w:val="21"/>
                <w:highlight w:val="none"/>
              </w:rPr>
              <w:t>法定代表人负责签订合同的，须携带法定代表人身份证明原件及身份证原件等</w:t>
            </w:r>
            <w:r>
              <w:rPr>
                <w:rFonts w:hint="eastAsia" w:ascii="Times New Roman" w:hAnsi="Times New Roman" w:eastAsia="宋体" w:cs="宋体"/>
                <w:color w:val="auto"/>
                <w:sz w:val="21"/>
                <w:szCs w:val="21"/>
                <w:highlight w:val="none"/>
                <w:lang w:eastAsia="zh-CN"/>
              </w:rPr>
              <w:t>其他</w:t>
            </w:r>
            <w:r>
              <w:rPr>
                <w:rFonts w:hint="eastAsia" w:ascii="Times New Roman" w:hAnsi="Times New Roman" w:eastAsia="宋体" w:cs="宋体"/>
                <w:color w:val="auto"/>
                <w:sz w:val="21"/>
                <w:szCs w:val="21"/>
                <w:highlight w:val="none"/>
              </w:rPr>
              <w:t>证明材料。</w:t>
            </w:r>
          </w:p>
        </w:tc>
      </w:tr>
      <w:tr w14:paraId="7FAEB8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restart"/>
            <w:noWrap w:val="0"/>
            <w:vAlign w:val="center"/>
          </w:tcPr>
          <w:p w14:paraId="5A71E555">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w:t>
            </w:r>
            <w:r>
              <w:rPr>
                <w:rFonts w:hint="eastAsia" w:ascii="Times New Roman" w:hAnsi="Times New Roman" w:eastAsia="宋体" w:cs="宋体"/>
                <w:color w:val="auto"/>
                <w:sz w:val="21"/>
                <w:szCs w:val="21"/>
                <w:highlight w:val="none"/>
                <w:lang w:val="en-US" w:eastAsia="zh-CN"/>
              </w:rPr>
              <w:t>0</w:t>
            </w:r>
            <w:r>
              <w:rPr>
                <w:rFonts w:hint="eastAsia" w:ascii="Times New Roman" w:hAnsi="Times New Roman" w:eastAsia="宋体" w:cs="宋体"/>
                <w:color w:val="auto"/>
                <w:sz w:val="21"/>
                <w:szCs w:val="21"/>
                <w:highlight w:val="none"/>
              </w:rPr>
              <w:t>.2</w:t>
            </w:r>
          </w:p>
        </w:tc>
        <w:tc>
          <w:tcPr>
            <w:tcW w:w="2321" w:type="dxa"/>
            <w:noWrap w:val="0"/>
            <w:vAlign w:val="center"/>
          </w:tcPr>
          <w:p w14:paraId="4C3B0D2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接收质疑函方式</w:t>
            </w:r>
          </w:p>
        </w:tc>
        <w:tc>
          <w:tcPr>
            <w:tcW w:w="6466" w:type="dxa"/>
            <w:noWrap w:val="0"/>
            <w:vAlign w:val="center"/>
          </w:tcPr>
          <w:p w14:paraId="4172CEA3">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以书面形式</w:t>
            </w:r>
          </w:p>
        </w:tc>
      </w:tr>
      <w:tr w14:paraId="74240B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continue"/>
            <w:noWrap w:val="0"/>
            <w:vAlign w:val="center"/>
          </w:tcPr>
          <w:p w14:paraId="261D430C">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p>
        </w:tc>
        <w:tc>
          <w:tcPr>
            <w:tcW w:w="2321" w:type="dxa"/>
            <w:noWrap w:val="0"/>
            <w:vAlign w:val="center"/>
          </w:tcPr>
          <w:p w14:paraId="7A91AFD2">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质疑联系部门</w:t>
            </w:r>
          </w:p>
          <w:p w14:paraId="3D8AC0B9">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及联系方式</w:t>
            </w:r>
          </w:p>
        </w:tc>
        <w:tc>
          <w:tcPr>
            <w:tcW w:w="6466" w:type="dxa"/>
            <w:noWrap w:val="0"/>
            <w:vAlign w:val="center"/>
          </w:tcPr>
          <w:p w14:paraId="6291F668">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（1）</w:t>
            </w:r>
            <w:bookmarkStart w:id="74" w:name="PO_3000001868_PM031_3"/>
            <w:r>
              <w:rPr>
                <w:rFonts w:hint="eastAsia" w:ascii="Times New Roman" w:hAnsi="Times New Roman" w:eastAsia="宋体" w:cs="宋体"/>
                <w:color w:val="auto"/>
                <w:sz w:val="21"/>
                <w:szCs w:val="21"/>
                <w:highlight w:val="none"/>
              </w:rPr>
              <w:t>名称：</w:t>
            </w:r>
            <w:bookmarkEnd w:id="74"/>
            <w:r>
              <w:rPr>
                <w:rFonts w:hint="eastAsia" w:ascii="Times New Roman" w:hAnsi="Times New Roman" w:cs="宋体"/>
                <w:color w:val="auto"/>
                <w:sz w:val="21"/>
                <w:szCs w:val="21"/>
                <w:highlight w:val="none"/>
                <w:lang w:eastAsia="zh-CN"/>
              </w:rPr>
              <w:t>桂林航天工业学院</w:t>
            </w:r>
          </w:p>
          <w:p w14:paraId="64A429A7">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联系电话：联系电话：</w:t>
            </w:r>
            <w:r>
              <w:rPr>
                <w:rFonts w:hint="eastAsia" w:ascii="Times New Roman" w:hAnsi="Times New Roman" w:cs="宋体"/>
                <w:color w:val="auto"/>
                <w:sz w:val="21"/>
                <w:szCs w:val="21"/>
                <w:highlight w:val="none"/>
                <w:lang w:eastAsia="zh-CN"/>
              </w:rPr>
              <w:t>0773-6796677</w:t>
            </w:r>
          </w:p>
          <w:p w14:paraId="28CE581E">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通讯地址：</w:t>
            </w:r>
            <w:r>
              <w:rPr>
                <w:rFonts w:hint="eastAsia" w:ascii="Times New Roman" w:hAnsi="Times New Roman" w:cs="宋体"/>
                <w:color w:val="auto"/>
                <w:sz w:val="21"/>
                <w:szCs w:val="21"/>
                <w:highlight w:val="none"/>
                <w:lang w:eastAsia="zh-CN"/>
              </w:rPr>
              <w:t>桂林市金鸡路2号桂林航天工业学院南校区</w:t>
            </w:r>
          </w:p>
          <w:p w14:paraId="13BF4ADC">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（2）名称：广西科联招标中心有限公司</w:t>
            </w:r>
          </w:p>
          <w:p w14:paraId="1032847D">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联系电话：</w:t>
            </w:r>
            <w:r>
              <w:rPr>
                <w:rFonts w:hint="eastAsia" w:ascii="Times New Roman" w:hAnsi="Times New Roman" w:cs="宋体"/>
                <w:color w:val="auto"/>
                <w:sz w:val="21"/>
                <w:szCs w:val="21"/>
                <w:highlight w:val="none"/>
                <w:lang w:eastAsia="zh-CN"/>
              </w:rPr>
              <w:t>0771-5442911</w:t>
            </w:r>
          </w:p>
          <w:p w14:paraId="33D818C2">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通讯地址：</w:t>
            </w:r>
            <w:r>
              <w:rPr>
                <w:rFonts w:hint="eastAsia" w:ascii="Times New Roman" w:hAnsi="Times New Roman" w:cs="宋体"/>
                <w:color w:val="auto"/>
                <w:sz w:val="21"/>
                <w:szCs w:val="21"/>
                <w:highlight w:val="none"/>
                <w:lang w:eastAsia="zh-CN"/>
              </w:rPr>
              <w:t>桂林市七星区东江路28号28-8栋</w:t>
            </w:r>
          </w:p>
        </w:tc>
      </w:tr>
      <w:tr w14:paraId="28BC7E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vMerge w:val="continue"/>
            <w:noWrap w:val="0"/>
            <w:vAlign w:val="center"/>
          </w:tcPr>
          <w:p w14:paraId="500C0DA1">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p>
        </w:tc>
        <w:tc>
          <w:tcPr>
            <w:tcW w:w="2321" w:type="dxa"/>
            <w:noWrap w:val="0"/>
            <w:vAlign w:val="center"/>
          </w:tcPr>
          <w:p w14:paraId="3424D642">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现场提交质疑</w:t>
            </w:r>
          </w:p>
          <w:p w14:paraId="3697589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办理业务时间</w:t>
            </w:r>
          </w:p>
        </w:tc>
        <w:tc>
          <w:tcPr>
            <w:tcW w:w="6466" w:type="dxa"/>
            <w:noWrap w:val="0"/>
            <w:vAlign w:val="center"/>
          </w:tcPr>
          <w:p w14:paraId="3CD70CBF">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质疑期内每个工作日（北京时间）上午</w:t>
            </w:r>
            <w:r>
              <w:rPr>
                <w:rFonts w:hint="eastAsia" w:ascii="Times New Roman" w:hAnsi="Times New Roman" w:cs="宋体"/>
                <w:color w:val="auto"/>
                <w:sz w:val="21"/>
                <w:szCs w:val="21"/>
                <w:highlight w:val="none"/>
                <w:u w:val="single"/>
                <w:lang w:val="en-US" w:eastAsia="zh-CN"/>
              </w:rPr>
              <w:t>9</w:t>
            </w:r>
            <w:r>
              <w:rPr>
                <w:rFonts w:hint="eastAsia" w:ascii="Times New Roman" w:hAnsi="Times New Roman" w:eastAsia="宋体" w:cs="宋体"/>
                <w:color w:val="auto"/>
                <w:sz w:val="21"/>
                <w:szCs w:val="21"/>
                <w:highlight w:val="none"/>
              </w:rPr>
              <w:t>时</w:t>
            </w:r>
            <w:r>
              <w:rPr>
                <w:rFonts w:hint="eastAsia" w:ascii="Times New Roman" w:hAnsi="Times New Roman" w:eastAsia="宋体" w:cs="宋体"/>
                <w:color w:val="auto"/>
                <w:sz w:val="21"/>
                <w:szCs w:val="21"/>
                <w:highlight w:val="none"/>
                <w:u w:val="single"/>
              </w:rPr>
              <w:t>00</w:t>
            </w:r>
            <w:r>
              <w:rPr>
                <w:rFonts w:hint="eastAsia" w:ascii="Times New Roman" w:hAnsi="Times New Roman" w:eastAsia="宋体" w:cs="宋体"/>
                <w:color w:val="auto"/>
                <w:sz w:val="21"/>
                <w:szCs w:val="21"/>
                <w:highlight w:val="none"/>
              </w:rPr>
              <w:t>分到</w:t>
            </w:r>
            <w:r>
              <w:rPr>
                <w:rFonts w:hint="eastAsia" w:ascii="Times New Roman" w:hAnsi="Times New Roman" w:eastAsia="宋体" w:cs="宋体"/>
                <w:color w:val="auto"/>
                <w:sz w:val="21"/>
                <w:szCs w:val="21"/>
                <w:highlight w:val="none"/>
                <w:u w:val="single"/>
              </w:rPr>
              <w:t>12</w:t>
            </w:r>
            <w:r>
              <w:rPr>
                <w:rFonts w:hint="eastAsia" w:ascii="Times New Roman" w:hAnsi="Times New Roman" w:eastAsia="宋体" w:cs="宋体"/>
                <w:color w:val="auto"/>
                <w:sz w:val="21"/>
                <w:szCs w:val="21"/>
                <w:highlight w:val="none"/>
              </w:rPr>
              <w:t>时</w:t>
            </w:r>
            <w:r>
              <w:rPr>
                <w:rFonts w:hint="eastAsia" w:ascii="Times New Roman" w:hAnsi="Times New Roman" w:eastAsia="宋体" w:cs="宋体"/>
                <w:color w:val="auto"/>
                <w:sz w:val="21"/>
                <w:szCs w:val="21"/>
                <w:highlight w:val="none"/>
                <w:u w:val="single"/>
              </w:rPr>
              <w:t>00</w:t>
            </w:r>
            <w:r>
              <w:rPr>
                <w:rFonts w:hint="eastAsia" w:ascii="Times New Roman" w:hAnsi="Times New Roman" w:eastAsia="宋体" w:cs="宋体"/>
                <w:color w:val="auto"/>
                <w:sz w:val="21"/>
                <w:szCs w:val="21"/>
                <w:highlight w:val="none"/>
              </w:rPr>
              <w:t>分，下午</w:t>
            </w:r>
            <w:r>
              <w:rPr>
                <w:rFonts w:hint="eastAsia" w:ascii="Times New Roman" w:hAnsi="Times New Roman" w:cs="宋体"/>
                <w:color w:val="auto"/>
                <w:sz w:val="21"/>
                <w:szCs w:val="21"/>
                <w:highlight w:val="none"/>
                <w:u w:val="single"/>
                <w:lang w:val="en-US" w:eastAsia="zh-CN"/>
              </w:rPr>
              <w:t>14</w:t>
            </w:r>
            <w:r>
              <w:rPr>
                <w:rFonts w:hint="eastAsia" w:ascii="Times New Roman" w:hAnsi="Times New Roman" w:eastAsia="宋体" w:cs="宋体"/>
                <w:color w:val="auto"/>
                <w:sz w:val="21"/>
                <w:szCs w:val="21"/>
                <w:highlight w:val="none"/>
              </w:rPr>
              <w:t>时</w:t>
            </w:r>
            <w:r>
              <w:rPr>
                <w:rFonts w:hint="eastAsia" w:ascii="Times New Roman" w:hAnsi="Times New Roman" w:eastAsia="宋体" w:cs="宋体"/>
                <w:color w:val="auto"/>
                <w:sz w:val="21"/>
                <w:szCs w:val="21"/>
                <w:highlight w:val="none"/>
                <w:u w:val="single"/>
              </w:rPr>
              <w:t>00</w:t>
            </w:r>
            <w:r>
              <w:rPr>
                <w:rFonts w:hint="eastAsia" w:ascii="Times New Roman" w:hAnsi="Times New Roman" w:eastAsia="宋体" w:cs="宋体"/>
                <w:color w:val="auto"/>
                <w:sz w:val="21"/>
                <w:szCs w:val="21"/>
                <w:highlight w:val="none"/>
              </w:rPr>
              <w:t>分到</w:t>
            </w:r>
            <w:r>
              <w:rPr>
                <w:rFonts w:hint="eastAsia" w:ascii="Times New Roman" w:hAnsi="Times New Roman" w:eastAsia="宋体" w:cs="宋体"/>
                <w:color w:val="auto"/>
                <w:sz w:val="21"/>
                <w:szCs w:val="21"/>
                <w:highlight w:val="none"/>
                <w:u w:val="single"/>
              </w:rPr>
              <w:t>1</w:t>
            </w:r>
            <w:r>
              <w:rPr>
                <w:rFonts w:hint="eastAsia" w:ascii="Times New Roman" w:hAnsi="Times New Roman" w:cs="宋体"/>
                <w:color w:val="auto"/>
                <w:sz w:val="21"/>
                <w:szCs w:val="21"/>
                <w:highlight w:val="none"/>
                <w:u w:val="single"/>
                <w:lang w:val="en-US" w:eastAsia="zh-CN"/>
              </w:rPr>
              <w:t>7</w:t>
            </w:r>
            <w:r>
              <w:rPr>
                <w:rFonts w:hint="eastAsia" w:ascii="Times New Roman" w:hAnsi="Times New Roman" w:eastAsia="宋体" w:cs="宋体"/>
                <w:color w:val="auto"/>
                <w:sz w:val="21"/>
                <w:szCs w:val="21"/>
                <w:highlight w:val="none"/>
              </w:rPr>
              <w:t>时</w:t>
            </w:r>
            <w:r>
              <w:rPr>
                <w:rFonts w:hint="eastAsia" w:ascii="Times New Roman" w:hAnsi="Times New Roman" w:eastAsia="宋体" w:cs="宋体"/>
                <w:color w:val="auto"/>
                <w:sz w:val="21"/>
                <w:szCs w:val="21"/>
                <w:highlight w:val="none"/>
                <w:u w:val="single"/>
              </w:rPr>
              <w:t>00</w:t>
            </w:r>
            <w:r>
              <w:rPr>
                <w:rFonts w:hint="eastAsia" w:ascii="Times New Roman" w:hAnsi="Times New Roman" w:eastAsia="宋体" w:cs="宋体"/>
                <w:color w:val="auto"/>
                <w:sz w:val="21"/>
                <w:szCs w:val="21"/>
                <w:highlight w:val="none"/>
              </w:rPr>
              <w:t>分。</w:t>
            </w:r>
          </w:p>
        </w:tc>
      </w:tr>
      <w:tr w14:paraId="3AC4A9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6F6B453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w:t>
            </w:r>
            <w:r>
              <w:rPr>
                <w:rFonts w:hint="eastAsia" w:ascii="Times New Roman" w:hAnsi="Times New Roman" w:eastAsia="宋体" w:cs="宋体"/>
                <w:color w:val="auto"/>
                <w:sz w:val="21"/>
                <w:szCs w:val="21"/>
                <w:highlight w:val="none"/>
                <w:lang w:val="en-US" w:eastAsia="zh-CN"/>
              </w:rPr>
              <w:t>0</w:t>
            </w:r>
            <w:r>
              <w:rPr>
                <w:rFonts w:hint="eastAsia" w:ascii="Times New Roman" w:hAnsi="Times New Roman" w:eastAsia="宋体" w:cs="宋体"/>
                <w:color w:val="auto"/>
                <w:sz w:val="21"/>
                <w:szCs w:val="21"/>
                <w:highlight w:val="none"/>
              </w:rPr>
              <w:t>.6</w:t>
            </w:r>
          </w:p>
        </w:tc>
        <w:tc>
          <w:tcPr>
            <w:tcW w:w="2321" w:type="dxa"/>
            <w:noWrap w:val="0"/>
            <w:vAlign w:val="center"/>
          </w:tcPr>
          <w:p w14:paraId="247A82AA">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受理投诉方式</w:t>
            </w:r>
          </w:p>
        </w:tc>
        <w:tc>
          <w:tcPr>
            <w:tcW w:w="6466" w:type="dxa"/>
            <w:noWrap w:val="0"/>
            <w:vAlign w:val="center"/>
          </w:tcPr>
          <w:p w14:paraId="57631853">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1、受理方式：纸质方式受理，投诉书正、副本（经过质疑的事项才可投诉）。</w:t>
            </w:r>
          </w:p>
          <w:p w14:paraId="27E41C16">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2、通讯方式</w:t>
            </w:r>
          </w:p>
          <w:p w14:paraId="114F3F9C">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名称：广西壮族自治区财政厅政府采购监督管理处</w:t>
            </w:r>
          </w:p>
          <w:p w14:paraId="7F10EBB7">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地址：南宁市桃源路69号</w:t>
            </w:r>
          </w:p>
          <w:p w14:paraId="483E52FA">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sz w:val="21"/>
                <w:szCs w:val="21"/>
                <w:highlight w:val="none"/>
                <w:lang w:eastAsia="zh-CN"/>
              </w:rPr>
            </w:pPr>
            <w:r>
              <w:rPr>
                <w:rFonts w:hint="eastAsia" w:ascii="Times New Roman" w:hAnsi="Times New Roman" w:eastAsia="宋体" w:cs="宋体"/>
                <w:color w:val="auto"/>
                <w:sz w:val="21"/>
                <w:szCs w:val="21"/>
                <w:highlight w:val="none"/>
              </w:rPr>
              <w:t>联系电话：</w:t>
            </w:r>
            <w:r>
              <w:rPr>
                <w:rFonts w:hint="eastAsia" w:ascii="Times New Roman" w:hAnsi="Times New Roman" w:cs="宋体"/>
                <w:color w:val="auto"/>
                <w:sz w:val="21"/>
                <w:szCs w:val="21"/>
                <w:highlight w:val="none"/>
                <w:lang w:eastAsia="zh-CN"/>
              </w:rPr>
              <w:t>0771-2189091</w:t>
            </w:r>
          </w:p>
        </w:tc>
      </w:tr>
      <w:tr w14:paraId="01BDE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13509444">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rPr>
              <w:t>3</w:t>
            </w:r>
            <w:r>
              <w:rPr>
                <w:rFonts w:hint="eastAsia" w:ascii="Times New Roman" w:hAnsi="Times New Roman" w:eastAsia="宋体" w:cs="宋体"/>
                <w:color w:val="auto"/>
                <w:sz w:val="21"/>
                <w:szCs w:val="21"/>
                <w:highlight w:val="none"/>
                <w:lang w:val="en-US" w:eastAsia="zh-CN"/>
              </w:rPr>
              <w:t>2</w:t>
            </w:r>
          </w:p>
        </w:tc>
        <w:tc>
          <w:tcPr>
            <w:tcW w:w="2321" w:type="dxa"/>
            <w:noWrap w:val="0"/>
            <w:vAlign w:val="center"/>
          </w:tcPr>
          <w:p w14:paraId="242610EA">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采购代理服务费</w:t>
            </w:r>
          </w:p>
        </w:tc>
        <w:tc>
          <w:tcPr>
            <w:tcW w:w="6466" w:type="dxa"/>
            <w:noWrap w:val="0"/>
            <w:vAlign w:val="center"/>
          </w:tcPr>
          <w:p w14:paraId="0AD6FCD7">
            <w:pPr>
              <w:keepNext w:val="0"/>
              <w:keepLines w:val="0"/>
              <w:pageBreakBefore w:val="0"/>
              <w:widowControl w:val="0"/>
              <w:numPr>
                <w:ilvl w:val="0"/>
                <w:numId w:val="0"/>
              </w:numPr>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lang w:eastAsia="zh-CN"/>
              </w:rPr>
            </w:pPr>
            <w:r>
              <w:rPr>
                <w:rFonts w:hint="eastAsia" w:ascii="Times New Roman" w:hAnsi="Times New Roman" w:eastAsia="宋体" w:cs="宋体"/>
                <w:color w:val="auto"/>
                <w:kern w:val="0"/>
                <w:sz w:val="21"/>
                <w:szCs w:val="21"/>
                <w:highlight w:val="none"/>
                <w:lang w:val="en-US" w:eastAsia="zh-CN"/>
              </w:rPr>
              <w:t>1.</w:t>
            </w:r>
            <w:r>
              <w:rPr>
                <w:rFonts w:hint="eastAsia" w:ascii="Times New Roman" w:hAnsi="Times New Roman" w:eastAsia="宋体" w:cs="宋体"/>
                <w:color w:val="auto"/>
                <w:kern w:val="0"/>
                <w:sz w:val="21"/>
                <w:szCs w:val="21"/>
                <w:highlight w:val="none"/>
              </w:rPr>
              <w:t>是否收取采购代</w:t>
            </w:r>
            <w:r>
              <w:rPr>
                <w:rFonts w:hint="eastAsia" w:ascii="Times New Roman" w:hAnsi="Times New Roman" w:eastAsia="宋体" w:cs="宋体"/>
                <w:color w:val="auto"/>
                <w:kern w:val="0"/>
                <w:sz w:val="21"/>
                <w:szCs w:val="21"/>
                <w:highlight w:val="none"/>
                <w:lang w:eastAsia="zh-CN"/>
              </w:rPr>
              <w:t>理</w:t>
            </w:r>
            <w:r>
              <w:rPr>
                <w:rFonts w:hint="eastAsia" w:ascii="Times New Roman" w:hAnsi="Times New Roman" w:eastAsia="宋体" w:cs="宋体"/>
                <w:color w:val="auto"/>
                <w:kern w:val="0"/>
                <w:sz w:val="21"/>
                <w:szCs w:val="21"/>
                <w:highlight w:val="none"/>
              </w:rPr>
              <w:t>服务费：是</w:t>
            </w:r>
            <w:r>
              <w:rPr>
                <w:rFonts w:hint="eastAsia" w:ascii="Times New Roman" w:hAnsi="Times New Roman" w:cs="宋体"/>
                <w:color w:val="auto"/>
                <w:kern w:val="0"/>
                <w:sz w:val="21"/>
                <w:szCs w:val="21"/>
                <w:highlight w:val="none"/>
                <w:lang w:eastAsia="zh-CN"/>
              </w:rPr>
              <w:t>。</w:t>
            </w:r>
          </w:p>
          <w:p w14:paraId="678CFE4D">
            <w:pPr>
              <w:keepNext w:val="0"/>
              <w:keepLines w:val="0"/>
              <w:pageBreakBefore w:val="0"/>
              <w:widowControl w:val="0"/>
              <w:numPr>
                <w:ilvl w:val="0"/>
                <w:numId w:val="0"/>
              </w:numPr>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2.采购代理服务费支付方式：</w:t>
            </w:r>
          </w:p>
          <w:p w14:paraId="6288803A">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本项目采购代理服务费由成交供应商在签订合同前，</w:t>
            </w:r>
            <w:r>
              <w:rPr>
                <w:rFonts w:hint="eastAsia" w:ascii="Times New Roman" w:hAnsi="Times New Roman" w:eastAsia="宋体" w:cs="宋体"/>
                <w:color w:val="auto"/>
                <w:sz w:val="21"/>
                <w:szCs w:val="21"/>
                <w:highlight w:val="none"/>
              </w:rPr>
              <w:t>以银行转账、电汇等方式</w:t>
            </w:r>
            <w:r>
              <w:rPr>
                <w:rFonts w:hint="eastAsia" w:ascii="Times New Roman" w:hAnsi="Times New Roman" w:eastAsia="宋体" w:cs="宋体"/>
                <w:color w:val="auto"/>
                <w:kern w:val="0"/>
                <w:sz w:val="21"/>
                <w:szCs w:val="21"/>
                <w:highlight w:val="none"/>
              </w:rPr>
              <w:t>一次性向采购代理机构支付。</w:t>
            </w:r>
          </w:p>
          <w:p w14:paraId="4FB074A9">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3.采购代理服务费收取标准：</w:t>
            </w:r>
          </w:p>
          <w:p w14:paraId="770E251E">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lang w:eastAsia="zh-CN"/>
              </w:rPr>
            </w:pPr>
            <w:r>
              <w:rPr>
                <w:rFonts w:hint="eastAsia" w:ascii="Times New Roman" w:hAnsi="Times New Roman" w:eastAsia="宋体" w:cs="宋体"/>
                <w:color w:val="auto"/>
                <w:kern w:val="0"/>
                <w:sz w:val="21"/>
                <w:szCs w:val="21"/>
                <w:highlight w:val="none"/>
              </w:rPr>
              <w:t>☑以项目（☑成交总金额/□采购预算/□暂定成交金额/□其他</w:t>
            </w:r>
            <w:r>
              <w:rPr>
                <w:rFonts w:hint="eastAsia" w:ascii="Times New Roman" w:hAnsi="Times New Roman" w:eastAsia="宋体" w:cs="宋体"/>
                <w:color w:val="auto"/>
                <w:kern w:val="0"/>
                <w:sz w:val="21"/>
                <w:szCs w:val="21"/>
                <w:highlight w:val="none"/>
                <w:u w:val="single"/>
              </w:rPr>
              <w:t xml:space="preserve"> </w:t>
            </w:r>
            <w:r>
              <w:rPr>
                <w:rFonts w:hint="eastAsia" w:ascii="Times New Roman" w:hAnsi="Times New Roman" w:eastAsia="宋体" w:cs="宋体"/>
                <w:color w:val="auto"/>
                <w:kern w:val="0"/>
                <w:sz w:val="21"/>
                <w:szCs w:val="21"/>
                <w:highlight w:val="none"/>
                <w:u w:val="single"/>
                <w:lang w:val="en-US" w:eastAsia="zh-CN"/>
              </w:rPr>
              <w:t>/</w:t>
            </w:r>
            <w:r>
              <w:rPr>
                <w:rFonts w:hint="eastAsia" w:ascii="Times New Roman" w:hAnsi="Times New Roman" w:eastAsia="宋体" w:cs="宋体"/>
                <w:color w:val="auto"/>
                <w:kern w:val="0"/>
                <w:sz w:val="21"/>
                <w:szCs w:val="21"/>
                <w:highlight w:val="none"/>
                <w:u w:val="single"/>
              </w:rPr>
              <w:t xml:space="preserve"> </w:t>
            </w:r>
            <w:r>
              <w:rPr>
                <w:rFonts w:hint="eastAsia" w:ascii="Times New Roman" w:hAnsi="Times New Roman" w:eastAsia="宋体" w:cs="宋体"/>
                <w:color w:val="auto"/>
                <w:kern w:val="0"/>
                <w:sz w:val="21"/>
                <w:szCs w:val="21"/>
                <w:highlight w:val="none"/>
              </w:rPr>
              <w:t>）为计费额，按</w:t>
            </w:r>
            <w:r>
              <w:rPr>
                <w:rFonts w:hint="eastAsia" w:ascii="Times New Roman" w:hAnsi="Times New Roman" w:eastAsia="宋体" w:cs="宋体"/>
                <w:color w:val="auto"/>
                <w:sz w:val="21"/>
                <w:szCs w:val="21"/>
                <w:highlight w:val="none"/>
              </w:rPr>
              <w:t>本须知正文第3</w:t>
            </w:r>
            <w:r>
              <w:rPr>
                <w:rFonts w:hint="eastAsia" w:ascii="Times New Roman" w:hAnsi="Times New Roman" w:eastAsia="宋体" w:cs="宋体"/>
                <w:color w:val="auto"/>
                <w:sz w:val="21"/>
                <w:szCs w:val="21"/>
                <w:highlight w:val="none"/>
                <w:lang w:val="en-US" w:eastAsia="zh-CN"/>
              </w:rPr>
              <w:t>2</w:t>
            </w:r>
            <w:r>
              <w:rPr>
                <w:rFonts w:hint="eastAsia" w:ascii="Times New Roman" w:hAnsi="Times New Roman" w:eastAsia="宋体" w:cs="宋体"/>
                <w:color w:val="auto"/>
                <w:sz w:val="21"/>
                <w:szCs w:val="21"/>
                <w:highlight w:val="none"/>
              </w:rPr>
              <w:t>.2条规定的收费计算标准（</w:t>
            </w:r>
            <w:r>
              <w:rPr>
                <w:rFonts w:hint="eastAsia" w:ascii="Times New Roman" w:hAnsi="Times New Roman" w:eastAsia="宋体" w:cs="宋体"/>
                <w:b/>
                <w:bCs/>
                <w:color w:val="auto"/>
                <w:kern w:val="0"/>
                <w:sz w:val="21"/>
                <w:szCs w:val="21"/>
                <w:highlight w:val="none"/>
                <w:u w:val="single"/>
              </w:rPr>
              <w:t>工程类</w:t>
            </w:r>
            <w:r>
              <w:rPr>
                <w:rFonts w:hint="eastAsia" w:ascii="Times New Roman" w:hAnsi="Times New Roman" w:eastAsia="宋体" w:cs="宋体"/>
                <w:color w:val="auto"/>
                <w:sz w:val="21"/>
                <w:szCs w:val="21"/>
                <w:highlight w:val="none"/>
              </w:rPr>
              <w:t>）</w:t>
            </w:r>
            <w:r>
              <w:rPr>
                <w:rFonts w:hint="eastAsia" w:ascii="Times New Roman" w:hAnsi="Times New Roman" w:eastAsia="宋体" w:cs="宋体"/>
                <w:color w:val="auto"/>
                <w:kern w:val="0"/>
                <w:sz w:val="21"/>
                <w:szCs w:val="21"/>
                <w:highlight w:val="none"/>
              </w:rPr>
              <w:t>采用差额定率累进法计算出收费基准价格，采购代理机构收费以（</w:t>
            </w: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rPr>
              <w:t>收费基准价格/</w:t>
            </w: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rPr>
              <w:t>收费基准价格下浮</w:t>
            </w:r>
            <w:r>
              <w:rPr>
                <w:rFonts w:hint="eastAsia" w:ascii="Times New Roman" w:hAnsi="Times New Roman" w:eastAsia="宋体" w:cs="宋体"/>
                <w:color w:val="auto"/>
                <w:kern w:val="0"/>
                <w:sz w:val="21"/>
                <w:szCs w:val="21"/>
                <w:highlight w:val="none"/>
                <w:u w:val="single"/>
                <w:lang w:val="en-US" w:eastAsia="zh-CN"/>
              </w:rPr>
              <w:t>3</w:t>
            </w:r>
            <w:r>
              <w:rPr>
                <w:rFonts w:hint="eastAsia" w:ascii="Times New Roman" w:hAnsi="Times New Roman" w:cs="宋体"/>
                <w:color w:val="auto"/>
                <w:kern w:val="0"/>
                <w:sz w:val="21"/>
                <w:szCs w:val="21"/>
                <w:highlight w:val="none"/>
                <w:u w:val="single"/>
                <w:lang w:val="en-US" w:eastAsia="zh-CN"/>
              </w:rPr>
              <w:t>5</w:t>
            </w:r>
            <w:r>
              <w:rPr>
                <w:rFonts w:hint="eastAsia" w:ascii="Times New Roman" w:hAnsi="Times New Roman" w:eastAsia="宋体" w:cs="宋体"/>
                <w:color w:val="auto"/>
                <w:kern w:val="0"/>
                <w:sz w:val="21"/>
                <w:szCs w:val="21"/>
                <w:highlight w:val="none"/>
                <w:u w:val="single"/>
              </w:rPr>
              <w:t>%</w:t>
            </w:r>
            <w:r>
              <w:rPr>
                <w:rFonts w:hint="eastAsia" w:ascii="Times New Roman" w:hAnsi="Times New Roman" w:eastAsia="宋体" w:cs="宋体"/>
                <w:color w:val="auto"/>
                <w:kern w:val="0"/>
                <w:sz w:val="21"/>
                <w:szCs w:val="21"/>
                <w:highlight w:val="none"/>
              </w:rPr>
              <w:t>/□收费基准价格上浮</w:t>
            </w:r>
            <w:r>
              <w:rPr>
                <w:rFonts w:hint="eastAsia" w:ascii="Times New Roman" w:hAnsi="Times New Roman" w:eastAsia="宋体" w:cs="宋体"/>
                <w:color w:val="auto"/>
                <w:kern w:val="0"/>
                <w:sz w:val="21"/>
                <w:szCs w:val="21"/>
                <w:highlight w:val="none"/>
                <w:u w:val="single"/>
              </w:rPr>
              <w:t xml:space="preserve"> </w:t>
            </w:r>
            <w:r>
              <w:rPr>
                <w:rFonts w:hint="eastAsia" w:ascii="Times New Roman" w:hAnsi="Times New Roman" w:eastAsia="宋体" w:cs="宋体"/>
                <w:color w:val="auto"/>
                <w:kern w:val="0"/>
                <w:sz w:val="21"/>
                <w:szCs w:val="21"/>
                <w:highlight w:val="none"/>
                <w:u w:val="single"/>
                <w:lang w:val="en-US" w:eastAsia="zh-CN"/>
              </w:rPr>
              <w:t>/</w:t>
            </w:r>
            <w:r>
              <w:rPr>
                <w:rFonts w:hint="eastAsia" w:ascii="Times New Roman" w:hAnsi="Times New Roman" w:eastAsia="宋体" w:cs="宋体"/>
                <w:color w:val="auto"/>
                <w:kern w:val="0"/>
                <w:sz w:val="21"/>
                <w:szCs w:val="21"/>
                <w:highlight w:val="none"/>
                <w:u w:val="single"/>
              </w:rPr>
              <w:t xml:space="preserve"> %</w:t>
            </w:r>
            <w:r>
              <w:rPr>
                <w:rFonts w:hint="eastAsia" w:ascii="Times New Roman" w:hAnsi="Times New Roman" w:eastAsia="宋体" w:cs="宋体"/>
                <w:color w:val="auto"/>
                <w:kern w:val="0"/>
                <w:sz w:val="21"/>
                <w:szCs w:val="21"/>
                <w:highlight w:val="none"/>
              </w:rPr>
              <w:t>）收取。</w:t>
            </w:r>
            <w:r>
              <w:rPr>
                <w:rFonts w:hint="eastAsia" w:ascii="Times New Roman" w:hAnsi="Times New Roman" w:cs="宋体"/>
                <w:color w:val="auto"/>
                <w:kern w:val="0"/>
                <w:sz w:val="21"/>
                <w:szCs w:val="21"/>
                <w:highlight w:val="none"/>
                <w:lang w:eastAsia="zh-CN"/>
              </w:rPr>
              <w:t>（以此标准计算不足人民币</w:t>
            </w:r>
            <w:r>
              <w:rPr>
                <w:rFonts w:hint="eastAsia" w:ascii="Times New Roman" w:hAnsi="Times New Roman" w:cs="宋体"/>
                <w:color w:val="auto"/>
                <w:kern w:val="0"/>
                <w:sz w:val="21"/>
                <w:szCs w:val="21"/>
                <w:highlight w:val="none"/>
                <w:lang w:val="en-US" w:eastAsia="zh-CN"/>
              </w:rPr>
              <w:t>5000元的按5000元收取</w:t>
            </w:r>
            <w:r>
              <w:rPr>
                <w:rFonts w:hint="eastAsia" w:ascii="Times New Roman" w:hAnsi="Times New Roman" w:cs="宋体"/>
                <w:color w:val="auto"/>
                <w:kern w:val="0"/>
                <w:sz w:val="21"/>
                <w:szCs w:val="21"/>
                <w:highlight w:val="none"/>
                <w:lang w:eastAsia="zh-CN"/>
              </w:rPr>
              <w:t>）</w:t>
            </w:r>
          </w:p>
          <w:p w14:paraId="325C01FD">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kern w:val="0"/>
                <w:sz w:val="21"/>
                <w:szCs w:val="21"/>
                <w:highlight w:val="none"/>
              </w:rPr>
              <w:t>4. 采购代理服务费收取银行账户的信息</w:t>
            </w:r>
          </w:p>
          <w:p w14:paraId="0ECC7DFD">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lang w:eastAsia="zh-CN"/>
              </w:rPr>
            </w:pPr>
            <w:r>
              <w:rPr>
                <w:rFonts w:hint="eastAsia" w:ascii="Times New Roman" w:hAnsi="Times New Roman" w:cs="宋体"/>
                <w:color w:val="auto"/>
                <w:kern w:val="0"/>
                <w:sz w:val="21"/>
                <w:szCs w:val="21"/>
                <w:highlight w:val="none"/>
                <w:lang w:eastAsia="zh-CN"/>
              </w:rPr>
              <w:t>开户户名：广西科联招标中心有限公司桂林分公司</w:t>
            </w:r>
          </w:p>
          <w:p w14:paraId="3BF1A287">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lang w:eastAsia="zh-CN"/>
              </w:rPr>
            </w:pPr>
            <w:r>
              <w:rPr>
                <w:rFonts w:hint="eastAsia" w:ascii="Times New Roman" w:hAnsi="Times New Roman" w:cs="宋体"/>
                <w:color w:val="auto"/>
                <w:kern w:val="0"/>
                <w:sz w:val="21"/>
                <w:szCs w:val="21"/>
                <w:highlight w:val="none"/>
                <w:lang w:eastAsia="zh-CN"/>
              </w:rPr>
              <w:t>开户银行：中国工商银行股份有限公司桂林市桂湖支行</w:t>
            </w:r>
          </w:p>
          <w:p w14:paraId="3C8374A1">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lang w:eastAsia="zh-CN"/>
              </w:rPr>
            </w:pPr>
            <w:r>
              <w:rPr>
                <w:rFonts w:hint="eastAsia" w:ascii="Times New Roman" w:hAnsi="Times New Roman" w:cs="宋体"/>
                <w:color w:val="auto"/>
                <w:kern w:val="0"/>
                <w:sz w:val="21"/>
                <w:szCs w:val="21"/>
                <w:highlight w:val="none"/>
                <w:lang w:eastAsia="zh-CN"/>
              </w:rPr>
              <w:t>银行账号：2103260229201002537</w:t>
            </w:r>
          </w:p>
        </w:tc>
      </w:tr>
      <w:tr w14:paraId="6A71FD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3D6811C8">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w:t>
            </w:r>
            <w:r>
              <w:rPr>
                <w:rFonts w:hint="eastAsia" w:ascii="Times New Roman" w:hAnsi="Times New Roman" w:eastAsia="宋体" w:cs="宋体"/>
                <w:color w:val="auto"/>
                <w:sz w:val="21"/>
                <w:szCs w:val="21"/>
                <w:highlight w:val="none"/>
                <w:lang w:val="en-US" w:eastAsia="zh-CN"/>
              </w:rPr>
              <w:t>3</w:t>
            </w:r>
            <w:r>
              <w:rPr>
                <w:rFonts w:hint="eastAsia" w:ascii="Times New Roman" w:hAnsi="Times New Roman" w:eastAsia="宋体" w:cs="宋体"/>
                <w:color w:val="auto"/>
                <w:sz w:val="21"/>
                <w:szCs w:val="21"/>
                <w:highlight w:val="none"/>
              </w:rPr>
              <w:t>.1</w:t>
            </w:r>
          </w:p>
        </w:tc>
        <w:tc>
          <w:tcPr>
            <w:tcW w:w="2321" w:type="dxa"/>
            <w:noWrap w:val="0"/>
            <w:vAlign w:val="center"/>
          </w:tcPr>
          <w:p w14:paraId="511248F9">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解释</w:t>
            </w:r>
          </w:p>
        </w:tc>
        <w:tc>
          <w:tcPr>
            <w:tcW w:w="6466" w:type="dxa"/>
            <w:noWrap w:val="0"/>
            <w:vAlign w:val="center"/>
          </w:tcPr>
          <w:p w14:paraId="3C074734">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b/>
                <w:color w:val="auto"/>
                <w:kern w:val="0"/>
                <w:sz w:val="21"/>
                <w:szCs w:val="21"/>
                <w:highlight w:val="none"/>
              </w:rPr>
            </w:pPr>
            <w:r>
              <w:rPr>
                <w:rFonts w:hint="eastAsia" w:ascii="Times New Roman" w:hAnsi="Times New Roman" w:eastAsia="宋体" w:cs="宋体"/>
                <w:b/>
                <w:color w:val="auto"/>
                <w:kern w:val="0"/>
                <w:sz w:val="21"/>
                <w:szCs w:val="21"/>
                <w:highlight w:val="none"/>
              </w:rPr>
              <w:t>解释：</w:t>
            </w:r>
            <w:r>
              <w:rPr>
                <w:rFonts w:hint="eastAsia" w:ascii="Times New Roman" w:hAnsi="Times New Roman" w:eastAsia="宋体" w:cs="宋体"/>
                <w:color w:val="auto"/>
                <w:kern w:val="0"/>
                <w:sz w:val="21"/>
                <w:szCs w:val="21"/>
                <w:highlight w:val="none"/>
              </w:rPr>
              <w:t>构成本竞争性磋商文件的各个组成文件应互为解释，互为说明；除竞争性磋商文件中有特别规定外，仅适用于竞标阶段的规定，按更正公告（澄清公告）、竞争性磋商公告、采购需求、供应商须知、评审程序、评审方法和评审标准、响应文件格式、合同文本的先后顺序解释；同一组成文件中就同一事项的规定或者约定不一致的，以编排顺序在后者为准；同一组成文件不同版本之间有不一致的，以形成时间在后者为准；更正公告（澄清公告）与同步更新的磋商文件不一致时以更正公告（澄清公告）为准。按本款前述规定仍不能形成结论的，</w:t>
            </w:r>
            <w:r>
              <w:rPr>
                <w:rFonts w:hint="eastAsia" w:ascii="Times New Roman" w:hAnsi="Times New Roman" w:eastAsia="宋体" w:cs="宋体"/>
                <w:b/>
                <w:color w:val="auto"/>
                <w:kern w:val="0"/>
                <w:sz w:val="21"/>
                <w:szCs w:val="21"/>
                <w:highlight w:val="none"/>
              </w:rPr>
              <w:t>由采购人或者采购代理机构负责解释。</w:t>
            </w:r>
          </w:p>
          <w:p w14:paraId="4A7D0688">
            <w:pPr>
              <w:keepNext w:val="0"/>
              <w:keepLines w:val="0"/>
              <w:pageBreakBefore w:val="0"/>
              <w:widowControl w:val="0"/>
              <w:kinsoku/>
              <w:wordWrap/>
              <w:overflowPunct/>
              <w:topLinePunct w:val="0"/>
              <w:bidi w:val="0"/>
              <w:adjustRightInd/>
              <w:snapToGrid w:val="0"/>
              <w:spacing w:line="390" w:lineRule="exact"/>
              <w:jc w:val="both"/>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b/>
                <w:color w:val="auto"/>
                <w:kern w:val="0"/>
                <w:sz w:val="21"/>
                <w:szCs w:val="21"/>
                <w:highlight w:val="none"/>
              </w:rPr>
              <w:t>法律责任：</w:t>
            </w:r>
            <w:r>
              <w:rPr>
                <w:rFonts w:hint="eastAsia" w:ascii="Times New Roman" w:hAnsi="Times New Roman" w:eastAsia="宋体" w:cs="宋体"/>
                <w:color w:val="auto"/>
                <w:kern w:val="0"/>
                <w:sz w:val="21"/>
                <w:szCs w:val="21"/>
                <w:highlight w:val="none"/>
              </w:rPr>
              <w:t>本采购文件根据《中华人民共和国政府采购法》、《中华人民共和国民法典》</w:t>
            </w:r>
            <w:r>
              <w:rPr>
                <w:rFonts w:hint="eastAsia" w:ascii="Times New Roman" w:hAnsi="Times New Roman" w:eastAsia="宋体" w:cs="宋体"/>
                <w:color w:val="auto"/>
                <w:kern w:val="0"/>
                <w:sz w:val="21"/>
                <w:szCs w:val="21"/>
                <w:highlight w:val="none"/>
                <w:lang w:eastAsia="zh-CN"/>
              </w:rPr>
              <w:t>、</w:t>
            </w:r>
            <w:r>
              <w:rPr>
                <w:rFonts w:hint="eastAsia" w:ascii="Times New Roman" w:hAnsi="Times New Roman" w:eastAsia="宋体" w:cs="宋体"/>
                <w:color w:val="auto"/>
                <w:kern w:val="0"/>
                <w:sz w:val="21"/>
                <w:szCs w:val="21"/>
                <w:highlight w:val="none"/>
              </w:rPr>
              <w:t>《中华人民共和国政府采购法实施条例》、《政府采购竞争性磋商采购方式管理暂行办法》等有关法律、法规编制，参与本项目的各政府采购当事人依法享有上述法律法规所赋予的权利与义务。</w:t>
            </w:r>
          </w:p>
        </w:tc>
      </w:tr>
      <w:tr w14:paraId="28A8E0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963" w:type="dxa"/>
            <w:noWrap w:val="0"/>
            <w:vAlign w:val="center"/>
          </w:tcPr>
          <w:p w14:paraId="46AF9A6D">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w:t>
            </w:r>
            <w:r>
              <w:rPr>
                <w:rFonts w:hint="eastAsia" w:ascii="Times New Roman" w:hAnsi="Times New Roman" w:eastAsia="宋体" w:cs="宋体"/>
                <w:color w:val="auto"/>
                <w:sz w:val="21"/>
                <w:szCs w:val="21"/>
                <w:highlight w:val="none"/>
                <w:lang w:val="en-US" w:eastAsia="zh-CN"/>
              </w:rPr>
              <w:t>3</w:t>
            </w:r>
            <w:r>
              <w:rPr>
                <w:rFonts w:hint="eastAsia" w:ascii="Times New Roman" w:hAnsi="Times New Roman" w:eastAsia="宋体" w:cs="宋体"/>
                <w:color w:val="auto"/>
                <w:sz w:val="21"/>
                <w:szCs w:val="21"/>
                <w:highlight w:val="none"/>
              </w:rPr>
              <w:t>.2</w:t>
            </w:r>
          </w:p>
        </w:tc>
        <w:tc>
          <w:tcPr>
            <w:tcW w:w="2321" w:type="dxa"/>
            <w:noWrap w:val="0"/>
            <w:vAlign w:val="center"/>
          </w:tcPr>
          <w:p w14:paraId="502AECBF">
            <w:pPr>
              <w:keepNext w:val="0"/>
              <w:keepLines w:val="0"/>
              <w:pageBreakBefore w:val="0"/>
              <w:widowControl w:val="0"/>
              <w:kinsoku/>
              <w:wordWrap/>
              <w:overflowPunct/>
              <w:topLinePunct w:val="0"/>
              <w:bidi w:val="0"/>
              <w:adjustRightInd/>
              <w:spacing w:line="390" w:lineRule="exact"/>
              <w:jc w:val="center"/>
              <w:rPr>
                <w:rFonts w:hint="eastAsia" w:ascii="Times New Roman" w:hAnsi="Times New Roman" w:eastAsia="宋体" w:cs="宋体"/>
                <w:b w:val="0"/>
                <w:bCs/>
                <w:color w:val="auto"/>
                <w:sz w:val="21"/>
                <w:szCs w:val="21"/>
                <w:highlight w:val="none"/>
              </w:rPr>
            </w:pPr>
            <w:r>
              <w:rPr>
                <w:rFonts w:hint="eastAsia" w:ascii="Times New Roman" w:hAnsi="Times New Roman" w:eastAsia="宋体" w:cs="宋体"/>
                <w:b w:val="0"/>
                <w:bCs/>
                <w:color w:val="auto"/>
                <w:sz w:val="21"/>
                <w:szCs w:val="21"/>
                <w:highlight w:val="none"/>
              </w:rPr>
              <w:t>其他</w:t>
            </w:r>
          </w:p>
        </w:tc>
        <w:tc>
          <w:tcPr>
            <w:tcW w:w="6466" w:type="dxa"/>
            <w:noWrap w:val="0"/>
            <w:vAlign w:val="center"/>
          </w:tcPr>
          <w:p w14:paraId="7CB2AAD4">
            <w:pPr>
              <w:pStyle w:val="11"/>
              <w:keepNext w:val="0"/>
              <w:keepLines w:val="0"/>
              <w:pageBreakBefore w:val="0"/>
              <w:widowControl w:val="0"/>
              <w:kinsoku/>
              <w:wordWrap/>
              <w:overflowPunct/>
              <w:topLinePunct w:val="0"/>
              <w:bidi w:val="0"/>
              <w:adjustRightInd/>
              <w:spacing w:line="390" w:lineRule="exact"/>
              <w:ind w:firstLine="420" w:firstLineChars="200"/>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1.本竞争性磋商文件中描述供应商的“公章”是指根据我国对公章的管理规定，用供应商法定主体行为名称制作的实物印章或供应商通过指定电子化政府采购平台办理数字证书（CA认证）获得的以法定主体行为名称制作的电子印章。除本竞争性磋商文件有特殊规定外，供应商的财务章、部门章、分公司章、工会章、合同章、投标专用章、业务专用章及银行的转账章、现金收讫章、现金付讫章等其他形式印章均不能代替公章。</w:t>
            </w:r>
          </w:p>
          <w:p w14:paraId="5DB01ECE">
            <w:pPr>
              <w:pStyle w:val="11"/>
              <w:keepNext w:val="0"/>
              <w:keepLines w:val="0"/>
              <w:pageBreakBefore w:val="0"/>
              <w:widowControl w:val="0"/>
              <w:kinsoku/>
              <w:wordWrap/>
              <w:overflowPunct/>
              <w:topLinePunct w:val="0"/>
              <w:bidi w:val="0"/>
              <w:adjustRightInd/>
              <w:spacing w:line="390" w:lineRule="exact"/>
              <w:ind w:firstLine="420" w:firstLineChars="200"/>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2.本竞争性磋商文件中描述供应商的“签字”是指供应商通过指定电子化政府采购平台办理数字证书（CA认证）获得的以供应商法定代表人或者委托代理人姓名制作的电子印章或手写签字。</w:t>
            </w:r>
          </w:p>
          <w:p w14:paraId="36DABEFF">
            <w:pPr>
              <w:pStyle w:val="11"/>
              <w:keepNext w:val="0"/>
              <w:keepLines w:val="0"/>
              <w:pageBreakBefore w:val="0"/>
              <w:widowControl w:val="0"/>
              <w:tabs>
                <w:tab w:val="center" w:pos="4153"/>
                <w:tab w:val="right" w:pos="8306"/>
              </w:tabs>
              <w:kinsoku/>
              <w:wordWrap/>
              <w:overflowPunct/>
              <w:topLinePunct w:val="0"/>
              <w:bidi w:val="0"/>
              <w:adjustRightInd/>
              <w:spacing w:line="390" w:lineRule="exact"/>
              <w:ind w:firstLine="420" w:firstLineChars="200"/>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3.</w:t>
            </w:r>
            <w:r>
              <w:rPr>
                <w:rFonts w:hint="eastAsia" w:ascii="Times New Roman" w:hAnsi="Times New Roman" w:eastAsia="宋体" w:cs="宋体"/>
                <w:color w:val="auto"/>
                <w:kern w:val="2"/>
                <w:sz w:val="21"/>
                <w:szCs w:val="21"/>
                <w:highlight w:val="none"/>
                <w:lang w:val="en-US" w:eastAsia="zh-CN"/>
              </w:rPr>
              <w:t>本竞争性磋商文件所称的“电子签章”“电子签名”，是指经</w:t>
            </w:r>
            <w:r>
              <w:rPr>
                <w:rFonts w:hint="eastAsia" w:ascii="Times New Roman" w:hAnsi="Times New Roman" w:eastAsia="宋体" w:cs="宋体"/>
                <w:b w:val="0"/>
                <w:bCs w:val="0"/>
                <w:color w:val="auto"/>
                <w:sz w:val="21"/>
                <w:szCs w:val="21"/>
                <w:highlight w:val="none"/>
                <w:lang w:val="en-US" w:eastAsia="zh-CN"/>
              </w:rPr>
              <w:t>广西政府采购云平台</w:t>
            </w:r>
            <w:r>
              <w:rPr>
                <w:rFonts w:hint="eastAsia" w:ascii="Times New Roman" w:hAnsi="Times New Roman" w:eastAsia="宋体" w:cs="宋体"/>
                <w:color w:val="auto"/>
                <w:kern w:val="2"/>
                <w:sz w:val="21"/>
                <w:szCs w:val="21"/>
                <w:highlight w:val="none"/>
                <w:lang w:val="en-US" w:eastAsia="zh-CN"/>
              </w:rPr>
              <w:t>认可的CA认证的电子签名数据为表现形式的印章，可用于签署电子响应文件，电子印章与实物印章具有同等法律效力，不因其采用电子化表现形式而否定其法律效力</w:t>
            </w:r>
            <w:r>
              <w:rPr>
                <w:rFonts w:hint="eastAsia" w:ascii="Times New Roman" w:hAnsi="Times New Roman" w:eastAsia="宋体" w:cs="宋体"/>
                <w:color w:val="auto"/>
                <w:sz w:val="21"/>
                <w:szCs w:val="21"/>
                <w:highlight w:val="none"/>
                <w:lang w:val="en-US" w:eastAsia="zh-CN"/>
              </w:rPr>
              <w:t>。</w:t>
            </w:r>
          </w:p>
          <w:p w14:paraId="3A51616A">
            <w:pPr>
              <w:pStyle w:val="11"/>
              <w:keepNext w:val="0"/>
              <w:keepLines w:val="0"/>
              <w:pageBreakBefore w:val="0"/>
              <w:widowControl w:val="0"/>
              <w:kinsoku/>
              <w:wordWrap/>
              <w:overflowPunct/>
              <w:topLinePunct w:val="0"/>
              <w:bidi w:val="0"/>
              <w:adjustRightInd/>
              <w:spacing w:line="390" w:lineRule="exact"/>
              <w:ind w:firstLine="420" w:firstLineChars="200"/>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4.供应商为其他组织或者自然人时，本竞争性磋商文件规定的法定代表人指负责人或者自然人。本竞争性磋商文件所称负责人是指参加竞标的其他组织营业执照上的负责人，本竞争性磋商文件所称自然人指参与竞标的自然人本人。</w:t>
            </w:r>
          </w:p>
          <w:p w14:paraId="119E42A3">
            <w:pPr>
              <w:pStyle w:val="11"/>
              <w:keepNext w:val="0"/>
              <w:keepLines w:val="0"/>
              <w:pageBreakBefore w:val="0"/>
              <w:widowControl w:val="0"/>
              <w:kinsoku/>
              <w:wordWrap/>
              <w:overflowPunct/>
              <w:topLinePunct w:val="0"/>
              <w:bidi w:val="0"/>
              <w:adjustRightInd/>
              <w:spacing w:line="390" w:lineRule="exact"/>
              <w:ind w:firstLine="420" w:firstLineChars="200"/>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5.自然人竞标的，竞争性磋商文件规定盖公章处由自然人摁手指指印。</w:t>
            </w:r>
          </w:p>
          <w:p w14:paraId="216991A6">
            <w:pPr>
              <w:pStyle w:val="11"/>
              <w:keepNext w:val="0"/>
              <w:keepLines w:val="0"/>
              <w:pageBreakBefore w:val="0"/>
              <w:widowControl w:val="0"/>
              <w:kinsoku/>
              <w:wordWrap/>
              <w:overflowPunct/>
              <w:topLinePunct w:val="0"/>
              <w:bidi w:val="0"/>
              <w:adjustRightInd/>
              <w:spacing w:line="390" w:lineRule="exact"/>
              <w:ind w:firstLine="420" w:firstLineChars="200"/>
              <w:jc w:val="both"/>
              <w:rPr>
                <w:rFonts w:hint="eastAsia" w:ascii="Times New Roman" w:hAnsi="Times New Roman" w:eastAsia="宋体" w:cs="宋体"/>
                <w:color w:val="auto"/>
                <w:sz w:val="21"/>
                <w:szCs w:val="21"/>
                <w:highlight w:val="none"/>
                <w:lang w:val="en-US" w:eastAsia="zh-CN"/>
              </w:rPr>
            </w:pPr>
            <w:r>
              <w:rPr>
                <w:rFonts w:hint="eastAsia" w:ascii="Times New Roman" w:hAnsi="Times New Roman" w:eastAsia="宋体" w:cs="宋体"/>
                <w:color w:val="auto"/>
                <w:sz w:val="21"/>
                <w:szCs w:val="21"/>
                <w:highlight w:val="none"/>
                <w:lang w:val="en-US" w:eastAsia="zh-CN"/>
              </w:rPr>
              <w:t>6.同义词语：构成竞争性磋商采购文件组成部分的“通用合同条款”、“专用合同条款”、“技术标准和要求”和“工程量清单”等章节中出现的措辞“发包人”和“承包人”，在采购阶段应当分别按“采购人”和“供应商”进行理解。</w:t>
            </w:r>
          </w:p>
          <w:p w14:paraId="4B55D4D7">
            <w:pPr>
              <w:pStyle w:val="11"/>
              <w:keepNext w:val="0"/>
              <w:keepLines w:val="0"/>
              <w:pageBreakBefore w:val="0"/>
              <w:widowControl w:val="0"/>
              <w:kinsoku/>
              <w:wordWrap/>
              <w:overflowPunct/>
              <w:topLinePunct w:val="0"/>
              <w:bidi w:val="0"/>
              <w:adjustRightInd/>
              <w:spacing w:line="390" w:lineRule="exact"/>
              <w:ind w:firstLine="420" w:firstLineChars="200"/>
              <w:jc w:val="both"/>
              <w:rPr>
                <w:rFonts w:hint="eastAsia" w:ascii="Times New Roman" w:hAnsi="Times New Roman" w:eastAsia="宋体" w:cs="宋体"/>
                <w:color w:val="auto"/>
                <w:kern w:val="0"/>
                <w:sz w:val="21"/>
                <w:szCs w:val="21"/>
                <w:highlight w:val="none"/>
              </w:rPr>
            </w:pPr>
            <w:r>
              <w:rPr>
                <w:rFonts w:hint="eastAsia" w:ascii="Times New Roman" w:hAnsi="Times New Roman" w:eastAsia="宋体" w:cs="宋体"/>
                <w:color w:val="auto"/>
                <w:sz w:val="21"/>
                <w:szCs w:val="21"/>
                <w:highlight w:val="none"/>
              </w:rPr>
              <w:t>7.本竞争性磋商文件所称的</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以上</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以下</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以内</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届满</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，包括本数；所称的</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不满</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超过</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以外</w:t>
            </w:r>
            <w:r>
              <w:rPr>
                <w:rFonts w:hint="eastAsia" w:ascii="Times New Roman" w:hAnsi="Times New Roman" w:eastAsia="宋体" w:cs="宋体"/>
                <w:color w:val="auto"/>
                <w:sz w:val="21"/>
                <w:szCs w:val="21"/>
                <w:highlight w:val="none"/>
                <w:lang w:val="en-US" w:eastAsia="zh-CN"/>
              </w:rPr>
              <w:t>”</w:t>
            </w:r>
            <w:r>
              <w:rPr>
                <w:rFonts w:hint="eastAsia" w:ascii="Times New Roman" w:hAnsi="Times New Roman" w:eastAsia="宋体" w:cs="宋体"/>
                <w:color w:val="auto"/>
                <w:sz w:val="21"/>
                <w:szCs w:val="21"/>
                <w:highlight w:val="none"/>
              </w:rPr>
              <w:t>，不包括本数。</w:t>
            </w:r>
          </w:p>
        </w:tc>
      </w:tr>
    </w:tbl>
    <w:p w14:paraId="51E433EA">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Times New Roman" w:hAnsi="Times New Roman" w:eastAsia="宋体" w:cs="宋体"/>
          <w:b/>
          <w:bCs/>
          <w:color w:val="auto"/>
          <w:spacing w:val="0"/>
          <w:sz w:val="30"/>
          <w:szCs w:val="30"/>
          <w:highlight w:val="none"/>
        </w:rPr>
      </w:pPr>
      <w:r>
        <w:rPr>
          <w:rFonts w:ascii="Times New Roman" w:hAnsi="Times New Roman"/>
          <w:b w:val="0"/>
          <w:color w:val="auto"/>
          <w:highlight w:val="none"/>
        </w:rPr>
        <w:br w:type="page"/>
      </w:r>
      <w:bookmarkStart w:id="75" w:name="_Toc80886929"/>
      <w:bookmarkStart w:id="76" w:name="_Toc27094"/>
      <w:bookmarkStart w:id="77" w:name="_Toc30957"/>
      <w:bookmarkStart w:id="78" w:name="_Toc25106"/>
      <w:r>
        <w:rPr>
          <w:rFonts w:hint="eastAsia" w:ascii="Times New Roman" w:hAnsi="Times New Roman" w:eastAsia="宋体" w:cs="宋体"/>
          <w:b/>
          <w:bCs/>
          <w:color w:val="auto"/>
          <w:spacing w:val="0"/>
          <w:sz w:val="30"/>
          <w:szCs w:val="30"/>
          <w:highlight w:val="none"/>
          <w:lang w:val="en-US" w:eastAsia="zh-CN"/>
        </w:rPr>
        <w:t>第二节  供应商须知正文</w:t>
      </w:r>
      <w:bookmarkEnd w:id="75"/>
      <w:bookmarkEnd w:id="76"/>
      <w:bookmarkEnd w:id="77"/>
      <w:bookmarkEnd w:id="78"/>
    </w:p>
    <w:p w14:paraId="3E59932A">
      <w:pPr>
        <w:pStyle w:val="4"/>
        <w:keepNext/>
        <w:keepLines/>
        <w:pageBreakBefore w:val="0"/>
        <w:widowControl w:val="0"/>
        <w:kinsoku/>
        <w:wordWrap/>
        <w:overflowPunct/>
        <w:topLinePunct w:val="0"/>
        <w:autoSpaceDE/>
        <w:autoSpaceDN/>
        <w:bidi w:val="0"/>
        <w:adjustRightInd/>
        <w:snapToGrid/>
        <w:spacing w:before="0" w:after="0" w:line="360" w:lineRule="auto"/>
        <w:jc w:val="center"/>
        <w:textAlignment w:val="auto"/>
        <w:rPr>
          <w:rFonts w:hint="eastAsia" w:ascii="Times New Roman" w:hAnsi="Times New Roman" w:eastAsia="宋体" w:cs="宋体"/>
          <w:bCs w:val="0"/>
          <w:color w:val="auto"/>
          <w:spacing w:val="0"/>
          <w:sz w:val="24"/>
          <w:szCs w:val="24"/>
          <w:highlight w:val="none"/>
        </w:rPr>
      </w:pPr>
      <w:bookmarkStart w:id="79" w:name="_Toc6457"/>
      <w:bookmarkStart w:id="80" w:name="_Toc26491"/>
      <w:bookmarkStart w:id="81" w:name="_Toc26166"/>
      <w:bookmarkStart w:id="82" w:name="_Toc80886930"/>
      <w:r>
        <w:rPr>
          <w:rFonts w:hint="eastAsia" w:ascii="Times New Roman" w:hAnsi="Times New Roman" w:eastAsia="宋体" w:cs="宋体"/>
          <w:bCs w:val="0"/>
          <w:color w:val="auto"/>
          <w:spacing w:val="0"/>
          <w:sz w:val="24"/>
          <w:szCs w:val="24"/>
          <w:highlight w:val="none"/>
        </w:rPr>
        <w:t>一、总则</w:t>
      </w:r>
      <w:bookmarkEnd w:id="79"/>
      <w:bookmarkEnd w:id="80"/>
      <w:bookmarkEnd w:id="81"/>
      <w:bookmarkEnd w:id="82"/>
    </w:p>
    <w:p w14:paraId="1A24AAAA">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83" w:name="_Toc21204"/>
      <w:r>
        <w:rPr>
          <w:rFonts w:hint="eastAsia" w:ascii="Times New Roman" w:hAnsi="Times New Roman" w:eastAsia="宋体" w:cs="宋体"/>
          <w:b/>
          <w:bCs/>
          <w:color w:val="auto"/>
          <w:spacing w:val="0"/>
          <w:sz w:val="21"/>
          <w:szCs w:val="21"/>
          <w:highlight w:val="none"/>
        </w:rPr>
        <w:t>1.适用范围</w:t>
      </w:r>
      <w:bookmarkEnd w:id="83"/>
    </w:p>
    <w:p w14:paraId="01C90708">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1.1本项目采购人、采购代理机构、供应商、磋商小组的相关行为均受《中华人民共和国政府采购法》《中华人民共和国政府采购法实施条例》《政府采购竞争性磋商采购方式管理暂行办法》《财政部关于政府采购竞争性磋商采购方式管理暂行办法有关问题的补充通知》及本项目本级和上级财政部门政府采购有关规定的约束和保护。</w:t>
      </w:r>
    </w:p>
    <w:p w14:paraId="11C6E808">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1.2本竞争性磋商文件（以下简称磋商文件）适用于本项目的所有采购程序和环节（法律、法规另有规定的，从其规定）。</w:t>
      </w:r>
    </w:p>
    <w:p w14:paraId="2CFF8B70">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84" w:name="_Toc31489"/>
      <w:r>
        <w:rPr>
          <w:rFonts w:hint="eastAsia" w:ascii="Times New Roman" w:hAnsi="Times New Roman" w:eastAsia="宋体" w:cs="宋体"/>
          <w:b/>
          <w:bCs/>
          <w:color w:val="auto"/>
          <w:spacing w:val="0"/>
          <w:sz w:val="21"/>
          <w:szCs w:val="21"/>
          <w:highlight w:val="none"/>
        </w:rPr>
        <w:t>2.定义</w:t>
      </w:r>
      <w:bookmarkEnd w:id="84"/>
    </w:p>
    <w:p w14:paraId="7AF769B2">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2.1</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采购人</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是指依法进行政府采购的国家机关、事业单位、团体组织。</w:t>
      </w:r>
    </w:p>
    <w:p w14:paraId="09C8563B">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u w:val="single"/>
        </w:rPr>
      </w:pPr>
      <w:r>
        <w:rPr>
          <w:rFonts w:hint="eastAsia" w:ascii="Times New Roman" w:hAnsi="Times New Roman" w:eastAsia="宋体" w:cs="宋体"/>
          <w:color w:val="auto"/>
          <w:spacing w:val="0"/>
          <w:szCs w:val="21"/>
          <w:highlight w:val="none"/>
        </w:rPr>
        <w:t>2.2</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采购代理机构</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是指政府采购集中采购机构和集中采购机构以外的采购代理机构。</w:t>
      </w:r>
    </w:p>
    <w:p w14:paraId="7B568FFB">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2.3</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是指向采购人提供货物、工程或者服务的法人、其他组织或者自然人。</w:t>
      </w:r>
    </w:p>
    <w:p w14:paraId="2252CA3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2.4</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服务</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是指除货物和工程以外的其他政府采购对象。</w:t>
      </w:r>
    </w:p>
    <w:p w14:paraId="0A3858BD">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2.5</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竞标</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是指供应商按照本项目竞争性磋商公告规定的方式获取磋商文件、提交响应文件并希望获得标的的行为。</w:t>
      </w:r>
    </w:p>
    <w:p w14:paraId="36F5EA2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2.6</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响应文件</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是指：供应商根据本磋商文件要求，编制包含资格证明、报价文件、商务和技术文件等所有内容的文件。</w:t>
      </w:r>
    </w:p>
    <w:p w14:paraId="4D5D777A">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u w:val="single"/>
        </w:rPr>
      </w:pPr>
      <w:r>
        <w:rPr>
          <w:rFonts w:hint="eastAsia" w:ascii="Times New Roman" w:hAnsi="Times New Roman" w:eastAsia="宋体" w:cs="宋体"/>
          <w:b/>
          <w:bCs/>
          <w:color w:val="auto"/>
          <w:spacing w:val="0"/>
          <w:szCs w:val="21"/>
          <w:highlight w:val="none"/>
          <w:u w:val="single"/>
        </w:rPr>
        <w:t>2.7</w:t>
      </w:r>
      <w:r>
        <w:rPr>
          <w:rFonts w:hint="eastAsia" w:ascii="Times New Roman" w:hAnsi="Times New Roman" w:eastAsia="宋体" w:cs="宋体"/>
          <w:b/>
          <w:bCs/>
          <w:color w:val="auto"/>
          <w:spacing w:val="0"/>
          <w:szCs w:val="21"/>
          <w:highlight w:val="none"/>
          <w:u w:val="single"/>
          <w:lang w:eastAsia="zh-CN"/>
        </w:rPr>
        <w:t>“</w:t>
      </w:r>
      <w:r>
        <w:rPr>
          <w:rFonts w:hint="eastAsia" w:ascii="Times New Roman" w:hAnsi="Times New Roman" w:eastAsia="宋体" w:cs="宋体"/>
          <w:b/>
          <w:bCs/>
          <w:color w:val="auto"/>
          <w:spacing w:val="0"/>
          <w:szCs w:val="21"/>
          <w:highlight w:val="none"/>
          <w:u w:val="single"/>
        </w:rPr>
        <w:t>实质性要求</w:t>
      </w:r>
      <w:r>
        <w:rPr>
          <w:rFonts w:hint="eastAsia" w:ascii="Times New Roman" w:hAnsi="Times New Roman" w:eastAsia="宋体" w:cs="宋体"/>
          <w:b/>
          <w:bCs/>
          <w:color w:val="auto"/>
          <w:spacing w:val="0"/>
          <w:highlight w:val="none"/>
          <w:u w:val="single"/>
          <w:lang w:val="en-US" w:eastAsia="zh-CN"/>
        </w:rPr>
        <w:t>”</w:t>
      </w:r>
      <w:r>
        <w:rPr>
          <w:rFonts w:hint="eastAsia" w:ascii="Times New Roman" w:hAnsi="Times New Roman" w:eastAsia="宋体" w:cs="宋体"/>
          <w:b/>
          <w:bCs/>
          <w:color w:val="auto"/>
          <w:spacing w:val="0"/>
          <w:szCs w:val="21"/>
          <w:highlight w:val="none"/>
          <w:u w:val="single"/>
        </w:rPr>
        <w:t>是指磋商文件中已经指明不满足则响应文件按无效响应处理的条款，或者不能负偏离的条款，或者采购需求中带</w:t>
      </w:r>
      <w:r>
        <w:rPr>
          <w:rFonts w:hint="eastAsia" w:ascii="Times New Roman" w:hAnsi="Times New Roman" w:eastAsia="宋体" w:cs="宋体"/>
          <w:b/>
          <w:bCs/>
          <w:color w:val="auto"/>
          <w:spacing w:val="0"/>
          <w:szCs w:val="21"/>
          <w:highlight w:val="none"/>
          <w:u w:val="single"/>
          <w:lang w:eastAsia="zh-CN"/>
        </w:rPr>
        <w:t>“</w:t>
      </w:r>
      <w:r>
        <w:rPr>
          <w:rFonts w:hint="eastAsia" w:ascii="Times New Roman" w:hAnsi="Times New Roman" w:eastAsia="宋体" w:cs="宋体"/>
          <w:b/>
          <w:bCs/>
          <w:color w:val="auto"/>
          <w:spacing w:val="0"/>
          <w:szCs w:val="21"/>
          <w:highlight w:val="none"/>
          <w:u w:val="single"/>
        </w:rPr>
        <w:t>▲</w:t>
      </w:r>
      <w:r>
        <w:rPr>
          <w:rFonts w:hint="eastAsia" w:ascii="Times New Roman" w:hAnsi="Times New Roman" w:eastAsia="宋体" w:cs="宋体"/>
          <w:b/>
          <w:bCs/>
          <w:color w:val="auto"/>
          <w:spacing w:val="0"/>
          <w:szCs w:val="21"/>
          <w:highlight w:val="none"/>
          <w:u w:val="single"/>
          <w:lang w:eastAsia="zh-CN"/>
        </w:rPr>
        <w:t>”</w:t>
      </w:r>
      <w:r>
        <w:rPr>
          <w:rFonts w:hint="eastAsia" w:ascii="Times New Roman" w:hAnsi="Times New Roman" w:eastAsia="宋体" w:cs="宋体"/>
          <w:b/>
          <w:bCs/>
          <w:color w:val="auto"/>
          <w:spacing w:val="0"/>
          <w:szCs w:val="21"/>
          <w:highlight w:val="none"/>
          <w:u w:val="single"/>
        </w:rPr>
        <w:t>的条款。</w:t>
      </w:r>
    </w:p>
    <w:p w14:paraId="17DCB04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2.8</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正偏离</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，是指响应文件对磋商文件</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采购需求</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中有关条款作出的响应优于条款要求并有利于采购人的情形。</w:t>
      </w:r>
    </w:p>
    <w:p w14:paraId="19173029">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2.9</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负偏离</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，是指响应文件对磋商文件</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采购需求</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中有关条款作出的响应不满足条款要求，导致采购人要求不能得到满足的情形。</w:t>
      </w:r>
    </w:p>
    <w:p w14:paraId="219BE85C">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2.10</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允许负偏离的条款</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是指采购需求中的不属于</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实质性要求</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的条款。</w:t>
      </w:r>
    </w:p>
    <w:p w14:paraId="03289965">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2.11</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书面形式</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是指合同书、信件和数据电文（包括电报、电传、传真、电子数据交换和电子邮件）等可以有形地表现所载内容的形式。</w:t>
      </w:r>
    </w:p>
    <w:p w14:paraId="5353F75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2.12</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首次报价</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是指供应商提交的首次响应文件中的报价。</w:t>
      </w:r>
    </w:p>
    <w:p w14:paraId="2510752F">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2.13</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评审报价</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是指供应商提交的最后报价并经修正（如有）和政策功能价格扣除（如有）后的价格。</w:t>
      </w:r>
    </w:p>
    <w:p w14:paraId="3AF46DC2">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85" w:name="_Toc27905"/>
      <w:r>
        <w:rPr>
          <w:rFonts w:hint="eastAsia" w:ascii="Times New Roman" w:hAnsi="Times New Roman" w:eastAsia="宋体" w:cs="宋体"/>
          <w:b/>
          <w:bCs/>
          <w:color w:val="auto"/>
          <w:spacing w:val="0"/>
          <w:sz w:val="21"/>
          <w:szCs w:val="21"/>
          <w:highlight w:val="none"/>
        </w:rPr>
        <w:t>3.供应商的资格条件</w:t>
      </w:r>
      <w:bookmarkEnd w:id="85"/>
    </w:p>
    <w:p w14:paraId="6EF4C55E">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供应商的资格条件详见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highlight w:val="none"/>
          <w:lang w:val="en-US" w:eastAsia="zh-CN"/>
        </w:rPr>
        <w:t>”</w:t>
      </w:r>
      <w:r>
        <w:rPr>
          <w:rFonts w:hint="eastAsia" w:ascii="Times New Roman" w:hAnsi="Times New Roman" w:eastAsia="宋体" w:cs="宋体"/>
          <w:color w:val="auto"/>
          <w:spacing w:val="0"/>
          <w:szCs w:val="21"/>
          <w:highlight w:val="none"/>
        </w:rPr>
        <w:t>。</w:t>
      </w:r>
    </w:p>
    <w:p w14:paraId="4A3D117B">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86" w:name="_Toc7134"/>
      <w:r>
        <w:rPr>
          <w:rFonts w:hint="eastAsia" w:ascii="Times New Roman" w:hAnsi="Times New Roman" w:eastAsia="宋体" w:cs="宋体"/>
          <w:b/>
          <w:bCs/>
          <w:color w:val="auto"/>
          <w:spacing w:val="0"/>
          <w:sz w:val="21"/>
          <w:szCs w:val="21"/>
          <w:highlight w:val="none"/>
        </w:rPr>
        <w:t>4.磋商费用</w:t>
      </w:r>
      <w:bookmarkEnd w:id="86"/>
    </w:p>
    <w:p w14:paraId="125CB0C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供应商应承担参与本次采购活动有关的所有费用，包括但不限于勘查现场、编制和提交响应文件、参加磋商与应答、签订合同等，不论竞标结果如何，均应自行承担。</w:t>
      </w:r>
    </w:p>
    <w:p w14:paraId="216A4AF1">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87" w:name="_Toc29535"/>
      <w:r>
        <w:rPr>
          <w:rFonts w:hint="eastAsia" w:ascii="Times New Roman" w:hAnsi="Times New Roman" w:eastAsia="宋体" w:cs="宋体"/>
          <w:b/>
          <w:bCs/>
          <w:color w:val="auto"/>
          <w:spacing w:val="0"/>
          <w:sz w:val="21"/>
          <w:szCs w:val="21"/>
          <w:highlight w:val="none"/>
        </w:rPr>
        <w:t>5.联合体竞标</w:t>
      </w:r>
      <w:bookmarkEnd w:id="87"/>
    </w:p>
    <w:p w14:paraId="1B35996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5.1本项目是否接受联合体竞标，详见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079F439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5.2</w:t>
      </w:r>
      <w:r>
        <w:rPr>
          <w:rFonts w:hint="eastAsia" w:ascii="Times New Roman" w:hAnsi="Times New Roman" w:eastAsia="宋体" w:cs="宋体"/>
          <w:color w:val="auto"/>
          <w:spacing w:val="0"/>
          <w:highlight w:val="none"/>
        </w:rPr>
        <w:t>如接受联合体竞标，</w:t>
      </w:r>
      <w:r>
        <w:rPr>
          <w:rFonts w:hint="eastAsia" w:ascii="Times New Roman" w:hAnsi="Times New Roman" w:eastAsia="宋体" w:cs="宋体"/>
          <w:color w:val="auto"/>
          <w:spacing w:val="0"/>
          <w:szCs w:val="21"/>
          <w:highlight w:val="none"/>
        </w:rPr>
        <w:t>联合体竞标要求详见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4933224E">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bCs/>
          <w:color w:val="auto"/>
          <w:spacing w:val="0"/>
          <w:szCs w:val="21"/>
          <w:highlight w:val="none"/>
        </w:rPr>
      </w:pPr>
      <w:r>
        <w:rPr>
          <w:rFonts w:hint="eastAsia" w:ascii="Times New Roman" w:hAnsi="Times New Roman" w:eastAsia="宋体" w:cs="宋体"/>
          <w:color w:val="auto"/>
          <w:spacing w:val="0"/>
          <w:szCs w:val="21"/>
          <w:highlight w:val="none"/>
        </w:rPr>
        <w:t xml:space="preserve">5.3根据《政府采购促进中小企业发展管理办法》（财库[2020]46号）第九条及《广西壮族自治区财政厅关于贯彻落实政府采购支持中小企业发展政策的通知》（桂财采〔2022〕31号）规定，接受大中型企业与小微企业组成联合体的采购项目，对于联合协议约定小微企业的合同份额占到合同总金额 30%以上的，采购人、采购代理机构应当对联合体的报价给予 </w:t>
      </w:r>
      <w:r>
        <w:rPr>
          <w:rFonts w:hint="eastAsia" w:ascii="Times New Roman" w:hAnsi="Times New Roman" w:eastAsia="宋体" w:cs="宋体"/>
          <w:color w:val="auto"/>
          <w:spacing w:val="0"/>
          <w:szCs w:val="21"/>
          <w:highlight w:val="none"/>
          <w:lang w:val="en-US" w:eastAsia="zh-CN"/>
        </w:rPr>
        <w:t>1</w:t>
      </w:r>
      <w:r>
        <w:rPr>
          <w:rFonts w:hint="eastAsia" w:ascii="Times New Roman" w:hAnsi="Times New Roman" w:eastAsia="宋体" w:cs="宋体"/>
          <w:color w:val="auto"/>
          <w:spacing w:val="0"/>
          <w:szCs w:val="21"/>
          <w:highlight w:val="none"/>
        </w:rPr>
        <w:t>%-</w:t>
      </w:r>
      <w:r>
        <w:rPr>
          <w:rFonts w:hint="eastAsia" w:ascii="Times New Roman" w:hAnsi="Times New Roman" w:eastAsia="宋体" w:cs="宋体"/>
          <w:color w:val="auto"/>
          <w:spacing w:val="0"/>
          <w:szCs w:val="21"/>
          <w:highlight w:val="none"/>
          <w:lang w:val="en-US" w:eastAsia="zh-CN"/>
        </w:rPr>
        <w:t>2</w:t>
      </w:r>
      <w:r>
        <w:rPr>
          <w:rFonts w:hint="eastAsia" w:ascii="Times New Roman" w:hAnsi="Times New Roman" w:eastAsia="宋体" w:cs="宋体"/>
          <w:color w:val="auto"/>
          <w:spacing w:val="0"/>
          <w:szCs w:val="21"/>
          <w:highlight w:val="none"/>
        </w:rPr>
        <w:t>%的扣除，用扣除后的价格参加评审。组成联合体的小微企业与联合体内其他企业、分包企业之间存在直接控股、管理关系的，不享受价格扣除优惠政策。</w:t>
      </w:r>
    </w:p>
    <w:p w14:paraId="3E235CF9">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88" w:name="_Toc10368"/>
      <w:r>
        <w:rPr>
          <w:rFonts w:hint="eastAsia" w:ascii="Times New Roman" w:hAnsi="Times New Roman" w:eastAsia="宋体" w:cs="宋体"/>
          <w:b/>
          <w:bCs/>
          <w:color w:val="auto"/>
          <w:spacing w:val="0"/>
          <w:sz w:val="21"/>
          <w:szCs w:val="21"/>
          <w:highlight w:val="none"/>
        </w:rPr>
        <w:t>6.转包与分包</w:t>
      </w:r>
      <w:bookmarkEnd w:id="88"/>
    </w:p>
    <w:p w14:paraId="7256B5BB">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6.1本项目不允许转包。</w:t>
      </w:r>
    </w:p>
    <w:p w14:paraId="39464DB2">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6.2本项目是否允许分包详见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，本项目不允许违法分包。</w:t>
      </w:r>
    </w:p>
    <w:p w14:paraId="57CA652F">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6.3根据《政府采购促进中小企业发展管理办法》（财库[2020]46号）第九条及《广西壮族自治区财政厅关于贯彻落实政府采购支持中小企业发展政策的通知》（桂财采〔2022〕31号）规定，允许大中型企业向一家或者多家小微企业分包的采购项目，对于分包意向协议约定小微企业的合同份额占到合同总金额 30%以上的，采购人、采购代理机构应当对大中型企业的报价给予 </w:t>
      </w:r>
      <w:r>
        <w:rPr>
          <w:rFonts w:hint="eastAsia" w:ascii="Times New Roman" w:hAnsi="Times New Roman" w:eastAsia="宋体" w:cs="宋体"/>
          <w:color w:val="auto"/>
          <w:spacing w:val="0"/>
          <w:szCs w:val="21"/>
          <w:highlight w:val="none"/>
          <w:lang w:val="en-US" w:eastAsia="zh-CN"/>
        </w:rPr>
        <w:t>1</w:t>
      </w:r>
      <w:r>
        <w:rPr>
          <w:rFonts w:hint="eastAsia" w:ascii="Times New Roman" w:hAnsi="Times New Roman" w:eastAsia="宋体" w:cs="宋体"/>
          <w:color w:val="auto"/>
          <w:spacing w:val="0"/>
          <w:szCs w:val="21"/>
          <w:highlight w:val="none"/>
        </w:rPr>
        <w:t>%-</w:t>
      </w:r>
      <w:r>
        <w:rPr>
          <w:rFonts w:hint="eastAsia" w:ascii="Times New Roman" w:hAnsi="Times New Roman" w:eastAsia="宋体" w:cs="宋体"/>
          <w:color w:val="auto"/>
          <w:spacing w:val="0"/>
          <w:szCs w:val="21"/>
          <w:highlight w:val="none"/>
          <w:lang w:val="en-US" w:eastAsia="zh-CN"/>
        </w:rPr>
        <w:t>2</w:t>
      </w:r>
      <w:r>
        <w:rPr>
          <w:rFonts w:hint="eastAsia" w:ascii="Times New Roman" w:hAnsi="Times New Roman" w:eastAsia="宋体" w:cs="宋体"/>
          <w:color w:val="auto"/>
          <w:spacing w:val="0"/>
          <w:szCs w:val="21"/>
          <w:highlight w:val="none"/>
        </w:rPr>
        <w:t>%的扣除，用扣除后的价格参加评审。接受分包的小微企业与分包企业之间存在直接控股、管理关系的，不享受价格扣除优惠政策</w:t>
      </w:r>
      <w:r>
        <w:rPr>
          <w:rFonts w:hint="eastAsia" w:ascii="Times New Roman" w:hAnsi="Times New Roman" w:eastAsia="宋体" w:cs="宋体"/>
          <w:bCs/>
          <w:color w:val="auto"/>
          <w:spacing w:val="0"/>
          <w:szCs w:val="21"/>
          <w:highlight w:val="none"/>
        </w:rPr>
        <w:t>。</w:t>
      </w:r>
    </w:p>
    <w:p w14:paraId="5AF1F5DF">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89" w:name="_Toc24160"/>
      <w:bookmarkStart w:id="90" w:name="_Toc254970673"/>
      <w:bookmarkStart w:id="91" w:name="_Toc254970532"/>
      <w:r>
        <w:rPr>
          <w:rFonts w:hint="eastAsia" w:ascii="Times New Roman" w:hAnsi="Times New Roman" w:eastAsia="宋体" w:cs="宋体"/>
          <w:b/>
          <w:bCs/>
          <w:color w:val="auto"/>
          <w:spacing w:val="0"/>
          <w:sz w:val="21"/>
          <w:szCs w:val="21"/>
          <w:highlight w:val="none"/>
        </w:rPr>
        <w:t>7.特别说明</w:t>
      </w:r>
      <w:bookmarkEnd w:id="89"/>
      <w:bookmarkEnd w:id="90"/>
      <w:bookmarkEnd w:id="91"/>
    </w:p>
    <w:p w14:paraId="7DBA9BD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bookmarkStart w:id="92" w:name="_8.1提供相同品牌产品且通过资格审查、符合性审查的不同投标人参加同一合"/>
      <w:bookmarkEnd w:id="92"/>
      <w:r>
        <w:rPr>
          <w:rFonts w:hint="eastAsia" w:ascii="Times New Roman" w:hAnsi="Times New Roman" w:eastAsia="宋体" w:cs="宋体"/>
          <w:color w:val="auto"/>
          <w:spacing w:val="0"/>
          <w:szCs w:val="21"/>
          <w:highlight w:val="none"/>
        </w:rPr>
        <w:t>7.1</w:t>
      </w:r>
      <w:bookmarkStart w:id="93" w:name="_Hlk65832145"/>
      <w:r>
        <w:rPr>
          <w:rFonts w:hint="eastAsia" w:ascii="Times New Roman" w:hAnsi="Times New Roman" w:eastAsia="宋体" w:cs="宋体"/>
          <w:color w:val="auto"/>
          <w:spacing w:val="0"/>
          <w:szCs w:val="21"/>
          <w:highlight w:val="none"/>
        </w:rPr>
        <w:t>如果本磋商文件要求提供供应商或制造商的资格、信誉、荣誉、业绩与企业认证等材料的，资格、信誉、荣誉、业绩与企业认证等必须为供应商或者制造商所拥有或自身获得 。</w:t>
      </w:r>
    </w:p>
    <w:bookmarkEnd w:id="93"/>
    <w:p w14:paraId="44AAC0D9">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7.2供应商应仔细阅读磋商文件的所有内容，按照磋商文件的要求提交响应文件，并对所提供的全部资料的真实性承担法律责任。</w:t>
      </w:r>
    </w:p>
    <w:p w14:paraId="1D4D4338">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7.3供应商在竞标活动中提供任何疑似虚假材料，将报监管部门查处；签订合同后发现的，成交供应商须依照《中华人民共和国消费者权益保护法》规定赔偿采购人，且民事赔偿并不免除违法供应商的行政与刑事责任。</w:t>
      </w:r>
    </w:p>
    <w:p w14:paraId="544F6B87">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7.4在政府采购活动中，采购人员及相关人员与供应商有下列利害关系之一的，应当回避：</w:t>
      </w:r>
    </w:p>
    <w:p w14:paraId="6F5AD102">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（1）参加采购活动前3年内与供应商存在劳动关系；</w:t>
      </w:r>
    </w:p>
    <w:p w14:paraId="17D2357D">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（2）参加采购活动前3年内担任供应商的董事、监事；</w:t>
      </w:r>
    </w:p>
    <w:p w14:paraId="53AF4589">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（3）参加采购活动前3年内是供应商的控股股东或者实际控制人；</w:t>
      </w:r>
    </w:p>
    <w:p w14:paraId="490D4E69">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（4）与供应商的法定代表人或者负责人有夫妻、直系血亲、三代以内旁系血亲或者近姻亲关系；</w:t>
      </w:r>
    </w:p>
    <w:p w14:paraId="296F524A">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（5）与供应商有其他可能影响政府采购活动公平、公正进行的关系。</w:t>
      </w:r>
    </w:p>
    <w:p w14:paraId="6E5DB929">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供应商认为采购人员及相关人员与其他供应商有利害关系的，可以向采购人或者采购代理机构书面提出回避申请，并说明理由。采购人或者采购代理机构应当及时询问被申请回避人员，有利害关系的被申请回避人员应当回避。</w:t>
      </w:r>
    </w:p>
    <w:p w14:paraId="6D471EC2">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7.5有下列情形之一的视为供应商相互串通竞标，响应文件将被视为无效：</w:t>
      </w:r>
    </w:p>
    <w:p w14:paraId="4F4E2E0F">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（1）不同供应商的响应文件由同一单位或者个人编制；或者不同供应商报名的IP地址一致的；</w:t>
      </w:r>
    </w:p>
    <w:p w14:paraId="15CB3D56">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（2）不同供应商委托同一单位或者个人办理竞标事宜；</w:t>
      </w:r>
    </w:p>
    <w:p w14:paraId="2AE47987">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（3）不同的供应商的响应文件载明的项目管理员为同一个人；</w:t>
      </w:r>
    </w:p>
    <w:p w14:paraId="416F46B3">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（4）不同供应商的响应文件异常一致或者报价呈规律性差异；</w:t>
      </w:r>
    </w:p>
    <w:p w14:paraId="641AA1B5">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（5）不同供应商的响应文件相互混装；</w:t>
      </w:r>
    </w:p>
    <w:p w14:paraId="0EAF0FB4">
      <w:pPr>
        <w:pageBreakBefore w:val="0"/>
        <w:widowControl w:val="0"/>
        <w:tabs>
          <w:tab w:val="left" w:pos="6931"/>
        </w:tabs>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（6）不同供应商的磋商保证金从同一单位或者个人账户转出。</w:t>
      </w:r>
      <w:r>
        <w:rPr>
          <w:rFonts w:hint="eastAsia" w:ascii="Times New Roman" w:hAnsi="Times New Roman" w:eastAsia="宋体" w:cs="宋体"/>
          <w:b/>
          <w:bCs/>
          <w:color w:val="auto"/>
          <w:spacing w:val="0"/>
          <w:szCs w:val="21"/>
          <w:highlight w:val="none"/>
        </w:rPr>
        <w:tab/>
      </w:r>
    </w:p>
    <w:p w14:paraId="6FE158E5">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7.6供应商有下列情形之一的，属于恶意串通行为，将报同级监督管理部门：</w:t>
      </w:r>
    </w:p>
    <w:p w14:paraId="1F8E2057">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（1）供应商直接或者间接从采购人或者采购代理机构处获得其他供应商的相关信息并修改其响应文件；</w:t>
      </w:r>
    </w:p>
    <w:p w14:paraId="7D7EFE9F">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（2）供应商按照采购人或者采购代理机构的授意撤换、修改响应文件；</w:t>
      </w:r>
    </w:p>
    <w:p w14:paraId="3815F7B7">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（3）供应商之间协商报价、技术方案等响应文件的实质性内容；</w:t>
      </w:r>
    </w:p>
    <w:p w14:paraId="7ABC932F">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（4）属于同一集团、协会、商会等组织成员的供应商按照该组织要求协同参加政府采购活动；</w:t>
      </w:r>
    </w:p>
    <w:p w14:paraId="5683732D">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（5）供应商之间事先约定一致抬高或者压低报价，或者在政府采购活动中事先约定轮流以高价位或者低价位成交，或者事先约定由某一特定供应商成交，然后再参加竞标；</w:t>
      </w:r>
    </w:p>
    <w:p w14:paraId="3532F7B3">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（6）供应商之间商定部分供应商放弃参加政府采购活动或者放弃成交；</w:t>
      </w:r>
    </w:p>
    <w:p w14:paraId="1F2A7052">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（7）供应商与采购人或者采购代理机构之间、供应商相互之间，为谋求特定供应商成交或者排斥其他供应商的其他串通行为。</w:t>
      </w:r>
    </w:p>
    <w:p w14:paraId="627B7321">
      <w:pPr>
        <w:pStyle w:val="4"/>
        <w:keepNext/>
        <w:keepLines/>
        <w:pageBreakBefore w:val="0"/>
        <w:widowControl w:val="0"/>
        <w:kinsoku/>
        <w:wordWrap/>
        <w:overflowPunct/>
        <w:topLinePunct w:val="0"/>
        <w:autoSpaceDE/>
        <w:autoSpaceDN/>
        <w:bidi w:val="0"/>
        <w:adjustRightInd/>
        <w:snapToGrid/>
        <w:spacing w:before="0" w:beforeLines="50" w:after="0" w:line="360" w:lineRule="auto"/>
        <w:jc w:val="center"/>
        <w:textAlignment w:val="auto"/>
        <w:rPr>
          <w:rFonts w:hint="eastAsia" w:ascii="Times New Roman" w:hAnsi="Times New Roman" w:eastAsia="宋体" w:cs="宋体"/>
          <w:bCs w:val="0"/>
          <w:color w:val="auto"/>
          <w:spacing w:val="0"/>
          <w:sz w:val="24"/>
          <w:szCs w:val="24"/>
          <w:highlight w:val="none"/>
        </w:rPr>
      </w:pPr>
      <w:bookmarkStart w:id="94" w:name="_Toc25702"/>
      <w:bookmarkStart w:id="95" w:name="_Toc254970675"/>
      <w:bookmarkStart w:id="96" w:name="_Toc254970534"/>
      <w:bookmarkStart w:id="97" w:name="_Toc80886931"/>
      <w:bookmarkStart w:id="98" w:name="_Toc27583"/>
      <w:bookmarkStart w:id="99" w:name="_Toc12713"/>
      <w:r>
        <w:rPr>
          <w:rFonts w:hint="eastAsia" w:ascii="Times New Roman" w:hAnsi="Times New Roman" w:eastAsia="宋体" w:cs="宋体"/>
          <w:bCs w:val="0"/>
          <w:color w:val="auto"/>
          <w:spacing w:val="0"/>
          <w:sz w:val="24"/>
          <w:szCs w:val="24"/>
          <w:highlight w:val="none"/>
        </w:rPr>
        <w:t>二、磋商文件</w:t>
      </w:r>
      <w:bookmarkEnd w:id="94"/>
      <w:bookmarkEnd w:id="95"/>
      <w:bookmarkEnd w:id="96"/>
      <w:bookmarkEnd w:id="97"/>
      <w:bookmarkEnd w:id="98"/>
      <w:bookmarkEnd w:id="99"/>
    </w:p>
    <w:p w14:paraId="1AA45CA1">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00" w:name="_Toc9490"/>
      <w:r>
        <w:rPr>
          <w:rFonts w:hint="eastAsia" w:ascii="Times New Roman" w:hAnsi="Times New Roman" w:eastAsia="宋体" w:cs="宋体"/>
          <w:b/>
          <w:bCs/>
          <w:color w:val="auto"/>
          <w:spacing w:val="0"/>
          <w:sz w:val="21"/>
          <w:szCs w:val="21"/>
          <w:highlight w:val="none"/>
        </w:rPr>
        <w:t>8.磋商文件的构成</w:t>
      </w:r>
      <w:bookmarkEnd w:id="100"/>
    </w:p>
    <w:p w14:paraId="68778969">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第一章 竞争性磋商公告；</w:t>
      </w:r>
    </w:p>
    <w:p w14:paraId="3BEC16E7">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第二章 采购需求；</w:t>
      </w:r>
    </w:p>
    <w:p w14:paraId="287AE23F">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第三章 供应商须知；</w:t>
      </w:r>
    </w:p>
    <w:p w14:paraId="36C74414">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第四章 评审程序、评审方法和评审标准；</w:t>
      </w:r>
    </w:p>
    <w:p w14:paraId="51234478">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第五章 响应文件格式；</w:t>
      </w:r>
    </w:p>
    <w:p w14:paraId="3E4B88B3">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第六章 合同文本；</w:t>
      </w:r>
    </w:p>
    <w:p w14:paraId="4D372412">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lang w:eastAsia="zh-CN"/>
        </w:rPr>
      </w:pPr>
      <w:r>
        <w:rPr>
          <w:rFonts w:hint="eastAsia" w:ascii="Times New Roman" w:hAnsi="Times New Roman" w:eastAsia="宋体" w:cs="宋体"/>
          <w:color w:val="auto"/>
          <w:spacing w:val="0"/>
          <w:szCs w:val="21"/>
          <w:highlight w:val="none"/>
        </w:rPr>
        <w:t>第七章 工程量清单、图纸</w:t>
      </w:r>
      <w:r>
        <w:rPr>
          <w:rFonts w:hint="eastAsia" w:ascii="Times New Roman" w:hAnsi="Times New Roman" w:eastAsia="宋体" w:cs="宋体"/>
          <w:color w:val="auto"/>
          <w:spacing w:val="0"/>
          <w:szCs w:val="21"/>
          <w:highlight w:val="none"/>
          <w:lang w:eastAsia="zh-CN"/>
        </w:rPr>
        <w:t>；</w:t>
      </w:r>
    </w:p>
    <w:p w14:paraId="612F53CA">
      <w:pPr>
        <w:pageBreakBefore w:val="0"/>
        <w:widowControl w:val="0"/>
        <w:kinsoku/>
        <w:wordWrap/>
        <w:overflowPunct/>
        <w:topLinePunct w:val="0"/>
        <w:autoSpaceDE/>
        <w:autoSpaceDN/>
        <w:bidi w:val="0"/>
        <w:spacing w:line="360" w:lineRule="auto"/>
        <w:ind w:firstLine="420" w:firstLineChars="200"/>
        <w:jc w:val="left"/>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第八章 质疑、投诉材料格式。</w:t>
      </w:r>
    </w:p>
    <w:p w14:paraId="30C696E8">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01" w:name="_Toc19913"/>
      <w:r>
        <w:rPr>
          <w:rFonts w:hint="eastAsia" w:ascii="Times New Roman" w:hAnsi="Times New Roman" w:eastAsia="宋体" w:cs="宋体"/>
          <w:b/>
          <w:bCs/>
          <w:color w:val="auto"/>
          <w:spacing w:val="0"/>
          <w:sz w:val="21"/>
          <w:szCs w:val="21"/>
          <w:highlight w:val="none"/>
        </w:rPr>
        <w:t>9.供应商的询问</w:t>
      </w:r>
      <w:bookmarkEnd w:id="101"/>
    </w:p>
    <w:p w14:paraId="69A89A1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供应商应认真阅读磋商文件的采购需求，如供应商对磋商文件有疑问的，如要求采购人作出澄清或者修改的，供应商尽应在提交首次响应文件截止之日前，以书面形式向采购人、采购代理机构提出。</w:t>
      </w:r>
    </w:p>
    <w:p w14:paraId="49F0DD24">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02" w:name="_Toc2452"/>
      <w:r>
        <w:rPr>
          <w:rFonts w:hint="eastAsia" w:ascii="Times New Roman" w:hAnsi="Times New Roman" w:eastAsia="宋体" w:cs="宋体"/>
          <w:b/>
          <w:bCs/>
          <w:color w:val="auto"/>
          <w:spacing w:val="0"/>
          <w:sz w:val="21"/>
          <w:szCs w:val="21"/>
          <w:highlight w:val="none"/>
        </w:rPr>
        <w:t>10.磋商文件的澄清和修改</w:t>
      </w:r>
      <w:bookmarkEnd w:id="102"/>
    </w:p>
    <w:p w14:paraId="4A57CC5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10.1已获取磋商文件的潜在供应商，若有问题需要澄清，应于应标截止时间前，以书面形式向采购代理机构提出，采购代理机构与采购人研究后，对认为有必要回答的问题，按照本章10.3的内容处理。</w:t>
      </w:r>
    </w:p>
    <w:p w14:paraId="03EF11D0">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color w:val="auto"/>
          <w:spacing w:val="0"/>
          <w:szCs w:val="21"/>
          <w:highlight w:val="none"/>
        </w:rPr>
      </w:pPr>
      <w:r>
        <w:rPr>
          <w:rFonts w:hint="eastAsia" w:ascii="Times New Roman" w:hAnsi="Times New Roman" w:eastAsia="宋体" w:cs="宋体"/>
          <w:b/>
          <w:color w:val="auto"/>
          <w:spacing w:val="0"/>
          <w:szCs w:val="21"/>
          <w:highlight w:val="none"/>
        </w:rPr>
        <w:t>10.2采购人或者采购代理机构可以对已发出的磋商文件进行必要的澄清或者修改，但不得改变采购标的和资格条件。澄清或者修改应当在原公告发布媒体上发布澄清公告。澄清或者修改的内容为磋商文件的组成部分。</w:t>
      </w:r>
    </w:p>
    <w:p w14:paraId="323F136F">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10.3提交首次响应文件截止之日前，采购人、采购代理机构或者磋商小组可以对已发出的磋商文件进行必要的澄清或者修改，澄清或者修改的内容作为磋商文件的组成部分。澄清或者修改的内容可能影响响应文件编制的，采购人、采购代理机构或者磋商小组在提交首次响应文件截止之日5日前，以书面形式（目前为网上公告和系统短信等形式）通知所有获取磋商文件的供应商，不足5日的，应当顺延提交首次响应文件截止时间。澄清或者更正公告在竞争性磋商公告发布媒体上发布，一经发布，视作已以书面形式通知所有获取竞争性磋商文件的潜在供应商，不再另行通知，所有潜在供应商应密切关注竞争性磋商公告发布媒体，因未能及时获知，由此产生的后果均应自行承担。</w:t>
      </w:r>
    </w:p>
    <w:p w14:paraId="447F3E20">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10.4</w:t>
      </w:r>
      <w:r>
        <w:rPr>
          <w:rFonts w:hint="eastAsia" w:ascii="Times New Roman" w:hAnsi="Times New Roman" w:eastAsia="宋体" w:cs="宋体"/>
          <w:color w:val="auto"/>
          <w:spacing w:val="0"/>
          <w:highlight w:val="none"/>
          <w:shd w:val="clear" w:color="auto" w:fill="FFFFFF"/>
        </w:rPr>
        <w:t>采购信息更正公告的内容应当包括采购人和采购代理机构名称、地址、联系方式，原公告的采购项目名称及首次公告日期，更正事项、内容及日期，采购项目联系人和电话。</w:t>
      </w:r>
    </w:p>
    <w:p w14:paraId="458114D4">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10.5  采购人和采购代理机构可以视采购具体情况，变更提交首次响应文件截止时间和竞谈时间，将变更时间将在竞争性磋商公告中</w:t>
      </w:r>
      <w:r>
        <w:rPr>
          <w:rFonts w:hint="eastAsia" w:ascii="Times New Roman" w:hAnsi="Times New Roman" w:eastAsia="宋体" w:cs="宋体"/>
          <w:color w:val="auto"/>
          <w:spacing w:val="0"/>
          <w:highlight w:val="none"/>
          <w:lang w:eastAsia="zh-CN"/>
        </w:rPr>
        <w:t>“</w:t>
      </w:r>
      <w:r>
        <w:rPr>
          <w:rFonts w:hint="eastAsia" w:ascii="Times New Roman" w:hAnsi="Times New Roman" w:eastAsia="宋体" w:cs="宋体"/>
          <w:color w:val="auto"/>
          <w:spacing w:val="0"/>
          <w:highlight w:val="none"/>
        </w:rPr>
        <w:t>七、其他补充事宜2.网上查询地址</w:t>
      </w:r>
      <w:r>
        <w:rPr>
          <w:rFonts w:hint="eastAsia" w:ascii="Times New Roman" w:hAnsi="Times New Roman" w:eastAsia="宋体" w:cs="宋体"/>
          <w:color w:val="auto"/>
          <w:spacing w:val="0"/>
          <w:highlight w:val="none"/>
          <w:lang w:eastAsia="zh-CN"/>
        </w:rPr>
        <w:t>”</w:t>
      </w:r>
      <w:r>
        <w:rPr>
          <w:rFonts w:hint="eastAsia" w:ascii="Times New Roman" w:hAnsi="Times New Roman" w:eastAsia="宋体" w:cs="宋体"/>
          <w:color w:val="auto"/>
          <w:spacing w:val="0"/>
          <w:highlight w:val="none"/>
        </w:rPr>
        <w:t>规定的政府采购信息发布媒体上发布更正公告。</w:t>
      </w:r>
    </w:p>
    <w:p w14:paraId="65AC8954">
      <w:pPr>
        <w:pageBreakBefore w:val="0"/>
        <w:widowControl w:val="0"/>
        <w:kinsoku/>
        <w:wordWrap/>
        <w:overflowPunct/>
        <w:topLinePunct w:val="0"/>
        <w:autoSpaceDE/>
        <w:autoSpaceDN/>
        <w:bidi w:val="0"/>
        <w:spacing w:line="360" w:lineRule="auto"/>
        <w:ind w:firstLine="400" w:firstLineChars="200"/>
        <w:rPr>
          <w:rFonts w:hint="eastAsia" w:ascii="Times New Roman" w:hAnsi="Times New Roman" w:eastAsia="宋体" w:cs="宋体"/>
          <w:color w:val="auto"/>
          <w:spacing w:val="0"/>
          <w:kern w:val="0"/>
          <w:sz w:val="20"/>
          <w:szCs w:val="21"/>
          <w:highlight w:val="none"/>
        </w:rPr>
      </w:pPr>
      <w:r>
        <w:rPr>
          <w:rFonts w:hint="eastAsia" w:ascii="Times New Roman" w:hAnsi="Times New Roman" w:eastAsia="宋体" w:cs="宋体"/>
          <w:color w:val="auto"/>
          <w:spacing w:val="0"/>
          <w:kern w:val="0"/>
          <w:sz w:val="20"/>
          <w:szCs w:val="21"/>
          <w:highlight w:val="none"/>
        </w:rPr>
        <w:t>▲</w:t>
      </w:r>
      <w:r>
        <w:rPr>
          <w:rFonts w:hint="eastAsia" w:ascii="Times New Roman" w:hAnsi="Times New Roman" w:eastAsia="宋体" w:cs="宋体"/>
          <w:b/>
          <w:color w:val="auto"/>
          <w:spacing w:val="0"/>
          <w:kern w:val="0"/>
          <w:sz w:val="20"/>
          <w:szCs w:val="21"/>
          <w:highlight w:val="none"/>
        </w:rPr>
        <w:t>响应文件未按磋商文件的澄清、修改的内容编制，又不符合实质性要求的，其响应文件按无效处理。</w:t>
      </w:r>
    </w:p>
    <w:p w14:paraId="10ACCA10">
      <w:pPr>
        <w:pStyle w:val="4"/>
        <w:keepNext/>
        <w:keepLines/>
        <w:pageBreakBefore w:val="0"/>
        <w:widowControl w:val="0"/>
        <w:kinsoku/>
        <w:wordWrap/>
        <w:overflowPunct/>
        <w:topLinePunct w:val="0"/>
        <w:autoSpaceDE/>
        <w:autoSpaceDN/>
        <w:bidi w:val="0"/>
        <w:adjustRightInd/>
        <w:snapToGrid/>
        <w:spacing w:before="0" w:beforeLines="50" w:after="0" w:line="360" w:lineRule="auto"/>
        <w:jc w:val="center"/>
        <w:textAlignment w:val="auto"/>
        <w:rPr>
          <w:rFonts w:hint="eastAsia" w:ascii="Times New Roman" w:hAnsi="Times New Roman" w:eastAsia="宋体" w:cs="宋体"/>
          <w:bCs w:val="0"/>
          <w:color w:val="auto"/>
          <w:spacing w:val="0"/>
          <w:sz w:val="24"/>
          <w:szCs w:val="24"/>
          <w:highlight w:val="none"/>
        </w:rPr>
      </w:pPr>
      <w:bookmarkStart w:id="103" w:name="_Toc21480"/>
      <w:bookmarkStart w:id="104" w:name="_Toc23798"/>
      <w:bookmarkStart w:id="105" w:name="_Toc21690"/>
      <w:bookmarkStart w:id="106" w:name="_Toc80886932"/>
      <w:r>
        <w:rPr>
          <w:rFonts w:hint="eastAsia" w:ascii="Times New Roman" w:hAnsi="Times New Roman" w:eastAsia="宋体" w:cs="宋体"/>
          <w:bCs w:val="0"/>
          <w:color w:val="auto"/>
          <w:spacing w:val="0"/>
          <w:sz w:val="24"/>
          <w:szCs w:val="24"/>
          <w:highlight w:val="none"/>
        </w:rPr>
        <w:t>三、响应文件的编制</w:t>
      </w:r>
      <w:bookmarkEnd w:id="103"/>
      <w:bookmarkEnd w:id="104"/>
      <w:bookmarkEnd w:id="105"/>
      <w:bookmarkEnd w:id="106"/>
    </w:p>
    <w:p w14:paraId="0147ADF1">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07" w:name="_Toc24592"/>
      <w:r>
        <w:rPr>
          <w:rFonts w:hint="eastAsia" w:ascii="Times New Roman" w:hAnsi="Times New Roman" w:eastAsia="宋体" w:cs="宋体"/>
          <w:b/>
          <w:bCs/>
          <w:color w:val="auto"/>
          <w:spacing w:val="0"/>
          <w:sz w:val="21"/>
          <w:szCs w:val="21"/>
          <w:highlight w:val="none"/>
        </w:rPr>
        <w:t>11.响应文件的编制原则</w:t>
      </w:r>
      <w:bookmarkEnd w:id="107"/>
    </w:p>
    <w:p w14:paraId="58B3375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供应商必须按照磋商文件的要求编制响应文件，并对其提交的响应文件的真实性、合法性承担法律责任。响应文件必须对磋商文件作出实质性响应。</w:t>
      </w:r>
    </w:p>
    <w:p w14:paraId="1744975A">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08" w:name="_Toc13618"/>
      <w:r>
        <w:rPr>
          <w:rFonts w:hint="eastAsia" w:ascii="Times New Roman" w:hAnsi="Times New Roman" w:eastAsia="宋体" w:cs="宋体"/>
          <w:b/>
          <w:bCs/>
          <w:color w:val="auto"/>
          <w:spacing w:val="0"/>
          <w:sz w:val="21"/>
          <w:szCs w:val="21"/>
          <w:highlight w:val="none"/>
        </w:rPr>
        <w:t>12.响应文件的组成</w:t>
      </w:r>
      <w:bookmarkEnd w:id="108"/>
    </w:p>
    <w:p w14:paraId="2F000D48">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12.1响应文件由资格证明文件、报价文件、商务和技术文件三部分组成。</w:t>
      </w:r>
    </w:p>
    <w:p w14:paraId="4D64F73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12.1.1资格证明文件：详见供应商须知前附表</w:t>
      </w:r>
    </w:p>
    <w:p w14:paraId="1A1C353D">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12.1.2商务技术文件：详见供应商须知前附表</w:t>
      </w:r>
    </w:p>
    <w:p w14:paraId="58891125">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12.1.3报价文件：详见供应商须知前附表</w:t>
      </w:r>
    </w:p>
    <w:p w14:paraId="355D2D62">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12.2响应文件电子版：详见供应商须知前附表</w:t>
      </w:r>
    </w:p>
    <w:p w14:paraId="49AFA08A">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09" w:name="_Toc22507"/>
      <w:r>
        <w:rPr>
          <w:rFonts w:hint="eastAsia" w:ascii="Times New Roman" w:hAnsi="Times New Roman" w:eastAsia="宋体" w:cs="宋体"/>
          <w:b/>
          <w:bCs/>
          <w:color w:val="auto"/>
          <w:spacing w:val="0"/>
          <w:sz w:val="21"/>
          <w:szCs w:val="21"/>
          <w:highlight w:val="none"/>
        </w:rPr>
        <w:t>13.计量单位</w:t>
      </w:r>
      <w:bookmarkEnd w:id="109"/>
    </w:p>
    <w:p w14:paraId="5E55198D">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磋商文件已有明确规定的，使用磋商文件规定的计量单位；磋商文件没有规定的，应采用中华人民共和国法定计量单位，货币种类为人民币，否则视同未响应。</w:t>
      </w:r>
    </w:p>
    <w:p w14:paraId="4979FFE7">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0" w:name="_Toc4373"/>
      <w:r>
        <w:rPr>
          <w:rFonts w:hint="eastAsia" w:ascii="Times New Roman" w:hAnsi="Times New Roman" w:eastAsia="宋体" w:cs="宋体"/>
          <w:b/>
          <w:bCs/>
          <w:color w:val="auto"/>
          <w:spacing w:val="0"/>
          <w:sz w:val="21"/>
          <w:szCs w:val="21"/>
          <w:highlight w:val="none"/>
        </w:rPr>
        <w:t>14.竞标的风险</w:t>
      </w:r>
      <w:bookmarkEnd w:id="110"/>
    </w:p>
    <w:p w14:paraId="358F18C4">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供应商没有按照磋商文件要求提供全部资料，或者供应商没有对磋商文件在各方面作出实质性响应可能导致其响应无效，是供应商应当考虑的风险。</w:t>
      </w:r>
    </w:p>
    <w:p w14:paraId="5BA6F87A">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1" w:name="_Toc10885"/>
      <w:r>
        <w:rPr>
          <w:rFonts w:hint="eastAsia" w:ascii="Times New Roman" w:hAnsi="Times New Roman" w:eastAsia="宋体" w:cs="宋体"/>
          <w:b/>
          <w:bCs/>
          <w:color w:val="auto"/>
          <w:spacing w:val="0"/>
          <w:sz w:val="21"/>
          <w:szCs w:val="21"/>
          <w:highlight w:val="none"/>
        </w:rPr>
        <w:t>15.响应报价要求和构成</w:t>
      </w:r>
      <w:bookmarkEnd w:id="111"/>
    </w:p>
    <w:p w14:paraId="781EC247">
      <w:pPr>
        <w:pageBreakBefore w:val="0"/>
        <w:widowControl w:val="0"/>
        <w:tabs>
          <w:tab w:val="left" w:pos="2492"/>
        </w:tabs>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15.1响应报价应按</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第五章 响应文件格式</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中</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响应报价表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格式填写。</w:t>
      </w:r>
    </w:p>
    <w:p w14:paraId="5B573C83">
      <w:pPr>
        <w:pageBreakBefore w:val="0"/>
        <w:widowControl w:val="0"/>
        <w:tabs>
          <w:tab w:val="left" w:pos="2492"/>
        </w:tabs>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15.2响应报价的价格构成见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0AAA47F4">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15.3响应报价</w:t>
      </w:r>
      <w:r>
        <w:rPr>
          <w:rFonts w:hint="eastAsia" w:cs="宋体"/>
          <w:color w:val="auto"/>
          <w:spacing w:val="0"/>
          <w:szCs w:val="21"/>
          <w:highlight w:val="none"/>
          <w:lang w:eastAsia="zh-CN"/>
        </w:rPr>
        <w:t>和工程量清单报价</w:t>
      </w:r>
      <w:r>
        <w:rPr>
          <w:rFonts w:hint="eastAsia" w:ascii="Times New Roman" w:hAnsi="Times New Roman" w:eastAsia="宋体" w:cs="宋体"/>
          <w:color w:val="auto"/>
          <w:spacing w:val="0"/>
          <w:szCs w:val="21"/>
          <w:highlight w:val="none"/>
        </w:rPr>
        <w:t>要求</w:t>
      </w:r>
    </w:p>
    <w:p w14:paraId="0FEFBDA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15.3.1供应商的响应报价</w:t>
      </w:r>
      <w:r>
        <w:rPr>
          <w:rFonts w:hint="eastAsia" w:cs="宋体"/>
          <w:color w:val="auto"/>
          <w:spacing w:val="0"/>
          <w:szCs w:val="21"/>
          <w:highlight w:val="none"/>
          <w:lang w:eastAsia="zh-CN"/>
        </w:rPr>
        <w:t>和工程量清单报价</w:t>
      </w:r>
      <w:r>
        <w:rPr>
          <w:rFonts w:hint="eastAsia" w:ascii="Times New Roman" w:hAnsi="Times New Roman" w:eastAsia="宋体" w:cs="宋体"/>
          <w:color w:val="auto"/>
          <w:spacing w:val="0"/>
          <w:szCs w:val="21"/>
          <w:highlight w:val="none"/>
        </w:rPr>
        <w:t>要求见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4689E98F">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15.3.2供应商的响应报价应符合以下要求，否则响应文件按无效响应处理：</w:t>
      </w:r>
    </w:p>
    <w:p w14:paraId="1468D27D">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（1）供应商必须就</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采购需求</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中所竞标的项目的全部内容分别作完整唯一总价报价，不得存在漏项报价；</w:t>
      </w:r>
    </w:p>
    <w:p w14:paraId="2A05408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（2）供应商必须就所竞标的项目的单项内容作唯一报价。</w:t>
      </w:r>
    </w:p>
    <w:p w14:paraId="30926FDE">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15.3.3响应报价（包含首次报价、最后报价）超过所竞标项目规定的采购预算金额或者最高限价的（如本项目公布了最高限价），其响应文件将按无效处理。</w:t>
      </w:r>
    </w:p>
    <w:p w14:paraId="40D45BF2">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15.3.</w:t>
      </w:r>
      <w:bookmarkStart w:id="112" w:name="_Hlk42592874"/>
      <w:r>
        <w:rPr>
          <w:rFonts w:hint="eastAsia" w:ascii="Times New Roman" w:hAnsi="Times New Roman" w:eastAsia="宋体" w:cs="宋体"/>
          <w:color w:val="auto"/>
          <w:spacing w:val="0"/>
          <w:szCs w:val="21"/>
          <w:highlight w:val="none"/>
        </w:rPr>
        <w:t>4响应报价（包含首次报价、最后报价）超过分项采购预算金额或者最高限价的（如本项目公布了最高限价），其响应文件将按无效处理。</w:t>
      </w:r>
    </w:p>
    <w:bookmarkEnd w:id="112"/>
    <w:p w14:paraId="38D9131F">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3" w:name="_Toc21655"/>
      <w:r>
        <w:rPr>
          <w:rFonts w:hint="eastAsia" w:ascii="Times New Roman" w:hAnsi="Times New Roman" w:eastAsia="宋体" w:cs="宋体"/>
          <w:b/>
          <w:bCs/>
          <w:color w:val="auto"/>
          <w:spacing w:val="0"/>
          <w:sz w:val="21"/>
          <w:szCs w:val="21"/>
          <w:highlight w:val="none"/>
        </w:rPr>
        <w:t>16.竞标有效期</w:t>
      </w:r>
      <w:bookmarkEnd w:id="113"/>
    </w:p>
    <w:p w14:paraId="1531CCDF">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16.1竞标有效期是指为保证采购人有足够的时间在提交响应文件后完成评审、确定成交供应商、合同签订等工作而要求供应商提交的响应文件在一定时间内保持有效的期限。</w:t>
      </w:r>
    </w:p>
    <w:p w14:paraId="6F21598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16.2 竞标有效期应由供应商按</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规定的期限作出响应。</w:t>
      </w:r>
    </w:p>
    <w:p w14:paraId="3B508DD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16.3供应商的响应文件在竞标有效期内均保持有效。</w:t>
      </w:r>
    </w:p>
    <w:p w14:paraId="7FC9FAC6">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4" w:name="_Toc25519"/>
      <w:r>
        <w:rPr>
          <w:rFonts w:hint="eastAsia" w:ascii="Times New Roman" w:hAnsi="Times New Roman" w:eastAsia="宋体" w:cs="宋体"/>
          <w:b/>
          <w:bCs/>
          <w:color w:val="auto"/>
          <w:spacing w:val="0"/>
          <w:sz w:val="21"/>
          <w:szCs w:val="21"/>
          <w:highlight w:val="none"/>
        </w:rPr>
        <w:t>17.磋商保证金</w:t>
      </w:r>
      <w:bookmarkEnd w:id="114"/>
    </w:p>
    <w:p w14:paraId="339FCCA7">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17.1供应商须按</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的规定提交磋商保证金。</w:t>
      </w:r>
    </w:p>
    <w:p w14:paraId="1B035461">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17.2磋商保证金的退还</w:t>
      </w:r>
    </w:p>
    <w:p w14:paraId="38186EB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17.2.1未成交供应商的磋商保证金自成交通知书发出之日起</w:t>
      </w:r>
      <w:r>
        <w:rPr>
          <w:rFonts w:hint="eastAsia" w:ascii="Times New Roman" w:hAnsi="Times New Roman" w:eastAsia="宋体" w:cs="宋体"/>
          <w:color w:val="auto"/>
          <w:spacing w:val="0"/>
          <w:szCs w:val="21"/>
          <w:highlight w:val="none"/>
          <w:lang w:val="en-US" w:eastAsia="zh-CN"/>
        </w:rPr>
        <w:t>5</w:t>
      </w:r>
      <w:r>
        <w:rPr>
          <w:rFonts w:hint="eastAsia" w:ascii="Times New Roman" w:hAnsi="Times New Roman" w:eastAsia="宋体" w:cs="宋体"/>
          <w:color w:val="auto"/>
          <w:spacing w:val="0"/>
          <w:szCs w:val="21"/>
          <w:highlight w:val="none"/>
        </w:rPr>
        <w:t>个工作日内退还，退还方式如下：</w:t>
      </w:r>
    </w:p>
    <w:p w14:paraId="5EC803E8">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（1）采用银行转账方式的，以转账方式退回到供应商银行账户。</w:t>
      </w:r>
    </w:p>
    <w:p w14:paraId="4DE93B3A">
      <w:pPr>
        <w:pStyle w:val="10"/>
        <w:pageBreakBefore w:val="0"/>
        <w:widowControl w:val="0"/>
        <w:kinsoku/>
        <w:wordWrap/>
        <w:overflowPunct/>
        <w:topLinePunct w:val="0"/>
        <w:autoSpaceDE/>
        <w:autoSpaceDN/>
        <w:bidi w:val="0"/>
        <w:spacing w:line="360" w:lineRule="auto"/>
        <w:ind w:firstLine="315" w:firstLineChars="15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（2）采用支票、汇票、本票或者金融机构、担保机构出具的保函等方式的，由供应商代表持相关授权证明材料至采购代理机构办理支票、汇票、本票或者金融机构、担保机构出具的保函等原件退还手续。</w:t>
      </w:r>
    </w:p>
    <w:p w14:paraId="03FB994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17.2.2成交供应商的磋商保证金自签订合同之日起</w:t>
      </w:r>
      <w:r>
        <w:rPr>
          <w:rFonts w:hint="eastAsia" w:ascii="Times New Roman" w:hAnsi="Times New Roman" w:eastAsia="宋体" w:cs="宋体"/>
          <w:color w:val="auto"/>
          <w:spacing w:val="0"/>
          <w:szCs w:val="21"/>
          <w:highlight w:val="none"/>
          <w:lang w:val="en-US" w:eastAsia="zh-CN"/>
        </w:rPr>
        <w:t>5</w:t>
      </w:r>
      <w:r>
        <w:rPr>
          <w:rFonts w:hint="eastAsia" w:ascii="Times New Roman" w:hAnsi="Times New Roman" w:eastAsia="宋体" w:cs="宋体"/>
          <w:color w:val="auto"/>
          <w:spacing w:val="0"/>
          <w:szCs w:val="21"/>
          <w:highlight w:val="none"/>
        </w:rPr>
        <w:t xml:space="preserve">个工作日内退还，退还方式同未成交供应商的磋商保证金的退还方式。 </w:t>
      </w:r>
    </w:p>
    <w:p w14:paraId="2062490F">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17.3磋商保证金不计息。</w:t>
      </w:r>
    </w:p>
    <w:p w14:paraId="1450CF9D">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17.4供应商有下列情形之一的，磋商保证金将不予退还： </w:t>
      </w:r>
    </w:p>
    <w:p w14:paraId="17D9BFDD">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（1）供应商在提交响应文件截止时间后撤回响应文件的；</w:t>
      </w:r>
    </w:p>
    <w:p w14:paraId="08ABDCD5">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（2）供应商在响应文件中提供虚假材料的；</w:t>
      </w:r>
    </w:p>
    <w:p w14:paraId="4B521904">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（3）除因不可抗力或者磋商文件认可的情形以外，成交供应商不与采购人签订合同的；</w:t>
      </w:r>
    </w:p>
    <w:p w14:paraId="080EA7B4">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（4）供应商与采购人、其他供应商或者采购代理机构恶意串通的；</w:t>
      </w:r>
    </w:p>
    <w:p w14:paraId="40AC7941">
      <w:pPr>
        <w:pageBreakBefore w:val="0"/>
        <w:widowControl w:val="0"/>
        <w:kinsoku/>
        <w:wordWrap/>
        <w:overflowPunct/>
        <w:topLinePunct w:val="0"/>
        <w:autoSpaceDE/>
        <w:autoSpaceDN/>
        <w:bidi w:val="0"/>
        <w:spacing w:line="360" w:lineRule="auto"/>
        <w:ind w:left="420" w:left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（5）磋商文件规定的其他情形。</w:t>
      </w:r>
    </w:p>
    <w:p w14:paraId="3FDE8B2B">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5" w:name="_Toc32050"/>
      <w:r>
        <w:rPr>
          <w:rFonts w:hint="eastAsia" w:ascii="Times New Roman" w:hAnsi="Times New Roman" w:eastAsia="宋体" w:cs="宋体"/>
          <w:b/>
          <w:bCs/>
          <w:color w:val="auto"/>
          <w:spacing w:val="0"/>
          <w:sz w:val="21"/>
          <w:szCs w:val="21"/>
          <w:highlight w:val="none"/>
        </w:rPr>
        <w:t>18.响应文件编制的要求</w:t>
      </w:r>
      <w:bookmarkEnd w:id="115"/>
    </w:p>
    <w:p w14:paraId="1B9C459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18.1各供应商在编制响应文件时请按照磋商文件</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第五章 响应文件格式</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规定的格式进行，混乱的编排导致响应文件被误读或磋商小组查找不到有效文件是供应商的风险。不完整、编排混乱导致响应文件被误读、漏读或者查找不到相关内容的，</w:t>
      </w:r>
      <w:r>
        <w:rPr>
          <w:rFonts w:hint="eastAsia" w:ascii="Times New Roman" w:hAnsi="Times New Roman" w:eastAsia="宋体" w:cs="宋体"/>
          <w:color w:val="auto"/>
          <w:spacing w:val="0"/>
          <w:highlight w:val="none"/>
        </w:rPr>
        <w:t>由此引发的</w:t>
      </w:r>
      <w:r>
        <w:rPr>
          <w:rFonts w:hint="eastAsia" w:ascii="Times New Roman" w:hAnsi="Times New Roman" w:eastAsia="宋体" w:cs="宋体"/>
          <w:color w:val="auto"/>
          <w:spacing w:val="0"/>
          <w:szCs w:val="21"/>
          <w:highlight w:val="none"/>
        </w:rPr>
        <w:t>后果由供应商承担。</w:t>
      </w:r>
    </w:p>
    <w:p w14:paraId="2FD31D7D">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18.2响应文件应按资格证明文件、报价文件分别编制，商务技术文件合并编制，本磋商只接受电子版响应文件，要求见本章</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12.2响应文件电子版要求</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098DE8C0">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18.</w:t>
      </w:r>
      <w:bookmarkStart w:id="116" w:name="_Hlk65832699"/>
      <w:r>
        <w:rPr>
          <w:rFonts w:hint="eastAsia" w:ascii="Times New Roman" w:hAnsi="Times New Roman" w:eastAsia="宋体" w:cs="宋体"/>
          <w:color w:val="auto"/>
          <w:spacing w:val="0"/>
          <w:szCs w:val="21"/>
          <w:highlight w:val="none"/>
        </w:rPr>
        <w:t>3响应文件须由供应商</w:t>
      </w:r>
      <w:bookmarkEnd w:id="116"/>
      <w:r>
        <w:rPr>
          <w:rFonts w:hint="eastAsia" w:ascii="Times New Roman" w:hAnsi="Times New Roman" w:eastAsia="宋体" w:cs="宋体"/>
          <w:color w:val="auto"/>
          <w:spacing w:val="0"/>
          <w:highlight w:val="none"/>
          <w:lang w:eastAsia="zh-CN"/>
        </w:rPr>
        <w:t>按“第五章 响应文件格式”要求进行签署、盖章，否则其响应文件按无效响应处理</w:t>
      </w:r>
      <w:r>
        <w:rPr>
          <w:rFonts w:hint="eastAsia" w:ascii="Times New Roman" w:hAnsi="Times New Roman" w:eastAsia="宋体" w:cs="宋体"/>
          <w:color w:val="auto"/>
          <w:spacing w:val="0"/>
          <w:szCs w:val="21"/>
          <w:highlight w:val="none"/>
        </w:rPr>
        <w:t>。</w:t>
      </w:r>
    </w:p>
    <w:p w14:paraId="63C3F98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18.4响应文件中标注的供应商名称应与营业执照（事业单位法人证书、执业许可证、自然人身份证）及供应商公章一致，</w:t>
      </w:r>
      <w:r>
        <w:rPr>
          <w:rFonts w:hint="eastAsia" w:ascii="Times New Roman" w:hAnsi="Times New Roman" w:eastAsia="宋体" w:cs="宋体"/>
          <w:b/>
          <w:bCs/>
          <w:color w:val="auto"/>
          <w:spacing w:val="0"/>
          <w:szCs w:val="21"/>
          <w:highlight w:val="none"/>
        </w:rPr>
        <w:t>否则其响应文件按无效响应处理。</w:t>
      </w:r>
    </w:p>
    <w:p w14:paraId="64F63044">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18.5响应文件应避免涂改、行间插字或者删除。</w:t>
      </w:r>
    </w:p>
    <w:p w14:paraId="79055B04">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7" w:name="_Toc20532"/>
      <w:r>
        <w:rPr>
          <w:rFonts w:hint="eastAsia" w:ascii="Times New Roman" w:hAnsi="Times New Roman" w:eastAsia="宋体" w:cs="宋体"/>
          <w:b/>
          <w:bCs/>
          <w:color w:val="auto"/>
          <w:spacing w:val="0"/>
          <w:sz w:val="21"/>
          <w:szCs w:val="21"/>
          <w:highlight w:val="none"/>
        </w:rPr>
        <w:t>19.响应文件的密封和标记</w:t>
      </w:r>
      <w:bookmarkEnd w:id="117"/>
    </w:p>
    <w:p w14:paraId="523DB54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kern w:val="0"/>
          <w:szCs w:val="21"/>
          <w:highlight w:val="none"/>
          <w:lang w:val="zh-CN"/>
        </w:rPr>
      </w:pPr>
      <w:r>
        <w:rPr>
          <w:rFonts w:hint="eastAsia" w:ascii="Times New Roman" w:hAnsi="Times New Roman" w:eastAsia="宋体" w:cs="宋体"/>
          <w:color w:val="auto"/>
          <w:spacing w:val="0"/>
          <w:kern w:val="0"/>
          <w:szCs w:val="21"/>
          <w:highlight w:val="none"/>
          <w:lang w:val="zh-CN"/>
        </w:rPr>
        <w:t>19.1供应商进行电子交易应安装客户端软件—“</w:t>
      </w:r>
      <w:r>
        <w:rPr>
          <w:rFonts w:hint="eastAsia" w:ascii="Times New Roman" w:hAnsi="Times New Roman" w:eastAsia="宋体" w:cs="宋体"/>
          <w:b w:val="0"/>
          <w:bCs w:val="0"/>
          <w:color w:val="auto"/>
          <w:spacing w:val="0"/>
          <w:sz w:val="21"/>
          <w:szCs w:val="21"/>
          <w:highlight w:val="none"/>
          <w:lang w:val="en-US" w:eastAsia="zh-CN"/>
        </w:rPr>
        <w:t>广西政府采购云平台新版客户端”</w:t>
      </w:r>
      <w:r>
        <w:rPr>
          <w:rFonts w:hint="eastAsia" w:ascii="Times New Roman" w:hAnsi="Times New Roman" w:eastAsia="宋体" w:cs="宋体"/>
          <w:color w:val="auto"/>
          <w:spacing w:val="0"/>
          <w:kern w:val="0"/>
          <w:szCs w:val="21"/>
          <w:highlight w:val="none"/>
          <w:lang w:val="zh-CN"/>
        </w:rPr>
        <w:t>，并按照磋商文件和电子交易平台的要求编制并加密响应文件。供应商未按规定加密的响应文件，电子交易平台将拒收并提示。</w:t>
      </w:r>
    </w:p>
    <w:p w14:paraId="6B524D2B">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kern w:val="0"/>
          <w:szCs w:val="21"/>
          <w:highlight w:val="none"/>
          <w:lang w:val="zh-CN"/>
        </w:rPr>
      </w:pPr>
      <w:r>
        <w:rPr>
          <w:rFonts w:hint="eastAsia" w:ascii="Times New Roman" w:hAnsi="Times New Roman" w:eastAsia="宋体" w:cs="宋体"/>
          <w:color w:val="auto"/>
          <w:spacing w:val="0"/>
          <w:kern w:val="0"/>
          <w:szCs w:val="21"/>
          <w:highlight w:val="none"/>
          <w:lang w:val="zh-CN"/>
        </w:rPr>
        <w:t>19.2使用“</w:t>
      </w:r>
      <w:r>
        <w:rPr>
          <w:rFonts w:hint="eastAsia" w:ascii="Times New Roman" w:hAnsi="Times New Roman" w:eastAsia="宋体" w:cs="宋体"/>
          <w:color w:val="auto"/>
          <w:spacing w:val="0"/>
          <w:kern w:val="0"/>
          <w:szCs w:val="21"/>
          <w:highlight w:val="none"/>
          <w:lang w:val="en-US" w:eastAsia="zh-CN"/>
        </w:rPr>
        <w:t>广西政府采购云平台</w:t>
      </w:r>
      <w:r>
        <w:rPr>
          <w:rFonts w:hint="eastAsia" w:ascii="Times New Roman" w:hAnsi="Times New Roman" w:eastAsia="宋体" w:cs="宋体"/>
          <w:color w:val="auto"/>
          <w:spacing w:val="0"/>
          <w:kern w:val="0"/>
          <w:szCs w:val="21"/>
          <w:highlight w:val="none"/>
          <w:lang w:val="zh-CN"/>
        </w:rPr>
        <w:t>电子交易客户端”需要提前申领CA数字证书。</w:t>
      </w:r>
    </w:p>
    <w:p w14:paraId="543E8C6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kern w:val="0"/>
          <w:szCs w:val="21"/>
          <w:highlight w:val="none"/>
        </w:rPr>
      </w:pPr>
      <w:r>
        <w:rPr>
          <w:rFonts w:hint="eastAsia" w:ascii="Times New Roman" w:hAnsi="Times New Roman" w:eastAsia="宋体" w:cs="宋体"/>
          <w:color w:val="auto"/>
          <w:spacing w:val="0"/>
          <w:kern w:val="0"/>
          <w:szCs w:val="21"/>
          <w:highlight w:val="none"/>
        </w:rPr>
        <w:t>19.3为确保网上操作合法、有效和安全，供应商应当在响应文件提交截止时间前完成在“</w:t>
      </w:r>
      <w:r>
        <w:rPr>
          <w:rFonts w:hint="eastAsia" w:ascii="Times New Roman" w:hAnsi="Times New Roman" w:eastAsia="宋体" w:cs="宋体"/>
          <w:b w:val="0"/>
          <w:bCs w:val="0"/>
          <w:color w:val="auto"/>
          <w:spacing w:val="0"/>
          <w:sz w:val="21"/>
          <w:szCs w:val="21"/>
          <w:highlight w:val="none"/>
          <w:lang w:val="en-US" w:eastAsia="zh-CN"/>
        </w:rPr>
        <w:t>广西政府采购云平台</w:t>
      </w:r>
      <w:r>
        <w:rPr>
          <w:rFonts w:hint="eastAsia" w:ascii="Times New Roman" w:hAnsi="Times New Roman" w:eastAsia="宋体" w:cs="宋体"/>
          <w:color w:val="auto"/>
          <w:spacing w:val="0"/>
          <w:kern w:val="0"/>
          <w:szCs w:val="21"/>
          <w:highlight w:val="none"/>
        </w:rPr>
        <w:t>”的身份认证，确保在电子交易过程中能够对相关数据电文进行加密和使用电子签名。</w:t>
      </w:r>
    </w:p>
    <w:p w14:paraId="1F756B63">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8" w:name="_Toc23739"/>
      <w:r>
        <w:rPr>
          <w:rFonts w:hint="eastAsia" w:ascii="Times New Roman" w:hAnsi="Times New Roman" w:eastAsia="宋体" w:cs="宋体"/>
          <w:b/>
          <w:bCs/>
          <w:color w:val="auto"/>
          <w:spacing w:val="0"/>
          <w:sz w:val="21"/>
          <w:szCs w:val="21"/>
          <w:highlight w:val="none"/>
        </w:rPr>
        <w:t>20.响应文件的提交</w:t>
      </w:r>
      <w:bookmarkEnd w:id="118"/>
    </w:p>
    <w:p w14:paraId="3890AAEF">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20.1供应商必须在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规定的时间和地点提交响应文件。</w:t>
      </w:r>
    </w:p>
    <w:p w14:paraId="6AFB89B5">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20.2 在响应文件提交截止时间以后，不能补充、修改响应文件。</w:t>
      </w:r>
    </w:p>
    <w:p w14:paraId="183711C8">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20.3 在提交</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最后报价</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后，供应商不能退出磋商。</w:t>
      </w:r>
    </w:p>
    <w:p w14:paraId="3C69E9FC">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20.4 电子交易平台收到响应文件，将妥善保存并即时向供应商发出确认回执通知。在响应文件提交截止时间前，除供应商补充、修改或者撤回响应文件外，任何单位和个人不得解密或提取响应文件。</w:t>
      </w:r>
    </w:p>
    <w:p w14:paraId="6C3BB33C">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20.5 采购机构不可视情况延长提交响应文件的截止时间。</w:t>
      </w:r>
    </w:p>
    <w:p w14:paraId="6B3A4329">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 w:val="24"/>
          <w:highlight w:val="none"/>
        </w:rPr>
      </w:pPr>
      <w:r>
        <w:rPr>
          <w:rFonts w:hint="eastAsia" w:ascii="Times New Roman" w:hAnsi="Times New Roman" w:eastAsia="宋体" w:cs="宋体"/>
          <w:color w:val="auto"/>
          <w:spacing w:val="0"/>
          <w:szCs w:val="21"/>
          <w:highlight w:val="none"/>
        </w:rPr>
        <w:t>20.6备份响应文件。</w:t>
      </w:r>
      <w:r>
        <w:rPr>
          <w:rFonts w:hint="eastAsia" w:ascii="Times New Roman" w:hAnsi="Times New Roman" w:eastAsia="宋体" w:cs="宋体"/>
          <w:bCs/>
          <w:color w:val="auto"/>
          <w:spacing w:val="0"/>
          <w:szCs w:val="21"/>
          <w:highlight w:val="none"/>
        </w:rPr>
        <w:t>详见</w:t>
      </w:r>
      <w:r>
        <w:rPr>
          <w:rFonts w:hint="eastAsia" w:ascii="Times New Roman" w:hAnsi="Times New Roman" w:eastAsia="宋体" w:cs="宋体"/>
          <w:bCs/>
          <w:color w:val="auto"/>
          <w:spacing w:val="0"/>
          <w:szCs w:val="21"/>
          <w:highlight w:val="none"/>
          <w:lang w:eastAsia="zh-CN"/>
        </w:rPr>
        <w:t>“</w:t>
      </w:r>
      <w:r>
        <w:rPr>
          <w:rFonts w:hint="eastAsia" w:ascii="Times New Roman" w:hAnsi="Times New Roman" w:eastAsia="宋体" w:cs="宋体"/>
          <w:bCs/>
          <w:color w:val="auto"/>
          <w:spacing w:val="0"/>
          <w:szCs w:val="21"/>
          <w:highlight w:val="none"/>
        </w:rPr>
        <w:t>供应商须知前附表</w:t>
      </w:r>
      <w:r>
        <w:rPr>
          <w:rFonts w:hint="eastAsia" w:ascii="Times New Roman" w:hAnsi="Times New Roman" w:eastAsia="宋体" w:cs="宋体"/>
          <w:bCs/>
          <w:color w:val="auto"/>
          <w:spacing w:val="0"/>
          <w:szCs w:val="21"/>
          <w:highlight w:val="none"/>
          <w:lang w:eastAsia="zh-CN"/>
        </w:rPr>
        <w:t>”</w:t>
      </w:r>
      <w:r>
        <w:rPr>
          <w:rFonts w:hint="eastAsia" w:ascii="Times New Roman" w:hAnsi="Times New Roman" w:eastAsia="宋体" w:cs="宋体"/>
          <w:bCs/>
          <w:color w:val="auto"/>
          <w:spacing w:val="0"/>
          <w:szCs w:val="21"/>
          <w:highlight w:val="none"/>
        </w:rPr>
        <w:t>。</w:t>
      </w:r>
    </w:p>
    <w:p w14:paraId="2AEF7923">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19" w:name="_Toc14829"/>
      <w:r>
        <w:rPr>
          <w:rFonts w:hint="eastAsia" w:ascii="Times New Roman" w:hAnsi="Times New Roman" w:eastAsia="宋体" w:cs="宋体"/>
          <w:b/>
          <w:bCs/>
          <w:color w:val="auto"/>
          <w:spacing w:val="0"/>
          <w:sz w:val="21"/>
          <w:szCs w:val="21"/>
          <w:highlight w:val="none"/>
        </w:rPr>
        <w:t>21.首次响应文件的补充、修改与撤回</w:t>
      </w:r>
      <w:bookmarkEnd w:id="119"/>
    </w:p>
    <w:p w14:paraId="7FA9344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供应商应当在提交响应文件截止时间前完成响应文件的传输提交，并可以补充、修改或者撤回响应文件。补充或者修改响应文件的，应当先行撤回原文件，补充、修改后重新传输提交。提交响应文件截止时间前未完成传输的，视为撤回响应文件。响应文件提交截止时间后提交的响应文件，电子交易平台将拒收</w:t>
      </w:r>
      <w:r>
        <w:rPr>
          <w:rFonts w:hint="eastAsia" w:ascii="Times New Roman" w:hAnsi="Times New Roman" w:eastAsia="宋体" w:cs="宋体"/>
          <w:color w:val="auto"/>
          <w:spacing w:val="0"/>
          <w:szCs w:val="21"/>
          <w:highlight w:val="none"/>
        </w:rPr>
        <w:t>。</w:t>
      </w:r>
    </w:p>
    <w:p w14:paraId="47F7A4CA">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20" w:name="_Toc8119"/>
      <w:bookmarkStart w:id="121" w:name="_Hlk45702405"/>
      <w:r>
        <w:rPr>
          <w:rFonts w:hint="eastAsia" w:ascii="Times New Roman" w:hAnsi="Times New Roman" w:eastAsia="宋体" w:cs="宋体"/>
          <w:b/>
          <w:bCs/>
          <w:color w:val="auto"/>
          <w:spacing w:val="0"/>
          <w:sz w:val="21"/>
          <w:szCs w:val="21"/>
          <w:highlight w:val="none"/>
        </w:rPr>
        <w:t>2</w:t>
      </w:r>
      <w:r>
        <w:rPr>
          <w:rFonts w:hint="eastAsia" w:ascii="Times New Roman" w:hAnsi="Times New Roman" w:eastAsia="宋体" w:cs="宋体"/>
          <w:b/>
          <w:bCs/>
          <w:color w:val="auto"/>
          <w:spacing w:val="0"/>
          <w:sz w:val="21"/>
          <w:szCs w:val="21"/>
          <w:highlight w:val="none"/>
          <w:lang w:val="en-US" w:eastAsia="zh-CN"/>
        </w:rPr>
        <w:t>2</w:t>
      </w:r>
      <w:r>
        <w:rPr>
          <w:rFonts w:hint="eastAsia" w:ascii="Times New Roman" w:hAnsi="Times New Roman" w:eastAsia="宋体" w:cs="宋体"/>
          <w:b/>
          <w:bCs/>
          <w:color w:val="auto"/>
          <w:spacing w:val="0"/>
          <w:sz w:val="21"/>
          <w:szCs w:val="21"/>
          <w:highlight w:val="none"/>
        </w:rPr>
        <w:t>.截止时间后的撤回</w:t>
      </w:r>
      <w:bookmarkEnd w:id="120"/>
    </w:p>
    <w:bookmarkEnd w:id="121"/>
    <w:p w14:paraId="773EEEE0">
      <w:pPr>
        <w:pStyle w:val="13"/>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i/>
          <w:iCs/>
          <w:color w:val="auto"/>
          <w:spacing w:val="0"/>
          <w:szCs w:val="21"/>
          <w:highlight w:val="none"/>
          <w:lang w:eastAsia="zh-CN"/>
        </w:rPr>
      </w:pPr>
      <w:r>
        <w:rPr>
          <w:rFonts w:hint="eastAsia" w:ascii="Times New Roman" w:hAnsi="Times New Roman" w:eastAsia="宋体" w:cs="宋体"/>
          <w:color w:val="auto"/>
          <w:spacing w:val="0"/>
          <w:highlight w:val="none"/>
        </w:rPr>
        <w:t>供应商在首次响应文件提交截止时间后向采购人、采购代理机构书面申请撤回</w:t>
      </w:r>
      <w:r>
        <w:rPr>
          <w:rFonts w:hint="eastAsia" w:ascii="Times New Roman" w:hAnsi="Times New Roman" w:eastAsia="宋体" w:cs="宋体"/>
          <w:color w:val="auto"/>
          <w:spacing w:val="0"/>
          <w:highlight w:val="none"/>
          <w:lang w:eastAsia="zh-CN"/>
        </w:rPr>
        <w:t>电子</w:t>
      </w:r>
      <w:r>
        <w:rPr>
          <w:rFonts w:hint="eastAsia" w:ascii="Times New Roman" w:hAnsi="Times New Roman" w:eastAsia="宋体" w:cs="宋体"/>
          <w:color w:val="auto"/>
          <w:spacing w:val="0"/>
          <w:highlight w:val="none"/>
        </w:rPr>
        <w:t>响应文件的，将根据本须知正文17.4的规定不予退还其磋商保证金</w:t>
      </w:r>
      <w:r>
        <w:rPr>
          <w:rFonts w:hint="eastAsia" w:ascii="Times New Roman" w:hAnsi="Times New Roman" w:eastAsia="宋体" w:cs="宋体"/>
          <w:color w:val="auto"/>
          <w:spacing w:val="0"/>
          <w:highlight w:val="none"/>
          <w:lang w:eastAsia="zh-CN"/>
        </w:rPr>
        <w:t>（</w:t>
      </w:r>
      <w:r>
        <w:rPr>
          <w:rFonts w:hint="eastAsia" w:ascii="Times New Roman" w:hAnsi="Times New Roman" w:eastAsia="宋体" w:cs="宋体"/>
          <w:color w:val="auto"/>
          <w:spacing w:val="0"/>
          <w:highlight w:val="none"/>
          <w:lang w:val="en-US" w:eastAsia="zh-CN"/>
        </w:rPr>
        <w:t>如有</w:t>
      </w:r>
      <w:r>
        <w:rPr>
          <w:rFonts w:hint="eastAsia" w:ascii="Times New Roman" w:hAnsi="Times New Roman" w:eastAsia="宋体" w:cs="宋体"/>
          <w:color w:val="auto"/>
          <w:spacing w:val="0"/>
          <w:highlight w:val="none"/>
          <w:lang w:eastAsia="zh-CN"/>
        </w:rPr>
        <w:t>）</w:t>
      </w:r>
      <w:r>
        <w:rPr>
          <w:rFonts w:hint="eastAsia" w:ascii="Times New Roman" w:hAnsi="Times New Roman" w:eastAsia="宋体" w:cs="宋体"/>
          <w:color w:val="auto"/>
          <w:spacing w:val="0"/>
          <w:highlight w:val="none"/>
        </w:rPr>
        <w:t>。</w:t>
      </w:r>
    </w:p>
    <w:p w14:paraId="09AB99A6">
      <w:pPr>
        <w:pStyle w:val="4"/>
        <w:keepNext/>
        <w:keepLines/>
        <w:pageBreakBefore w:val="0"/>
        <w:widowControl w:val="0"/>
        <w:kinsoku/>
        <w:wordWrap/>
        <w:overflowPunct/>
        <w:topLinePunct w:val="0"/>
        <w:autoSpaceDE/>
        <w:autoSpaceDN/>
        <w:bidi w:val="0"/>
        <w:adjustRightInd/>
        <w:snapToGrid/>
        <w:spacing w:before="0" w:beforeLines="50" w:after="0" w:line="360" w:lineRule="auto"/>
        <w:jc w:val="center"/>
        <w:textAlignment w:val="auto"/>
        <w:rPr>
          <w:rFonts w:hint="eastAsia" w:ascii="Times New Roman" w:hAnsi="Times New Roman" w:eastAsia="宋体" w:cs="宋体"/>
          <w:bCs w:val="0"/>
          <w:color w:val="auto"/>
          <w:spacing w:val="0"/>
          <w:sz w:val="24"/>
          <w:szCs w:val="24"/>
          <w:highlight w:val="none"/>
        </w:rPr>
      </w:pPr>
      <w:bookmarkStart w:id="122" w:name="_Toc9514"/>
      <w:bookmarkStart w:id="123" w:name="_Toc80886933"/>
      <w:bookmarkStart w:id="124" w:name="_Toc20044"/>
      <w:bookmarkStart w:id="125" w:name="_Toc17876"/>
      <w:r>
        <w:rPr>
          <w:rFonts w:hint="eastAsia" w:ascii="Times New Roman" w:hAnsi="Times New Roman" w:eastAsia="宋体" w:cs="宋体"/>
          <w:bCs w:val="0"/>
          <w:color w:val="auto"/>
          <w:spacing w:val="0"/>
          <w:sz w:val="24"/>
          <w:szCs w:val="24"/>
          <w:highlight w:val="none"/>
        </w:rPr>
        <w:t>四、评审及磋商</w:t>
      </w:r>
      <w:bookmarkEnd w:id="122"/>
      <w:bookmarkEnd w:id="123"/>
      <w:bookmarkEnd w:id="124"/>
      <w:bookmarkEnd w:id="125"/>
    </w:p>
    <w:p w14:paraId="1EE169A2">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26" w:name="_Toc9096"/>
      <w:r>
        <w:rPr>
          <w:rFonts w:hint="eastAsia" w:ascii="Times New Roman" w:hAnsi="Times New Roman" w:eastAsia="宋体" w:cs="宋体"/>
          <w:b/>
          <w:bCs/>
          <w:color w:val="auto"/>
          <w:spacing w:val="0"/>
          <w:sz w:val="21"/>
          <w:szCs w:val="21"/>
          <w:highlight w:val="none"/>
        </w:rPr>
        <w:t>2</w:t>
      </w:r>
      <w:r>
        <w:rPr>
          <w:rFonts w:hint="eastAsia" w:ascii="Times New Roman" w:hAnsi="Times New Roman" w:eastAsia="宋体" w:cs="宋体"/>
          <w:b/>
          <w:bCs/>
          <w:color w:val="auto"/>
          <w:spacing w:val="0"/>
          <w:sz w:val="21"/>
          <w:szCs w:val="21"/>
          <w:highlight w:val="none"/>
          <w:lang w:val="en-US" w:eastAsia="zh-CN"/>
        </w:rPr>
        <w:t>3</w:t>
      </w:r>
      <w:r>
        <w:rPr>
          <w:rFonts w:hint="eastAsia" w:ascii="Times New Roman" w:hAnsi="Times New Roman" w:eastAsia="宋体" w:cs="宋体"/>
          <w:b/>
          <w:bCs/>
          <w:color w:val="auto"/>
          <w:spacing w:val="0"/>
          <w:sz w:val="21"/>
          <w:szCs w:val="21"/>
          <w:highlight w:val="none"/>
        </w:rPr>
        <w:t>.磋商小组成立</w:t>
      </w:r>
      <w:bookmarkEnd w:id="126"/>
    </w:p>
    <w:p w14:paraId="3B90D6B0">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3</w:t>
      </w:r>
      <w:r>
        <w:rPr>
          <w:rFonts w:hint="eastAsia" w:ascii="Times New Roman" w:hAnsi="Times New Roman" w:eastAsia="宋体" w:cs="宋体"/>
          <w:color w:val="auto"/>
          <w:spacing w:val="0"/>
          <w:szCs w:val="21"/>
          <w:highlight w:val="none"/>
        </w:rPr>
        <w:t>.1磋商小组由采购人代表和评审专家共3人以上单数组成，其中评审专家人数不得少于磋商小组成员总数的2/3。采购人代表不得以评审专家身份参加本部门或者本单位采购项目的评审。采购代理机构人员不得参加本机构代理的采购项目的评审。达到公开招标数额标准的货物或者服务采购项目，或者达到公开招标规模标准的政府采购工程，经批准采用竞争性磋商方式采购的，磋商小组由5人以上单数组成。</w:t>
      </w:r>
    </w:p>
    <w:p w14:paraId="3C86D604">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3</w:t>
      </w:r>
      <w:r>
        <w:rPr>
          <w:rFonts w:hint="eastAsia" w:ascii="Times New Roman" w:hAnsi="Times New Roman" w:eastAsia="宋体" w:cs="宋体"/>
          <w:color w:val="auto"/>
          <w:spacing w:val="0"/>
          <w:szCs w:val="21"/>
          <w:highlight w:val="none"/>
        </w:rPr>
        <w:t>.2评审专家应当从政府采购评审专家库内相关专业的专家名单中随机抽取。市场竞争不充分的科研项目，以及需要扶持的科技成果转化项目，以及情况特殊、通过随机方式难以确定合适的评审专家的项目，经主管预算单位同意，可以自行选定评审专家。</w:t>
      </w:r>
    </w:p>
    <w:p w14:paraId="2C11FDB8">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27" w:name="_Toc8891"/>
      <w:r>
        <w:rPr>
          <w:rFonts w:hint="eastAsia" w:ascii="Times New Roman" w:hAnsi="Times New Roman" w:eastAsia="宋体" w:cs="宋体"/>
          <w:b/>
          <w:bCs/>
          <w:color w:val="auto"/>
          <w:spacing w:val="0"/>
          <w:sz w:val="21"/>
          <w:szCs w:val="21"/>
          <w:highlight w:val="none"/>
        </w:rPr>
        <w:t>2</w:t>
      </w:r>
      <w:r>
        <w:rPr>
          <w:rFonts w:hint="eastAsia" w:ascii="Times New Roman" w:hAnsi="Times New Roman" w:eastAsia="宋体" w:cs="宋体"/>
          <w:b/>
          <w:bCs/>
          <w:color w:val="auto"/>
          <w:spacing w:val="0"/>
          <w:sz w:val="21"/>
          <w:szCs w:val="21"/>
          <w:highlight w:val="none"/>
          <w:lang w:val="en-US" w:eastAsia="zh-CN"/>
        </w:rPr>
        <w:t>4</w:t>
      </w:r>
      <w:r>
        <w:rPr>
          <w:rFonts w:hint="eastAsia" w:ascii="Times New Roman" w:hAnsi="Times New Roman" w:eastAsia="宋体" w:cs="宋体"/>
          <w:b/>
          <w:bCs/>
          <w:color w:val="auto"/>
          <w:spacing w:val="0"/>
          <w:sz w:val="21"/>
          <w:szCs w:val="21"/>
          <w:highlight w:val="none"/>
        </w:rPr>
        <w:t>.首次响应文件的开启</w:t>
      </w:r>
      <w:bookmarkEnd w:id="127"/>
    </w:p>
    <w:p w14:paraId="06E2354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4</w:t>
      </w:r>
      <w:r>
        <w:rPr>
          <w:rFonts w:hint="eastAsia" w:ascii="Times New Roman" w:hAnsi="Times New Roman" w:eastAsia="宋体" w:cs="宋体"/>
          <w:color w:val="auto"/>
          <w:spacing w:val="0"/>
          <w:szCs w:val="21"/>
          <w:highlight w:val="none"/>
        </w:rPr>
        <w:t>.1首次响应文件由磋商小组或者采购代理机构在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规定的时间开启。</w:t>
      </w:r>
    </w:p>
    <w:p w14:paraId="60E918F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bCs/>
          <w:color w:val="auto"/>
          <w:spacing w:val="0"/>
          <w:kern w:val="0"/>
          <w:szCs w:val="21"/>
          <w:highlight w:val="none"/>
        </w:rPr>
      </w:pPr>
      <w:r>
        <w:rPr>
          <w:rFonts w:hint="eastAsia" w:ascii="Times New Roman" w:hAnsi="Times New Roman" w:eastAsia="宋体" w:cs="宋体"/>
          <w:color w:val="auto"/>
          <w:spacing w:val="0"/>
          <w:kern w:val="0"/>
          <w:szCs w:val="21"/>
          <w:highlight w:val="none"/>
        </w:rPr>
        <w:t>2</w:t>
      </w:r>
      <w:r>
        <w:rPr>
          <w:rFonts w:hint="eastAsia" w:ascii="Times New Roman" w:hAnsi="Times New Roman" w:eastAsia="宋体" w:cs="宋体"/>
          <w:color w:val="auto"/>
          <w:spacing w:val="0"/>
          <w:kern w:val="0"/>
          <w:szCs w:val="21"/>
          <w:highlight w:val="none"/>
          <w:lang w:val="en-US" w:eastAsia="zh-CN"/>
        </w:rPr>
        <w:t>4</w:t>
      </w:r>
      <w:r>
        <w:rPr>
          <w:rFonts w:hint="eastAsia" w:ascii="Times New Roman" w:hAnsi="Times New Roman" w:eastAsia="宋体" w:cs="宋体"/>
          <w:color w:val="auto"/>
          <w:spacing w:val="0"/>
          <w:kern w:val="0"/>
          <w:szCs w:val="21"/>
          <w:highlight w:val="none"/>
        </w:rPr>
        <w:t xml:space="preserve">.2 </w:t>
      </w:r>
      <w:r>
        <w:rPr>
          <w:rFonts w:hint="eastAsia" w:ascii="Times New Roman" w:hAnsi="Times New Roman" w:eastAsia="宋体" w:cs="宋体"/>
          <w:bCs/>
          <w:color w:val="auto"/>
          <w:spacing w:val="0"/>
          <w:kern w:val="0"/>
          <w:szCs w:val="21"/>
          <w:highlight w:val="none"/>
        </w:rPr>
        <w:t>响应文件解密</w:t>
      </w:r>
    </w:p>
    <w:p w14:paraId="1CB10D33">
      <w:pPr>
        <w:pageBreakBefore w:val="0"/>
        <w:widowControl w:val="0"/>
        <w:kinsoku/>
        <w:wordWrap/>
        <w:overflowPunct/>
        <w:topLinePunct w:val="0"/>
        <w:autoSpaceDE/>
        <w:autoSpaceDN/>
        <w:bidi w:val="0"/>
        <w:snapToGrid w:val="0"/>
        <w:spacing w:line="360" w:lineRule="auto"/>
        <w:ind w:firstLine="420" w:firstLineChars="200"/>
        <w:rPr>
          <w:rFonts w:hint="eastAsia" w:ascii="Times New Roman" w:hAnsi="Times New Roman" w:eastAsia="宋体" w:cs="宋体"/>
          <w:color w:val="auto"/>
          <w:spacing w:val="0"/>
          <w:kern w:val="0"/>
          <w:szCs w:val="21"/>
          <w:highlight w:val="none"/>
        </w:rPr>
      </w:pPr>
      <w:r>
        <w:rPr>
          <w:rFonts w:hint="eastAsia" w:ascii="Times New Roman" w:hAnsi="Times New Roman" w:eastAsia="宋体" w:cs="宋体"/>
          <w:bCs/>
          <w:color w:val="auto"/>
          <w:spacing w:val="0"/>
          <w:kern w:val="0"/>
          <w:szCs w:val="21"/>
          <w:highlight w:val="none"/>
        </w:rPr>
        <w:t>采购代理机构将在“供应商须知前附表”规定的时</w:t>
      </w:r>
      <w:r>
        <w:rPr>
          <w:rFonts w:hint="eastAsia" w:ascii="Times New Roman" w:hAnsi="Times New Roman" w:eastAsia="宋体" w:cs="宋体"/>
          <w:color w:val="auto"/>
          <w:spacing w:val="0"/>
          <w:kern w:val="0"/>
          <w:szCs w:val="21"/>
          <w:highlight w:val="none"/>
        </w:rPr>
        <w:t>间通过电子交易平台组织响应文件开启，采购机构依托电子交易平台发起开始解密指令，供应商的法定代表人或其委托代理人</w:t>
      </w:r>
      <w:r>
        <w:rPr>
          <w:rFonts w:hint="eastAsia" w:ascii="Times New Roman" w:hAnsi="Times New Roman" w:eastAsia="宋体" w:cs="宋体"/>
          <w:b/>
          <w:color w:val="auto"/>
          <w:spacing w:val="0"/>
          <w:kern w:val="0"/>
          <w:szCs w:val="21"/>
          <w:highlight w:val="none"/>
        </w:rPr>
        <w:t>须携带加密时所用的CA锁按平台提示和采购文件的规定登录到</w:t>
      </w:r>
      <w:r>
        <w:rPr>
          <w:rFonts w:hint="eastAsia" w:ascii="Times New Roman" w:hAnsi="Times New Roman" w:eastAsia="宋体" w:cs="宋体"/>
          <w:b/>
          <w:bCs w:val="0"/>
          <w:color w:val="auto"/>
          <w:spacing w:val="0"/>
          <w:kern w:val="0"/>
          <w:sz w:val="21"/>
          <w:szCs w:val="21"/>
          <w:highlight w:val="none"/>
          <w:lang w:val="en-US" w:eastAsia="zh-CN"/>
        </w:rPr>
        <w:t>广西政府采购云平台</w:t>
      </w:r>
      <w:r>
        <w:rPr>
          <w:rFonts w:hint="eastAsia" w:ascii="Times New Roman" w:hAnsi="Times New Roman" w:eastAsia="宋体" w:cs="宋体"/>
          <w:b/>
          <w:color w:val="auto"/>
          <w:spacing w:val="0"/>
          <w:kern w:val="0"/>
          <w:szCs w:val="21"/>
          <w:highlight w:val="none"/>
        </w:rPr>
        <w:t>电子开标大厅签到并在规定的时间内完成对电子响应文件在线解密</w:t>
      </w:r>
      <w:r>
        <w:rPr>
          <w:rFonts w:hint="eastAsia" w:ascii="Times New Roman" w:hAnsi="Times New Roman" w:eastAsia="宋体" w:cs="宋体"/>
          <w:color w:val="auto"/>
          <w:spacing w:val="0"/>
          <w:kern w:val="0"/>
          <w:szCs w:val="21"/>
          <w:highlight w:val="none"/>
        </w:rPr>
        <w:t>。</w:t>
      </w:r>
      <w:r>
        <w:rPr>
          <w:rFonts w:hint="eastAsia" w:ascii="Times New Roman" w:hAnsi="Times New Roman" w:eastAsia="宋体" w:cs="宋体"/>
          <w:color w:val="auto"/>
          <w:spacing w:val="0"/>
          <w:kern w:val="1"/>
          <w:szCs w:val="21"/>
          <w:highlight w:val="none"/>
          <w:lang w:eastAsia="zh-CN"/>
        </w:rPr>
        <w:t>响应</w:t>
      </w:r>
      <w:r>
        <w:rPr>
          <w:rFonts w:hint="eastAsia" w:ascii="Times New Roman" w:hAnsi="Times New Roman" w:eastAsia="宋体" w:cs="宋体"/>
          <w:color w:val="auto"/>
          <w:spacing w:val="0"/>
          <w:kern w:val="1"/>
          <w:szCs w:val="21"/>
          <w:highlight w:val="none"/>
        </w:rPr>
        <w:t>文件未按时解密的</w:t>
      </w:r>
      <w:r>
        <w:rPr>
          <w:rFonts w:hint="eastAsia" w:ascii="Times New Roman" w:hAnsi="Times New Roman" w:eastAsia="宋体" w:cs="宋体"/>
          <w:color w:val="auto"/>
          <w:spacing w:val="0"/>
          <w:kern w:val="0"/>
          <w:szCs w:val="21"/>
          <w:highlight w:val="none"/>
        </w:rPr>
        <w:t>，</w:t>
      </w:r>
      <w:r>
        <w:rPr>
          <w:rFonts w:hint="eastAsia" w:ascii="Times New Roman" w:hAnsi="Times New Roman" w:eastAsia="宋体" w:cs="宋体"/>
          <w:b/>
          <w:color w:val="auto"/>
          <w:spacing w:val="0"/>
          <w:kern w:val="0"/>
          <w:szCs w:val="21"/>
          <w:highlight w:val="none"/>
        </w:rPr>
        <w:t>视为响应文件无效。</w:t>
      </w:r>
      <w:r>
        <w:rPr>
          <w:rFonts w:hint="eastAsia" w:ascii="Times New Roman" w:hAnsi="Times New Roman" w:eastAsia="宋体" w:cs="宋体"/>
          <w:color w:val="auto"/>
          <w:spacing w:val="0"/>
          <w:kern w:val="0"/>
          <w:szCs w:val="21"/>
          <w:highlight w:val="none"/>
        </w:rPr>
        <w:t>（解密</w:t>
      </w:r>
      <w:r>
        <w:rPr>
          <w:rFonts w:hint="eastAsia" w:ascii="Times New Roman" w:hAnsi="Times New Roman" w:eastAsia="宋体" w:cs="宋体"/>
          <w:bCs/>
          <w:color w:val="auto"/>
          <w:spacing w:val="0"/>
          <w:kern w:val="0"/>
          <w:szCs w:val="21"/>
          <w:highlight w:val="none"/>
        </w:rPr>
        <w:t>异常情况处理：详见本章</w:t>
      </w:r>
      <w:r>
        <w:rPr>
          <w:rFonts w:hint="eastAsia" w:ascii="Times New Roman" w:hAnsi="Times New Roman" w:eastAsia="宋体" w:cs="宋体"/>
          <w:color w:val="auto"/>
          <w:spacing w:val="0"/>
          <w:kern w:val="0"/>
          <w:szCs w:val="21"/>
          <w:highlight w:val="none"/>
        </w:rPr>
        <w:t>2</w:t>
      </w:r>
      <w:r>
        <w:rPr>
          <w:rFonts w:hint="eastAsia" w:ascii="Times New Roman" w:hAnsi="Times New Roman" w:eastAsia="宋体" w:cs="宋体"/>
          <w:color w:val="auto"/>
          <w:spacing w:val="0"/>
          <w:kern w:val="0"/>
          <w:szCs w:val="21"/>
          <w:highlight w:val="none"/>
          <w:lang w:val="en-US" w:eastAsia="zh-CN"/>
        </w:rPr>
        <w:t>5</w:t>
      </w:r>
      <w:r>
        <w:rPr>
          <w:rFonts w:hint="eastAsia" w:ascii="Times New Roman" w:hAnsi="Times New Roman" w:eastAsia="宋体" w:cs="宋体"/>
          <w:color w:val="auto"/>
          <w:spacing w:val="0"/>
          <w:kern w:val="0"/>
          <w:szCs w:val="21"/>
          <w:highlight w:val="none"/>
        </w:rPr>
        <w:t>.</w:t>
      </w:r>
      <w:r>
        <w:rPr>
          <w:rFonts w:hint="eastAsia" w:ascii="Times New Roman" w:hAnsi="Times New Roman" w:eastAsia="宋体" w:cs="宋体"/>
          <w:color w:val="auto"/>
          <w:spacing w:val="0"/>
          <w:kern w:val="0"/>
          <w:szCs w:val="21"/>
          <w:highlight w:val="none"/>
          <w:lang w:val="en-US" w:eastAsia="zh-CN"/>
        </w:rPr>
        <w:t>4</w:t>
      </w:r>
      <w:r>
        <w:rPr>
          <w:rFonts w:hint="eastAsia" w:ascii="Times New Roman" w:hAnsi="Times New Roman" w:eastAsia="宋体" w:cs="宋体"/>
          <w:color w:val="auto"/>
          <w:spacing w:val="0"/>
          <w:kern w:val="0"/>
          <w:szCs w:val="21"/>
          <w:highlight w:val="none"/>
        </w:rPr>
        <w:t>电子交易活动的中止。）</w:t>
      </w:r>
    </w:p>
    <w:p w14:paraId="4CC21A6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kern w:val="0"/>
          <w:szCs w:val="21"/>
          <w:highlight w:val="none"/>
        </w:rPr>
      </w:pPr>
      <w:r>
        <w:rPr>
          <w:rFonts w:hint="eastAsia" w:ascii="Times New Roman" w:hAnsi="Times New Roman" w:eastAsia="宋体" w:cs="宋体"/>
          <w:color w:val="auto"/>
          <w:spacing w:val="0"/>
          <w:kern w:val="0"/>
          <w:szCs w:val="21"/>
          <w:highlight w:val="none"/>
        </w:rPr>
        <w:t>如</w:t>
      </w:r>
      <w:r>
        <w:rPr>
          <w:rFonts w:hint="eastAsia" w:ascii="Times New Roman" w:hAnsi="Times New Roman" w:eastAsia="宋体" w:cs="宋体"/>
          <w:bCs/>
          <w:color w:val="auto"/>
          <w:spacing w:val="0"/>
          <w:kern w:val="0"/>
          <w:szCs w:val="21"/>
          <w:highlight w:val="none"/>
        </w:rPr>
        <w:t>供应商成功解密响应文件，但未在“</w:t>
      </w:r>
      <w:r>
        <w:rPr>
          <w:rFonts w:hint="eastAsia" w:ascii="Times New Roman" w:hAnsi="Times New Roman" w:eastAsia="宋体" w:cs="宋体"/>
          <w:b w:val="0"/>
          <w:bCs w:val="0"/>
          <w:color w:val="auto"/>
          <w:spacing w:val="0"/>
          <w:sz w:val="21"/>
          <w:szCs w:val="21"/>
          <w:highlight w:val="none"/>
          <w:lang w:val="en-US" w:eastAsia="zh-CN"/>
        </w:rPr>
        <w:t>广西政府采购云平台</w:t>
      </w:r>
      <w:r>
        <w:rPr>
          <w:rFonts w:hint="eastAsia" w:ascii="Times New Roman" w:hAnsi="Times New Roman" w:eastAsia="宋体" w:cs="宋体"/>
          <w:bCs/>
          <w:color w:val="auto"/>
          <w:spacing w:val="0"/>
          <w:kern w:val="0"/>
          <w:szCs w:val="21"/>
          <w:highlight w:val="none"/>
        </w:rPr>
        <w:t>”电子开标大厅参加</w:t>
      </w:r>
      <w:r>
        <w:rPr>
          <w:rFonts w:hint="eastAsia" w:ascii="Times New Roman" w:hAnsi="Times New Roman" w:eastAsia="宋体" w:cs="宋体"/>
          <w:bCs/>
          <w:color w:val="auto"/>
          <w:spacing w:val="0"/>
          <w:kern w:val="0"/>
          <w:szCs w:val="21"/>
          <w:highlight w:val="none"/>
          <w:lang w:eastAsia="zh-CN"/>
        </w:rPr>
        <w:t>磋商</w:t>
      </w:r>
      <w:r>
        <w:rPr>
          <w:rFonts w:hint="eastAsia" w:ascii="Times New Roman" w:hAnsi="Times New Roman" w:eastAsia="宋体" w:cs="宋体"/>
          <w:bCs/>
          <w:color w:val="auto"/>
          <w:spacing w:val="0"/>
          <w:kern w:val="0"/>
          <w:szCs w:val="21"/>
          <w:highlight w:val="none"/>
        </w:rPr>
        <w:t>的，视同认可</w:t>
      </w:r>
      <w:r>
        <w:rPr>
          <w:rFonts w:hint="eastAsia" w:ascii="Times New Roman" w:hAnsi="Times New Roman" w:eastAsia="宋体" w:cs="宋体"/>
          <w:bCs/>
          <w:color w:val="auto"/>
          <w:spacing w:val="0"/>
          <w:kern w:val="0"/>
          <w:szCs w:val="21"/>
          <w:highlight w:val="none"/>
          <w:lang w:eastAsia="zh-CN"/>
        </w:rPr>
        <w:t>磋商</w:t>
      </w:r>
      <w:r>
        <w:rPr>
          <w:rFonts w:hint="eastAsia" w:ascii="Times New Roman" w:hAnsi="Times New Roman" w:eastAsia="宋体" w:cs="宋体"/>
          <w:bCs/>
          <w:color w:val="auto"/>
          <w:spacing w:val="0"/>
          <w:kern w:val="0"/>
          <w:szCs w:val="21"/>
          <w:highlight w:val="none"/>
        </w:rPr>
        <w:t>过程和结果，</w:t>
      </w:r>
      <w:r>
        <w:rPr>
          <w:rFonts w:hint="eastAsia" w:ascii="Times New Roman" w:hAnsi="Times New Roman" w:eastAsia="宋体" w:cs="宋体"/>
          <w:color w:val="auto"/>
          <w:spacing w:val="0"/>
          <w:kern w:val="0"/>
          <w:szCs w:val="21"/>
          <w:highlight w:val="none"/>
        </w:rPr>
        <w:t>由此产生的后果由供应商自行负责。 参与</w:t>
      </w:r>
      <w:r>
        <w:rPr>
          <w:rFonts w:hint="eastAsia" w:ascii="Times New Roman" w:hAnsi="Times New Roman" w:eastAsia="宋体" w:cs="宋体"/>
          <w:color w:val="auto"/>
          <w:spacing w:val="0"/>
          <w:kern w:val="0"/>
          <w:szCs w:val="21"/>
          <w:highlight w:val="none"/>
          <w:lang w:eastAsia="zh-CN"/>
        </w:rPr>
        <w:t>磋商</w:t>
      </w:r>
      <w:r>
        <w:rPr>
          <w:rFonts w:hint="eastAsia" w:ascii="Times New Roman" w:hAnsi="Times New Roman" w:eastAsia="宋体" w:cs="宋体"/>
          <w:color w:val="auto"/>
          <w:spacing w:val="0"/>
          <w:kern w:val="0"/>
          <w:szCs w:val="21"/>
          <w:highlight w:val="none"/>
        </w:rPr>
        <w:t>的供应商不足3家的，不得</w:t>
      </w:r>
      <w:r>
        <w:rPr>
          <w:rFonts w:hint="eastAsia" w:ascii="Times New Roman" w:hAnsi="Times New Roman" w:eastAsia="宋体" w:cs="宋体"/>
          <w:color w:val="auto"/>
          <w:spacing w:val="0"/>
          <w:kern w:val="0"/>
          <w:szCs w:val="21"/>
          <w:highlight w:val="none"/>
          <w:lang w:eastAsia="zh-CN"/>
        </w:rPr>
        <w:t>磋商</w:t>
      </w:r>
      <w:r>
        <w:rPr>
          <w:rFonts w:hint="eastAsia" w:ascii="Times New Roman" w:hAnsi="Times New Roman" w:eastAsia="宋体" w:cs="宋体"/>
          <w:color w:val="auto"/>
          <w:spacing w:val="0"/>
          <w:kern w:val="0"/>
          <w:szCs w:val="21"/>
          <w:highlight w:val="none"/>
        </w:rPr>
        <w:t>。</w:t>
      </w:r>
    </w:p>
    <w:p w14:paraId="0062CCD7">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28" w:name="_Toc751"/>
      <w:r>
        <w:rPr>
          <w:rFonts w:hint="eastAsia" w:ascii="Times New Roman" w:hAnsi="Times New Roman" w:eastAsia="宋体" w:cs="宋体"/>
          <w:b/>
          <w:bCs/>
          <w:color w:val="auto"/>
          <w:spacing w:val="0"/>
          <w:sz w:val="21"/>
          <w:szCs w:val="21"/>
          <w:highlight w:val="none"/>
        </w:rPr>
        <w:t>2</w:t>
      </w:r>
      <w:r>
        <w:rPr>
          <w:rFonts w:hint="eastAsia" w:ascii="Times New Roman" w:hAnsi="Times New Roman" w:eastAsia="宋体" w:cs="宋体"/>
          <w:b/>
          <w:bCs/>
          <w:color w:val="auto"/>
          <w:spacing w:val="0"/>
          <w:sz w:val="21"/>
          <w:szCs w:val="21"/>
          <w:highlight w:val="none"/>
          <w:lang w:val="en-US" w:eastAsia="zh-CN"/>
        </w:rPr>
        <w:t>5</w:t>
      </w:r>
      <w:r>
        <w:rPr>
          <w:rFonts w:hint="eastAsia" w:ascii="Times New Roman" w:hAnsi="Times New Roman" w:eastAsia="宋体" w:cs="宋体"/>
          <w:b/>
          <w:bCs/>
          <w:color w:val="auto"/>
          <w:spacing w:val="0"/>
          <w:sz w:val="21"/>
          <w:szCs w:val="21"/>
          <w:highlight w:val="none"/>
        </w:rPr>
        <w:t>.评审程序、评审方法和评审标准</w:t>
      </w:r>
      <w:bookmarkEnd w:id="128"/>
    </w:p>
    <w:p w14:paraId="41A3D6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5</w:t>
      </w:r>
      <w:r>
        <w:rPr>
          <w:rFonts w:hint="eastAsia" w:ascii="Times New Roman" w:hAnsi="Times New Roman" w:eastAsia="宋体" w:cs="宋体"/>
          <w:color w:val="auto"/>
          <w:spacing w:val="0"/>
          <w:szCs w:val="21"/>
          <w:highlight w:val="none"/>
        </w:rPr>
        <w:t>.1</w:t>
      </w:r>
      <w:r>
        <w:rPr>
          <w:rFonts w:hint="eastAsia" w:ascii="Times New Roman" w:hAnsi="Times New Roman" w:eastAsia="宋体" w:cs="宋体"/>
          <w:color w:val="auto"/>
          <w:spacing w:val="0"/>
          <w:highlight w:val="none"/>
        </w:rPr>
        <w:t>本项目的</w:t>
      </w:r>
      <w:r>
        <w:rPr>
          <w:rFonts w:hint="eastAsia" w:ascii="Times New Roman" w:hAnsi="Times New Roman" w:eastAsia="宋体" w:cs="宋体"/>
          <w:color w:val="auto"/>
          <w:spacing w:val="0"/>
          <w:highlight w:val="none"/>
          <w:lang w:eastAsia="zh-CN"/>
        </w:rPr>
        <w:t>评审方法</w:t>
      </w:r>
      <w:r>
        <w:rPr>
          <w:rFonts w:hint="eastAsia" w:ascii="Times New Roman" w:hAnsi="Times New Roman" w:eastAsia="宋体" w:cs="宋体"/>
          <w:color w:val="auto"/>
          <w:spacing w:val="0"/>
          <w:highlight w:val="none"/>
        </w:rPr>
        <w:t>详见“</w:t>
      </w:r>
      <w:r>
        <w:rPr>
          <w:rFonts w:hint="eastAsia" w:ascii="Times New Roman" w:hAnsi="Times New Roman" w:eastAsia="宋体" w:cs="宋体"/>
          <w:color w:val="auto"/>
          <w:spacing w:val="0"/>
          <w:highlight w:val="none"/>
          <w:lang w:val="en-US" w:eastAsia="zh-CN"/>
        </w:rPr>
        <w:t>供应商</w:t>
      </w:r>
      <w:r>
        <w:rPr>
          <w:rFonts w:hint="eastAsia" w:ascii="Times New Roman" w:hAnsi="Times New Roman" w:eastAsia="宋体" w:cs="宋体"/>
          <w:color w:val="auto"/>
          <w:spacing w:val="0"/>
          <w:highlight w:val="none"/>
        </w:rPr>
        <w:t>须知前附表”</w:t>
      </w:r>
      <w:r>
        <w:rPr>
          <w:rFonts w:hint="eastAsia" w:ascii="Times New Roman" w:hAnsi="Times New Roman" w:eastAsia="宋体" w:cs="宋体"/>
          <w:color w:val="auto"/>
          <w:spacing w:val="0"/>
          <w:highlight w:val="none"/>
          <w:lang w:eastAsia="zh-CN"/>
        </w:rPr>
        <w:t>。</w:t>
      </w:r>
      <w:r>
        <w:rPr>
          <w:rFonts w:hint="eastAsia" w:ascii="Times New Roman" w:hAnsi="Times New Roman" w:eastAsia="宋体" w:cs="宋体"/>
          <w:color w:val="auto"/>
          <w:spacing w:val="0"/>
          <w:szCs w:val="21"/>
          <w:highlight w:val="none"/>
        </w:rPr>
        <w:t>磋商小组按照</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第四章 评审程序、评审方法和评审标准</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规定的方法、评审因素、标准和程序对响应文件进行评审。</w:t>
      </w:r>
    </w:p>
    <w:p w14:paraId="072DD9DC">
      <w:pPr>
        <w:pStyle w:val="13"/>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5</w:t>
      </w:r>
      <w:r>
        <w:rPr>
          <w:rFonts w:hint="eastAsia" w:ascii="Times New Roman" w:hAnsi="Times New Roman" w:eastAsia="宋体" w:cs="宋体"/>
          <w:color w:val="auto"/>
          <w:spacing w:val="0"/>
          <w:szCs w:val="21"/>
          <w:highlight w:val="none"/>
        </w:rPr>
        <w:t>.2磋商文件内容违反国家有关强制性规定的，磋商小组应当停止评审并向采购人或者采购代理机构说明情况，并在评审报告中书面体现。</w:t>
      </w:r>
    </w:p>
    <w:p w14:paraId="5A623B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5</w:t>
      </w:r>
      <w:r>
        <w:rPr>
          <w:rFonts w:hint="eastAsia" w:ascii="Times New Roman" w:hAnsi="Times New Roman" w:eastAsia="宋体" w:cs="宋体"/>
          <w:color w:val="auto"/>
          <w:spacing w:val="0"/>
          <w:szCs w:val="21"/>
          <w:highlight w:val="none"/>
        </w:rPr>
        <w:t>.3 采购需求负偏离要求及磋商顺序详见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76FAD50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2</w:t>
      </w:r>
      <w:r>
        <w:rPr>
          <w:rFonts w:hint="eastAsia" w:ascii="Times New Roman" w:hAnsi="Times New Roman" w:eastAsia="宋体" w:cs="宋体"/>
          <w:color w:val="auto"/>
          <w:spacing w:val="0"/>
          <w:highlight w:val="none"/>
          <w:lang w:val="en-US" w:eastAsia="zh-CN"/>
        </w:rPr>
        <w:t>5</w:t>
      </w:r>
      <w:r>
        <w:rPr>
          <w:rFonts w:hint="eastAsia" w:ascii="Times New Roman" w:hAnsi="Times New Roman" w:eastAsia="宋体" w:cs="宋体"/>
          <w:color w:val="auto"/>
          <w:spacing w:val="0"/>
          <w:highlight w:val="none"/>
        </w:rPr>
        <w:t>.4电子交易活动的中止。采购过程中出现以下情形，导致电子交易平台无法正常运行，或者无法保证电子交易的公平、公正和安全时，采购机构可中止电子交易活动：</w:t>
      </w:r>
    </w:p>
    <w:p w14:paraId="7084DD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 xml:space="preserve">（1）电子交易平台发生故障而无法登录访问的； </w:t>
      </w:r>
    </w:p>
    <w:p w14:paraId="5DD2308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（2）电子交易平台应用或数据库出现错误，不能进行正常操作的；</w:t>
      </w:r>
    </w:p>
    <w:p w14:paraId="0C4EF7A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（3）电子交易平台发现严重安全漏洞，有潜在泄密危险的；</w:t>
      </w:r>
    </w:p>
    <w:p w14:paraId="111C64D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 xml:space="preserve">（4）病毒发作导致不能进行正常操作的； </w:t>
      </w:r>
    </w:p>
    <w:p w14:paraId="12574D2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（5）其他无法保证电子交易的公平、公正和安全的情况。</w:t>
      </w:r>
    </w:p>
    <w:p w14:paraId="2DF0422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2</w:t>
      </w:r>
      <w:r>
        <w:rPr>
          <w:rFonts w:hint="eastAsia" w:ascii="Times New Roman" w:hAnsi="Times New Roman" w:eastAsia="宋体" w:cs="宋体"/>
          <w:color w:val="auto"/>
          <w:spacing w:val="0"/>
          <w:highlight w:val="none"/>
          <w:lang w:val="en-US" w:eastAsia="zh-CN"/>
        </w:rPr>
        <w:t>5</w:t>
      </w:r>
      <w:r>
        <w:rPr>
          <w:rFonts w:hint="eastAsia" w:ascii="Times New Roman" w:hAnsi="Times New Roman" w:eastAsia="宋体" w:cs="宋体"/>
          <w:color w:val="auto"/>
          <w:spacing w:val="0"/>
          <w:highlight w:val="none"/>
        </w:rPr>
        <w:t>.5出现以上情形，不影响采购公平、公正性的，采购组织机构可以待上述情形消除后继续组织电子交易活动；影响或可能影响采购公平、公正性的，经采购代理机构确认后，应当重新采购。采购代理机构必须对原有的资料及信息作出妥善保密处理，并报财政部门备案。</w:t>
      </w:r>
    </w:p>
    <w:p w14:paraId="384E5C60">
      <w:pPr>
        <w:pStyle w:val="4"/>
        <w:keepNext/>
        <w:keepLines/>
        <w:pageBreakBefore w:val="0"/>
        <w:widowControl w:val="0"/>
        <w:kinsoku/>
        <w:wordWrap/>
        <w:overflowPunct/>
        <w:topLinePunct w:val="0"/>
        <w:autoSpaceDE/>
        <w:autoSpaceDN/>
        <w:bidi w:val="0"/>
        <w:adjustRightInd/>
        <w:snapToGrid/>
        <w:spacing w:before="0" w:beforeLines="50" w:after="0" w:line="360" w:lineRule="auto"/>
        <w:jc w:val="center"/>
        <w:textAlignment w:val="auto"/>
        <w:rPr>
          <w:rFonts w:hint="eastAsia" w:ascii="Times New Roman" w:hAnsi="Times New Roman" w:eastAsia="宋体" w:cs="宋体"/>
          <w:bCs w:val="0"/>
          <w:color w:val="auto"/>
          <w:spacing w:val="0"/>
          <w:sz w:val="24"/>
          <w:szCs w:val="24"/>
          <w:highlight w:val="none"/>
        </w:rPr>
      </w:pPr>
      <w:bookmarkStart w:id="129" w:name="_Toc80886934"/>
      <w:bookmarkStart w:id="130" w:name="_Toc12018"/>
      <w:bookmarkStart w:id="131" w:name="_Toc8922"/>
      <w:bookmarkStart w:id="132" w:name="_Toc17745"/>
      <w:r>
        <w:rPr>
          <w:rFonts w:hint="eastAsia" w:ascii="Times New Roman" w:hAnsi="Times New Roman" w:eastAsia="宋体" w:cs="宋体"/>
          <w:bCs w:val="0"/>
          <w:color w:val="auto"/>
          <w:spacing w:val="0"/>
          <w:sz w:val="24"/>
          <w:szCs w:val="24"/>
          <w:highlight w:val="none"/>
        </w:rPr>
        <w:t>五、成交及合同</w:t>
      </w:r>
      <w:bookmarkEnd w:id="129"/>
      <w:bookmarkEnd w:id="130"/>
      <w:bookmarkEnd w:id="131"/>
      <w:bookmarkEnd w:id="132"/>
    </w:p>
    <w:p w14:paraId="5ACE1432">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33" w:name="_Toc13237"/>
      <w:r>
        <w:rPr>
          <w:rFonts w:hint="eastAsia" w:ascii="Times New Roman" w:hAnsi="Times New Roman" w:eastAsia="宋体" w:cs="宋体"/>
          <w:b/>
          <w:bCs/>
          <w:color w:val="auto"/>
          <w:spacing w:val="0"/>
          <w:sz w:val="21"/>
          <w:szCs w:val="21"/>
          <w:highlight w:val="none"/>
        </w:rPr>
        <w:t>2</w:t>
      </w:r>
      <w:r>
        <w:rPr>
          <w:rFonts w:hint="eastAsia" w:ascii="Times New Roman" w:hAnsi="Times New Roman" w:eastAsia="宋体" w:cs="宋体"/>
          <w:b/>
          <w:bCs/>
          <w:color w:val="auto"/>
          <w:spacing w:val="0"/>
          <w:sz w:val="21"/>
          <w:szCs w:val="21"/>
          <w:highlight w:val="none"/>
          <w:lang w:val="en-US" w:eastAsia="zh-CN"/>
        </w:rPr>
        <w:t>6</w:t>
      </w:r>
      <w:r>
        <w:rPr>
          <w:rFonts w:hint="eastAsia" w:ascii="Times New Roman" w:hAnsi="Times New Roman" w:eastAsia="宋体" w:cs="宋体"/>
          <w:b/>
          <w:bCs/>
          <w:color w:val="auto"/>
          <w:spacing w:val="0"/>
          <w:sz w:val="21"/>
          <w:szCs w:val="21"/>
          <w:highlight w:val="none"/>
        </w:rPr>
        <w:t>.确定成交供应商及结果公告</w:t>
      </w:r>
      <w:bookmarkEnd w:id="133"/>
    </w:p>
    <w:p w14:paraId="7E125E3D">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6</w:t>
      </w:r>
      <w:r>
        <w:rPr>
          <w:rFonts w:hint="eastAsia" w:ascii="Times New Roman" w:hAnsi="Times New Roman" w:eastAsia="宋体" w:cs="宋体"/>
          <w:color w:val="auto"/>
          <w:spacing w:val="0"/>
          <w:szCs w:val="21"/>
          <w:highlight w:val="none"/>
        </w:rPr>
        <w:t>.1确定成交供应商。采购代理机构应当在评审结束后2个工作日内将评审报告送采购人确认。采购人应当在收到评审报告后5个工作日内，从评审报告提出的成交候选供应商中，按照排序由高到低的原则确定成交供应商，也可以书面授权磋商小组直接确定成交供应商。采购人逾期未确定成交供应商且不提出异议的，视为确定评审报告提出的排序第一的供应商为成交供应商。</w:t>
      </w:r>
    </w:p>
    <w:p w14:paraId="523BFB92">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6</w:t>
      </w:r>
      <w:r>
        <w:rPr>
          <w:rFonts w:hint="eastAsia" w:ascii="Times New Roman" w:hAnsi="Times New Roman" w:eastAsia="宋体" w:cs="宋体"/>
          <w:color w:val="auto"/>
          <w:spacing w:val="0"/>
          <w:szCs w:val="21"/>
          <w:highlight w:val="none"/>
        </w:rPr>
        <w:t>.2成交通知及成交结果公告。采购代理机构应当在</w:t>
      </w:r>
      <w:r>
        <w:rPr>
          <w:rFonts w:hint="eastAsia" w:ascii="Times New Roman" w:hAnsi="Times New Roman" w:eastAsia="宋体" w:cs="宋体"/>
          <w:color w:val="auto"/>
          <w:spacing w:val="0"/>
          <w:kern w:val="0"/>
          <w:szCs w:val="21"/>
          <w:highlight w:val="none"/>
        </w:rPr>
        <w:t>成交</w:t>
      </w:r>
      <w:r>
        <w:rPr>
          <w:rFonts w:hint="eastAsia" w:ascii="Times New Roman" w:hAnsi="Times New Roman" w:eastAsia="宋体" w:cs="宋体"/>
          <w:color w:val="auto"/>
          <w:spacing w:val="0"/>
          <w:szCs w:val="21"/>
          <w:highlight w:val="none"/>
        </w:rPr>
        <w:t>供应商确定后2个工作日内，在省级以上财政部门指定的媒体上公告成交结果，同时向成交供应商发出成交通知书。</w:t>
      </w:r>
    </w:p>
    <w:p w14:paraId="4B87B20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bookmarkStart w:id="134" w:name="OLE_LINK24"/>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6</w:t>
      </w:r>
      <w:r>
        <w:rPr>
          <w:rFonts w:hint="eastAsia" w:ascii="Times New Roman" w:hAnsi="Times New Roman" w:eastAsia="宋体" w:cs="宋体"/>
          <w:color w:val="auto"/>
          <w:spacing w:val="0"/>
          <w:szCs w:val="21"/>
          <w:highlight w:val="none"/>
        </w:rPr>
        <w:t>.3采购人或者采购代理机构发出成交通知书前，应当对成交供应商信用进行查询核实，对列入失信被执行人、重大税收违法失信主体、政府采购严重违法失信行为记录名单及其他不符合《中华人民共和国政府采购法》第二十二条规定条件的供应商，取消其成交资格，并依法确定排名第二的成交候选人为成交供应商。</w:t>
      </w:r>
      <w:bookmarkEnd w:id="134"/>
      <w:r>
        <w:rPr>
          <w:rFonts w:hint="eastAsia" w:ascii="Times New Roman" w:hAnsi="Times New Roman" w:eastAsia="宋体" w:cs="宋体"/>
          <w:color w:val="auto"/>
          <w:spacing w:val="0"/>
          <w:szCs w:val="21"/>
          <w:highlight w:val="none"/>
        </w:rPr>
        <w:t>排名第二的成交候选人因上述规定的同样原因被取消成交资格的，采购人可以依法确定排名第三的成交候选人为成交供应商，以此类推。以上信息查询记录及相关证据与磋商文件一并保存。成交供应商享受《政府采购促进中小企业发展管理办法》（财库〔2020〕46号）规定的中小企业扶持政策的，采购人、采购代理机构应当随成交结果公开成交供应商的《中小企业声明函》。</w:t>
      </w:r>
    </w:p>
    <w:p w14:paraId="557D454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6</w:t>
      </w:r>
      <w:r>
        <w:rPr>
          <w:rFonts w:hint="eastAsia" w:ascii="Times New Roman" w:hAnsi="Times New Roman" w:eastAsia="宋体" w:cs="宋体"/>
          <w:color w:val="auto"/>
          <w:spacing w:val="0"/>
          <w:szCs w:val="21"/>
          <w:highlight w:val="none"/>
        </w:rPr>
        <w:t>.4采购人、采购代理机构认为供应商对采购过程、成交结果提出的质疑成立且影响或者可能影响成交结果的，合格供应商符合法定数量时，可以从合格的成交候选人中另行确定成交供应商的，应当依法另行确定成交供应商；否则应当重新开展采购活动。</w:t>
      </w:r>
    </w:p>
    <w:p w14:paraId="73FAF9E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bCs/>
          <w:color w:val="auto"/>
          <w:spacing w:val="0"/>
          <w:szCs w:val="21"/>
          <w:highlight w:val="none"/>
        </w:rPr>
        <w:t>2</w:t>
      </w:r>
      <w:r>
        <w:rPr>
          <w:rFonts w:hint="eastAsia" w:ascii="Times New Roman" w:hAnsi="Times New Roman" w:eastAsia="宋体" w:cs="宋体"/>
          <w:bCs/>
          <w:color w:val="auto"/>
          <w:spacing w:val="0"/>
          <w:szCs w:val="21"/>
          <w:highlight w:val="none"/>
          <w:lang w:val="en-US" w:eastAsia="zh-CN"/>
        </w:rPr>
        <w:t>6</w:t>
      </w:r>
      <w:r>
        <w:rPr>
          <w:rFonts w:hint="eastAsia" w:ascii="Times New Roman" w:hAnsi="Times New Roman" w:eastAsia="宋体" w:cs="宋体"/>
          <w:bCs/>
          <w:color w:val="auto"/>
          <w:spacing w:val="0"/>
          <w:szCs w:val="21"/>
          <w:highlight w:val="none"/>
        </w:rPr>
        <w:t>.5排名第一的成交候选人放弃成交，采购人可以按照评审报告推荐的成交候选人名单排序，依法确定下一候选人为成交</w:t>
      </w:r>
      <w:r>
        <w:rPr>
          <w:rFonts w:hint="eastAsia" w:ascii="Times New Roman" w:hAnsi="Times New Roman" w:eastAsia="宋体" w:cs="宋体"/>
          <w:color w:val="auto"/>
          <w:spacing w:val="0"/>
          <w:szCs w:val="21"/>
          <w:highlight w:val="none"/>
        </w:rPr>
        <w:t>供应商</w:t>
      </w:r>
      <w:r>
        <w:rPr>
          <w:rFonts w:hint="eastAsia" w:ascii="Times New Roman" w:hAnsi="Times New Roman" w:eastAsia="宋体" w:cs="宋体"/>
          <w:bCs/>
          <w:color w:val="auto"/>
          <w:spacing w:val="0"/>
          <w:szCs w:val="21"/>
          <w:highlight w:val="none"/>
        </w:rPr>
        <w:t>，也可以重新开展政府采购活动</w:t>
      </w:r>
      <w:r>
        <w:rPr>
          <w:rFonts w:hint="eastAsia" w:ascii="Times New Roman" w:hAnsi="Times New Roman" w:eastAsia="宋体" w:cs="宋体"/>
          <w:color w:val="auto"/>
          <w:spacing w:val="0"/>
          <w:szCs w:val="21"/>
          <w:highlight w:val="none"/>
        </w:rPr>
        <w:t>。</w:t>
      </w:r>
    </w:p>
    <w:p w14:paraId="49AF13D5">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35" w:name="_Toc22721"/>
      <w:r>
        <w:rPr>
          <w:rFonts w:hint="eastAsia" w:ascii="Times New Roman" w:hAnsi="Times New Roman" w:eastAsia="宋体" w:cs="宋体"/>
          <w:b/>
          <w:bCs/>
          <w:color w:val="auto"/>
          <w:spacing w:val="0"/>
          <w:sz w:val="21"/>
          <w:szCs w:val="21"/>
          <w:highlight w:val="none"/>
        </w:rPr>
        <w:t>2</w:t>
      </w:r>
      <w:r>
        <w:rPr>
          <w:rFonts w:hint="eastAsia" w:ascii="Times New Roman" w:hAnsi="Times New Roman" w:eastAsia="宋体" w:cs="宋体"/>
          <w:b/>
          <w:bCs/>
          <w:color w:val="auto"/>
          <w:spacing w:val="0"/>
          <w:sz w:val="21"/>
          <w:szCs w:val="21"/>
          <w:highlight w:val="none"/>
          <w:lang w:val="en-US" w:eastAsia="zh-CN"/>
        </w:rPr>
        <w:t>7</w:t>
      </w:r>
      <w:r>
        <w:rPr>
          <w:rFonts w:hint="eastAsia" w:ascii="Times New Roman" w:hAnsi="Times New Roman" w:eastAsia="宋体" w:cs="宋体"/>
          <w:b/>
          <w:bCs/>
          <w:color w:val="auto"/>
          <w:spacing w:val="0"/>
          <w:sz w:val="21"/>
          <w:szCs w:val="21"/>
          <w:highlight w:val="none"/>
        </w:rPr>
        <w:t>.履约保证金</w:t>
      </w:r>
      <w:bookmarkEnd w:id="135"/>
    </w:p>
    <w:p w14:paraId="3D91F84E">
      <w:pPr>
        <w:pageBreakBefore w:val="0"/>
        <w:widowControl w:val="0"/>
        <w:kinsoku/>
        <w:wordWrap/>
        <w:overflowPunct/>
        <w:topLinePunct w:val="0"/>
        <w:autoSpaceDE/>
        <w:autoSpaceDN/>
        <w:bidi w:val="0"/>
        <w:spacing w:line="360" w:lineRule="auto"/>
        <w:ind w:firstLine="424" w:firstLineChars="202"/>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7</w:t>
      </w:r>
      <w:r>
        <w:rPr>
          <w:rFonts w:hint="eastAsia" w:ascii="Times New Roman" w:hAnsi="Times New Roman" w:eastAsia="宋体" w:cs="宋体"/>
          <w:color w:val="auto"/>
          <w:spacing w:val="0"/>
          <w:szCs w:val="21"/>
          <w:highlight w:val="none"/>
        </w:rPr>
        <w:t>.1 履约保证金的金额、提交方式、退付的时间和条件详见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。成交供应商未按规定提交履约保证金的，视为拒绝</w:t>
      </w:r>
      <w:r>
        <w:rPr>
          <w:rFonts w:hint="eastAsia" w:ascii="Times New Roman" w:hAnsi="Times New Roman" w:eastAsia="宋体" w:cs="宋体"/>
          <w:color w:val="auto"/>
          <w:spacing w:val="0"/>
          <w:highlight w:val="none"/>
        </w:rPr>
        <w:t>与采购人</w:t>
      </w:r>
      <w:r>
        <w:rPr>
          <w:rFonts w:hint="eastAsia" w:ascii="Times New Roman" w:hAnsi="Times New Roman" w:eastAsia="宋体" w:cs="宋体"/>
          <w:color w:val="auto"/>
          <w:spacing w:val="0"/>
          <w:szCs w:val="21"/>
          <w:highlight w:val="none"/>
        </w:rPr>
        <w:t>签订合同，采购人可以按照评审报告推荐的成交候选人名单排序，依法确定下一候选人为成交供应商，也可以重新开展政府采购活动。</w:t>
      </w:r>
    </w:p>
    <w:p w14:paraId="725534EF">
      <w:pPr>
        <w:pageBreakBefore w:val="0"/>
        <w:widowControl w:val="0"/>
        <w:kinsoku/>
        <w:wordWrap/>
        <w:overflowPunct/>
        <w:topLinePunct w:val="0"/>
        <w:autoSpaceDE/>
        <w:autoSpaceDN/>
        <w:bidi w:val="0"/>
        <w:spacing w:line="360" w:lineRule="auto"/>
        <w:ind w:firstLine="424" w:firstLineChars="202"/>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7</w:t>
      </w:r>
      <w:r>
        <w:rPr>
          <w:rFonts w:hint="eastAsia" w:ascii="Times New Roman" w:hAnsi="Times New Roman" w:eastAsia="宋体" w:cs="宋体"/>
          <w:color w:val="auto"/>
          <w:spacing w:val="0"/>
          <w:szCs w:val="21"/>
          <w:highlight w:val="none"/>
        </w:rPr>
        <w:t>.2签订合同后，如成交供应商不按双方签订的合同规定履约，则没收其全部履约保证金，履约保证金不足以赔偿损失的，按实际损失赔偿。</w:t>
      </w:r>
    </w:p>
    <w:p w14:paraId="1C6E9AF8">
      <w:pPr>
        <w:pageBreakBefore w:val="0"/>
        <w:widowControl w:val="0"/>
        <w:kinsoku/>
        <w:wordWrap/>
        <w:overflowPunct/>
        <w:topLinePunct w:val="0"/>
        <w:autoSpaceDE/>
        <w:autoSpaceDN/>
        <w:bidi w:val="0"/>
        <w:spacing w:line="360" w:lineRule="auto"/>
        <w:ind w:firstLine="424" w:firstLineChars="202"/>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7</w:t>
      </w:r>
      <w:r>
        <w:rPr>
          <w:rFonts w:hint="eastAsia" w:ascii="Times New Roman" w:hAnsi="Times New Roman" w:eastAsia="宋体" w:cs="宋体"/>
          <w:color w:val="auto"/>
          <w:spacing w:val="0"/>
          <w:szCs w:val="21"/>
          <w:highlight w:val="none"/>
        </w:rPr>
        <w:t>.3在履约保证金退还日期前，若成交供应商的开户名称、开户银行、账号有变动的，请以书面形式通知履约保证金收取单位，否则由此产生的后果由成交供应商自行承担。</w:t>
      </w:r>
    </w:p>
    <w:p w14:paraId="7F53793D">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36" w:name="_Toc9845"/>
      <w:r>
        <w:rPr>
          <w:rFonts w:hint="eastAsia" w:ascii="Times New Roman" w:hAnsi="Times New Roman" w:eastAsia="宋体" w:cs="宋体"/>
          <w:b/>
          <w:bCs/>
          <w:color w:val="auto"/>
          <w:spacing w:val="0"/>
          <w:sz w:val="21"/>
          <w:szCs w:val="21"/>
          <w:highlight w:val="none"/>
        </w:rPr>
        <w:t>2</w:t>
      </w:r>
      <w:r>
        <w:rPr>
          <w:rFonts w:hint="eastAsia" w:ascii="Times New Roman" w:hAnsi="Times New Roman" w:eastAsia="宋体" w:cs="宋体"/>
          <w:b/>
          <w:bCs/>
          <w:color w:val="auto"/>
          <w:spacing w:val="0"/>
          <w:sz w:val="21"/>
          <w:szCs w:val="21"/>
          <w:highlight w:val="none"/>
          <w:lang w:val="en-US" w:eastAsia="zh-CN"/>
        </w:rPr>
        <w:t>8</w:t>
      </w:r>
      <w:r>
        <w:rPr>
          <w:rFonts w:hint="eastAsia" w:ascii="Times New Roman" w:hAnsi="Times New Roman" w:eastAsia="宋体" w:cs="宋体"/>
          <w:b/>
          <w:bCs/>
          <w:color w:val="auto"/>
          <w:spacing w:val="0"/>
          <w:sz w:val="21"/>
          <w:szCs w:val="21"/>
          <w:highlight w:val="none"/>
        </w:rPr>
        <w:t>.签订合同</w:t>
      </w:r>
      <w:bookmarkEnd w:id="136"/>
    </w:p>
    <w:p w14:paraId="1EDE32A5">
      <w:pPr>
        <w:pStyle w:val="72"/>
        <w:pageBreakBefore w:val="0"/>
        <w:widowControl w:val="0"/>
        <w:kinsoku/>
        <w:wordWrap/>
        <w:overflowPunct/>
        <w:topLinePunct w:val="0"/>
        <w:autoSpaceDE/>
        <w:autoSpaceDN/>
        <w:bidi w:val="0"/>
        <w:snapToGrid w:val="0"/>
        <w:spacing w:before="0" w:line="360" w:lineRule="auto"/>
        <w:ind w:firstLine="420"/>
        <w:rPr>
          <w:rFonts w:hint="eastAsia" w:ascii="Times New Roman" w:hAnsi="Times New Roman" w:eastAsia="宋体" w:cs="宋体"/>
          <w:color w:val="auto"/>
          <w:spacing w:val="0"/>
          <w:sz w:val="21"/>
          <w:szCs w:val="21"/>
          <w:highlight w:val="none"/>
          <w:lang w:val="zh-CN"/>
        </w:rPr>
      </w:pPr>
      <w:r>
        <w:rPr>
          <w:rFonts w:hint="eastAsia" w:ascii="Times New Roman" w:hAnsi="Times New Roman" w:eastAsia="宋体" w:cs="宋体"/>
          <w:color w:val="auto"/>
          <w:spacing w:val="0"/>
          <w:sz w:val="21"/>
          <w:szCs w:val="21"/>
          <w:highlight w:val="none"/>
        </w:rPr>
        <w:t>2</w:t>
      </w:r>
      <w:r>
        <w:rPr>
          <w:rFonts w:hint="eastAsia" w:ascii="Times New Roman" w:hAnsi="Times New Roman" w:eastAsia="宋体" w:cs="宋体"/>
          <w:color w:val="auto"/>
          <w:spacing w:val="0"/>
          <w:sz w:val="21"/>
          <w:szCs w:val="21"/>
          <w:highlight w:val="none"/>
          <w:lang w:val="en-US" w:eastAsia="zh-CN"/>
        </w:rPr>
        <w:t>8</w:t>
      </w:r>
      <w:r>
        <w:rPr>
          <w:rFonts w:hint="eastAsia" w:ascii="Times New Roman" w:hAnsi="Times New Roman" w:eastAsia="宋体" w:cs="宋体"/>
          <w:color w:val="auto"/>
          <w:spacing w:val="0"/>
          <w:sz w:val="21"/>
          <w:szCs w:val="21"/>
          <w:highlight w:val="none"/>
        </w:rPr>
        <w:t>.1采购人与成交供应商应当在成交通知书规定的时间内，按照磋商文件确定的合同文本以及采购标的、服务技术、采购金额、采购数量、技术和服务要求等事项签订政府采购合同。</w:t>
      </w:r>
      <w:r>
        <w:rPr>
          <w:rFonts w:hint="eastAsia" w:ascii="Times New Roman" w:hAnsi="Times New Roman" w:eastAsia="宋体" w:cs="宋体"/>
          <w:color w:val="auto"/>
          <w:spacing w:val="0"/>
          <w:sz w:val="21"/>
          <w:szCs w:val="21"/>
          <w:highlight w:val="none"/>
          <w:lang w:val="zh-CN"/>
        </w:rPr>
        <w:t>如成交供应商为联合体的，由联合体成员各方法定代表人或其授权代表与采购人代表签订合同。</w:t>
      </w:r>
    </w:p>
    <w:p w14:paraId="24DDD3C5">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8</w:t>
      </w:r>
      <w:r>
        <w:rPr>
          <w:rFonts w:hint="eastAsia" w:ascii="Times New Roman" w:hAnsi="Times New Roman" w:eastAsia="宋体" w:cs="宋体"/>
          <w:color w:val="auto"/>
          <w:spacing w:val="0"/>
          <w:szCs w:val="21"/>
          <w:highlight w:val="none"/>
        </w:rPr>
        <w:t>.2采购人不得向成交供应商提出超出磋商文件以外的任何要求作为签订合同的条件，不得与成交供应商订立背离磋商文件确定的合同文本以及采购标的、服务技术、采购金额、采购数量、技术和服务要求等实质性内容的协议。</w:t>
      </w:r>
    </w:p>
    <w:p w14:paraId="401B641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8</w:t>
      </w:r>
      <w:r>
        <w:rPr>
          <w:rFonts w:hint="eastAsia" w:ascii="Times New Roman" w:hAnsi="Times New Roman" w:eastAsia="宋体" w:cs="宋体"/>
          <w:color w:val="auto"/>
          <w:spacing w:val="0"/>
          <w:szCs w:val="21"/>
          <w:highlight w:val="none"/>
        </w:rPr>
        <w:t>.3成交供应商拒绝签订政府采购合同的，采购人可以按照评审报告推荐的成交候选人名单排序，依法确定下一候选人为成交供应商，也可以重新开展采购活动。拒绝签订政府采购合同的成交供应商不得参加对该项目重新开展的采购活动。</w:t>
      </w:r>
    </w:p>
    <w:p w14:paraId="5039F21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8</w:t>
      </w:r>
      <w:r>
        <w:rPr>
          <w:rFonts w:hint="eastAsia" w:ascii="Times New Roman" w:hAnsi="Times New Roman" w:eastAsia="宋体" w:cs="宋体"/>
          <w:color w:val="auto"/>
          <w:spacing w:val="0"/>
          <w:szCs w:val="21"/>
          <w:highlight w:val="none"/>
        </w:rPr>
        <w:t>.4如签订合同并生效后，供应商无故拒绝或延期，除按照合同条款处理外，列入不良行为记录，并给予通报。</w:t>
      </w:r>
    </w:p>
    <w:p w14:paraId="480CF059">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ascii="Times New Roman" w:hAnsi="Times New Roman" w:eastAsia="宋体" w:cs="宋体"/>
          <w:color w:val="auto"/>
          <w:spacing w:val="0"/>
          <w:szCs w:val="21"/>
          <w:highlight w:val="none"/>
          <w:lang w:val="en-US" w:eastAsia="zh-CN"/>
        </w:rPr>
        <w:t>8</w:t>
      </w:r>
      <w:r>
        <w:rPr>
          <w:rFonts w:hint="eastAsia" w:ascii="Times New Roman" w:hAnsi="Times New Roman" w:eastAsia="宋体" w:cs="宋体"/>
          <w:color w:val="auto"/>
          <w:spacing w:val="0"/>
          <w:szCs w:val="21"/>
          <w:highlight w:val="none"/>
        </w:rPr>
        <w:t>.5采购合同由采购人与成交供应商根据磋商文件、响应文件等内容签订，成交供应商应当在签订合同时向采购人出示相关证明材料，具体内容详见 “供应商须知前附表”，经采购人核验合格后方可签订合同</w:t>
      </w:r>
      <w:r>
        <w:rPr>
          <w:rFonts w:hint="eastAsia" w:ascii="Times New Roman" w:hAnsi="Times New Roman" w:eastAsia="宋体" w:cs="宋体"/>
          <w:color w:val="auto"/>
          <w:spacing w:val="0"/>
          <w:szCs w:val="21"/>
          <w:highlight w:val="none"/>
          <w:lang w:eastAsia="zh-CN"/>
        </w:rPr>
        <w:t>。</w:t>
      </w:r>
    </w:p>
    <w:p w14:paraId="707F912D">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37" w:name="_Toc31679"/>
      <w:r>
        <w:rPr>
          <w:rFonts w:hint="eastAsia" w:ascii="Times New Roman" w:hAnsi="Times New Roman" w:eastAsia="宋体" w:cs="宋体"/>
          <w:b/>
          <w:bCs/>
          <w:color w:val="auto"/>
          <w:spacing w:val="0"/>
          <w:sz w:val="21"/>
          <w:szCs w:val="21"/>
          <w:highlight w:val="none"/>
          <w:lang w:val="en-US" w:eastAsia="zh-CN"/>
        </w:rPr>
        <w:t>29</w:t>
      </w:r>
      <w:r>
        <w:rPr>
          <w:rFonts w:hint="eastAsia" w:ascii="Times New Roman" w:hAnsi="Times New Roman" w:eastAsia="宋体" w:cs="宋体"/>
          <w:b/>
          <w:bCs/>
          <w:color w:val="auto"/>
          <w:spacing w:val="0"/>
          <w:sz w:val="21"/>
          <w:szCs w:val="21"/>
          <w:highlight w:val="none"/>
        </w:rPr>
        <w:t>.政府采购合同公告</w:t>
      </w:r>
      <w:bookmarkEnd w:id="137"/>
    </w:p>
    <w:p w14:paraId="3961008E">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szCs w:val="21"/>
          <w:highlight w:val="none"/>
        </w:rPr>
        <w:t>采购人应当自政府采购合同签订之日起2个工作日内，将政府采购合同在省级以上人民政府财政部门指定的媒体上公告，但政府采购合同中涉及国家秘密、商业秘密的内容除外</w:t>
      </w:r>
      <w:r>
        <w:rPr>
          <w:rFonts w:hint="eastAsia" w:ascii="Times New Roman" w:hAnsi="Times New Roman" w:eastAsia="宋体" w:cs="宋体"/>
          <w:color w:val="auto"/>
          <w:spacing w:val="0"/>
          <w:highlight w:val="none"/>
        </w:rPr>
        <w:t>。</w:t>
      </w:r>
    </w:p>
    <w:p w14:paraId="34E707AF">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38" w:name="_Toc8671"/>
      <w:r>
        <w:rPr>
          <w:rFonts w:hint="eastAsia" w:ascii="Times New Roman" w:hAnsi="Times New Roman" w:eastAsia="宋体" w:cs="宋体"/>
          <w:b/>
          <w:bCs/>
          <w:color w:val="auto"/>
          <w:spacing w:val="0"/>
          <w:sz w:val="21"/>
          <w:szCs w:val="21"/>
          <w:highlight w:val="none"/>
        </w:rPr>
        <w:t>3</w:t>
      </w:r>
      <w:r>
        <w:rPr>
          <w:rFonts w:hint="eastAsia" w:ascii="Times New Roman" w:hAnsi="Times New Roman" w:eastAsia="宋体" w:cs="宋体"/>
          <w:b/>
          <w:bCs/>
          <w:color w:val="auto"/>
          <w:spacing w:val="0"/>
          <w:sz w:val="21"/>
          <w:szCs w:val="21"/>
          <w:highlight w:val="none"/>
          <w:lang w:val="en-US" w:eastAsia="zh-CN"/>
        </w:rPr>
        <w:t>0</w:t>
      </w:r>
      <w:r>
        <w:rPr>
          <w:rFonts w:hint="eastAsia" w:ascii="Times New Roman" w:hAnsi="Times New Roman" w:eastAsia="宋体" w:cs="宋体"/>
          <w:b/>
          <w:bCs/>
          <w:color w:val="auto"/>
          <w:spacing w:val="0"/>
          <w:sz w:val="21"/>
          <w:szCs w:val="21"/>
          <w:highlight w:val="none"/>
        </w:rPr>
        <w:t>.询问、质疑和投诉</w:t>
      </w:r>
      <w:bookmarkEnd w:id="138"/>
    </w:p>
    <w:p w14:paraId="1490C960">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3</w:t>
      </w:r>
      <w:r>
        <w:rPr>
          <w:rFonts w:hint="eastAsia" w:ascii="Times New Roman" w:hAnsi="Times New Roman" w:eastAsia="宋体" w:cs="宋体"/>
          <w:color w:val="auto"/>
          <w:spacing w:val="0"/>
          <w:highlight w:val="none"/>
          <w:lang w:val="en-US" w:eastAsia="zh-CN"/>
        </w:rPr>
        <w:t>0</w:t>
      </w:r>
      <w:r>
        <w:rPr>
          <w:rFonts w:hint="eastAsia" w:ascii="Times New Roman" w:hAnsi="Times New Roman" w:eastAsia="宋体" w:cs="宋体"/>
          <w:color w:val="auto"/>
          <w:spacing w:val="0"/>
          <w:highlight w:val="none"/>
        </w:rPr>
        <w:t>.1供应商对政府采购活动事项有疑问的，可以向采购人或者采购代理机构提出询问，采购人或者采购代理机构应当在3个工作日内对供应商依法提出的询问作出答复。</w:t>
      </w:r>
    </w:p>
    <w:p w14:paraId="69A015D5">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b/>
          <w:color w:val="auto"/>
          <w:spacing w:val="0"/>
          <w:szCs w:val="21"/>
          <w:highlight w:val="none"/>
        </w:rPr>
      </w:pPr>
      <w:r>
        <w:rPr>
          <w:rFonts w:hint="eastAsia" w:ascii="Times New Roman" w:hAnsi="Times New Roman" w:eastAsia="宋体" w:cs="宋体"/>
          <w:color w:val="auto"/>
          <w:spacing w:val="0"/>
          <w:highlight w:val="none"/>
        </w:rPr>
        <w:t>3</w:t>
      </w:r>
      <w:r>
        <w:rPr>
          <w:rFonts w:hint="eastAsia" w:ascii="Times New Roman" w:hAnsi="Times New Roman" w:eastAsia="宋体" w:cs="宋体"/>
          <w:color w:val="auto"/>
          <w:spacing w:val="0"/>
          <w:highlight w:val="none"/>
          <w:lang w:val="en-US" w:eastAsia="zh-CN"/>
        </w:rPr>
        <w:t>0</w:t>
      </w:r>
      <w:r>
        <w:rPr>
          <w:rFonts w:hint="eastAsia" w:ascii="Times New Roman" w:hAnsi="Times New Roman" w:eastAsia="宋体" w:cs="宋体"/>
          <w:color w:val="auto"/>
          <w:spacing w:val="0"/>
          <w:highlight w:val="none"/>
        </w:rPr>
        <w:t>.2供应商认为磋商文件、采购过程或者成交结果使自己的合法权益受到损害的，应当在知道或者应知其权益受到损害之日起7个工作日内，以书面形式向采购人或者采购代理机构提出质疑，</w:t>
      </w:r>
      <w:r>
        <w:rPr>
          <w:rFonts w:hint="eastAsia" w:ascii="Times New Roman" w:hAnsi="Times New Roman" w:eastAsia="宋体" w:cs="宋体"/>
          <w:color w:val="auto"/>
          <w:spacing w:val="0"/>
          <w:highlight w:val="none"/>
          <w:shd w:val="clear" w:color="auto" w:fill="FFFFFF"/>
        </w:rPr>
        <w:t>接收质疑函的方式、联系部门、联系电话和通讯地址等信息详见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highlight w:val="none"/>
        </w:rPr>
        <w:t>。</w:t>
      </w:r>
      <w:r>
        <w:rPr>
          <w:rFonts w:hint="eastAsia" w:ascii="Times New Roman" w:hAnsi="Times New Roman" w:eastAsia="宋体" w:cs="宋体"/>
          <w:b/>
          <w:color w:val="auto"/>
          <w:spacing w:val="0"/>
          <w:szCs w:val="21"/>
          <w:highlight w:val="none"/>
        </w:rPr>
        <w:t xml:space="preserve">具体质疑起算时间及处理方式如下： </w:t>
      </w:r>
    </w:p>
    <w:p w14:paraId="062C3E7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bCs/>
          <w:color w:val="auto"/>
          <w:spacing w:val="0"/>
          <w:highlight w:val="none"/>
        </w:rPr>
      </w:pPr>
      <w:r>
        <w:rPr>
          <w:rFonts w:hint="eastAsia" w:ascii="Times New Roman" w:hAnsi="Times New Roman" w:eastAsia="宋体" w:cs="宋体"/>
          <w:bCs/>
          <w:color w:val="auto"/>
          <w:spacing w:val="0"/>
          <w:highlight w:val="none"/>
        </w:rPr>
        <w:t>（1）潜在供应商依法获取采购文件后，认为采购文件使自己的权益受到损害的，应当在竞争性磋商文件公告期限届满之日起7个工作日内提出质疑。</w:t>
      </w:r>
      <w:r>
        <w:rPr>
          <w:rFonts w:hint="eastAsia" w:ascii="Times New Roman" w:hAnsi="Times New Roman" w:eastAsia="宋体" w:cs="宋体"/>
          <w:color w:val="auto"/>
          <w:spacing w:val="0"/>
          <w:highlight w:val="none"/>
        </w:rPr>
        <w:t>委托代理协议无特殊约定的，</w:t>
      </w:r>
      <w:r>
        <w:rPr>
          <w:rFonts w:hint="eastAsia" w:ascii="Times New Roman" w:hAnsi="Times New Roman" w:eastAsia="宋体" w:cs="宋体"/>
          <w:bCs/>
          <w:color w:val="auto"/>
          <w:spacing w:val="0"/>
          <w:highlight w:val="none"/>
        </w:rPr>
        <w:t>对竞争性磋商文件中采购需求（含资格要求、采购预算和评分办法）的质疑由采购人受理并负责答复；对竞争性磋商文件中的采购执行程序的质疑由采购代理机构受理并负责答复。</w:t>
      </w:r>
    </w:p>
    <w:p w14:paraId="10B6876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bCs/>
          <w:color w:val="auto"/>
          <w:spacing w:val="0"/>
          <w:highlight w:val="none"/>
        </w:rPr>
      </w:pPr>
      <w:r>
        <w:rPr>
          <w:rFonts w:hint="eastAsia" w:ascii="Times New Roman" w:hAnsi="Times New Roman" w:eastAsia="宋体" w:cs="宋体"/>
          <w:bCs/>
          <w:color w:val="auto"/>
          <w:spacing w:val="0"/>
          <w:highlight w:val="none"/>
        </w:rPr>
        <w:t>（2）供应商认为采购过程使自己的权益受到损害的，应当在各采购程序环节结束之日起7个工作日内提出质疑。对采购过程中资格审查、符合性审查等具体评审情况的质疑应向采购人或者采购代理机构提出，由采购人或者采购代理机构受理并负责答复；对采购过程中采购执行程序的质疑由采购代理机构受理并负责答复。</w:t>
      </w:r>
    </w:p>
    <w:p w14:paraId="59F84A0C">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bCs/>
          <w:color w:val="auto"/>
          <w:spacing w:val="0"/>
          <w:highlight w:val="none"/>
        </w:rPr>
      </w:pPr>
      <w:r>
        <w:rPr>
          <w:rFonts w:hint="eastAsia" w:ascii="Times New Roman" w:hAnsi="Times New Roman" w:eastAsia="宋体" w:cs="宋体"/>
          <w:bCs/>
          <w:color w:val="auto"/>
          <w:spacing w:val="0"/>
          <w:highlight w:val="none"/>
        </w:rPr>
        <w:t>（3）供应商认为成交结果使自己的权益受到损害的，应当在成交结果公告期限届满之日起7个工作日内提出质疑，由采购人受理并负责答复。</w:t>
      </w:r>
    </w:p>
    <w:p w14:paraId="63C920C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3</w:t>
      </w:r>
      <w:r>
        <w:rPr>
          <w:rFonts w:hint="eastAsia" w:ascii="Times New Roman" w:hAnsi="Times New Roman" w:eastAsia="宋体" w:cs="宋体"/>
          <w:color w:val="auto"/>
          <w:spacing w:val="0"/>
          <w:highlight w:val="none"/>
          <w:lang w:val="en-US" w:eastAsia="zh-CN"/>
        </w:rPr>
        <w:t>0</w:t>
      </w:r>
      <w:r>
        <w:rPr>
          <w:rFonts w:hint="eastAsia" w:ascii="Times New Roman" w:hAnsi="Times New Roman" w:eastAsia="宋体" w:cs="宋体"/>
          <w:color w:val="auto"/>
          <w:spacing w:val="0"/>
          <w:highlight w:val="none"/>
        </w:rPr>
        <w:t>.3供应商提出的询问或者质疑超出采购人对采购代理机构委托授权范围的，采购代理机构应当告知供应商向采购人提出。政府采购评审专家应当配合采购人或者采购代理机构答复供应商的询问和质疑。</w:t>
      </w:r>
    </w:p>
    <w:p w14:paraId="6D200A91">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color w:val="auto"/>
          <w:spacing w:val="0"/>
          <w:highlight w:val="none"/>
        </w:rPr>
      </w:pPr>
      <w:r>
        <w:rPr>
          <w:rFonts w:hint="eastAsia" w:ascii="Times New Roman" w:hAnsi="Times New Roman" w:eastAsia="宋体" w:cs="宋体"/>
          <w:b/>
          <w:bCs/>
          <w:color w:val="auto"/>
          <w:spacing w:val="0"/>
          <w:highlight w:val="none"/>
        </w:rPr>
        <w:t>3</w:t>
      </w:r>
      <w:r>
        <w:rPr>
          <w:rFonts w:hint="eastAsia" w:ascii="Times New Roman" w:hAnsi="Times New Roman" w:eastAsia="宋体" w:cs="宋体"/>
          <w:b/>
          <w:bCs/>
          <w:color w:val="auto"/>
          <w:spacing w:val="0"/>
          <w:highlight w:val="none"/>
          <w:lang w:val="en-US" w:eastAsia="zh-CN"/>
        </w:rPr>
        <w:t>0</w:t>
      </w:r>
      <w:r>
        <w:rPr>
          <w:rFonts w:hint="eastAsia" w:ascii="Times New Roman" w:hAnsi="Times New Roman" w:eastAsia="宋体" w:cs="宋体"/>
          <w:b/>
          <w:bCs/>
          <w:color w:val="auto"/>
          <w:spacing w:val="0"/>
          <w:highlight w:val="none"/>
        </w:rPr>
        <w:t>.4 供应商提出质疑应当提交质疑函和必要的证明材料，针对同一采购程序环节的质疑必须在法定质疑期内一次性提出。质疑函应当包括下列内容（质疑函格式后附）：</w:t>
      </w:r>
    </w:p>
    <w:p w14:paraId="3858F7F4">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（1）供应商的姓名或者名称、地址、邮编、联系人及联系电话；</w:t>
      </w:r>
    </w:p>
    <w:p w14:paraId="76CBB68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（2）质疑项目的名称、编号；</w:t>
      </w:r>
    </w:p>
    <w:p w14:paraId="483067AC">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（3）具体、明确的质疑事项和与质疑事项相关的请求；</w:t>
      </w:r>
    </w:p>
    <w:p w14:paraId="7B41BD76">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（4）事实依据；</w:t>
      </w:r>
    </w:p>
    <w:p w14:paraId="48333CB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（5）必要的法律依据；</w:t>
      </w:r>
    </w:p>
    <w:p w14:paraId="1362531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（6）提出质疑的日期。</w:t>
      </w:r>
    </w:p>
    <w:p w14:paraId="47E6F361">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供应商为自然人的，应当由本人签字；供应商为法人或者其他组织的，应当由法定代表人、主要负责人，或者其委托代理人签字或者盖章，并加盖公章。</w:t>
      </w:r>
    </w:p>
    <w:p w14:paraId="13F236E5">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3</w:t>
      </w:r>
      <w:r>
        <w:rPr>
          <w:rFonts w:hint="eastAsia" w:ascii="Times New Roman" w:hAnsi="Times New Roman" w:eastAsia="宋体" w:cs="宋体"/>
          <w:color w:val="auto"/>
          <w:spacing w:val="0"/>
          <w:highlight w:val="none"/>
          <w:lang w:val="en-US" w:eastAsia="zh-CN"/>
        </w:rPr>
        <w:t>0</w:t>
      </w:r>
      <w:r>
        <w:rPr>
          <w:rFonts w:hint="eastAsia" w:ascii="Times New Roman" w:hAnsi="Times New Roman" w:eastAsia="宋体" w:cs="宋体"/>
          <w:color w:val="auto"/>
          <w:spacing w:val="0"/>
          <w:highlight w:val="none"/>
        </w:rPr>
        <w:t>.5采购人、采购代理机构认为供应商质疑不成立，或者成立但未对成交结果构成影响的，继续开展采购活动；认为供应商质疑成立且影响或者可能影响成交结果的，按照下列情况处理：</w:t>
      </w:r>
    </w:p>
    <w:p w14:paraId="7454E438">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（一）对采购文件提出的质疑，依法通过澄清或者修改可以继续开展采购活动的，澄清或者修改采购文件后继续开展采购活动；否则应当修改采购文件后重新开展采购活动。</w:t>
      </w:r>
    </w:p>
    <w:p w14:paraId="5D31A7A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（二）对采购过程或者成交结果提出的质疑，合格供应商符合法定数量时，可以从合格的成交候选人中另行确定成交供应商的，应当依法另行确定成交供应商；否则应当重新开展采购活动。</w:t>
      </w:r>
    </w:p>
    <w:p w14:paraId="61E15E23">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质疑答复导致成交结果改变的，采购人或者采购代理机构应当将有关情况书面报告本级财政部门。</w:t>
      </w:r>
    </w:p>
    <w:p w14:paraId="0510DD8F">
      <w:pPr>
        <w:pageBreakBefore w:val="0"/>
        <w:widowControl w:val="0"/>
        <w:kinsoku/>
        <w:wordWrap/>
        <w:overflowPunct/>
        <w:topLinePunct w:val="0"/>
        <w:autoSpaceDE/>
        <w:autoSpaceDN/>
        <w:bidi w:val="0"/>
        <w:spacing w:line="360" w:lineRule="auto"/>
        <w:ind w:firstLine="422" w:firstLineChars="200"/>
        <w:rPr>
          <w:rFonts w:hint="eastAsia" w:ascii="Times New Roman" w:hAnsi="Times New Roman" w:eastAsia="宋体" w:cs="宋体"/>
          <w:color w:val="auto"/>
          <w:spacing w:val="0"/>
          <w:highlight w:val="none"/>
        </w:rPr>
      </w:pPr>
      <w:r>
        <w:rPr>
          <w:rFonts w:hint="eastAsia" w:ascii="Times New Roman" w:hAnsi="Times New Roman" w:eastAsia="宋体" w:cs="宋体"/>
          <w:b/>
          <w:bCs/>
          <w:color w:val="auto"/>
          <w:spacing w:val="0"/>
          <w:highlight w:val="none"/>
        </w:rPr>
        <w:t>3</w:t>
      </w:r>
      <w:r>
        <w:rPr>
          <w:rFonts w:hint="eastAsia" w:ascii="Times New Roman" w:hAnsi="Times New Roman" w:eastAsia="宋体" w:cs="宋体"/>
          <w:b/>
          <w:bCs/>
          <w:color w:val="auto"/>
          <w:spacing w:val="0"/>
          <w:highlight w:val="none"/>
          <w:lang w:val="en-US" w:eastAsia="zh-CN"/>
        </w:rPr>
        <w:t>0</w:t>
      </w:r>
      <w:r>
        <w:rPr>
          <w:rFonts w:hint="eastAsia" w:ascii="Times New Roman" w:hAnsi="Times New Roman" w:eastAsia="宋体" w:cs="宋体"/>
          <w:b/>
          <w:bCs/>
          <w:color w:val="auto"/>
          <w:spacing w:val="0"/>
          <w:highlight w:val="none"/>
        </w:rPr>
        <w:t>.6投诉的权利。质疑供应商对采购人或采购代理机构的答复不满意，或者采购人或采购代理机构未在规定时间内作出答复的，可以在答复期满后15个工作日内向《政府采购质疑和投诉办法》（财政部令第94号）第六条规定的财政部门提起投诉（投诉书格式后附），受理投诉方式见</w:t>
      </w:r>
      <w:r>
        <w:rPr>
          <w:rFonts w:hint="eastAsia" w:ascii="Times New Roman" w:hAnsi="Times New Roman" w:eastAsia="宋体" w:cs="宋体"/>
          <w:b/>
          <w:bCs/>
          <w:color w:val="auto"/>
          <w:spacing w:val="0"/>
          <w:highlight w:val="none"/>
          <w:lang w:eastAsia="zh-CN"/>
        </w:rPr>
        <w:t>“</w:t>
      </w:r>
      <w:r>
        <w:rPr>
          <w:rFonts w:hint="eastAsia" w:ascii="Times New Roman" w:hAnsi="Times New Roman" w:eastAsia="宋体" w:cs="宋体"/>
          <w:b/>
          <w:bCs/>
          <w:color w:val="auto"/>
          <w:spacing w:val="0"/>
          <w:highlight w:val="none"/>
        </w:rPr>
        <w:t>供应商须知前附表</w:t>
      </w:r>
      <w:r>
        <w:rPr>
          <w:rFonts w:hint="eastAsia" w:ascii="Times New Roman" w:hAnsi="Times New Roman" w:eastAsia="宋体" w:cs="宋体"/>
          <w:b/>
          <w:bCs/>
          <w:color w:val="auto"/>
          <w:spacing w:val="0"/>
          <w:highlight w:val="none"/>
          <w:lang w:eastAsia="zh-CN"/>
        </w:rPr>
        <w:t>”</w:t>
      </w:r>
      <w:r>
        <w:rPr>
          <w:rFonts w:hint="eastAsia" w:ascii="Times New Roman" w:hAnsi="Times New Roman" w:eastAsia="宋体" w:cs="宋体"/>
          <w:color w:val="auto"/>
          <w:spacing w:val="0"/>
          <w:highlight w:val="none"/>
        </w:rPr>
        <w:t>。</w:t>
      </w:r>
      <w:bookmarkStart w:id="139" w:name="_Toc80205930"/>
    </w:p>
    <w:p w14:paraId="31A1DAF6">
      <w:pPr>
        <w:pStyle w:val="4"/>
        <w:keepNext/>
        <w:keepLines/>
        <w:pageBreakBefore w:val="0"/>
        <w:widowControl w:val="0"/>
        <w:kinsoku/>
        <w:wordWrap/>
        <w:overflowPunct/>
        <w:topLinePunct w:val="0"/>
        <w:autoSpaceDE/>
        <w:autoSpaceDN/>
        <w:bidi w:val="0"/>
        <w:adjustRightInd/>
        <w:snapToGrid/>
        <w:spacing w:before="0" w:beforeLines="50" w:after="0" w:line="360" w:lineRule="auto"/>
        <w:jc w:val="center"/>
        <w:textAlignment w:val="auto"/>
        <w:rPr>
          <w:rFonts w:hint="eastAsia" w:ascii="Times New Roman" w:hAnsi="Times New Roman" w:eastAsia="宋体" w:cs="宋体"/>
          <w:bCs w:val="0"/>
          <w:color w:val="auto"/>
          <w:spacing w:val="0"/>
          <w:sz w:val="24"/>
          <w:szCs w:val="24"/>
          <w:highlight w:val="none"/>
        </w:rPr>
      </w:pPr>
      <w:bookmarkStart w:id="140" w:name="_Toc9275"/>
      <w:bookmarkStart w:id="141" w:name="_Toc23032"/>
      <w:bookmarkStart w:id="142" w:name="_Toc80886935"/>
      <w:bookmarkStart w:id="143" w:name="_Toc26989"/>
      <w:r>
        <w:rPr>
          <w:rFonts w:hint="eastAsia" w:ascii="Times New Roman" w:hAnsi="Times New Roman" w:eastAsia="宋体" w:cs="宋体"/>
          <w:bCs w:val="0"/>
          <w:color w:val="auto"/>
          <w:spacing w:val="0"/>
          <w:sz w:val="24"/>
          <w:szCs w:val="24"/>
          <w:highlight w:val="none"/>
        </w:rPr>
        <w:t>六、验收</w:t>
      </w:r>
      <w:bookmarkEnd w:id="139"/>
      <w:bookmarkEnd w:id="140"/>
      <w:bookmarkEnd w:id="141"/>
      <w:bookmarkEnd w:id="142"/>
      <w:bookmarkEnd w:id="143"/>
    </w:p>
    <w:p w14:paraId="22D8915B">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44" w:name="_Toc7405"/>
      <w:r>
        <w:rPr>
          <w:rFonts w:hint="eastAsia" w:ascii="Times New Roman" w:hAnsi="Times New Roman" w:eastAsia="宋体" w:cs="宋体"/>
          <w:b/>
          <w:bCs/>
          <w:color w:val="auto"/>
          <w:spacing w:val="0"/>
          <w:sz w:val="21"/>
          <w:szCs w:val="21"/>
          <w:highlight w:val="none"/>
        </w:rPr>
        <w:t>3</w:t>
      </w:r>
      <w:r>
        <w:rPr>
          <w:rFonts w:hint="eastAsia" w:ascii="Times New Roman" w:hAnsi="Times New Roman" w:eastAsia="宋体" w:cs="宋体"/>
          <w:b/>
          <w:bCs/>
          <w:color w:val="auto"/>
          <w:spacing w:val="0"/>
          <w:sz w:val="21"/>
          <w:szCs w:val="21"/>
          <w:highlight w:val="none"/>
          <w:lang w:val="en-US" w:eastAsia="zh-CN"/>
        </w:rPr>
        <w:t>1</w:t>
      </w:r>
      <w:r>
        <w:rPr>
          <w:rFonts w:hint="eastAsia" w:ascii="Times New Roman" w:hAnsi="Times New Roman" w:eastAsia="宋体" w:cs="宋体"/>
          <w:b/>
          <w:bCs/>
          <w:color w:val="auto"/>
          <w:spacing w:val="0"/>
          <w:sz w:val="21"/>
          <w:szCs w:val="21"/>
          <w:highlight w:val="none"/>
        </w:rPr>
        <w:t>.验收</w:t>
      </w:r>
      <w:bookmarkEnd w:id="144"/>
    </w:p>
    <w:p w14:paraId="7ED157C5">
      <w:pPr>
        <w:pageBreakBefore w:val="0"/>
        <w:widowControl w:val="0"/>
        <w:tabs>
          <w:tab w:val="left" w:pos="0"/>
        </w:tabs>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kern w:val="0"/>
          <w:szCs w:val="21"/>
          <w:highlight w:val="none"/>
        </w:rPr>
      </w:pPr>
      <w:r>
        <w:rPr>
          <w:rFonts w:hint="eastAsia" w:ascii="Times New Roman" w:hAnsi="Times New Roman" w:eastAsia="宋体" w:cs="宋体"/>
          <w:color w:val="auto"/>
          <w:spacing w:val="0"/>
          <w:kern w:val="0"/>
          <w:szCs w:val="21"/>
          <w:highlight w:val="none"/>
        </w:rPr>
        <w:t>3</w:t>
      </w:r>
      <w:r>
        <w:rPr>
          <w:rFonts w:hint="eastAsia" w:ascii="Times New Roman" w:hAnsi="Times New Roman" w:eastAsia="宋体" w:cs="宋体"/>
          <w:color w:val="auto"/>
          <w:spacing w:val="0"/>
          <w:kern w:val="0"/>
          <w:szCs w:val="21"/>
          <w:highlight w:val="none"/>
          <w:lang w:val="en-US" w:eastAsia="zh-CN"/>
        </w:rPr>
        <w:t>1</w:t>
      </w:r>
      <w:r>
        <w:rPr>
          <w:rFonts w:hint="eastAsia" w:ascii="Times New Roman" w:hAnsi="Times New Roman" w:eastAsia="宋体" w:cs="宋体"/>
          <w:color w:val="auto"/>
          <w:spacing w:val="0"/>
          <w:kern w:val="0"/>
          <w:szCs w:val="21"/>
          <w:highlight w:val="none"/>
        </w:rPr>
        <w:t>.1采购人会同实际使用人组织对供应商履约的验收。大型或者复杂的政府采购项目，应当邀请国家认可的质量检测机构参加验收工作。验收方成员应当在验收书上签字，并承担相应的法律责任。如果发现与合同中要求不符，供应商须承担由此发生的一切损失和费用，并接受相应的处理。</w:t>
      </w:r>
    </w:p>
    <w:p w14:paraId="18549632">
      <w:pPr>
        <w:pageBreakBefore w:val="0"/>
        <w:widowControl w:val="0"/>
        <w:tabs>
          <w:tab w:val="left" w:pos="0"/>
        </w:tabs>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kern w:val="0"/>
          <w:szCs w:val="21"/>
          <w:highlight w:val="none"/>
        </w:rPr>
      </w:pPr>
      <w:r>
        <w:rPr>
          <w:rFonts w:hint="eastAsia" w:ascii="Times New Roman" w:hAnsi="Times New Roman" w:eastAsia="宋体" w:cs="宋体"/>
          <w:color w:val="auto"/>
          <w:spacing w:val="0"/>
          <w:kern w:val="0"/>
          <w:szCs w:val="21"/>
          <w:highlight w:val="none"/>
        </w:rPr>
        <w:t>3</w:t>
      </w:r>
      <w:r>
        <w:rPr>
          <w:rFonts w:hint="eastAsia" w:ascii="Times New Roman" w:hAnsi="Times New Roman" w:eastAsia="宋体" w:cs="宋体"/>
          <w:color w:val="auto"/>
          <w:spacing w:val="0"/>
          <w:kern w:val="0"/>
          <w:szCs w:val="21"/>
          <w:highlight w:val="none"/>
          <w:lang w:val="en-US" w:eastAsia="zh-CN"/>
        </w:rPr>
        <w:t>1</w:t>
      </w:r>
      <w:r>
        <w:rPr>
          <w:rFonts w:hint="eastAsia" w:ascii="Times New Roman" w:hAnsi="Times New Roman" w:eastAsia="宋体" w:cs="宋体"/>
          <w:color w:val="auto"/>
          <w:spacing w:val="0"/>
          <w:kern w:val="0"/>
          <w:szCs w:val="21"/>
          <w:highlight w:val="none"/>
        </w:rPr>
        <w:t>.2采购人可以邀请参加本项目的其他供应商或者第三方机构参与验收。参与验收的供应商或者第三方机构的意见作为验收书的参考资料一并存档。</w:t>
      </w:r>
    </w:p>
    <w:p w14:paraId="67F75463">
      <w:pPr>
        <w:pageBreakBefore w:val="0"/>
        <w:widowControl w:val="0"/>
        <w:tabs>
          <w:tab w:val="left" w:pos="0"/>
        </w:tabs>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kern w:val="0"/>
          <w:szCs w:val="21"/>
          <w:highlight w:val="none"/>
        </w:rPr>
      </w:pPr>
      <w:r>
        <w:rPr>
          <w:rFonts w:hint="eastAsia" w:ascii="Times New Roman" w:hAnsi="Times New Roman" w:eastAsia="宋体" w:cs="宋体"/>
          <w:color w:val="auto"/>
          <w:spacing w:val="0"/>
          <w:kern w:val="0"/>
          <w:szCs w:val="21"/>
          <w:highlight w:val="none"/>
        </w:rPr>
        <w:t>3</w:t>
      </w:r>
      <w:r>
        <w:rPr>
          <w:rFonts w:hint="eastAsia" w:ascii="Times New Roman" w:hAnsi="Times New Roman" w:eastAsia="宋体" w:cs="宋体"/>
          <w:color w:val="auto"/>
          <w:spacing w:val="0"/>
          <w:kern w:val="0"/>
          <w:szCs w:val="21"/>
          <w:highlight w:val="none"/>
          <w:lang w:val="en-US" w:eastAsia="zh-CN"/>
        </w:rPr>
        <w:t>1</w:t>
      </w:r>
      <w:r>
        <w:rPr>
          <w:rFonts w:hint="eastAsia" w:ascii="Times New Roman" w:hAnsi="Times New Roman" w:eastAsia="宋体" w:cs="宋体"/>
          <w:color w:val="auto"/>
          <w:spacing w:val="0"/>
          <w:kern w:val="0"/>
          <w:szCs w:val="21"/>
          <w:highlight w:val="none"/>
        </w:rPr>
        <w:t>.3严格按照采购合同开展履约验收。采购人成立验收小组，按照采购合同的约定对供应商履约情况进行验收。验收时，按照采购合同的约定对每一项技术、服务、安全标准的履约情况进行确认，工程质量应符合国家施工质量验收规范合格标准，达到施工图及变更要求的验收标准。验收结束后，应当出具验收书，列明各项标准的验收情况及项目总体评价，由验收双方共同签署。验收结果与采购合同约定的资金支付及履约保证金返还条件挂钩。履约验收的各项资料应当存档备查。</w:t>
      </w:r>
    </w:p>
    <w:p w14:paraId="4C3132B8">
      <w:pPr>
        <w:pageBreakBefore w:val="0"/>
        <w:widowControl w:val="0"/>
        <w:tabs>
          <w:tab w:val="left" w:pos="0"/>
        </w:tabs>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3</w:t>
      </w:r>
      <w:r>
        <w:rPr>
          <w:rFonts w:hint="eastAsia" w:ascii="Times New Roman" w:hAnsi="Times New Roman" w:eastAsia="宋体" w:cs="宋体"/>
          <w:color w:val="auto"/>
          <w:spacing w:val="0"/>
          <w:kern w:val="0"/>
          <w:szCs w:val="21"/>
          <w:highlight w:val="none"/>
          <w:lang w:val="en-US" w:eastAsia="zh-CN"/>
        </w:rPr>
        <w:t>1</w:t>
      </w:r>
      <w:r>
        <w:rPr>
          <w:rFonts w:hint="eastAsia" w:ascii="Times New Roman" w:hAnsi="Times New Roman" w:eastAsia="宋体" w:cs="宋体"/>
          <w:color w:val="auto"/>
          <w:spacing w:val="0"/>
          <w:kern w:val="0"/>
          <w:szCs w:val="21"/>
          <w:highlight w:val="none"/>
        </w:rPr>
        <w:t>.4验收合格的项目，实际使用人将根据采购合同的约定及时向供应商支付采购资金。验收不合格的项目，采购人将依法及时处理。采购合同的履行、违约责任和解决争议的方式等适用《中华人民共和国民法典》。供应商在履约过程中有政府采购法律法规规定的违法违规情形的，采购人应当及时报告本级财政部门。</w:t>
      </w:r>
    </w:p>
    <w:p w14:paraId="12E6E96D">
      <w:pPr>
        <w:pStyle w:val="4"/>
        <w:keepNext/>
        <w:keepLines/>
        <w:pageBreakBefore w:val="0"/>
        <w:widowControl w:val="0"/>
        <w:kinsoku/>
        <w:wordWrap/>
        <w:overflowPunct/>
        <w:topLinePunct w:val="0"/>
        <w:autoSpaceDE/>
        <w:autoSpaceDN/>
        <w:bidi w:val="0"/>
        <w:adjustRightInd/>
        <w:snapToGrid/>
        <w:spacing w:before="0" w:beforeLines="50" w:after="0" w:line="360" w:lineRule="auto"/>
        <w:jc w:val="center"/>
        <w:textAlignment w:val="auto"/>
        <w:rPr>
          <w:rFonts w:hint="eastAsia" w:ascii="Times New Roman" w:hAnsi="Times New Roman" w:eastAsia="宋体" w:cs="宋体"/>
          <w:bCs w:val="0"/>
          <w:color w:val="auto"/>
          <w:spacing w:val="0"/>
          <w:sz w:val="24"/>
          <w:szCs w:val="24"/>
          <w:highlight w:val="none"/>
        </w:rPr>
      </w:pPr>
      <w:bookmarkStart w:id="145" w:name="_Toc1170"/>
      <w:bookmarkStart w:id="146" w:name="_Toc4674"/>
      <w:bookmarkStart w:id="147" w:name="_Toc10913"/>
      <w:bookmarkStart w:id="148" w:name="_Toc80886936"/>
      <w:r>
        <w:rPr>
          <w:rFonts w:hint="eastAsia" w:ascii="Times New Roman" w:hAnsi="Times New Roman" w:eastAsia="宋体" w:cs="宋体"/>
          <w:bCs w:val="0"/>
          <w:color w:val="auto"/>
          <w:spacing w:val="0"/>
          <w:sz w:val="24"/>
          <w:szCs w:val="24"/>
          <w:highlight w:val="none"/>
        </w:rPr>
        <w:t>七、其他事项</w:t>
      </w:r>
      <w:bookmarkEnd w:id="145"/>
      <w:bookmarkEnd w:id="146"/>
      <w:bookmarkEnd w:id="147"/>
      <w:bookmarkEnd w:id="148"/>
    </w:p>
    <w:p w14:paraId="3D5031CC">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49" w:name="_Toc14300"/>
      <w:r>
        <w:rPr>
          <w:rFonts w:hint="eastAsia" w:ascii="Times New Roman" w:hAnsi="Times New Roman" w:eastAsia="宋体" w:cs="宋体"/>
          <w:b/>
          <w:bCs/>
          <w:color w:val="auto"/>
          <w:spacing w:val="0"/>
          <w:sz w:val="21"/>
          <w:szCs w:val="21"/>
          <w:highlight w:val="none"/>
        </w:rPr>
        <w:t>3</w:t>
      </w:r>
      <w:r>
        <w:rPr>
          <w:rFonts w:hint="eastAsia" w:ascii="Times New Roman" w:hAnsi="Times New Roman" w:eastAsia="宋体" w:cs="宋体"/>
          <w:b/>
          <w:bCs/>
          <w:color w:val="auto"/>
          <w:spacing w:val="0"/>
          <w:sz w:val="21"/>
          <w:szCs w:val="21"/>
          <w:highlight w:val="none"/>
          <w:lang w:val="en-US" w:eastAsia="zh-CN"/>
        </w:rPr>
        <w:t>2</w:t>
      </w:r>
      <w:r>
        <w:rPr>
          <w:rFonts w:hint="eastAsia" w:ascii="Times New Roman" w:hAnsi="Times New Roman" w:eastAsia="宋体" w:cs="宋体"/>
          <w:b/>
          <w:bCs/>
          <w:color w:val="auto"/>
          <w:spacing w:val="0"/>
          <w:sz w:val="21"/>
          <w:szCs w:val="21"/>
          <w:highlight w:val="none"/>
        </w:rPr>
        <w:t>.采购代理服务费</w:t>
      </w:r>
      <w:bookmarkEnd w:id="149"/>
    </w:p>
    <w:p w14:paraId="3391B99F">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w:t>
      </w:r>
      <w:r>
        <w:rPr>
          <w:rFonts w:hint="eastAsia" w:ascii="Times New Roman" w:hAnsi="Times New Roman" w:eastAsia="宋体" w:cs="宋体"/>
          <w:color w:val="auto"/>
          <w:spacing w:val="0"/>
          <w:szCs w:val="21"/>
          <w:highlight w:val="none"/>
          <w:lang w:val="en-US" w:eastAsia="zh-CN"/>
        </w:rPr>
        <w:t>2</w:t>
      </w:r>
      <w:r>
        <w:rPr>
          <w:rFonts w:hint="eastAsia" w:ascii="Times New Roman" w:hAnsi="Times New Roman" w:eastAsia="宋体" w:cs="宋体"/>
          <w:color w:val="auto"/>
          <w:spacing w:val="0"/>
          <w:szCs w:val="21"/>
          <w:highlight w:val="none"/>
        </w:rPr>
        <w:t>.1 采购代理服务费收费标准及缴费账户详见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，供应商为联合体的，可以由联合体中的一方或者多方共同缴纳采购代理服务费。</w:t>
      </w:r>
    </w:p>
    <w:p w14:paraId="54F318B9">
      <w:pPr>
        <w:pStyle w:val="13"/>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宋体"/>
          <w:color w:val="auto"/>
          <w:spacing w:val="0"/>
          <w:highlight w:val="none"/>
          <w:lang w:val="en-US" w:eastAsia="zh-CN"/>
        </w:rPr>
      </w:pPr>
      <w:r>
        <w:rPr>
          <w:rFonts w:hint="eastAsia" w:ascii="Times New Roman" w:hAnsi="Times New Roman" w:eastAsia="宋体" w:cs="宋体"/>
          <w:color w:val="auto"/>
          <w:spacing w:val="0"/>
          <w:szCs w:val="21"/>
          <w:highlight w:val="none"/>
          <w:lang w:val="en-US" w:eastAsia="zh-CN"/>
        </w:rPr>
        <w:t>32.2</w:t>
      </w:r>
      <w:r>
        <w:rPr>
          <w:rFonts w:hint="eastAsia" w:ascii="Times New Roman" w:hAnsi="Times New Roman" w:eastAsia="宋体" w:cs="宋体"/>
          <w:color w:val="auto"/>
          <w:spacing w:val="0"/>
          <w:szCs w:val="21"/>
          <w:highlight w:val="none"/>
          <w:lang w:eastAsia="zh-CN"/>
        </w:rPr>
        <w:t>采购</w:t>
      </w:r>
      <w:r>
        <w:rPr>
          <w:rFonts w:hint="eastAsia" w:ascii="Times New Roman" w:hAnsi="Times New Roman" w:eastAsia="宋体" w:cs="宋体"/>
          <w:color w:val="auto"/>
          <w:spacing w:val="0"/>
          <w:szCs w:val="21"/>
          <w:highlight w:val="none"/>
        </w:rPr>
        <w:t>代理服务费收费计算标准</w:t>
      </w:r>
      <w:r>
        <w:rPr>
          <w:rFonts w:hint="eastAsia" w:ascii="Times New Roman" w:hAnsi="Times New Roman" w:eastAsia="宋体" w:cs="宋体"/>
          <w:color w:val="auto"/>
          <w:spacing w:val="0"/>
          <w:szCs w:val="21"/>
          <w:highlight w:val="none"/>
          <w:lang w:eastAsia="zh-CN"/>
        </w:rPr>
        <w:t>：</w:t>
      </w:r>
    </w:p>
    <w:tbl>
      <w:tblPr>
        <w:tblStyle w:val="28"/>
        <w:tblW w:w="8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72"/>
        <w:gridCol w:w="1659"/>
        <w:gridCol w:w="1532"/>
        <w:gridCol w:w="1546"/>
      </w:tblGrid>
      <w:tr w14:paraId="7E8B2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tcBorders>
              <w:tl2br w:val="single" w:color="auto" w:sz="4" w:space="0"/>
            </w:tcBorders>
            <w:shd w:val="clear" w:color="auto" w:fill="8DB3E2" w:themeFill="text2" w:themeFillTint="66"/>
            <w:noWrap w:val="0"/>
            <w:vAlign w:val="top"/>
          </w:tcPr>
          <w:p w14:paraId="5BDA5FAE">
            <w:pPr>
              <w:pageBreakBefore w:val="0"/>
              <w:widowControl w:val="0"/>
              <w:kinsoku/>
              <w:wordWrap/>
              <w:overflowPunct/>
              <w:topLinePunct w:val="0"/>
              <w:autoSpaceDE/>
              <w:autoSpaceDN/>
              <w:bidi w:val="0"/>
              <w:spacing w:line="360" w:lineRule="auto"/>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 xml:space="preserve">               费率</w:t>
            </w:r>
          </w:p>
          <w:p w14:paraId="774010C0">
            <w:pPr>
              <w:pageBreakBefore w:val="0"/>
              <w:widowControl w:val="0"/>
              <w:kinsoku/>
              <w:wordWrap/>
              <w:overflowPunct/>
              <w:topLinePunct w:val="0"/>
              <w:autoSpaceDE/>
              <w:autoSpaceDN/>
              <w:bidi w:val="0"/>
              <w:spacing w:line="360" w:lineRule="auto"/>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金额</w:t>
            </w:r>
          </w:p>
        </w:tc>
        <w:tc>
          <w:tcPr>
            <w:tcW w:w="1659" w:type="dxa"/>
            <w:shd w:val="clear" w:color="auto" w:fill="8DB3E2" w:themeFill="text2" w:themeFillTint="66"/>
            <w:noWrap w:val="0"/>
            <w:vAlign w:val="center"/>
          </w:tcPr>
          <w:p w14:paraId="45D6D8EC">
            <w:pPr>
              <w:pageBreakBefore w:val="0"/>
              <w:widowControl w:val="0"/>
              <w:kinsoku/>
              <w:wordWrap/>
              <w:overflowPunct/>
              <w:topLinePunct w:val="0"/>
              <w:autoSpaceDE/>
              <w:autoSpaceDN/>
              <w:bidi w:val="0"/>
              <w:spacing w:line="360" w:lineRule="auto"/>
              <w:ind w:firstLine="105" w:firstLineChars="50"/>
              <w:jc w:val="center"/>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货物类</w:t>
            </w:r>
          </w:p>
        </w:tc>
        <w:tc>
          <w:tcPr>
            <w:tcW w:w="1532" w:type="dxa"/>
            <w:shd w:val="clear" w:color="auto" w:fill="8DB3E2" w:themeFill="text2" w:themeFillTint="66"/>
            <w:noWrap w:val="0"/>
            <w:vAlign w:val="center"/>
          </w:tcPr>
          <w:p w14:paraId="509BAFEB">
            <w:pPr>
              <w:pageBreakBefore w:val="0"/>
              <w:widowControl w:val="0"/>
              <w:kinsoku/>
              <w:wordWrap/>
              <w:overflowPunct/>
              <w:topLinePunct w:val="0"/>
              <w:autoSpaceDE/>
              <w:autoSpaceDN/>
              <w:bidi w:val="0"/>
              <w:spacing w:line="360" w:lineRule="auto"/>
              <w:jc w:val="center"/>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服务类</w:t>
            </w:r>
          </w:p>
        </w:tc>
        <w:tc>
          <w:tcPr>
            <w:tcW w:w="1546" w:type="dxa"/>
            <w:shd w:val="clear" w:color="auto" w:fill="8DB3E2" w:themeFill="text2" w:themeFillTint="66"/>
            <w:noWrap w:val="0"/>
            <w:vAlign w:val="center"/>
          </w:tcPr>
          <w:p w14:paraId="5EBCC96D">
            <w:pPr>
              <w:pageBreakBefore w:val="0"/>
              <w:widowControl w:val="0"/>
              <w:kinsoku/>
              <w:wordWrap/>
              <w:overflowPunct/>
              <w:topLinePunct w:val="0"/>
              <w:autoSpaceDE/>
              <w:autoSpaceDN/>
              <w:bidi w:val="0"/>
              <w:spacing w:line="360" w:lineRule="auto"/>
              <w:jc w:val="center"/>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工程类</w:t>
            </w:r>
          </w:p>
        </w:tc>
      </w:tr>
      <w:tr w14:paraId="176A8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7A66B17B">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100万元以下</w:t>
            </w:r>
          </w:p>
        </w:tc>
        <w:tc>
          <w:tcPr>
            <w:tcW w:w="1659" w:type="dxa"/>
            <w:noWrap w:val="0"/>
            <w:vAlign w:val="top"/>
          </w:tcPr>
          <w:p w14:paraId="0B2AD8A7">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  1.5%                </w:t>
            </w:r>
          </w:p>
        </w:tc>
        <w:tc>
          <w:tcPr>
            <w:tcW w:w="1532" w:type="dxa"/>
            <w:noWrap w:val="0"/>
            <w:vAlign w:val="top"/>
          </w:tcPr>
          <w:p w14:paraId="5E8400D6">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1.5%</w:t>
            </w:r>
          </w:p>
        </w:tc>
        <w:tc>
          <w:tcPr>
            <w:tcW w:w="1546" w:type="dxa"/>
            <w:noWrap w:val="0"/>
            <w:vAlign w:val="top"/>
          </w:tcPr>
          <w:p w14:paraId="7946F4EA">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1.0% </w:t>
            </w:r>
          </w:p>
        </w:tc>
      </w:tr>
      <w:tr w14:paraId="1E9DB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21AE171E">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100～500万元</w:t>
            </w:r>
          </w:p>
        </w:tc>
        <w:tc>
          <w:tcPr>
            <w:tcW w:w="1659" w:type="dxa"/>
            <w:noWrap w:val="0"/>
            <w:vAlign w:val="top"/>
          </w:tcPr>
          <w:p w14:paraId="57D7D37B">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1.1%                 </w:t>
            </w:r>
          </w:p>
        </w:tc>
        <w:tc>
          <w:tcPr>
            <w:tcW w:w="1532" w:type="dxa"/>
            <w:noWrap w:val="0"/>
            <w:vAlign w:val="top"/>
          </w:tcPr>
          <w:p w14:paraId="0F1C9E59">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0.8%</w:t>
            </w:r>
          </w:p>
        </w:tc>
        <w:tc>
          <w:tcPr>
            <w:tcW w:w="1546" w:type="dxa"/>
            <w:noWrap w:val="0"/>
            <w:vAlign w:val="top"/>
          </w:tcPr>
          <w:p w14:paraId="43F2C5DD">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0.7% </w:t>
            </w:r>
          </w:p>
        </w:tc>
      </w:tr>
      <w:tr w14:paraId="0F5BE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7C75E2FD">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500～1000万元</w:t>
            </w:r>
          </w:p>
        </w:tc>
        <w:tc>
          <w:tcPr>
            <w:tcW w:w="1659" w:type="dxa"/>
            <w:noWrap w:val="0"/>
            <w:vAlign w:val="top"/>
          </w:tcPr>
          <w:p w14:paraId="7C066E1C">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  0.8%                </w:t>
            </w:r>
          </w:p>
        </w:tc>
        <w:tc>
          <w:tcPr>
            <w:tcW w:w="1532" w:type="dxa"/>
            <w:noWrap w:val="0"/>
            <w:vAlign w:val="top"/>
          </w:tcPr>
          <w:p w14:paraId="5E9F2D36">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0.45%</w:t>
            </w:r>
          </w:p>
        </w:tc>
        <w:tc>
          <w:tcPr>
            <w:tcW w:w="1546" w:type="dxa"/>
            <w:noWrap w:val="0"/>
            <w:vAlign w:val="top"/>
          </w:tcPr>
          <w:p w14:paraId="4CB1E0AB">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0.55%</w:t>
            </w:r>
          </w:p>
        </w:tc>
      </w:tr>
      <w:tr w14:paraId="5C6D4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25DA2B51">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1000～5000万元</w:t>
            </w:r>
          </w:p>
        </w:tc>
        <w:tc>
          <w:tcPr>
            <w:tcW w:w="1659" w:type="dxa"/>
            <w:noWrap w:val="0"/>
            <w:vAlign w:val="top"/>
          </w:tcPr>
          <w:p w14:paraId="5DEA01A4">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0.5%                </w:t>
            </w:r>
          </w:p>
        </w:tc>
        <w:tc>
          <w:tcPr>
            <w:tcW w:w="1532" w:type="dxa"/>
            <w:noWrap w:val="0"/>
            <w:vAlign w:val="top"/>
          </w:tcPr>
          <w:p w14:paraId="7FA50EDB">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0.25%</w:t>
            </w:r>
          </w:p>
        </w:tc>
        <w:tc>
          <w:tcPr>
            <w:tcW w:w="1546" w:type="dxa"/>
            <w:noWrap w:val="0"/>
            <w:vAlign w:val="top"/>
          </w:tcPr>
          <w:p w14:paraId="1E0E9EE8">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0.35% </w:t>
            </w:r>
          </w:p>
        </w:tc>
      </w:tr>
      <w:tr w14:paraId="514AFA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067D02B9">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5000万元～1亿元</w:t>
            </w:r>
          </w:p>
        </w:tc>
        <w:tc>
          <w:tcPr>
            <w:tcW w:w="1659" w:type="dxa"/>
            <w:noWrap w:val="0"/>
            <w:vAlign w:val="top"/>
          </w:tcPr>
          <w:p w14:paraId="64672ACC">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 xml:space="preserve">0.25%                 </w:t>
            </w:r>
          </w:p>
        </w:tc>
        <w:tc>
          <w:tcPr>
            <w:tcW w:w="1532" w:type="dxa"/>
            <w:noWrap w:val="0"/>
            <w:vAlign w:val="top"/>
          </w:tcPr>
          <w:p w14:paraId="264D748B">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0.1%</w:t>
            </w:r>
          </w:p>
        </w:tc>
        <w:tc>
          <w:tcPr>
            <w:tcW w:w="1546" w:type="dxa"/>
            <w:noWrap w:val="0"/>
            <w:vAlign w:val="top"/>
          </w:tcPr>
          <w:p w14:paraId="2DBD5221">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kern w:val="0"/>
                <w:szCs w:val="21"/>
                <w:highlight w:val="none"/>
              </w:rPr>
              <w:t>0.2%</w:t>
            </w:r>
          </w:p>
        </w:tc>
      </w:tr>
      <w:tr w14:paraId="09EBA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5D7110D6">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1～5亿元</w:t>
            </w:r>
          </w:p>
        </w:tc>
        <w:tc>
          <w:tcPr>
            <w:tcW w:w="1659" w:type="dxa"/>
            <w:noWrap w:val="0"/>
            <w:vAlign w:val="top"/>
          </w:tcPr>
          <w:p w14:paraId="3DADB52F">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0.05%</w:t>
            </w:r>
          </w:p>
        </w:tc>
        <w:tc>
          <w:tcPr>
            <w:tcW w:w="1532" w:type="dxa"/>
            <w:noWrap w:val="0"/>
            <w:vAlign w:val="top"/>
          </w:tcPr>
          <w:p w14:paraId="236910E7">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  0.05%</w:t>
            </w:r>
          </w:p>
        </w:tc>
        <w:tc>
          <w:tcPr>
            <w:tcW w:w="1546" w:type="dxa"/>
            <w:noWrap w:val="0"/>
            <w:vAlign w:val="top"/>
          </w:tcPr>
          <w:p w14:paraId="20A23F19">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  0.05%</w:t>
            </w:r>
          </w:p>
        </w:tc>
      </w:tr>
      <w:tr w14:paraId="43B57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21C8D650">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5～10亿元</w:t>
            </w:r>
          </w:p>
        </w:tc>
        <w:tc>
          <w:tcPr>
            <w:tcW w:w="1659" w:type="dxa"/>
            <w:noWrap w:val="0"/>
            <w:vAlign w:val="top"/>
          </w:tcPr>
          <w:p w14:paraId="73EDF653">
            <w:pPr>
              <w:pageBreakBefore w:val="0"/>
              <w:widowControl w:val="0"/>
              <w:kinsoku/>
              <w:wordWrap/>
              <w:overflowPunct/>
              <w:topLinePunct w:val="0"/>
              <w:autoSpaceDE/>
              <w:autoSpaceDN/>
              <w:bidi w:val="0"/>
              <w:spacing w:line="360" w:lineRule="auto"/>
              <w:ind w:firstLine="105" w:firstLineChars="5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0.035%</w:t>
            </w:r>
          </w:p>
        </w:tc>
        <w:tc>
          <w:tcPr>
            <w:tcW w:w="1532" w:type="dxa"/>
            <w:noWrap w:val="0"/>
            <w:vAlign w:val="top"/>
          </w:tcPr>
          <w:p w14:paraId="6FF6E9C4">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  0.035%</w:t>
            </w:r>
          </w:p>
        </w:tc>
        <w:tc>
          <w:tcPr>
            <w:tcW w:w="1546" w:type="dxa"/>
            <w:noWrap w:val="0"/>
            <w:vAlign w:val="top"/>
          </w:tcPr>
          <w:p w14:paraId="5CD3B6EE">
            <w:pPr>
              <w:pageBreakBefore w:val="0"/>
              <w:widowControl w:val="0"/>
              <w:kinsoku/>
              <w:wordWrap/>
              <w:overflowPunct/>
              <w:topLinePunct w:val="0"/>
              <w:autoSpaceDE/>
              <w:autoSpaceDN/>
              <w:bidi w:val="0"/>
              <w:spacing w:line="360" w:lineRule="auto"/>
              <w:ind w:firstLine="105" w:firstLineChars="5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0.035%</w:t>
            </w:r>
          </w:p>
        </w:tc>
      </w:tr>
      <w:tr w14:paraId="52013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66F43370">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10～50亿元</w:t>
            </w:r>
          </w:p>
        </w:tc>
        <w:tc>
          <w:tcPr>
            <w:tcW w:w="1659" w:type="dxa"/>
            <w:noWrap w:val="0"/>
            <w:vAlign w:val="top"/>
          </w:tcPr>
          <w:p w14:paraId="3A3EE15A">
            <w:pPr>
              <w:pageBreakBefore w:val="0"/>
              <w:widowControl w:val="0"/>
              <w:kinsoku/>
              <w:wordWrap/>
              <w:overflowPunct/>
              <w:topLinePunct w:val="0"/>
              <w:autoSpaceDE/>
              <w:autoSpaceDN/>
              <w:bidi w:val="0"/>
              <w:spacing w:line="360" w:lineRule="auto"/>
              <w:ind w:firstLine="105" w:firstLineChars="5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0.008%</w:t>
            </w:r>
          </w:p>
        </w:tc>
        <w:tc>
          <w:tcPr>
            <w:tcW w:w="1532" w:type="dxa"/>
            <w:noWrap w:val="0"/>
            <w:vAlign w:val="top"/>
          </w:tcPr>
          <w:p w14:paraId="179DD09B">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0.008%</w:t>
            </w:r>
          </w:p>
        </w:tc>
        <w:tc>
          <w:tcPr>
            <w:tcW w:w="1546" w:type="dxa"/>
            <w:noWrap w:val="0"/>
            <w:vAlign w:val="top"/>
          </w:tcPr>
          <w:p w14:paraId="735E1979">
            <w:pPr>
              <w:pageBreakBefore w:val="0"/>
              <w:widowControl w:val="0"/>
              <w:kinsoku/>
              <w:wordWrap/>
              <w:overflowPunct/>
              <w:topLinePunct w:val="0"/>
              <w:autoSpaceDE/>
              <w:autoSpaceDN/>
              <w:bidi w:val="0"/>
              <w:spacing w:line="360" w:lineRule="auto"/>
              <w:ind w:firstLine="105" w:firstLineChars="5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0.008%</w:t>
            </w:r>
          </w:p>
        </w:tc>
      </w:tr>
      <w:tr w14:paraId="08B15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281373B6">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50～100亿元</w:t>
            </w:r>
          </w:p>
        </w:tc>
        <w:tc>
          <w:tcPr>
            <w:tcW w:w="1659" w:type="dxa"/>
            <w:noWrap w:val="0"/>
            <w:vAlign w:val="top"/>
          </w:tcPr>
          <w:p w14:paraId="311AF754">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 0.006%</w:t>
            </w:r>
          </w:p>
        </w:tc>
        <w:tc>
          <w:tcPr>
            <w:tcW w:w="1532" w:type="dxa"/>
            <w:noWrap w:val="0"/>
            <w:vAlign w:val="top"/>
          </w:tcPr>
          <w:p w14:paraId="4E9470CF">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0.006%</w:t>
            </w:r>
          </w:p>
        </w:tc>
        <w:tc>
          <w:tcPr>
            <w:tcW w:w="1546" w:type="dxa"/>
            <w:noWrap w:val="0"/>
            <w:vAlign w:val="top"/>
          </w:tcPr>
          <w:p w14:paraId="21CA5FEB">
            <w:pPr>
              <w:pageBreakBefore w:val="0"/>
              <w:widowControl w:val="0"/>
              <w:kinsoku/>
              <w:wordWrap/>
              <w:overflowPunct/>
              <w:topLinePunct w:val="0"/>
              <w:autoSpaceDE/>
              <w:autoSpaceDN/>
              <w:bidi w:val="0"/>
              <w:spacing w:line="360" w:lineRule="auto"/>
              <w:ind w:firstLine="105" w:firstLineChars="5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0.006%</w:t>
            </w:r>
          </w:p>
        </w:tc>
      </w:tr>
      <w:tr w14:paraId="0DEB4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472" w:type="dxa"/>
            <w:noWrap w:val="0"/>
            <w:vAlign w:val="top"/>
          </w:tcPr>
          <w:p w14:paraId="2E3E225E">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100亿以上</w:t>
            </w:r>
          </w:p>
        </w:tc>
        <w:tc>
          <w:tcPr>
            <w:tcW w:w="1659" w:type="dxa"/>
            <w:noWrap w:val="0"/>
            <w:vAlign w:val="top"/>
          </w:tcPr>
          <w:p w14:paraId="265D8618">
            <w:pPr>
              <w:pageBreakBefore w:val="0"/>
              <w:widowControl w:val="0"/>
              <w:kinsoku/>
              <w:wordWrap/>
              <w:overflowPunct/>
              <w:topLinePunct w:val="0"/>
              <w:autoSpaceDE/>
              <w:autoSpaceDN/>
              <w:bidi w:val="0"/>
              <w:spacing w:line="360" w:lineRule="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 0.004%</w:t>
            </w:r>
          </w:p>
        </w:tc>
        <w:tc>
          <w:tcPr>
            <w:tcW w:w="1532" w:type="dxa"/>
            <w:noWrap w:val="0"/>
            <w:vAlign w:val="top"/>
          </w:tcPr>
          <w:p w14:paraId="506907E8">
            <w:pPr>
              <w:pageBreakBefore w:val="0"/>
              <w:widowControl w:val="0"/>
              <w:kinsoku/>
              <w:wordWrap/>
              <w:overflowPunct/>
              <w:topLinePunct w:val="0"/>
              <w:autoSpaceDE/>
              <w:autoSpaceDN/>
              <w:bidi w:val="0"/>
              <w:spacing w:line="360" w:lineRule="auto"/>
              <w:ind w:firstLine="210" w:firstLineChars="10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0.004%</w:t>
            </w:r>
          </w:p>
        </w:tc>
        <w:tc>
          <w:tcPr>
            <w:tcW w:w="1546" w:type="dxa"/>
            <w:noWrap w:val="0"/>
            <w:vAlign w:val="top"/>
          </w:tcPr>
          <w:p w14:paraId="3BEBBFCF">
            <w:pPr>
              <w:pageBreakBefore w:val="0"/>
              <w:widowControl w:val="0"/>
              <w:kinsoku/>
              <w:wordWrap/>
              <w:overflowPunct/>
              <w:topLinePunct w:val="0"/>
              <w:autoSpaceDE/>
              <w:autoSpaceDN/>
              <w:bidi w:val="0"/>
              <w:spacing w:line="360" w:lineRule="auto"/>
              <w:ind w:firstLine="105" w:firstLineChars="50"/>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0.004%</w:t>
            </w:r>
          </w:p>
        </w:tc>
      </w:tr>
    </w:tbl>
    <w:p w14:paraId="6889A647">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注：</w:t>
      </w:r>
    </w:p>
    <w:p w14:paraId="046A6BB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（1）按本表费率计算的收费为采购代理的收费基准价格；</w:t>
      </w:r>
    </w:p>
    <w:p w14:paraId="4033CC9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（2）采购代理收费按差额定率累进法计算。</w:t>
      </w:r>
    </w:p>
    <w:p w14:paraId="1ECA079A">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例如：某</w:t>
      </w:r>
      <w:r>
        <w:rPr>
          <w:rFonts w:hint="eastAsia" w:ascii="Times New Roman" w:hAnsi="Times New Roman" w:eastAsia="宋体" w:cs="宋体"/>
          <w:color w:val="auto"/>
          <w:spacing w:val="0"/>
          <w:highlight w:val="none"/>
          <w:lang w:eastAsia="zh-CN"/>
        </w:rPr>
        <w:t>工程</w:t>
      </w:r>
      <w:r>
        <w:rPr>
          <w:rFonts w:hint="eastAsia" w:ascii="Times New Roman" w:hAnsi="Times New Roman" w:eastAsia="宋体" w:cs="宋体"/>
          <w:color w:val="auto"/>
          <w:spacing w:val="0"/>
          <w:highlight w:val="none"/>
        </w:rPr>
        <w:t>采购代理业务成交金额或者暂定价为150万元，计算采购代理收费额如下：</w:t>
      </w:r>
    </w:p>
    <w:p w14:paraId="2037D3A9">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100万元×l.</w:t>
      </w:r>
      <w:r>
        <w:rPr>
          <w:rFonts w:hint="eastAsia" w:ascii="Times New Roman" w:hAnsi="Times New Roman" w:eastAsia="宋体" w:cs="宋体"/>
          <w:color w:val="auto"/>
          <w:spacing w:val="0"/>
          <w:highlight w:val="none"/>
          <w:lang w:val="en-US" w:eastAsia="zh-CN"/>
        </w:rPr>
        <w:t>0</w:t>
      </w:r>
      <w:r>
        <w:rPr>
          <w:rFonts w:hint="eastAsia" w:ascii="Times New Roman" w:hAnsi="Times New Roman" w:eastAsia="宋体" w:cs="宋体"/>
          <w:color w:val="auto"/>
          <w:spacing w:val="0"/>
          <w:highlight w:val="none"/>
        </w:rPr>
        <w:t>％＝1.</w:t>
      </w:r>
      <w:r>
        <w:rPr>
          <w:rFonts w:hint="eastAsia" w:ascii="Times New Roman" w:hAnsi="Times New Roman" w:eastAsia="宋体" w:cs="宋体"/>
          <w:color w:val="auto"/>
          <w:spacing w:val="0"/>
          <w:highlight w:val="none"/>
          <w:lang w:val="en-US" w:eastAsia="zh-CN"/>
        </w:rPr>
        <w:t>0</w:t>
      </w:r>
      <w:r>
        <w:rPr>
          <w:rFonts w:hint="eastAsia" w:ascii="Times New Roman" w:hAnsi="Times New Roman" w:eastAsia="宋体" w:cs="宋体"/>
          <w:color w:val="auto"/>
          <w:spacing w:val="0"/>
          <w:highlight w:val="none"/>
        </w:rPr>
        <w:t>万元</w:t>
      </w:r>
    </w:p>
    <w:p w14:paraId="102FE060">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（150－100）万元×0.</w:t>
      </w:r>
      <w:r>
        <w:rPr>
          <w:rFonts w:hint="eastAsia" w:ascii="Times New Roman" w:hAnsi="Times New Roman" w:eastAsia="宋体" w:cs="宋体"/>
          <w:color w:val="auto"/>
          <w:spacing w:val="0"/>
          <w:highlight w:val="none"/>
          <w:lang w:val="en-US" w:eastAsia="zh-CN"/>
        </w:rPr>
        <w:t>7</w:t>
      </w:r>
      <w:r>
        <w:rPr>
          <w:rFonts w:hint="eastAsia" w:ascii="Times New Roman" w:hAnsi="Times New Roman" w:eastAsia="宋体" w:cs="宋体"/>
          <w:color w:val="auto"/>
          <w:spacing w:val="0"/>
          <w:highlight w:val="none"/>
        </w:rPr>
        <w:t>％＝0.</w:t>
      </w:r>
      <w:r>
        <w:rPr>
          <w:rFonts w:hint="eastAsia" w:ascii="Times New Roman" w:hAnsi="Times New Roman" w:eastAsia="宋体" w:cs="宋体"/>
          <w:color w:val="auto"/>
          <w:spacing w:val="0"/>
          <w:highlight w:val="none"/>
          <w:lang w:val="en-US" w:eastAsia="zh-CN"/>
        </w:rPr>
        <w:t>35</w:t>
      </w:r>
      <w:r>
        <w:rPr>
          <w:rFonts w:hint="eastAsia" w:ascii="Times New Roman" w:hAnsi="Times New Roman" w:eastAsia="宋体" w:cs="宋体"/>
          <w:color w:val="auto"/>
          <w:spacing w:val="0"/>
          <w:highlight w:val="none"/>
        </w:rPr>
        <w:t>万元</w:t>
      </w:r>
    </w:p>
    <w:p w14:paraId="26570315">
      <w:pPr>
        <w:pageBreakBefore w:val="0"/>
        <w:widowControl w:val="0"/>
        <w:kinsoku/>
        <w:wordWrap/>
        <w:overflowPunct/>
        <w:topLinePunct w:val="0"/>
        <w:autoSpaceDE/>
        <w:autoSpaceDN/>
        <w:bidi w:val="0"/>
        <w:spacing w:line="360" w:lineRule="auto"/>
        <w:ind w:firstLine="420" w:firstLineChars="200"/>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highlight w:val="none"/>
        </w:rPr>
        <w:t>合计收费＝1.</w:t>
      </w:r>
      <w:r>
        <w:rPr>
          <w:rFonts w:hint="eastAsia" w:ascii="Times New Roman" w:hAnsi="Times New Roman" w:eastAsia="宋体" w:cs="宋体"/>
          <w:color w:val="auto"/>
          <w:spacing w:val="0"/>
          <w:highlight w:val="none"/>
          <w:lang w:val="en-US" w:eastAsia="zh-CN"/>
        </w:rPr>
        <w:t>0</w:t>
      </w:r>
      <w:r>
        <w:rPr>
          <w:rFonts w:hint="eastAsia" w:ascii="Times New Roman" w:hAnsi="Times New Roman" w:eastAsia="宋体" w:cs="宋体"/>
          <w:color w:val="auto"/>
          <w:spacing w:val="0"/>
          <w:highlight w:val="none"/>
        </w:rPr>
        <w:t>＋0.</w:t>
      </w:r>
      <w:r>
        <w:rPr>
          <w:rFonts w:hint="eastAsia" w:ascii="Times New Roman" w:hAnsi="Times New Roman" w:eastAsia="宋体" w:cs="宋体"/>
          <w:color w:val="auto"/>
          <w:spacing w:val="0"/>
          <w:highlight w:val="none"/>
          <w:lang w:val="en-US" w:eastAsia="zh-CN"/>
        </w:rPr>
        <w:t>35</w:t>
      </w:r>
      <w:r>
        <w:rPr>
          <w:rFonts w:hint="eastAsia" w:ascii="Times New Roman" w:hAnsi="Times New Roman" w:eastAsia="宋体" w:cs="宋体"/>
          <w:color w:val="auto"/>
          <w:spacing w:val="0"/>
          <w:highlight w:val="none"/>
        </w:rPr>
        <w:t>＝1.</w:t>
      </w:r>
      <w:r>
        <w:rPr>
          <w:rFonts w:hint="eastAsia" w:ascii="Times New Roman" w:hAnsi="Times New Roman" w:eastAsia="宋体" w:cs="宋体"/>
          <w:color w:val="auto"/>
          <w:spacing w:val="0"/>
          <w:highlight w:val="none"/>
          <w:lang w:val="en-US" w:eastAsia="zh-CN"/>
        </w:rPr>
        <w:t>35</w:t>
      </w:r>
      <w:r>
        <w:rPr>
          <w:rFonts w:hint="eastAsia" w:ascii="Times New Roman" w:hAnsi="Times New Roman" w:eastAsia="宋体" w:cs="宋体"/>
          <w:color w:val="auto"/>
          <w:spacing w:val="0"/>
          <w:highlight w:val="none"/>
        </w:rPr>
        <w:t>万元</w:t>
      </w:r>
    </w:p>
    <w:p w14:paraId="7FEFA674">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50" w:name="_Toc13746"/>
      <w:r>
        <w:rPr>
          <w:rFonts w:hint="eastAsia" w:ascii="Times New Roman" w:hAnsi="Times New Roman" w:eastAsia="宋体" w:cs="宋体"/>
          <w:b/>
          <w:bCs/>
          <w:color w:val="auto"/>
          <w:spacing w:val="0"/>
          <w:sz w:val="21"/>
          <w:szCs w:val="21"/>
          <w:highlight w:val="none"/>
        </w:rPr>
        <w:t>3</w:t>
      </w:r>
      <w:r>
        <w:rPr>
          <w:rFonts w:hint="eastAsia" w:ascii="Times New Roman" w:hAnsi="Times New Roman" w:eastAsia="宋体" w:cs="宋体"/>
          <w:b/>
          <w:bCs/>
          <w:color w:val="auto"/>
          <w:spacing w:val="0"/>
          <w:sz w:val="21"/>
          <w:szCs w:val="21"/>
          <w:highlight w:val="none"/>
          <w:lang w:val="en-US" w:eastAsia="zh-CN"/>
        </w:rPr>
        <w:t>3</w:t>
      </w:r>
      <w:r>
        <w:rPr>
          <w:rFonts w:hint="eastAsia" w:ascii="Times New Roman" w:hAnsi="Times New Roman" w:eastAsia="宋体" w:cs="宋体"/>
          <w:b/>
          <w:bCs/>
          <w:color w:val="auto"/>
          <w:spacing w:val="0"/>
          <w:sz w:val="21"/>
          <w:szCs w:val="21"/>
          <w:highlight w:val="none"/>
        </w:rPr>
        <w:t>.需要补充的其他内容</w:t>
      </w:r>
      <w:bookmarkEnd w:id="150"/>
    </w:p>
    <w:p w14:paraId="408DFC7A">
      <w:pPr>
        <w:pageBreakBefore w:val="0"/>
        <w:widowControl w:val="0"/>
        <w:kinsoku/>
        <w:wordWrap/>
        <w:overflowPunct/>
        <w:topLinePunct w:val="0"/>
        <w:autoSpaceDE/>
        <w:autoSpaceDN/>
        <w:bidi w:val="0"/>
        <w:spacing w:line="360" w:lineRule="auto"/>
        <w:ind w:firstLine="420" w:firstLineChars="200"/>
        <w:textAlignment w:val="center"/>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w:t>
      </w:r>
      <w:r>
        <w:rPr>
          <w:rFonts w:hint="eastAsia" w:ascii="Times New Roman" w:hAnsi="Times New Roman" w:eastAsia="宋体" w:cs="宋体"/>
          <w:color w:val="auto"/>
          <w:spacing w:val="0"/>
          <w:szCs w:val="21"/>
          <w:highlight w:val="none"/>
          <w:lang w:val="en-US" w:eastAsia="zh-CN"/>
        </w:rPr>
        <w:t>3</w:t>
      </w:r>
      <w:r>
        <w:rPr>
          <w:rFonts w:hint="eastAsia" w:ascii="Times New Roman" w:hAnsi="Times New Roman" w:eastAsia="宋体" w:cs="宋体"/>
          <w:color w:val="auto"/>
          <w:spacing w:val="0"/>
          <w:szCs w:val="21"/>
          <w:highlight w:val="none"/>
        </w:rPr>
        <w:t>.1本磋商文件解释规则详见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1E2FB911">
      <w:pPr>
        <w:pageBreakBefore w:val="0"/>
        <w:widowControl w:val="0"/>
        <w:kinsoku/>
        <w:wordWrap/>
        <w:overflowPunct/>
        <w:topLinePunct w:val="0"/>
        <w:autoSpaceDE/>
        <w:autoSpaceDN/>
        <w:bidi w:val="0"/>
        <w:spacing w:line="360" w:lineRule="auto"/>
        <w:ind w:firstLine="420" w:firstLineChars="200"/>
        <w:textAlignment w:val="center"/>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w:t>
      </w:r>
      <w:r>
        <w:rPr>
          <w:rFonts w:hint="eastAsia" w:ascii="Times New Roman" w:hAnsi="Times New Roman" w:eastAsia="宋体" w:cs="宋体"/>
          <w:color w:val="auto"/>
          <w:spacing w:val="0"/>
          <w:szCs w:val="21"/>
          <w:highlight w:val="none"/>
          <w:lang w:val="en-US" w:eastAsia="zh-CN"/>
        </w:rPr>
        <w:t>3</w:t>
      </w:r>
      <w:r>
        <w:rPr>
          <w:rFonts w:hint="eastAsia" w:ascii="Times New Roman" w:hAnsi="Times New Roman" w:eastAsia="宋体" w:cs="宋体"/>
          <w:color w:val="auto"/>
          <w:spacing w:val="0"/>
          <w:szCs w:val="21"/>
          <w:highlight w:val="none"/>
        </w:rPr>
        <w:t>.2 其他事项详见</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p>
    <w:p w14:paraId="165BECFC">
      <w:pPr>
        <w:pageBreakBefore w:val="0"/>
        <w:widowControl w:val="0"/>
        <w:kinsoku/>
        <w:wordWrap/>
        <w:overflowPunct/>
        <w:topLinePunct w:val="0"/>
        <w:autoSpaceDE/>
        <w:autoSpaceDN/>
        <w:bidi w:val="0"/>
        <w:spacing w:line="360" w:lineRule="auto"/>
        <w:ind w:firstLine="420" w:firstLineChars="200"/>
        <w:textAlignment w:val="center"/>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w:t>
      </w:r>
      <w:r>
        <w:rPr>
          <w:rFonts w:hint="eastAsia" w:ascii="Times New Roman" w:hAnsi="Times New Roman" w:eastAsia="宋体" w:cs="宋体"/>
          <w:color w:val="auto"/>
          <w:spacing w:val="0"/>
          <w:szCs w:val="21"/>
          <w:highlight w:val="none"/>
          <w:lang w:val="en-US" w:eastAsia="zh-CN"/>
        </w:rPr>
        <w:t>3</w:t>
      </w:r>
      <w:r>
        <w:rPr>
          <w:rFonts w:hint="eastAsia" w:ascii="Times New Roman" w:hAnsi="Times New Roman" w:eastAsia="宋体" w:cs="宋体"/>
          <w:color w:val="auto"/>
          <w:spacing w:val="0"/>
          <w:szCs w:val="21"/>
          <w:highlight w:val="none"/>
        </w:rPr>
        <w:t>.3本文件所称中小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在工程采购项目中，工程由中小企业承建，即工程施工单位为中小企业，不对其中涉及的货物的制造商和服务的承接商作出要求。</w:t>
      </w:r>
    </w:p>
    <w:p w14:paraId="2B834DE3">
      <w:pPr>
        <w:pageBreakBefore w:val="0"/>
        <w:widowControl w:val="0"/>
        <w:kinsoku/>
        <w:wordWrap/>
        <w:overflowPunct/>
        <w:topLinePunct w:val="0"/>
        <w:autoSpaceDE/>
        <w:autoSpaceDN/>
        <w:bidi w:val="0"/>
        <w:spacing w:line="360" w:lineRule="auto"/>
        <w:ind w:firstLine="420" w:firstLineChars="200"/>
        <w:textAlignment w:val="center"/>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以联合体形式参加政府采购活动，联合体各方均为中小企业的，联合体视同中小企业。其中，联合体各方均为小微企业的，联合体视同小微企业。</w:t>
      </w:r>
    </w:p>
    <w:p w14:paraId="513D9516">
      <w:pPr>
        <w:pageBreakBefore w:val="0"/>
        <w:widowControl w:val="0"/>
        <w:kinsoku/>
        <w:wordWrap/>
        <w:overflowPunct/>
        <w:topLinePunct w:val="0"/>
        <w:autoSpaceDE/>
        <w:autoSpaceDN/>
        <w:bidi w:val="0"/>
        <w:spacing w:line="360" w:lineRule="auto"/>
        <w:ind w:firstLine="420" w:firstLineChars="200"/>
        <w:textAlignment w:val="center"/>
        <w:rPr>
          <w:rFonts w:ascii="Times New Roman" w:hAnsi="Times New Roman"/>
          <w:color w:val="auto"/>
          <w:spacing w:val="0"/>
          <w:szCs w:val="21"/>
          <w:highlight w:val="none"/>
        </w:rPr>
      </w:pPr>
      <w:r>
        <w:rPr>
          <w:rFonts w:hint="eastAsia" w:ascii="Times New Roman" w:hAnsi="Times New Roman" w:eastAsia="宋体" w:cs="宋体"/>
          <w:color w:val="auto"/>
          <w:spacing w:val="0"/>
          <w:szCs w:val="21"/>
          <w:highlight w:val="none"/>
        </w:rPr>
        <w:t>依据本文件规定享受扶持政策获得政府采购合同的，小微企业不得将合同分包给大中型企业，中型企业不得将合同分包给大型企业。</w:t>
      </w:r>
    </w:p>
    <w:p w14:paraId="017BECD9">
      <w:pPr>
        <w:pageBreakBefore w:val="0"/>
        <w:widowControl w:val="0"/>
        <w:kinsoku/>
        <w:wordWrap/>
        <w:overflowPunct/>
        <w:topLinePunct w:val="0"/>
        <w:autoSpaceDE/>
        <w:autoSpaceDN/>
        <w:bidi w:val="0"/>
        <w:spacing w:line="360" w:lineRule="auto"/>
        <w:outlineLvl w:val="2"/>
        <w:rPr>
          <w:rFonts w:hint="eastAsia" w:ascii="Times New Roman" w:hAnsi="Times New Roman" w:eastAsia="宋体" w:cs="宋体"/>
          <w:b/>
          <w:bCs/>
          <w:color w:val="auto"/>
          <w:spacing w:val="0"/>
          <w:sz w:val="21"/>
          <w:szCs w:val="21"/>
          <w:highlight w:val="none"/>
        </w:rPr>
      </w:pPr>
      <w:bookmarkStart w:id="151" w:name="_Toc12785"/>
      <w:r>
        <w:rPr>
          <w:rFonts w:hint="eastAsia" w:ascii="Times New Roman" w:hAnsi="Times New Roman" w:eastAsia="宋体" w:cs="宋体"/>
          <w:b/>
          <w:bCs/>
          <w:color w:val="auto"/>
          <w:spacing w:val="0"/>
          <w:sz w:val="21"/>
          <w:szCs w:val="21"/>
          <w:highlight w:val="none"/>
        </w:rPr>
        <w:t>3</w:t>
      </w:r>
      <w:r>
        <w:rPr>
          <w:rFonts w:hint="eastAsia" w:ascii="Times New Roman" w:hAnsi="Times New Roman" w:eastAsia="宋体" w:cs="宋体"/>
          <w:b/>
          <w:bCs/>
          <w:color w:val="auto"/>
          <w:spacing w:val="0"/>
          <w:sz w:val="21"/>
          <w:szCs w:val="21"/>
          <w:highlight w:val="none"/>
          <w:lang w:val="en-US" w:eastAsia="zh-CN"/>
        </w:rPr>
        <w:t>4</w:t>
      </w:r>
      <w:r>
        <w:rPr>
          <w:rFonts w:hint="eastAsia" w:ascii="Times New Roman" w:hAnsi="Times New Roman" w:eastAsia="宋体" w:cs="宋体"/>
          <w:b/>
          <w:bCs/>
          <w:color w:val="auto"/>
          <w:spacing w:val="0"/>
          <w:sz w:val="21"/>
          <w:szCs w:val="21"/>
          <w:highlight w:val="none"/>
        </w:rPr>
        <w:t>.广西线上</w:t>
      </w:r>
      <w:r>
        <w:rPr>
          <w:rFonts w:hint="eastAsia" w:ascii="Times New Roman" w:hAnsi="Times New Roman" w:eastAsia="宋体" w:cs="宋体"/>
          <w:b/>
          <w:bCs/>
          <w:color w:val="auto"/>
          <w:spacing w:val="0"/>
          <w:sz w:val="21"/>
          <w:szCs w:val="21"/>
          <w:highlight w:val="none"/>
          <w:lang w:eastAsia="zh-CN"/>
        </w:rPr>
        <w:t>“</w:t>
      </w:r>
      <w:r>
        <w:rPr>
          <w:rFonts w:hint="eastAsia" w:ascii="Times New Roman" w:hAnsi="Times New Roman" w:eastAsia="宋体" w:cs="宋体"/>
          <w:b/>
          <w:bCs/>
          <w:color w:val="auto"/>
          <w:spacing w:val="0"/>
          <w:sz w:val="21"/>
          <w:szCs w:val="21"/>
          <w:highlight w:val="none"/>
        </w:rPr>
        <w:t>政采贷</w:t>
      </w:r>
      <w:r>
        <w:rPr>
          <w:rFonts w:hint="eastAsia" w:ascii="Times New Roman" w:hAnsi="Times New Roman" w:eastAsia="宋体" w:cs="宋体"/>
          <w:b/>
          <w:bCs/>
          <w:color w:val="auto"/>
          <w:spacing w:val="0"/>
          <w:sz w:val="21"/>
          <w:szCs w:val="21"/>
          <w:highlight w:val="none"/>
          <w:lang w:eastAsia="zh-CN"/>
        </w:rPr>
        <w:t>”</w:t>
      </w:r>
      <w:r>
        <w:rPr>
          <w:rFonts w:hint="eastAsia" w:ascii="Times New Roman" w:hAnsi="Times New Roman" w:eastAsia="宋体" w:cs="宋体"/>
          <w:b/>
          <w:bCs/>
          <w:color w:val="auto"/>
          <w:spacing w:val="0"/>
          <w:sz w:val="21"/>
          <w:szCs w:val="21"/>
          <w:highlight w:val="none"/>
        </w:rPr>
        <w:t>政策告知函</w:t>
      </w:r>
      <w:bookmarkEnd w:id="151"/>
    </w:p>
    <w:p w14:paraId="261D61A8">
      <w:pPr>
        <w:spacing w:line="580" w:lineRule="exact"/>
        <w:jc w:val="center"/>
        <w:rPr>
          <w:rFonts w:ascii="Times New Roman" w:hAnsi="Times New Roman"/>
          <w:b/>
          <w:bCs/>
          <w:color w:val="auto"/>
          <w:spacing w:val="0"/>
          <w:szCs w:val="32"/>
          <w:highlight w:val="none"/>
        </w:rPr>
      </w:pPr>
      <w:r>
        <w:rPr>
          <w:rFonts w:ascii="Times New Roman" w:hAnsi="Times New Roman"/>
          <w:b/>
          <w:bCs/>
          <w:color w:val="auto"/>
          <w:spacing w:val="0"/>
          <w:sz w:val="32"/>
          <w:szCs w:val="32"/>
          <w:highlight w:val="none"/>
        </w:rPr>
        <w:t>广西线上</w:t>
      </w:r>
      <w:r>
        <w:rPr>
          <w:rFonts w:hint="eastAsia" w:ascii="Times New Roman" w:hAnsi="Times New Roman"/>
          <w:b/>
          <w:bCs/>
          <w:color w:val="auto"/>
          <w:spacing w:val="0"/>
          <w:sz w:val="32"/>
          <w:szCs w:val="32"/>
          <w:highlight w:val="none"/>
          <w:lang w:eastAsia="zh-CN"/>
        </w:rPr>
        <w:t>“</w:t>
      </w:r>
      <w:r>
        <w:rPr>
          <w:rFonts w:ascii="Times New Roman" w:hAnsi="Times New Roman"/>
          <w:b/>
          <w:bCs/>
          <w:color w:val="auto"/>
          <w:spacing w:val="0"/>
          <w:sz w:val="32"/>
          <w:szCs w:val="32"/>
          <w:highlight w:val="none"/>
        </w:rPr>
        <w:t>政采贷</w:t>
      </w:r>
      <w:r>
        <w:rPr>
          <w:rFonts w:hint="eastAsia" w:ascii="Times New Roman" w:hAnsi="Times New Roman"/>
          <w:b/>
          <w:bCs/>
          <w:color w:val="auto"/>
          <w:spacing w:val="0"/>
          <w:sz w:val="32"/>
          <w:szCs w:val="32"/>
          <w:highlight w:val="none"/>
          <w:lang w:eastAsia="zh-CN"/>
        </w:rPr>
        <w:t>”</w:t>
      </w:r>
      <w:r>
        <w:rPr>
          <w:rFonts w:ascii="Times New Roman" w:hAnsi="Times New Roman"/>
          <w:b/>
          <w:bCs/>
          <w:color w:val="auto"/>
          <w:spacing w:val="0"/>
          <w:sz w:val="32"/>
          <w:szCs w:val="32"/>
          <w:highlight w:val="none"/>
        </w:rPr>
        <w:t>政策告知函</w:t>
      </w:r>
    </w:p>
    <w:p w14:paraId="212F20F4">
      <w:pPr>
        <w:spacing w:line="580" w:lineRule="exact"/>
        <w:rPr>
          <w:rFonts w:ascii="Times New Roman" w:hAnsi="Times New Roman"/>
          <w:color w:val="auto"/>
          <w:spacing w:val="0"/>
          <w:szCs w:val="21"/>
          <w:highlight w:val="none"/>
        </w:rPr>
      </w:pPr>
      <w:r>
        <w:rPr>
          <w:rFonts w:ascii="Times New Roman" w:hAnsi="Times New Roman"/>
          <w:color w:val="auto"/>
          <w:spacing w:val="0"/>
          <w:szCs w:val="21"/>
          <w:highlight w:val="none"/>
        </w:rPr>
        <w:t>各供应商：</w:t>
      </w:r>
    </w:p>
    <w:p w14:paraId="7FC75548">
      <w:pPr>
        <w:spacing w:line="580" w:lineRule="exact"/>
        <w:ind w:firstLine="420" w:firstLineChars="200"/>
        <w:rPr>
          <w:rFonts w:ascii="Times New Roman" w:hAnsi="Times New Roman"/>
          <w:color w:val="auto"/>
          <w:spacing w:val="0"/>
          <w:szCs w:val="21"/>
          <w:highlight w:val="none"/>
        </w:rPr>
      </w:pPr>
      <w:r>
        <w:rPr>
          <w:rFonts w:ascii="Times New Roman" w:hAnsi="Times New Roman"/>
          <w:color w:val="auto"/>
          <w:spacing w:val="0"/>
          <w:szCs w:val="21"/>
          <w:highlight w:val="none"/>
        </w:rPr>
        <w:t>欢迎贵公司参与广西政府采购活动！</w:t>
      </w:r>
    </w:p>
    <w:p w14:paraId="5CC5C003">
      <w:pPr>
        <w:spacing w:line="580" w:lineRule="exact"/>
        <w:ind w:firstLine="420" w:firstLineChars="200"/>
        <w:rPr>
          <w:rFonts w:ascii="Times New Roman" w:hAnsi="Times New Roman"/>
          <w:color w:val="auto"/>
          <w:spacing w:val="0"/>
          <w:szCs w:val="21"/>
          <w:highlight w:val="none"/>
        </w:rPr>
      </w:pPr>
      <w:r>
        <w:rPr>
          <w:rFonts w:ascii="Times New Roman" w:hAnsi="Times New Roman"/>
          <w:color w:val="auto"/>
          <w:spacing w:val="0"/>
          <w:szCs w:val="21"/>
          <w:highlight w:val="none"/>
        </w:rPr>
        <w:t>线上</w:t>
      </w:r>
      <w:r>
        <w:rPr>
          <w:rFonts w:hint="eastAsia" w:ascii="Times New Roman" w:hAnsi="Times New Roman"/>
          <w:color w:val="auto"/>
          <w:spacing w:val="0"/>
          <w:szCs w:val="21"/>
          <w:highlight w:val="none"/>
          <w:lang w:eastAsia="zh-CN"/>
        </w:rPr>
        <w:t>“</w:t>
      </w:r>
      <w:r>
        <w:rPr>
          <w:rFonts w:ascii="Times New Roman" w:hAnsi="Times New Roman"/>
          <w:color w:val="auto"/>
          <w:spacing w:val="0"/>
          <w:szCs w:val="21"/>
          <w:highlight w:val="none"/>
        </w:rPr>
        <w:t>政采贷</w:t>
      </w:r>
      <w:r>
        <w:rPr>
          <w:rFonts w:hint="eastAsia" w:ascii="Times New Roman" w:hAnsi="Times New Roman"/>
          <w:color w:val="auto"/>
          <w:spacing w:val="0"/>
          <w:szCs w:val="21"/>
          <w:highlight w:val="none"/>
          <w:lang w:eastAsia="zh-CN"/>
        </w:rPr>
        <w:t>”</w:t>
      </w:r>
      <w:r>
        <w:rPr>
          <w:rFonts w:ascii="Times New Roman" w:hAnsi="Times New Roman"/>
          <w:color w:val="auto"/>
          <w:spacing w:val="0"/>
          <w:szCs w:val="21"/>
          <w:highlight w:val="none"/>
        </w:rPr>
        <w:t>是人民银行南宁中心支行和自治区财政厅共同支持企业发展，针对参与政府采购活动的企业融资难、融资贵、融资慢、融资繁问题推出的一项融资政策。贵公司若成为本次政府采购项目的中标（成交）供应商，可持政府采购合同在线向银行业金融机构申请贷款，融资机构将根据《中国人民银行南宁中心支行 广西壮族自治区财政厅关于推广线上</w:t>
      </w:r>
      <w:r>
        <w:rPr>
          <w:rFonts w:hint="eastAsia" w:ascii="Times New Roman" w:hAnsi="Times New Roman"/>
          <w:color w:val="auto"/>
          <w:spacing w:val="0"/>
          <w:szCs w:val="21"/>
          <w:highlight w:val="none"/>
          <w:lang w:eastAsia="zh-CN"/>
        </w:rPr>
        <w:t>“</w:t>
      </w:r>
      <w:r>
        <w:rPr>
          <w:rFonts w:ascii="Times New Roman" w:hAnsi="Times New Roman"/>
          <w:color w:val="auto"/>
          <w:spacing w:val="0"/>
          <w:szCs w:val="21"/>
          <w:highlight w:val="none"/>
        </w:rPr>
        <w:t>政采贷</w:t>
      </w:r>
      <w:r>
        <w:rPr>
          <w:rFonts w:hint="eastAsia" w:ascii="Times New Roman" w:hAnsi="Times New Roman"/>
          <w:color w:val="auto"/>
          <w:spacing w:val="0"/>
          <w:szCs w:val="21"/>
          <w:highlight w:val="none"/>
          <w:lang w:eastAsia="zh-CN"/>
        </w:rPr>
        <w:t>”</w:t>
      </w:r>
      <w:r>
        <w:rPr>
          <w:rFonts w:ascii="Times New Roman" w:hAnsi="Times New Roman"/>
          <w:color w:val="auto"/>
          <w:spacing w:val="0"/>
          <w:szCs w:val="21"/>
          <w:highlight w:val="none"/>
        </w:rPr>
        <w:t>融资模式的通知》（南宁银发〔2021〕258号），按照双方自愿的原则提供便捷、优惠的贷款服务。</w:t>
      </w:r>
    </w:p>
    <w:p w14:paraId="1315B885">
      <w:pPr>
        <w:spacing w:line="580" w:lineRule="exact"/>
        <w:ind w:firstLine="420" w:firstLineChars="200"/>
        <w:rPr>
          <w:rFonts w:hint="eastAsia" w:ascii="Times New Roman" w:hAnsi="Times New Roman" w:cs="宋体"/>
          <w:color w:val="auto"/>
          <w:spacing w:val="0"/>
          <w:szCs w:val="21"/>
          <w:highlight w:val="none"/>
        </w:rPr>
      </w:pPr>
      <w:r>
        <w:rPr>
          <w:rFonts w:ascii="Times New Roman" w:hAnsi="Times New Roman"/>
          <w:color w:val="auto"/>
          <w:spacing w:val="0"/>
          <w:szCs w:val="21"/>
          <w:highlight w:val="none"/>
        </w:rPr>
        <w:t>相关金融产品和银行业金融机构联系方式，可在中征应收账款融资服务平台查询（网址：</w:t>
      </w:r>
      <w:r>
        <w:rPr>
          <w:rFonts w:ascii="Times New Roman" w:hAnsi="Times New Roman"/>
          <w:color w:val="auto"/>
          <w:spacing w:val="0"/>
          <w:szCs w:val="21"/>
          <w:highlight w:val="none"/>
        </w:rPr>
        <w:fldChar w:fldCharType="begin"/>
      </w:r>
      <w:r>
        <w:rPr>
          <w:rFonts w:ascii="Times New Roman" w:hAnsi="Times New Roman"/>
          <w:color w:val="auto"/>
          <w:spacing w:val="0"/>
          <w:szCs w:val="21"/>
          <w:highlight w:val="none"/>
        </w:rPr>
        <w:instrText xml:space="preserve"> HYPERLINK "https://www.crcrfsp.com/" </w:instrText>
      </w:r>
      <w:r>
        <w:rPr>
          <w:rFonts w:ascii="Times New Roman" w:hAnsi="Times New Roman"/>
          <w:color w:val="auto"/>
          <w:spacing w:val="0"/>
          <w:szCs w:val="21"/>
          <w:highlight w:val="none"/>
        </w:rPr>
        <w:fldChar w:fldCharType="separate"/>
      </w:r>
      <w:r>
        <w:rPr>
          <w:rStyle w:val="34"/>
          <w:rFonts w:ascii="Times New Roman" w:hAnsi="Times New Roman"/>
          <w:color w:val="auto"/>
          <w:spacing w:val="0"/>
          <w:szCs w:val="21"/>
          <w:highlight w:val="none"/>
        </w:rPr>
        <w:t>https://www.crcrfsp.com/</w:t>
      </w:r>
      <w:r>
        <w:rPr>
          <w:rFonts w:ascii="Times New Roman" w:hAnsi="Times New Roman"/>
          <w:color w:val="auto"/>
          <w:spacing w:val="0"/>
          <w:szCs w:val="21"/>
          <w:highlight w:val="none"/>
        </w:rPr>
        <w:fldChar w:fldCharType="end"/>
      </w:r>
      <w:r>
        <w:rPr>
          <w:rFonts w:ascii="Times New Roman" w:hAnsi="Times New Roman"/>
          <w:color w:val="auto"/>
          <w:spacing w:val="0"/>
          <w:szCs w:val="21"/>
          <w:highlight w:val="none"/>
        </w:rPr>
        <w:t>，客服电话：400-009-0001）。</w:t>
      </w:r>
    </w:p>
    <w:p w14:paraId="4EBFBD8D">
      <w:pPr>
        <w:rPr>
          <w:rFonts w:hint="eastAsia" w:ascii="Times New Roman" w:hAnsi="Times New Roman" w:cs="宋体"/>
          <w:color w:val="auto"/>
          <w:spacing w:val="0"/>
          <w:szCs w:val="21"/>
          <w:highlight w:val="none"/>
          <w:lang w:eastAsia="zh-CN"/>
        </w:rPr>
      </w:pPr>
    </w:p>
    <w:p w14:paraId="11DDD5DE">
      <w:pPr>
        <w:rPr>
          <w:rFonts w:hint="eastAsia" w:ascii="Times New Roman" w:hAnsi="Times New Roman" w:cs="宋体"/>
          <w:color w:val="auto"/>
          <w:spacing w:val="0"/>
          <w:szCs w:val="21"/>
          <w:highlight w:val="none"/>
          <w:lang w:eastAsia="zh-CN"/>
        </w:rPr>
      </w:pPr>
    </w:p>
    <w:p w14:paraId="74C7F698">
      <w:pPr>
        <w:rPr>
          <w:rFonts w:hint="eastAsia" w:ascii="Times New Roman" w:hAnsi="Times New Roman" w:eastAsia="华文中宋" w:cs="华文中宋"/>
          <w:color w:val="auto"/>
          <w:spacing w:val="0"/>
          <w:sz w:val="32"/>
          <w:szCs w:val="32"/>
        </w:rPr>
      </w:pPr>
      <w:bookmarkStart w:id="152" w:name="_Toc8593"/>
      <w:bookmarkStart w:id="153" w:name="_Toc80886937"/>
      <w:bookmarkStart w:id="154" w:name="_Toc17511"/>
      <w:bookmarkStart w:id="155" w:name="_Toc3879"/>
      <w:bookmarkStart w:id="156" w:name="_Toc4028"/>
      <w:bookmarkStart w:id="157" w:name="_Toc28979"/>
      <w:bookmarkStart w:id="158" w:name="_Toc29100"/>
      <w:bookmarkStart w:id="159" w:name="_Toc8412"/>
      <w:r>
        <w:rPr>
          <w:rFonts w:hint="eastAsia" w:ascii="Times New Roman" w:hAnsi="Times New Roman" w:eastAsia="华文中宋" w:cs="华文中宋"/>
          <w:color w:val="auto"/>
          <w:spacing w:val="0"/>
          <w:sz w:val="32"/>
          <w:szCs w:val="32"/>
        </w:rPr>
        <w:br w:type="page"/>
      </w:r>
    </w:p>
    <w:p w14:paraId="38316075">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Times New Roman" w:hAnsi="Times New Roman" w:eastAsia="华文中宋" w:cs="华文中宋"/>
          <w:color w:val="auto"/>
          <w:spacing w:val="0"/>
          <w:sz w:val="32"/>
          <w:szCs w:val="32"/>
        </w:rPr>
      </w:pPr>
      <w:bookmarkStart w:id="160" w:name="_Toc22237"/>
      <w:bookmarkStart w:id="161" w:name="_Toc24530"/>
      <w:r>
        <w:rPr>
          <w:rFonts w:hint="eastAsia" w:ascii="Times New Roman" w:hAnsi="Times New Roman" w:eastAsia="华文中宋" w:cs="华文中宋"/>
          <w:color w:val="auto"/>
          <w:spacing w:val="0"/>
          <w:sz w:val="32"/>
          <w:szCs w:val="32"/>
        </w:rPr>
        <w:t>第四章  评审程序、评审方法和评审标准</w:t>
      </w:r>
      <w:bookmarkEnd w:id="152"/>
      <w:bookmarkEnd w:id="153"/>
      <w:bookmarkEnd w:id="154"/>
      <w:bookmarkEnd w:id="155"/>
      <w:bookmarkEnd w:id="156"/>
      <w:bookmarkEnd w:id="157"/>
      <w:bookmarkEnd w:id="158"/>
      <w:bookmarkEnd w:id="159"/>
      <w:bookmarkEnd w:id="160"/>
      <w:bookmarkEnd w:id="161"/>
    </w:p>
    <w:p w14:paraId="134C661F">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Times New Roman" w:hAnsi="Times New Roman" w:eastAsia="宋体" w:cs="宋体"/>
          <w:b/>
          <w:bCs/>
          <w:color w:val="auto"/>
          <w:spacing w:val="0"/>
          <w:sz w:val="30"/>
          <w:szCs w:val="30"/>
          <w:highlight w:val="none"/>
        </w:rPr>
      </w:pPr>
      <w:bookmarkStart w:id="162" w:name="_Toc17424"/>
      <w:bookmarkStart w:id="163" w:name="_Toc27212"/>
      <w:bookmarkStart w:id="164" w:name="_Toc80886938"/>
      <w:bookmarkStart w:id="165" w:name="_Toc11607"/>
      <w:r>
        <w:rPr>
          <w:rFonts w:hint="eastAsia" w:ascii="Times New Roman" w:hAnsi="Times New Roman" w:eastAsia="宋体" w:cs="宋体"/>
          <w:b/>
          <w:bCs/>
          <w:color w:val="auto"/>
          <w:spacing w:val="0"/>
          <w:sz w:val="30"/>
          <w:szCs w:val="30"/>
          <w:highlight w:val="none"/>
        </w:rPr>
        <w:t xml:space="preserve">第一节 </w:t>
      </w:r>
      <w:r>
        <w:rPr>
          <w:rFonts w:hint="eastAsia" w:ascii="Times New Roman" w:hAnsi="Times New Roman" w:eastAsia="宋体" w:cs="宋体"/>
          <w:b/>
          <w:bCs/>
          <w:color w:val="auto"/>
          <w:spacing w:val="0"/>
          <w:sz w:val="30"/>
          <w:szCs w:val="30"/>
          <w:highlight w:val="none"/>
          <w:lang w:val="en-US" w:eastAsia="zh-CN"/>
        </w:rPr>
        <w:t xml:space="preserve"> </w:t>
      </w:r>
      <w:r>
        <w:rPr>
          <w:rFonts w:hint="eastAsia" w:ascii="Times New Roman" w:hAnsi="Times New Roman" w:eastAsia="宋体" w:cs="宋体"/>
          <w:b/>
          <w:bCs/>
          <w:color w:val="auto"/>
          <w:spacing w:val="0"/>
          <w:sz w:val="30"/>
          <w:szCs w:val="30"/>
          <w:highlight w:val="none"/>
        </w:rPr>
        <w:t>评审程序和评审方法</w:t>
      </w:r>
      <w:bookmarkEnd w:id="162"/>
      <w:bookmarkEnd w:id="163"/>
      <w:bookmarkEnd w:id="164"/>
      <w:bookmarkEnd w:id="165"/>
    </w:p>
    <w:p w14:paraId="6BEABE1E">
      <w:pPr>
        <w:pageBreakBefore w:val="0"/>
        <w:kinsoku/>
        <w:wordWrap/>
        <w:overflowPunct/>
        <w:topLinePunct w:val="0"/>
        <w:autoSpaceDE/>
        <w:autoSpaceDN/>
        <w:bidi w:val="0"/>
        <w:spacing w:line="360" w:lineRule="auto"/>
        <w:textAlignment w:val="auto"/>
        <w:outlineLvl w:val="2"/>
        <w:rPr>
          <w:rFonts w:hint="eastAsia" w:ascii="Times New Roman" w:hAnsi="Times New Roman" w:eastAsia="宋体" w:cs="宋体"/>
          <w:b/>
          <w:bCs/>
          <w:color w:val="auto"/>
          <w:spacing w:val="0"/>
          <w:sz w:val="21"/>
          <w:szCs w:val="21"/>
          <w:highlight w:val="none"/>
        </w:rPr>
      </w:pPr>
      <w:bookmarkStart w:id="166" w:name="_Toc31707"/>
      <w:r>
        <w:rPr>
          <w:rFonts w:hint="eastAsia" w:ascii="Times New Roman" w:hAnsi="Times New Roman" w:eastAsia="宋体" w:cs="宋体"/>
          <w:b/>
          <w:bCs/>
          <w:color w:val="auto"/>
          <w:spacing w:val="0"/>
          <w:sz w:val="21"/>
          <w:szCs w:val="21"/>
          <w:highlight w:val="none"/>
        </w:rPr>
        <w:t>1.确认磋商文件</w:t>
      </w:r>
      <w:bookmarkEnd w:id="166"/>
    </w:p>
    <w:p w14:paraId="6D86F6C9">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由磋商小组确认磋商文件。</w:t>
      </w:r>
    </w:p>
    <w:p w14:paraId="60198F6E">
      <w:pPr>
        <w:pageBreakBefore w:val="0"/>
        <w:kinsoku/>
        <w:wordWrap/>
        <w:overflowPunct/>
        <w:topLinePunct w:val="0"/>
        <w:autoSpaceDE/>
        <w:autoSpaceDN/>
        <w:bidi w:val="0"/>
        <w:spacing w:line="360" w:lineRule="auto"/>
        <w:textAlignment w:val="auto"/>
        <w:outlineLvl w:val="2"/>
        <w:rPr>
          <w:rFonts w:hint="eastAsia" w:ascii="Times New Roman" w:hAnsi="Times New Roman" w:eastAsia="宋体" w:cs="宋体"/>
          <w:b/>
          <w:bCs/>
          <w:color w:val="auto"/>
          <w:spacing w:val="0"/>
          <w:sz w:val="21"/>
          <w:szCs w:val="21"/>
          <w:highlight w:val="none"/>
        </w:rPr>
      </w:pPr>
      <w:bookmarkStart w:id="167" w:name="_Toc11342"/>
      <w:r>
        <w:rPr>
          <w:rFonts w:hint="eastAsia" w:ascii="Times New Roman" w:hAnsi="Times New Roman" w:eastAsia="宋体" w:cs="宋体"/>
          <w:b/>
          <w:bCs/>
          <w:color w:val="auto"/>
          <w:spacing w:val="0"/>
          <w:sz w:val="21"/>
          <w:szCs w:val="21"/>
          <w:highlight w:val="none"/>
        </w:rPr>
        <w:t>2.资格审查</w:t>
      </w:r>
      <w:bookmarkEnd w:id="167"/>
    </w:p>
    <w:p w14:paraId="73917A86">
      <w:pPr>
        <w:pageBreakBefore w:val="0"/>
        <w:kinsoku/>
        <w:wordWrap/>
        <w:overflowPunct/>
        <w:topLinePunct w:val="0"/>
        <w:autoSpaceDE/>
        <w:autoSpaceDN/>
        <w:bidi w:val="0"/>
        <w:snapToGrid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2.1响应文件开启后，磋商小组依法对供应商的资格证明文件进行审查。</w:t>
      </w:r>
    </w:p>
    <w:p w14:paraId="4F20380A">
      <w:pPr>
        <w:pageBreakBefore w:val="0"/>
        <w:kinsoku/>
        <w:wordWrap/>
        <w:overflowPunct/>
        <w:topLinePunct w:val="0"/>
        <w:autoSpaceDE/>
        <w:autoSpaceDN/>
        <w:bidi w:val="0"/>
        <w:snapToGrid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注：采购人代表或者采购代理机构在资格审查结束前，对供应商进行信用查询。</w:t>
      </w:r>
    </w:p>
    <w:p w14:paraId="17330A7A">
      <w:pPr>
        <w:pageBreakBefore w:val="0"/>
        <w:kinsoku/>
        <w:wordWrap/>
        <w:overflowPunct/>
        <w:topLinePunct w:val="0"/>
        <w:autoSpaceDE/>
        <w:autoSpaceDN/>
        <w:bidi w:val="0"/>
        <w:snapToGrid w:val="0"/>
        <w:spacing w:line="360" w:lineRule="auto"/>
        <w:ind w:firstLine="420" w:firstLineChars="200"/>
        <w:jc w:val="left"/>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（1）查询渠道：</w:t>
      </w:r>
      <w:r>
        <w:rPr>
          <w:rFonts w:hint="eastAsia" w:ascii="Times New Roman" w:hAnsi="Times New Roman" w:eastAsia="宋体" w:cs="宋体"/>
          <w:b w:val="0"/>
          <w:bCs w:val="0"/>
          <w:color w:val="auto"/>
          <w:spacing w:val="0"/>
          <w:sz w:val="21"/>
          <w:szCs w:val="21"/>
          <w:highlight w:val="none"/>
          <w:lang w:val="en-US" w:eastAsia="zh-CN"/>
        </w:rPr>
        <w:t>广西政府采购云平台</w:t>
      </w:r>
      <w:r>
        <w:rPr>
          <w:rFonts w:hint="eastAsia" w:ascii="Times New Roman" w:hAnsi="Times New Roman" w:eastAsia="宋体" w:cs="宋体"/>
          <w:color w:val="auto"/>
          <w:spacing w:val="0"/>
          <w:szCs w:val="21"/>
          <w:highlight w:val="none"/>
        </w:rPr>
        <w:t>“信用中国”网站(</w:t>
      </w:r>
      <w:r>
        <w:rPr>
          <w:rFonts w:hint="eastAsia" w:ascii="Times New Roman" w:hAnsi="Times New Roman" w:eastAsia="宋体" w:cs="宋体"/>
          <w:color w:val="auto"/>
          <w:spacing w:val="0"/>
          <w:szCs w:val="21"/>
          <w:highlight w:val="none"/>
        </w:rPr>
        <w:fldChar w:fldCharType="begin"/>
      </w:r>
      <w:r>
        <w:rPr>
          <w:rFonts w:hint="eastAsia" w:ascii="Times New Roman" w:hAnsi="Times New Roman" w:eastAsia="宋体" w:cs="宋体"/>
          <w:color w:val="auto"/>
          <w:spacing w:val="0"/>
          <w:szCs w:val="21"/>
          <w:highlight w:val="none"/>
        </w:rPr>
        <w:instrText xml:space="preserve"> HYPERLINK "http://www.creditchina.gov.cn" </w:instrText>
      </w:r>
      <w:r>
        <w:rPr>
          <w:rFonts w:hint="eastAsia" w:ascii="Times New Roman" w:hAnsi="Times New Roman" w:eastAsia="宋体" w:cs="宋体"/>
          <w:color w:val="auto"/>
          <w:spacing w:val="0"/>
          <w:szCs w:val="21"/>
          <w:highlight w:val="none"/>
        </w:rPr>
        <w:fldChar w:fldCharType="separate"/>
      </w:r>
      <w:r>
        <w:rPr>
          <w:rStyle w:val="35"/>
          <w:rFonts w:hint="eastAsia" w:ascii="Times New Roman" w:hAnsi="Times New Roman" w:eastAsia="宋体" w:cs="宋体"/>
          <w:color w:val="auto"/>
          <w:spacing w:val="0"/>
          <w:highlight w:val="none"/>
        </w:rPr>
        <w:t>www.creditchina.gov.cn</w:t>
      </w:r>
      <w:r>
        <w:rPr>
          <w:rFonts w:hint="eastAsia" w:ascii="Times New Roman" w:hAnsi="Times New Roman" w:eastAsia="宋体" w:cs="宋体"/>
          <w:color w:val="auto"/>
          <w:spacing w:val="0"/>
          <w:szCs w:val="21"/>
          <w:highlight w:val="none"/>
        </w:rPr>
        <w:fldChar w:fldCharType="end"/>
      </w:r>
      <w:r>
        <w:rPr>
          <w:rFonts w:hint="eastAsia" w:ascii="Times New Roman" w:hAnsi="Times New Roman" w:eastAsia="宋体" w:cs="宋体"/>
          <w:color w:val="auto"/>
          <w:spacing w:val="0"/>
          <w:szCs w:val="21"/>
          <w:highlight w:val="none"/>
        </w:rPr>
        <w:t>)、中国政府采购网(</w:t>
      </w:r>
      <w:r>
        <w:rPr>
          <w:rFonts w:hint="eastAsia" w:ascii="Times New Roman" w:hAnsi="Times New Roman" w:eastAsia="宋体" w:cs="宋体"/>
          <w:color w:val="auto"/>
          <w:spacing w:val="0"/>
          <w:szCs w:val="21"/>
          <w:highlight w:val="none"/>
        </w:rPr>
        <w:fldChar w:fldCharType="begin"/>
      </w:r>
      <w:r>
        <w:rPr>
          <w:rFonts w:hint="eastAsia" w:ascii="Times New Roman" w:hAnsi="Times New Roman" w:eastAsia="宋体" w:cs="宋体"/>
          <w:color w:val="auto"/>
          <w:spacing w:val="0"/>
          <w:szCs w:val="21"/>
          <w:highlight w:val="none"/>
        </w:rPr>
        <w:instrText xml:space="preserve"> HYPERLINK "http://www.ccgp.gov.cn" </w:instrText>
      </w:r>
      <w:r>
        <w:rPr>
          <w:rFonts w:hint="eastAsia" w:ascii="Times New Roman" w:hAnsi="Times New Roman" w:eastAsia="宋体" w:cs="宋体"/>
          <w:color w:val="auto"/>
          <w:spacing w:val="0"/>
          <w:szCs w:val="21"/>
          <w:highlight w:val="none"/>
        </w:rPr>
        <w:fldChar w:fldCharType="separate"/>
      </w:r>
      <w:r>
        <w:rPr>
          <w:rStyle w:val="35"/>
          <w:rFonts w:hint="eastAsia" w:ascii="Times New Roman" w:hAnsi="Times New Roman" w:eastAsia="宋体" w:cs="宋体"/>
          <w:color w:val="auto"/>
          <w:spacing w:val="0"/>
          <w:highlight w:val="none"/>
        </w:rPr>
        <w:t>www.ccgp.gov.cn</w:t>
      </w:r>
      <w:r>
        <w:rPr>
          <w:rFonts w:hint="eastAsia" w:ascii="Times New Roman" w:hAnsi="Times New Roman" w:eastAsia="宋体" w:cs="宋体"/>
          <w:color w:val="auto"/>
          <w:spacing w:val="0"/>
          <w:szCs w:val="21"/>
          <w:highlight w:val="none"/>
        </w:rPr>
        <w:fldChar w:fldCharType="end"/>
      </w:r>
      <w:r>
        <w:rPr>
          <w:rFonts w:hint="eastAsia" w:ascii="Times New Roman" w:hAnsi="Times New Roman" w:eastAsia="宋体" w:cs="宋体"/>
          <w:color w:val="auto"/>
          <w:spacing w:val="0"/>
          <w:szCs w:val="21"/>
          <w:highlight w:val="none"/>
        </w:rPr>
        <w:t>)链接入口。</w:t>
      </w:r>
    </w:p>
    <w:p w14:paraId="64A6CE2C">
      <w:pPr>
        <w:pageBreakBefore w:val="0"/>
        <w:kinsoku/>
        <w:wordWrap/>
        <w:overflowPunct/>
        <w:topLinePunct w:val="0"/>
        <w:autoSpaceDE/>
        <w:autoSpaceDN/>
        <w:bidi w:val="0"/>
        <w:snapToGrid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（2）信用查询截止时点：资格审查结束前。</w:t>
      </w:r>
    </w:p>
    <w:p w14:paraId="411D6D5D">
      <w:pPr>
        <w:pageBreakBefore w:val="0"/>
        <w:kinsoku/>
        <w:wordWrap/>
        <w:overflowPunct/>
        <w:topLinePunct w:val="0"/>
        <w:autoSpaceDE/>
        <w:autoSpaceDN/>
        <w:bidi w:val="0"/>
        <w:snapToGrid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查询记录和证据留存方式：在查询网站中直接打印查询记录，截图另存为电子文档作为评审资料保存。</w:t>
      </w:r>
    </w:p>
    <w:p w14:paraId="18C0CF8D">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（3）信用信息使用规则：对在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信用中国</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网站(www.creditchina.gov.cn) 、中国政府采购网(www.ccgp.gov.cn)被列入失信被执行人、重大税收违法失信主体、政府采购严重违法失信行为记录名单及其他不符合《中华人民共和国政府采购法》第二十二条规定条件的供应商，资格审查不通过，不得参与政府采购活动。两个以上的自然人、法人或者其他组织组成一个联合体，以一个供应商的身份共同参加政府采购活动的，应当对所有联合体成员进行信用记录查询，联合体成员存在不良信用记录的，视同联合体存在不良信用记录。</w:t>
      </w:r>
    </w:p>
    <w:p w14:paraId="5CFF3BC7">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2.2资格审查标准为本磋商文件中载明对供应商资格要求的条件。资格审查采用合格制，凡符合磋商文件规定的供应商资格要求的响应文件均通过资格审查。</w:t>
      </w:r>
    </w:p>
    <w:p w14:paraId="24A74FBE">
      <w:pPr>
        <w:pageBreakBefore w:val="0"/>
        <w:kinsoku/>
        <w:wordWrap/>
        <w:overflowPunct/>
        <w:topLinePunct w:val="0"/>
        <w:autoSpaceDE/>
        <w:autoSpaceDN/>
        <w:bidi w:val="0"/>
        <w:spacing w:line="360" w:lineRule="auto"/>
        <w:ind w:firstLine="422" w:firstLineChars="200"/>
        <w:textAlignment w:val="auto"/>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2.3供应商有下列情形之一的，资格审查不通过，其响应文件按无效响应处理：</w:t>
      </w:r>
    </w:p>
    <w:p w14:paraId="7C596D93">
      <w:pPr>
        <w:pageBreakBefore w:val="0"/>
        <w:kinsoku/>
        <w:wordWrap/>
        <w:overflowPunct/>
        <w:topLinePunct w:val="0"/>
        <w:autoSpaceDE/>
        <w:autoSpaceDN/>
        <w:bidi w:val="0"/>
        <w:snapToGrid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（1）不具备磋商文件中规定的资格要求的；</w:t>
      </w:r>
    </w:p>
    <w:p w14:paraId="2C5A8E7C">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（2）响应文件未提供任一项</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资格证明文件规定的</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必须提供</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的文件资料的；</w:t>
      </w:r>
    </w:p>
    <w:p w14:paraId="029ACED3">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（3）响应文件提供的资格证明文件出现任一项不符合</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资格证明文件规定的</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必须提供</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的文件资料要求或者无效的。</w:t>
      </w:r>
    </w:p>
    <w:p w14:paraId="361AD66E">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bookmarkStart w:id="168" w:name="_Hlk68601553"/>
      <w:r>
        <w:rPr>
          <w:rFonts w:hint="eastAsia" w:ascii="Times New Roman" w:hAnsi="Times New Roman" w:eastAsia="宋体" w:cs="宋体"/>
          <w:color w:val="auto"/>
          <w:spacing w:val="0"/>
          <w:szCs w:val="21"/>
          <w:highlight w:val="none"/>
        </w:rPr>
        <w:t>（4）同一合同项下的不同供应商，单位负责人为同一人或者存在直接控股、管理关系的；为本项目提供过整体设计、规范编制或者项目管理、监理、检测等服务的。</w:t>
      </w:r>
      <w:bookmarkEnd w:id="168"/>
    </w:p>
    <w:p w14:paraId="53A2C741">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2.4通过资格审查的合格供应商不足3家的，不得进入符合性审查环节，采购人或者采购代理机构应当重新开展采购活动。</w:t>
      </w:r>
    </w:p>
    <w:p w14:paraId="3C854621">
      <w:pPr>
        <w:pageBreakBefore w:val="0"/>
        <w:kinsoku/>
        <w:wordWrap/>
        <w:overflowPunct/>
        <w:topLinePunct w:val="0"/>
        <w:autoSpaceDE/>
        <w:autoSpaceDN/>
        <w:bidi w:val="0"/>
        <w:spacing w:line="360" w:lineRule="auto"/>
        <w:textAlignment w:val="auto"/>
        <w:outlineLvl w:val="2"/>
        <w:rPr>
          <w:rFonts w:hint="eastAsia" w:ascii="Times New Roman" w:hAnsi="Times New Roman" w:eastAsia="宋体" w:cs="宋体"/>
          <w:b/>
          <w:bCs/>
          <w:color w:val="auto"/>
          <w:spacing w:val="0"/>
          <w:sz w:val="21"/>
          <w:szCs w:val="21"/>
          <w:highlight w:val="none"/>
        </w:rPr>
      </w:pPr>
      <w:bookmarkStart w:id="169" w:name="_Toc20865"/>
      <w:r>
        <w:rPr>
          <w:rFonts w:hint="eastAsia" w:ascii="Times New Roman" w:hAnsi="Times New Roman" w:eastAsia="宋体" w:cs="宋体"/>
          <w:b/>
          <w:bCs/>
          <w:color w:val="auto"/>
          <w:spacing w:val="0"/>
          <w:sz w:val="21"/>
          <w:szCs w:val="21"/>
          <w:highlight w:val="none"/>
        </w:rPr>
        <w:t>3.符合性审查</w:t>
      </w:r>
      <w:bookmarkEnd w:id="169"/>
    </w:p>
    <w:p w14:paraId="49BAB15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3.1由磋商小组对通过资格审查的合格供应商的响应文件的响应报价、商务、技术等实质性要求进行符合性审查，以确定其是否满足磋商文件的实质性要求。</w:t>
      </w:r>
    </w:p>
    <w:p w14:paraId="68127C47">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3.2磋商小组在对响应文件进行符合性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14:paraId="002DF283">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3.3磋商小组要求供应商澄清、说明或者更正响应文件应当以电子澄清函形式作出。供应商的澄清、说明或者更正应当以电子回函形式按照磋商小组的要求作出明确的澄清、说明或者更正，未按磋商小组的要求作出明确澄清、说明或者更正的供应商的响应文件将按照有利于采购人的原则由磋商小组进行判定。供应商的澄清、说明或者更正必须加盖供应商公章。供应商为自然人的，必须由本人签字并附身份证明。</w:t>
      </w:r>
    </w:p>
    <w:p w14:paraId="2FDEBE90">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3.4首次响应文件报价出现前后不一致的，按照下列规定修正： </w:t>
      </w:r>
    </w:p>
    <w:p w14:paraId="71044D07">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（1）响应文件中响应报价表内容与响应文件中相应内容不一致的，以响应报价表为准；</w:t>
      </w:r>
    </w:p>
    <w:p w14:paraId="760D084D">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（2）大写金额和小写金额不一致的，以大写金额为准；</w:t>
      </w:r>
    </w:p>
    <w:p w14:paraId="04CC2C2C">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（3）单价金额小数点或者百分比有明显错位的，以响应报价表的总价为准，并修改单价；</w:t>
      </w:r>
    </w:p>
    <w:p w14:paraId="10C77DA1">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（4）总价金额与按单价汇总金额不一致的，以单价金额计算结果为准。</w:t>
      </w:r>
    </w:p>
    <w:p w14:paraId="3CFFC6DC">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同时出现两种以上不一致的，按照以上（1）-（4）规定的顺序逐条进行修正。修正后的报价经供应商确认后产生约束力，供应商不确认的，其响应文件按无效响应处理。</w:t>
      </w:r>
    </w:p>
    <w:p w14:paraId="51CBA7F0">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3.5商务技术、报价评审</w:t>
      </w:r>
    </w:p>
    <w:p w14:paraId="6A6D4C55">
      <w:pPr>
        <w:pageBreakBefore w:val="0"/>
        <w:kinsoku/>
        <w:wordWrap/>
        <w:overflowPunct/>
        <w:topLinePunct w:val="0"/>
        <w:autoSpaceDE/>
        <w:autoSpaceDN/>
        <w:bidi w:val="0"/>
        <w:spacing w:line="360" w:lineRule="auto"/>
        <w:ind w:firstLine="422" w:firstLineChars="200"/>
        <w:textAlignment w:val="auto"/>
        <w:rPr>
          <w:rFonts w:hint="eastAsia" w:ascii="Times New Roman" w:hAnsi="Times New Roman" w:eastAsia="宋体" w:cs="宋体"/>
          <w:b/>
          <w:bCs/>
          <w:color w:val="auto"/>
          <w:spacing w:val="0"/>
          <w:szCs w:val="21"/>
          <w:highlight w:val="none"/>
        </w:rPr>
      </w:pPr>
      <w:r>
        <w:rPr>
          <w:rFonts w:hint="eastAsia" w:ascii="Times New Roman" w:hAnsi="Times New Roman" w:eastAsia="宋体" w:cs="宋体"/>
          <w:b/>
          <w:bCs/>
          <w:color w:val="auto"/>
          <w:spacing w:val="0"/>
          <w:szCs w:val="21"/>
          <w:highlight w:val="none"/>
        </w:rPr>
        <w:t>在评审时，如发现下列情形之一的，将被视为响应文件无效处理：</w:t>
      </w:r>
    </w:p>
    <w:p w14:paraId="46395FC1">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（1）商务技术评审</w:t>
      </w:r>
    </w:p>
    <w:p w14:paraId="60FC7DD3">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1）响应文件未按磋商文件要求签署、盖章；</w:t>
      </w:r>
    </w:p>
    <w:p w14:paraId="4A29D343">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 xml:space="preserve">2）委托代理人未能出具有效身份证明或者出具的身份证明与授权委托书中的信息不符； </w:t>
      </w:r>
    </w:p>
    <w:p w14:paraId="26C7C476">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3）响应文件未提供任一项</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 xml:space="preserve"> 商务技术文件中 </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必须提供</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或者</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委托时必须提供</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的文件资料；响应文件提供的商务技术文件出现任一项不符合</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 xml:space="preserve">商务技术文件中 </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必须提供</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或者</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委托时必须提供</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文件资料要求的规定或者提供的商务技术文件无效。</w:t>
      </w:r>
    </w:p>
    <w:p w14:paraId="07C774C0">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4）商务条款中标</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的条款发生负偏离的或者允许负偏离的条款数超过</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规定项数的或者标明实质性的要求发生负偏离；</w:t>
      </w:r>
    </w:p>
    <w:p w14:paraId="65477F2B">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5）未对竞标有效期作出响应或者响应文件承诺的竞标有效期不满足磋商文件要求；</w:t>
      </w:r>
    </w:p>
    <w:p w14:paraId="3B5D5A7F">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6）响应文件的实质性内容未使用中文表述、使用计量单位不符合磋商文件要求；</w:t>
      </w:r>
    </w:p>
    <w:p w14:paraId="48B89E0D">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7）响应文件中的文件资料因填写不齐全或者内容虚假或者出现其他情形而导致被磋商小组认定无效；</w:t>
      </w:r>
    </w:p>
    <w:p w14:paraId="7085DF7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8）响应文件含有采购人不能接受的附加条件；</w:t>
      </w:r>
    </w:p>
    <w:p w14:paraId="5558C83B">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9）属于</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供应商须知正文</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第7.5条情形；</w:t>
      </w:r>
    </w:p>
    <w:p w14:paraId="759EF3F8">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10）技术需求允许负偏离的条款数超过</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规定项数；</w:t>
      </w:r>
    </w:p>
    <w:p w14:paraId="5E9D2FB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11）虚假竞标，或者出现其他情形而导致被磋商小组认定无效；</w:t>
      </w:r>
    </w:p>
    <w:p w14:paraId="39A45C81">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12）竞标技术方案不明确，磋商文件未允许但响应文件中存在一个或者一个以上备选（替代）竞标方案；</w:t>
      </w:r>
    </w:p>
    <w:p w14:paraId="07D4E817">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13）响应文件标注的项目名称或者项目编号与竞争性磋商文件标注的项目名称或者项目编号不一致的；</w:t>
      </w:r>
    </w:p>
    <w:p w14:paraId="461FE1A8">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14）未响应磋商文件实质性要求；</w:t>
      </w:r>
    </w:p>
    <w:p w14:paraId="763CEB34">
      <w:pPr>
        <w:pStyle w:val="13"/>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highlight w:val="none"/>
        </w:rPr>
      </w:pPr>
      <w:r>
        <w:rPr>
          <w:rFonts w:hint="eastAsia" w:ascii="Times New Roman" w:hAnsi="Times New Roman" w:eastAsia="宋体" w:cs="宋体"/>
          <w:color w:val="auto"/>
          <w:spacing w:val="0"/>
          <w:szCs w:val="21"/>
          <w:highlight w:val="none"/>
        </w:rPr>
        <w:t>15）提交的磋商保证金无效的或者未按照磋商文件的规定提交磋商保证金；</w:t>
      </w:r>
    </w:p>
    <w:p w14:paraId="2937C871">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16）法律、法规和磋商文件规定的其他无效情形。</w:t>
      </w:r>
    </w:p>
    <w:p w14:paraId="4FCC6F85">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w:t>
      </w:r>
      <w:r>
        <w:rPr>
          <w:rFonts w:hint="eastAsia" w:cs="宋体"/>
          <w:color w:val="auto"/>
          <w:spacing w:val="0"/>
          <w:szCs w:val="21"/>
          <w:highlight w:val="none"/>
          <w:lang w:eastAsia="zh-CN"/>
        </w:rPr>
        <w:t>响应</w:t>
      </w:r>
      <w:r>
        <w:rPr>
          <w:rFonts w:hint="eastAsia" w:ascii="Times New Roman" w:hAnsi="Times New Roman" w:eastAsia="宋体" w:cs="宋体"/>
          <w:color w:val="auto"/>
          <w:spacing w:val="0"/>
          <w:szCs w:val="21"/>
          <w:highlight w:val="none"/>
        </w:rPr>
        <w:t>报价</w:t>
      </w:r>
      <w:r>
        <w:rPr>
          <w:rFonts w:hint="eastAsia" w:cs="宋体"/>
          <w:color w:val="auto"/>
          <w:spacing w:val="0"/>
          <w:szCs w:val="21"/>
          <w:highlight w:val="none"/>
          <w:lang w:eastAsia="zh-CN"/>
        </w:rPr>
        <w:t>和工程量清单报价</w:t>
      </w:r>
      <w:r>
        <w:rPr>
          <w:rFonts w:hint="eastAsia" w:ascii="Times New Roman" w:hAnsi="Times New Roman" w:eastAsia="宋体" w:cs="宋体"/>
          <w:color w:val="auto"/>
          <w:spacing w:val="0"/>
          <w:szCs w:val="21"/>
          <w:highlight w:val="none"/>
        </w:rPr>
        <w:t>评审</w:t>
      </w:r>
    </w:p>
    <w:p w14:paraId="59A0F331">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lang w:val="en-US" w:eastAsia="zh-CN"/>
        </w:rPr>
        <w:t>1）</w:t>
      </w:r>
      <w:r>
        <w:rPr>
          <w:rFonts w:hint="eastAsia" w:ascii="Times New Roman" w:hAnsi="Times New Roman" w:eastAsia="宋体" w:cs="宋体"/>
          <w:color w:val="auto"/>
          <w:spacing w:val="0"/>
          <w:szCs w:val="21"/>
          <w:highlight w:val="none"/>
        </w:rPr>
        <w:t>响应文件未提供</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供应商须知前附表</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报价文件中规定的</w:t>
      </w:r>
      <w:r>
        <w:rPr>
          <w:rFonts w:hint="eastAsia" w:ascii="Times New Roman" w:hAnsi="Times New Roman" w:eastAsia="宋体" w:cs="宋体"/>
          <w:color w:val="auto"/>
          <w:spacing w:val="0"/>
          <w:szCs w:val="21"/>
          <w:highlight w:val="none"/>
          <w:lang w:eastAsia="zh-CN"/>
        </w:rPr>
        <w:t>“</w:t>
      </w:r>
      <w:r>
        <w:rPr>
          <w:rFonts w:hint="eastAsia" w:ascii="Times New Roman" w:hAnsi="Times New Roman" w:eastAsia="宋体" w:cs="宋体"/>
          <w:color w:val="auto"/>
          <w:spacing w:val="0"/>
          <w:szCs w:val="21"/>
          <w:highlight w:val="none"/>
        </w:rPr>
        <w:t>响应报价表</w:t>
      </w:r>
      <w:r>
        <w:rPr>
          <w:rFonts w:hint="eastAsia" w:ascii="Times New Roman" w:hAnsi="Times New Roman" w:eastAsia="宋体" w:cs="宋体"/>
          <w:color w:val="auto"/>
          <w:spacing w:val="0"/>
          <w:szCs w:val="21"/>
          <w:highlight w:val="none"/>
          <w:lang w:eastAsia="zh-CN"/>
        </w:rPr>
        <w:t>”或</w:t>
      </w:r>
      <w:r>
        <w:rPr>
          <w:rFonts w:hint="eastAsia" w:ascii="Times New Roman" w:hAnsi="Times New Roman" w:eastAsia="宋体" w:cs="宋体"/>
          <w:color w:val="auto"/>
          <w:spacing w:val="0"/>
          <w:szCs w:val="21"/>
          <w:highlight w:val="none"/>
        </w:rPr>
        <w:t>未响应供应商须知前附表</w:t>
      </w:r>
      <w:r>
        <w:rPr>
          <w:rFonts w:hint="eastAsia" w:ascii="Times New Roman" w:hAnsi="Times New Roman" w:eastAsia="宋体" w:cs="宋体"/>
          <w:color w:val="auto"/>
          <w:spacing w:val="0"/>
          <w:szCs w:val="21"/>
          <w:highlight w:val="none"/>
          <w:lang w:eastAsia="zh-CN"/>
        </w:rPr>
        <w:t>中“</w:t>
      </w:r>
      <w:r>
        <w:rPr>
          <w:rFonts w:hint="eastAsia" w:ascii="Times New Roman" w:hAnsi="Times New Roman" w:eastAsia="宋体" w:cs="宋体"/>
          <w:color w:val="auto"/>
          <w:spacing w:val="0"/>
          <w:szCs w:val="21"/>
          <w:highlight w:val="none"/>
        </w:rPr>
        <w:t>供应商的响应报价要求</w:t>
      </w:r>
      <w:r>
        <w:rPr>
          <w:rFonts w:hint="eastAsia" w:ascii="Times New Roman" w:hAnsi="Times New Roman" w:eastAsia="宋体" w:cs="宋体"/>
          <w:color w:val="auto"/>
          <w:spacing w:val="0"/>
          <w:szCs w:val="21"/>
          <w:highlight w:val="none"/>
          <w:lang w:eastAsia="zh-CN"/>
        </w:rPr>
        <w:t>”的</w:t>
      </w:r>
      <w:r>
        <w:rPr>
          <w:rFonts w:hint="eastAsia" w:ascii="Times New Roman" w:hAnsi="Times New Roman" w:eastAsia="宋体" w:cs="宋体"/>
          <w:color w:val="auto"/>
          <w:spacing w:val="0"/>
          <w:szCs w:val="21"/>
          <w:highlight w:val="none"/>
        </w:rPr>
        <w:t>实质性要求；</w:t>
      </w:r>
    </w:p>
    <w:p w14:paraId="7AC01E9D">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2）未采用人民币报价或者未按照磋商文件标明的币种报价；</w:t>
      </w:r>
    </w:p>
    <w:p w14:paraId="0255BD79">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供应商未就所竞标项目进行报价或者存在漏项报价；供应商未就所竞标项目的单项内容作唯一报价；供应商未就所竞标项目的全部内容作唯一总价报价；供应商响应文件中存在有选择、有条件报价的（磋商文件允许有备选方案或者其他约定的除外）；</w:t>
      </w:r>
    </w:p>
    <w:p w14:paraId="24B1D346">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响应报价（包含首次报价、最后报价）超过所竞标项目规定的采购预算金额或者最高限价的（如本项目公布了最高限价）；响应报价（包含首次报价、最后报价）超过磋商文件分项采购预算金额或者最高限价的（如本项目公布了最高限价）；</w:t>
      </w:r>
    </w:p>
    <w:p w14:paraId="1764E594">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5）修正后的报价，供应商不确认的；或者经供应商确认修正后的响应报价（包含首次报价、最后报价）超过所竞标项目规定的采购预算金额或者最高限价（如本项目公布了最高限价）；或者经供应商确认修正后响应报价（包含首次报价、最后报价）超过磋商文件分项采购预算金额或者最高限价的（如本项目公布了最高限价）。</w:t>
      </w:r>
    </w:p>
    <w:p w14:paraId="7A078450">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6）响应文件响应的标的数量及单位与竞争性磋商文件要求实质性不一致的。</w:t>
      </w:r>
    </w:p>
    <w:p w14:paraId="6EC3E452">
      <w:pPr>
        <w:pageBreakBefore w:val="0"/>
        <w:kinsoku/>
        <w:wordWrap/>
        <w:overflowPunct/>
        <w:topLinePunct w:val="0"/>
        <w:autoSpaceDE/>
        <w:autoSpaceDN/>
        <w:bidi w:val="0"/>
        <w:spacing w:line="360" w:lineRule="auto"/>
        <w:ind w:firstLine="422" w:firstLineChars="200"/>
        <w:textAlignment w:val="auto"/>
        <w:rPr>
          <w:rFonts w:hint="eastAsia" w:ascii="Times New Roman" w:hAnsi="Times New Roman" w:eastAsia="宋体" w:cs="宋体"/>
          <w:b/>
          <w:bCs/>
          <w:color w:val="auto"/>
          <w:spacing w:val="0"/>
          <w:szCs w:val="21"/>
          <w:highlight w:val="none"/>
          <w:lang w:eastAsia="zh-CN"/>
        </w:rPr>
      </w:pPr>
      <w:r>
        <w:rPr>
          <w:rFonts w:hint="eastAsia" w:ascii="Times New Roman" w:hAnsi="Times New Roman" w:eastAsia="宋体" w:cs="宋体"/>
          <w:b/>
          <w:bCs/>
          <w:color w:val="auto"/>
          <w:spacing w:val="0"/>
          <w:szCs w:val="21"/>
          <w:highlight w:val="none"/>
          <w:lang w:val="en-US" w:eastAsia="zh-CN"/>
        </w:rPr>
        <w:t>7）不响应</w:t>
      </w:r>
      <w:r>
        <w:rPr>
          <w:rFonts w:hint="eastAsia" w:ascii="Times New Roman" w:hAnsi="Times New Roman" w:eastAsia="宋体" w:cs="宋体"/>
          <w:b/>
          <w:bCs/>
          <w:color w:val="auto"/>
          <w:spacing w:val="0"/>
          <w:szCs w:val="21"/>
          <w:highlight w:val="none"/>
          <w:lang w:eastAsia="zh-CN"/>
        </w:rPr>
        <w:t>工程量清单</w:t>
      </w:r>
      <w:r>
        <w:rPr>
          <w:rFonts w:hint="eastAsia" w:ascii="Times New Roman" w:hAnsi="Times New Roman" w:eastAsia="宋体" w:cs="宋体"/>
          <w:b/>
          <w:bCs/>
          <w:color w:val="auto"/>
          <w:spacing w:val="0"/>
          <w:szCs w:val="21"/>
          <w:highlight w:val="none"/>
        </w:rPr>
        <w:t>标</w:t>
      </w:r>
      <w:r>
        <w:rPr>
          <w:rFonts w:hint="eastAsia" w:ascii="Times New Roman" w:hAnsi="Times New Roman" w:eastAsia="宋体" w:cs="宋体"/>
          <w:b/>
          <w:bCs/>
          <w:color w:val="auto"/>
          <w:spacing w:val="0"/>
          <w:szCs w:val="21"/>
          <w:highlight w:val="none"/>
          <w:lang w:eastAsia="zh-CN"/>
        </w:rPr>
        <w:t>“</w:t>
      </w:r>
      <w:r>
        <w:rPr>
          <w:rFonts w:hint="eastAsia" w:ascii="Times New Roman" w:hAnsi="Times New Roman" w:eastAsia="宋体" w:cs="宋体"/>
          <w:b/>
          <w:bCs/>
          <w:color w:val="auto"/>
          <w:spacing w:val="0"/>
          <w:szCs w:val="21"/>
          <w:highlight w:val="none"/>
        </w:rPr>
        <w:t>▲</w:t>
      </w:r>
      <w:r>
        <w:rPr>
          <w:rFonts w:hint="eastAsia" w:ascii="Times New Roman" w:hAnsi="Times New Roman" w:eastAsia="宋体" w:cs="宋体"/>
          <w:b/>
          <w:bCs/>
          <w:color w:val="auto"/>
          <w:spacing w:val="0"/>
          <w:szCs w:val="21"/>
          <w:highlight w:val="none"/>
          <w:lang w:eastAsia="zh-CN"/>
        </w:rPr>
        <w:t>”</w:t>
      </w:r>
      <w:r>
        <w:rPr>
          <w:rFonts w:hint="eastAsia" w:ascii="Times New Roman" w:hAnsi="Times New Roman" w:eastAsia="宋体" w:cs="宋体"/>
          <w:b/>
          <w:bCs/>
          <w:color w:val="auto"/>
          <w:spacing w:val="0"/>
          <w:szCs w:val="21"/>
          <w:highlight w:val="none"/>
        </w:rPr>
        <w:t>的条款或者标明实质性的要求</w:t>
      </w:r>
      <w:r>
        <w:rPr>
          <w:rFonts w:hint="eastAsia" w:ascii="Times New Roman" w:hAnsi="Times New Roman" w:eastAsia="宋体" w:cs="宋体"/>
          <w:b/>
          <w:bCs/>
          <w:color w:val="auto"/>
          <w:spacing w:val="0"/>
          <w:szCs w:val="21"/>
          <w:highlight w:val="none"/>
          <w:lang w:eastAsia="zh-CN"/>
        </w:rPr>
        <w:t>或工程量清单</w:t>
      </w:r>
      <w:r>
        <w:rPr>
          <w:rFonts w:hint="eastAsia" w:ascii="Times New Roman" w:hAnsi="Times New Roman" w:eastAsia="宋体" w:cs="宋体"/>
          <w:b/>
          <w:bCs/>
          <w:color w:val="auto"/>
          <w:spacing w:val="0"/>
          <w:szCs w:val="21"/>
          <w:highlight w:val="none"/>
        </w:rPr>
        <w:t>标</w:t>
      </w:r>
      <w:r>
        <w:rPr>
          <w:rFonts w:hint="eastAsia" w:ascii="Times New Roman" w:hAnsi="Times New Roman" w:eastAsia="宋体" w:cs="宋体"/>
          <w:b/>
          <w:bCs/>
          <w:color w:val="auto"/>
          <w:spacing w:val="0"/>
          <w:szCs w:val="21"/>
          <w:highlight w:val="none"/>
          <w:lang w:eastAsia="zh-CN"/>
        </w:rPr>
        <w:t>“</w:t>
      </w:r>
      <w:r>
        <w:rPr>
          <w:rFonts w:hint="eastAsia" w:ascii="Times New Roman" w:hAnsi="Times New Roman" w:eastAsia="宋体" w:cs="宋体"/>
          <w:b/>
          <w:bCs/>
          <w:color w:val="auto"/>
          <w:spacing w:val="0"/>
          <w:szCs w:val="21"/>
          <w:highlight w:val="none"/>
        </w:rPr>
        <w:t>▲</w:t>
      </w:r>
      <w:r>
        <w:rPr>
          <w:rFonts w:hint="eastAsia" w:ascii="Times New Roman" w:hAnsi="Times New Roman" w:eastAsia="宋体" w:cs="宋体"/>
          <w:b/>
          <w:bCs/>
          <w:color w:val="auto"/>
          <w:spacing w:val="0"/>
          <w:szCs w:val="21"/>
          <w:highlight w:val="none"/>
          <w:lang w:eastAsia="zh-CN"/>
        </w:rPr>
        <w:t>”</w:t>
      </w:r>
      <w:r>
        <w:rPr>
          <w:rFonts w:hint="eastAsia" w:ascii="Times New Roman" w:hAnsi="Times New Roman" w:eastAsia="宋体" w:cs="宋体"/>
          <w:b/>
          <w:bCs/>
          <w:color w:val="auto"/>
          <w:spacing w:val="0"/>
          <w:szCs w:val="21"/>
          <w:highlight w:val="none"/>
        </w:rPr>
        <w:t>的条款发生负偏离</w:t>
      </w:r>
      <w:r>
        <w:rPr>
          <w:rFonts w:hint="eastAsia" w:ascii="Times New Roman" w:hAnsi="Times New Roman" w:eastAsia="宋体" w:cs="宋体"/>
          <w:b/>
          <w:bCs/>
          <w:color w:val="auto"/>
          <w:spacing w:val="0"/>
          <w:szCs w:val="21"/>
          <w:highlight w:val="none"/>
          <w:lang w:eastAsia="zh-CN"/>
        </w:rPr>
        <w:t>。</w:t>
      </w:r>
    </w:p>
    <w:p w14:paraId="5C37A403">
      <w:pPr>
        <w:pageBreakBefore w:val="0"/>
        <w:kinsoku/>
        <w:wordWrap/>
        <w:overflowPunct/>
        <w:topLinePunct w:val="0"/>
        <w:autoSpaceDE/>
        <w:autoSpaceDN/>
        <w:bidi w:val="0"/>
        <w:spacing w:line="360" w:lineRule="auto"/>
        <w:ind w:firstLine="422" w:firstLineChars="200"/>
        <w:textAlignment w:val="auto"/>
        <w:rPr>
          <w:rFonts w:hint="default" w:ascii="Times New Roman" w:hAnsi="Times New Roman" w:eastAsia="宋体" w:cs="宋体"/>
          <w:b/>
          <w:bCs/>
          <w:color w:val="auto"/>
          <w:spacing w:val="0"/>
          <w:szCs w:val="21"/>
          <w:highlight w:val="none"/>
          <w:lang w:val="en-US" w:eastAsia="zh-CN"/>
        </w:rPr>
      </w:pPr>
      <w:r>
        <w:rPr>
          <w:rFonts w:hint="eastAsia" w:cs="宋体"/>
          <w:b/>
          <w:bCs/>
          <w:color w:val="auto"/>
          <w:spacing w:val="0"/>
          <w:szCs w:val="21"/>
          <w:highlight w:val="none"/>
          <w:lang w:val="en-US" w:eastAsia="zh-CN"/>
        </w:rPr>
        <w:t>8）工程量清单报价未实质性响应的情形。</w:t>
      </w:r>
    </w:p>
    <w:p w14:paraId="5870EF9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3.6磋商小组对响应文件进行评审，未实质性响应磋商文件的响应文件按无效处理，磋商小组应当将资格和符合性不通过的情况告知有关供应商。磋商小组从符合磋商文件规定的相应资格条件的供应商名单中确定不少于3家的供应商参加磋商。</w:t>
      </w:r>
    </w:p>
    <w:p w14:paraId="4D97FCA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3.7非政府购买服务项目，通过符合性审查的合格供应商不足3家的，不得进入磋商环节，采购人或者采购代理机构应当重新开展采购活动。政府购买服务项目，按《财政部关于政府采购竞争性磋商采购方式管理暂行办法有关问题的补充通知》（财库〔2015〕124号）规定，采购过程中通过符合性审查的供应商（社会资本）只有2家的，磋商采购活动可以继续进行。</w:t>
      </w:r>
    </w:p>
    <w:p w14:paraId="6B2E2205">
      <w:pPr>
        <w:pageBreakBefore w:val="0"/>
        <w:kinsoku/>
        <w:wordWrap/>
        <w:overflowPunct/>
        <w:topLinePunct w:val="0"/>
        <w:autoSpaceDE/>
        <w:autoSpaceDN/>
        <w:bidi w:val="0"/>
        <w:spacing w:line="360" w:lineRule="auto"/>
        <w:textAlignment w:val="auto"/>
        <w:outlineLvl w:val="2"/>
        <w:rPr>
          <w:rFonts w:hint="eastAsia" w:ascii="Times New Roman" w:hAnsi="Times New Roman" w:eastAsia="宋体" w:cs="宋体"/>
          <w:b/>
          <w:bCs/>
          <w:color w:val="auto"/>
          <w:spacing w:val="0"/>
          <w:sz w:val="21"/>
          <w:szCs w:val="21"/>
          <w:highlight w:val="none"/>
        </w:rPr>
      </w:pPr>
      <w:bookmarkStart w:id="170" w:name="_Toc19568"/>
      <w:r>
        <w:rPr>
          <w:rFonts w:hint="eastAsia" w:ascii="Times New Roman" w:hAnsi="Times New Roman" w:eastAsia="宋体" w:cs="宋体"/>
          <w:b/>
          <w:bCs/>
          <w:color w:val="auto"/>
          <w:spacing w:val="0"/>
          <w:sz w:val="21"/>
          <w:szCs w:val="21"/>
          <w:highlight w:val="none"/>
        </w:rPr>
        <w:t>4.磋商程序</w:t>
      </w:r>
      <w:bookmarkEnd w:id="170"/>
    </w:p>
    <w:p w14:paraId="621F020C">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kern w:val="0"/>
          <w:szCs w:val="21"/>
          <w:highlight w:val="none"/>
        </w:rPr>
      </w:pPr>
      <w:r>
        <w:rPr>
          <w:rFonts w:hint="eastAsia" w:ascii="Times New Roman" w:hAnsi="Times New Roman" w:eastAsia="宋体" w:cs="宋体"/>
          <w:color w:val="auto"/>
          <w:spacing w:val="0"/>
          <w:kern w:val="0"/>
          <w:szCs w:val="21"/>
          <w:highlight w:val="none"/>
        </w:rPr>
        <w:t>4.1磋商小组按照</w:t>
      </w:r>
      <w:r>
        <w:rPr>
          <w:rFonts w:hint="eastAsia" w:ascii="Times New Roman" w:hAnsi="Times New Roman" w:eastAsia="宋体" w:cs="宋体"/>
          <w:color w:val="auto"/>
          <w:spacing w:val="0"/>
          <w:kern w:val="0"/>
          <w:szCs w:val="21"/>
          <w:highlight w:val="none"/>
          <w:lang w:eastAsia="zh-CN"/>
        </w:rPr>
        <w:t>“</w:t>
      </w:r>
      <w:r>
        <w:rPr>
          <w:rFonts w:hint="eastAsia" w:ascii="Times New Roman" w:hAnsi="Times New Roman" w:eastAsia="宋体" w:cs="宋体"/>
          <w:color w:val="auto"/>
          <w:spacing w:val="0"/>
          <w:kern w:val="0"/>
          <w:szCs w:val="21"/>
          <w:highlight w:val="none"/>
        </w:rPr>
        <w:t>供应商须知前附表</w:t>
      </w:r>
      <w:r>
        <w:rPr>
          <w:rFonts w:hint="eastAsia" w:ascii="Times New Roman" w:hAnsi="Times New Roman" w:eastAsia="宋体" w:cs="宋体"/>
          <w:color w:val="auto"/>
          <w:spacing w:val="0"/>
          <w:kern w:val="0"/>
          <w:szCs w:val="21"/>
          <w:highlight w:val="none"/>
          <w:lang w:eastAsia="zh-CN"/>
        </w:rPr>
        <w:t>”</w:t>
      </w:r>
      <w:r>
        <w:rPr>
          <w:rFonts w:hint="eastAsia" w:ascii="Times New Roman" w:hAnsi="Times New Roman" w:eastAsia="宋体" w:cs="宋体"/>
          <w:color w:val="auto"/>
          <w:spacing w:val="0"/>
          <w:szCs w:val="21"/>
          <w:highlight w:val="none"/>
        </w:rPr>
        <w:t xml:space="preserve"> </w:t>
      </w:r>
      <w:r>
        <w:rPr>
          <w:rFonts w:hint="eastAsia" w:ascii="Times New Roman" w:hAnsi="Times New Roman" w:eastAsia="宋体" w:cs="宋体"/>
          <w:color w:val="auto"/>
          <w:spacing w:val="0"/>
          <w:kern w:val="0"/>
          <w:szCs w:val="21"/>
          <w:highlight w:val="none"/>
        </w:rPr>
        <w:t>确定的</w:t>
      </w:r>
      <w:r>
        <w:rPr>
          <w:rFonts w:hint="eastAsia" w:ascii="Times New Roman" w:hAnsi="Times New Roman" w:eastAsia="宋体" w:cs="宋体"/>
          <w:color w:val="auto"/>
          <w:spacing w:val="0"/>
          <w:szCs w:val="21"/>
          <w:highlight w:val="none"/>
        </w:rPr>
        <w:t>顺序，集中与单一供应商分别进行磋商，并给予所有参加磋商的供应商平等的磋商机会。符合磋商资格的供应商必须在接到磋商通知后规定时间内参加磋商，未在规定时间内参加磋商的视同放弃参加磋商权利，其响应文件按无效响应处理。</w:t>
      </w:r>
    </w:p>
    <w:p w14:paraId="699D9247">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4.2在磋商过程中，磋商小组可以根据磋商文件和磋商情况实质性变动采购需求中的技术、服务要求以及合同草案条款，但不得变动磋商文件中的其他内容。实质性变动的内容，须经采购人代表确认。可能实质性变动的内容为采购需求中的技术、服务要求以及合同草案条款。</w:t>
      </w:r>
    </w:p>
    <w:p w14:paraId="4B91A7D3">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4.3对磋商文件作出的实质性变动是磋商文件的有效组成部分，由磋商小组及时以电子澄清函形式同时通知所有参加磋商的供应商。</w:t>
      </w:r>
    </w:p>
    <w:p w14:paraId="3AEDDBC8">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4.4供应商必须按照磋商文件的变动情况和磋商小组的要求以回函的形式重新提交响应文件，并加盖供应商公章。供应商为自然人的，必须由本人签字并附身份证明。参加磋商的供应商未在规定时间内重新提交响应文件的，视同退出磋商。</w:t>
      </w:r>
    </w:p>
    <w:p w14:paraId="60DC7668">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4.5磋商中，磋商的任何一方不得透露与磋商有关的其他供应商的技术资料、价格和其他信息。</w:t>
      </w:r>
    </w:p>
    <w:p w14:paraId="0B50216A">
      <w:pPr>
        <w:pageBreakBefore w:val="0"/>
        <w:widowControl/>
        <w:tabs>
          <w:tab w:val="left" w:pos="540"/>
        </w:tabs>
        <w:kinsoku/>
        <w:wordWrap/>
        <w:overflowPunct/>
        <w:topLinePunct w:val="0"/>
        <w:autoSpaceDE/>
        <w:autoSpaceDN/>
        <w:bidi w:val="0"/>
        <w:spacing w:line="360" w:lineRule="auto"/>
        <w:ind w:firstLine="420" w:firstLineChars="200"/>
        <w:jc w:val="left"/>
        <w:textAlignment w:val="auto"/>
        <w:rPr>
          <w:rFonts w:hint="eastAsia" w:ascii="Times New Roman" w:hAnsi="Times New Roman" w:eastAsia="宋体" w:cs="宋体"/>
          <w:b/>
          <w:color w:val="auto"/>
          <w:spacing w:val="0"/>
          <w:highlight w:val="none"/>
        </w:rPr>
      </w:pPr>
      <w:r>
        <w:rPr>
          <w:rFonts w:hint="eastAsia" w:ascii="Times New Roman" w:hAnsi="Times New Roman" w:eastAsia="宋体" w:cs="宋体"/>
          <w:color w:val="auto"/>
          <w:spacing w:val="0"/>
          <w:szCs w:val="21"/>
          <w:highlight w:val="none"/>
        </w:rPr>
        <w:t>4.6磋商小组应对磋商过程和重要磋商内容进行记录，作为评审报告一部分，磋商小组在记录上签字确认。</w:t>
      </w:r>
      <w:r>
        <w:rPr>
          <w:rFonts w:hint="eastAsia" w:ascii="Times New Roman" w:hAnsi="Times New Roman" w:eastAsia="宋体" w:cs="宋体"/>
          <w:b/>
          <w:color w:val="auto"/>
          <w:spacing w:val="0"/>
          <w:highlight w:val="none"/>
        </w:rPr>
        <w:t>主要内容包括：</w:t>
      </w:r>
    </w:p>
    <w:p w14:paraId="7B79AD04">
      <w:pPr>
        <w:pStyle w:val="72"/>
        <w:pageBreakBefore w:val="0"/>
        <w:kinsoku/>
        <w:wordWrap/>
        <w:overflowPunct/>
        <w:topLinePunct w:val="0"/>
        <w:autoSpaceDE/>
        <w:autoSpaceDN/>
        <w:bidi w:val="0"/>
        <w:spacing w:before="0"/>
        <w:ind w:firstLine="396"/>
        <w:textAlignment w:val="auto"/>
        <w:rPr>
          <w:rFonts w:hint="eastAsia" w:ascii="Times New Roman" w:hAnsi="Times New Roman" w:eastAsia="宋体" w:cs="宋体"/>
          <w:color w:val="auto"/>
          <w:spacing w:val="0"/>
          <w:kern w:val="2"/>
          <w:sz w:val="21"/>
          <w:szCs w:val="21"/>
          <w:highlight w:val="none"/>
        </w:rPr>
      </w:pPr>
      <w:r>
        <w:rPr>
          <w:rFonts w:hint="eastAsia" w:ascii="Times New Roman" w:hAnsi="Times New Roman" w:eastAsia="宋体" w:cs="宋体"/>
          <w:color w:val="auto"/>
          <w:spacing w:val="0"/>
          <w:kern w:val="2"/>
          <w:sz w:val="21"/>
          <w:szCs w:val="21"/>
          <w:highlight w:val="none"/>
        </w:rPr>
        <w:t>（1）按照相关规定进行公示的，公示情况说明；</w:t>
      </w:r>
    </w:p>
    <w:p w14:paraId="417D8124">
      <w:pPr>
        <w:pStyle w:val="72"/>
        <w:pageBreakBefore w:val="0"/>
        <w:kinsoku/>
        <w:wordWrap/>
        <w:overflowPunct/>
        <w:topLinePunct w:val="0"/>
        <w:autoSpaceDE/>
        <w:autoSpaceDN/>
        <w:bidi w:val="0"/>
        <w:spacing w:before="0"/>
        <w:ind w:firstLine="396"/>
        <w:textAlignment w:val="auto"/>
        <w:rPr>
          <w:rFonts w:hint="eastAsia" w:ascii="Times New Roman" w:hAnsi="Times New Roman" w:eastAsia="宋体" w:cs="宋体"/>
          <w:color w:val="auto"/>
          <w:spacing w:val="0"/>
          <w:kern w:val="2"/>
          <w:sz w:val="21"/>
          <w:szCs w:val="21"/>
          <w:highlight w:val="none"/>
        </w:rPr>
      </w:pPr>
      <w:r>
        <w:rPr>
          <w:rFonts w:hint="eastAsia" w:ascii="Times New Roman" w:hAnsi="Times New Roman" w:eastAsia="宋体" w:cs="宋体"/>
          <w:color w:val="auto"/>
          <w:spacing w:val="0"/>
          <w:kern w:val="2"/>
          <w:sz w:val="21"/>
          <w:szCs w:val="21"/>
          <w:highlight w:val="none"/>
        </w:rPr>
        <w:t>（2）磋商日期和地点，磋商人员名单；</w:t>
      </w:r>
    </w:p>
    <w:p w14:paraId="563D8CB6">
      <w:pPr>
        <w:pStyle w:val="72"/>
        <w:pageBreakBefore w:val="0"/>
        <w:kinsoku/>
        <w:wordWrap/>
        <w:overflowPunct/>
        <w:topLinePunct w:val="0"/>
        <w:autoSpaceDE/>
        <w:autoSpaceDN/>
        <w:bidi w:val="0"/>
        <w:spacing w:before="0"/>
        <w:ind w:firstLine="396"/>
        <w:textAlignment w:val="auto"/>
        <w:rPr>
          <w:rFonts w:hint="eastAsia" w:ascii="Times New Roman" w:hAnsi="Times New Roman" w:eastAsia="宋体" w:cs="宋体"/>
          <w:color w:val="auto"/>
          <w:spacing w:val="0"/>
          <w:kern w:val="2"/>
          <w:sz w:val="21"/>
          <w:szCs w:val="21"/>
          <w:highlight w:val="none"/>
        </w:rPr>
      </w:pPr>
      <w:r>
        <w:rPr>
          <w:rFonts w:hint="eastAsia" w:ascii="Times New Roman" w:hAnsi="Times New Roman" w:eastAsia="宋体" w:cs="宋体"/>
          <w:color w:val="auto"/>
          <w:spacing w:val="0"/>
          <w:kern w:val="2"/>
          <w:sz w:val="21"/>
          <w:szCs w:val="21"/>
          <w:highlight w:val="none"/>
        </w:rPr>
        <w:t>（3）合同主要条款及价格商定情况。</w:t>
      </w:r>
    </w:p>
    <w:p w14:paraId="2185CBF0">
      <w:pPr>
        <w:pageBreakBefore w:val="0"/>
        <w:widowControl/>
        <w:tabs>
          <w:tab w:val="left" w:pos="540"/>
        </w:tabs>
        <w:kinsoku/>
        <w:wordWrap/>
        <w:overflowPunct/>
        <w:topLinePunct w:val="0"/>
        <w:autoSpaceDE/>
        <w:autoSpaceDN/>
        <w:bidi w:val="0"/>
        <w:spacing w:line="360" w:lineRule="auto"/>
        <w:ind w:firstLine="420" w:firstLineChars="200"/>
        <w:jc w:val="left"/>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4.7磋商过程中重新提交的响应文件，供应商可以在开启前补充、修改。</w:t>
      </w:r>
    </w:p>
    <w:p w14:paraId="1BCC3FC0">
      <w:pPr>
        <w:pageBreakBefore w:val="0"/>
        <w:tabs>
          <w:tab w:val="left" w:pos="2835"/>
        </w:tabs>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Cs w:val="21"/>
          <w:highlight w:val="none"/>
        </w:rPr>
      </w:pPr>
      <w:r>
        <w:rPr>
          <w:rFonts w:hint="eastAsia" w:ascii="Times New Roman" w:hAnsi="Times New Roman" w:eastAsia="宋体" w:cs="宋体"/>
          <w:color w:val="auto"/>
          <w:spacing w:val="0"/>
          <w:szCs w:val="21"/>
          <w:highlight w:val="none"/>
        </w:rPr>
        <w:t>4.8对磋商过程提交的响应文件进行有效性、完整性和响应程度审查，通过审查的合格供应商不足3家的，采购人或者采购代理机构应当重新开展采购活动。</w:t>
      </w:r>
    </w:p>
    <w:p w14:paraId="43D7A3A9">
      <w:pPr>
        <w:pageBreakBefore w:val="0"/>
        <w:kinsoku/>
        <w:wordWrap/>
        <w:overflowPunct/>
        <w:topLinePunct w:val="0"/>
        <w:autoSpaceDE/>
        <w:autoSpaceDN/>
        <w:bidi w:val="0"/>
        <w:spacing w:line="360" w:lineRule="auto"/>
        <w:textAlignment w:val="auto"/>
        <w:outlineLvl w:val="2"/>
        <w:rPr>
          <w:rFonts w:hint="eastAsia" w:ascii="Times New Roman" w:hAnsi="Times New Roman" w:eastAsia="宋体" w:cs="宋体"/>
          <w:b/>
          <w:bCs/>
          <w:color w:val="auto"/>
          <w:spacing w:val="0"/>
          <w:sz w:val="21"/>
          <w:szCs w:val="21"/>
          <w:highlight w:val="none"/>
        </w:rPr>
      </w:pPr>
      <w:bookmarkStart w:id="171" w:name="_Toc12670"/>
      <w:r>
        <w:rPr>
          <w:rFonts w:hint="eastAsia" w:ascii="Times New Roman" w:hAnsi="Times New Roman" w:eastAsia="宋体" w:cs="宋体"/>
          <w:b/>
          <w:bCs/>
          <w:color w:val="auto"/>
          <w:spacing w:val="0"/>
          <w:sz w:val="21"/>
          <w:szCs w:val="21"/>
          <w:highlight w:val="none"/>
        </w:rPr>
        <w:t>5.最后报价</w:t>
      </w:r>
      <w:bookmarkEnd w:id="171"/>
    </w:p>
    <w:p w14:paraId="1506D4E8">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5.1磋商文件能够详细列明采购标的的技术、服务要求的，磋商结束后，由磋商小组要求所有继续参加磋商的供应商在规定时间内密封提交最后报价，除本章第</w:t>
      </w:r>
      <w:r>
        <w:rPr>
          <w:rFonts w:hint="eastAsia" w:cs="宋体"/>
          <w:color w:val="auto"/>
          <w:spacing w:val="0"/>
          <w:sz w:val="21"/>
          <w:szCs w:val="21"/>
          <w:highlight w:val="none"/>
          <w:lang w:val="en-US" w:eastAsia="zh-CN"/>
        </w:rPr>
        <w:t>3</w:t>
      </w:r>
      <w:r>
        <w:rPr>
          <w:rFonts w:hint="eastAsia" w:ascii="Times New Roman" w:hAnsi="Times New Roman" w:eastAsia="宋体" w:cs="宋体"/>
          <w:color w:val="auto"/>
          <w:spacing w:val="0"/>
          <w:sz w:val="21"/>
          <w:szCs w:val="21"/>
          <w:highlight w:val="none"/>
        </w:rPr>
        <w:t>.</w:t>
      </w:r>
      <w:r>
        <w:rPr>
          <w:rFonts w:hint="eastAsia" w:cs="宋体"/>
          <w:color w:val="auto"/>
          <w:spacing w:val="0"/>
          <w:sz w:val="21"/>
          <w:szCs w:val="21"/>
          <w:highlight w:val="none"/>
          <w:lang w:val="en-US" w:eastAsia="zh-CN"/>
        </w:rPr>
        <w:t>7</w:t>
      </w:r>
      <w:r>
        <w:rPr>
          <w:rFonts w:hint="eastAsia" w:ascii="Times New Roman" w:hAnsi="Times New Roman" w:eastAsia="宋体" w:cs="宋体"/>
          <w:color w:val="auto"/>
          <w:spacing w:val="0"/>
          <w:sz w:val="21"/>
          <w:szCs w:val="21"/>
          <w:highlight w:val="none"/>
        </w:rPr>
        <w:t>条外，提交最后报价的供应商不得少于3家，否则必须重新采购。</w:t>
      </w:r>
    </w:p>
    <w:p w14:paraId="6D25E2E7">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5.2磋商文件不能详细列明采购标的的技术、服务要求，需经磋商由供应商提供最后设计方案或者解决方案的，磋商结束后，由磋商小组按照少数服从多数的原则投票推荐3家以上供应商的设计方案或者解决方案，并要求其在规定时间内密封提交最后报价。</w:t>
      </w:r>
    </w:p>
    <w:p w14:paraId="7353EEF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5.3 最后报价是供应商响应文件的有效组成部分。</w:t>
      </w:r>
    </w:p>
    <w:p w14:paraId="7AF1100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5.4已经提交响应文件的供应商，在提交最后报价之前，可以根据磋商情况退出磋商，退出磋商的供应商的响应文件按无效响应处理。</w:t>
      </w:r>
    </w:p>
    <w:p w14:paraId="081182E6">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5.5供应商未在规定时间内提交最后报价的，视同退出磋商，其响应文件按无效处理。</w:t>
      </w:r>
    </w:p>
    <w:p w14:paraId="551E58BD">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5.6磋商小组收齐本项目最后报价后统一开启，磋商小组对最后报价进行有效性、完整性和响应程度的审查。</w:t>
      </w:r>
    </w:p>
    <w:p w14:paraId="0C0ABC90">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 xml:space="preserve">5.7最终响应文件的报价出现前后不一致的，按照本章第3.4条的规定修正。 </w:t>
      </w:r>
    </w:p>
    <w:p w14:paraId="0BD91B2C">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5.8修正后的最后报价出现下列情形的，按无效响应处理：</w:t>
      </w:r>
    </w:p>
    <w:p w14:paraId="2624F595">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（1）供应商不确认的（全流程电子化评标采取在线确认）；</w:t>
      </w:r>
    </w:p>
    <w:p w14:paraId="4D0BF3A0">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（2）经供应商确认修正后的响应报价（包含首次报价、最后报价）超过所竞标项目规定的采购预算金额或者最高限价的（如本项目公布了最高限价）；</w:t>
      </w:r>
    </w:p>
    <w:p w14:paraId="26C2542E">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（3）经供应商确认修正后的响应报价（包含首次报价、最后报价）超过分项采购预算金额或者最高限价的（如本项目公布了最高限价）。</w:t>
      </w:r>
    </w:p>
    <w:p w14:paraId="43CE2ED4">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5.9经供应商确认修正后的最后报价作为评审及签订合同的依据。</w:t>
      </w:r>
    </w:p>
    <w:p w14:paraId="15CA6CDB">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5.10供应商出现最后报价按无效响应处理或者响应文件按无效处理时，磋商小组应当告知有关供应商。</w:t>
      </w:r>
    </w:p>
    <w:p w14:paraId="767DC869">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5.11最后报价结束后，磋商小组不得再与供应商进行任何形式的商谈。</w:t>
      </w:r>
    </w:p>
    <w:p w14:paraId="075D51ED">
      <w:pPr>
        <w:pStyle w:val="21"/>
        <w:pageBreakBefore w:val="0"/>
        <w:kinsoku/>
        <w:wordWrap/>
        <w:overflowPunct/>
        <w:topLinePunct w:val="0"/>
        <w:autoSpaceDE/>
        <w:autoSpaceDN/>
        <w:bidi w:val="0"/>
        <w:spacing w:line="360" w:lineRule="auto"/>
        <w:ind w:firstLine="422"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b/>
          <w:bCs/>
          <w:color w:val="auto"/>
          <w:spacing w:val="0"/>
          <w:sz w:val="21"/>
          <w:szCs w:val="21"/>
          <w:highlight w:val="none"/>
          <w:lang w:eastAsia="zh-CN"/>
        </w:rPr>
        <w:t>重要提示：最后报价有时间限制，供应商须</w:t>
      </w:r>
      <w:r>
        <w:rPr>
          <w:rFonts w:hint="eastAsia" w:ascii="Times New Roman" w:hAnsi="Times New Roman" w:eastAsia="宋体" w:cs="宋体"/>
          <w:b/>
          <w:bCs/>
          <w:color w:val="auto"/>
          <w:sz w:val="21"/>
          <w:szCs w:val="21"/>
          <w:highlight w:val="none"/>
        </w:rPr>
        <w:t>竞争性磋商文件</w:t>
      </w:r>
      <w:r>
        <w:rPr>
          <w:rFonts w:hint="eastAsia" w:ascii="Times New Roman" w:hAnsi="Times New Roman" w:eastAsia="宋体" w:cs="宋体"/>
          <w:b/>
          <w:bCs/>
          <w:color w:val="auto"/>
          <w:sz w:val="21"/>
          <w:szCs w:val="21"/>
          <w:highlight w:val="none"/>
          <w:lang w:eastAsia="zh-CN"/>
        </w:rPr>
        <w:t>“</w:t>
      </w:r>
      <w:r>
        <w:rPr>
          <w:rFonts w:hint="eastAsia" w:ascii="Times New Roman" w:hAnsi="Times New Roman" w:eastAsia="宋体" w:cs="宋体"/>
          <w:b/>
          <w:bCs/>
          <w:color w:val="auto"/>
          <w:sz w:val="21"/>
          <w:szCs w:val="21"/>
          <w:highlight w:val="none"/>
        </w:rPr>
        <w:t>第五章 响应文件格式</w:t>
      </w:r>
      <w:r>
        <w:rPr>
          <w:rFonts w:hint="eastAsia" w:ascii="Times New Roman" w:hAnsi="Times New Roman" w:eastAsia="宋体" w:cs="宋体"/>
          <w:b/>
          <w:bCs/>
          <w:color w:val="auto"/>
          <w:sz w:val="21"/>
          <w:szCs w:val="21"/>
          <w:highlight w:val="none"/>
          <w:lang w:eastAsia="zh-CN"/>
        </w:rPr>
        <w:t>”</w:t>
      </w:r>
      <w:r>
        <w:rPr>
          <w:rFonts w:hint="eastAsia" w:cs="宋体"/>
          <w:b/>
          <w:bCs/>
          <w:color w:val="auto"/>
          <w:sz w:val="21"/>
          <w:szCs w:val="21"/>
          <w:highlight w:val="none"/>
          <w:lang w:eastAsia="zh-CN"/>
        </w:rPr>
        <w:t>中“最后报价表”的格式</w:t>
      </w:r>
      <w:r>
        <w:rPr>
          <w:rFonts w:hint="eastAsia" w:ascii="Times New Roman" w:hAnsi="Times New Roman" w:eastAsia="宋体" w:cs="宋体"/>
          <w:b/>
          <w:bCs/>
          <w:color w:val="auto"/>
          <w:spacing w:val="0"/>
          <w:sz w:val="21"/>
          <w:szCs w:val="21"/>
          <w:highlight w:val="none"/>
          <w:lang w:eastAsia="zh-CN"/>
        </w:rPr>
        <w:t>提前准备最后报价表</w:t>
      </w:r>
      <w:bookmarkStart w:id="172" w:name="OLE_LINK65"/>
      <w:bookmarkStart w:id="173" w:name="OLE_LINK40"/>
      <w:r>
        <w:rPr>
          <w:rFonts w:hint="eastAsia" w:ascii="Times New Roman" w:hAnsi="Times New Roman" w:eastAsia="宋体" w:cs="宋体"/>
          <w:b/>
          <w:bCs/>
          <w:color w:val="auto"/>
          <w:spacing w:val="0"/>
          <w:sz w:val="21"/>
          <w:szCs w:val="21"/>
          <w:highlight w:val="none"/>
          <w:lang w:eastAsia="zh-CN"/>
        </w:rPr>
        <w:t>（</w:t>
      </w:r>
      <w:r>
        <w:rPr>
          <w:rFonts w:hint="eastAsia" w:ascii="Times New Roman" w:hAnsi="Times New Roman" w:eastAsia="宋体" w:cs="宋体"/>
          <w:b/>
          <w:bCs/>
          <w:color w:val="auto"/>
          <w:sz w:val="21"/>
          <w:szCs w:val="21"/>
          <w:highlight w:val="none"/>
        </w:rPr>
        <w:t>如</w:t>
      </w:r>
      <w:r>
        <w:rPr>
          <w:rFonts w:hint="eastAsia" w:cs="宋体"/>
          <w:b/>
          <w:bCs/>
          <w:color w:val="auto"/>
          <w:sz w:val="21"/>
          <w:szCs w:val="21"/>
          <w:highlight w:val="none"/>
          <w:lang w:eastAsia="zh-CN"/>
        </w:rPr>
        <w:t>供应商</w:t>
      </w:r>
      <w:r>
        <w:rPr>
          <w:rFonts w:hint="eastAsia" w:ascii="Times New Roman" w:hAnsi="Times New Roman" w:eastAsia="宋体" w:cs="宋体"/>
          <w:b/>
          <w:bCs/>
          <w:color w:val="auto"/>
          <w:sz w:val="21"/>
          <w:szCs w:val="21"/>
          <w:highlight w:val="none"/>
        </w:rPr>
        <w:t>最后报价与首次报价不一致的，</w:t>
      </w:r>
      <w:r>
        <w:rPr>
          <w:rFonts w:hint="eastAsia" w:cs="宋体"/>
          <w:b/>
          <w:bCs/>
          <w:color w:val="auto"/>
          <w:sz w:val="21"/>
          <w:szCs w:val="21"/>
          <w:highlight w:val="none"/>
          <w:lang w:eastAsia="zh-CN"/>
        </w:rPr>
        <w:t>须附与最后报价相对应的“</w:t>
      </w:r>
      <w:r>
        <w:rPr>
          <w:rFonts w:hint="eastAsia" w:ascii="Times New Roman" w:hAnsi="Times New Roman" w:eastAsia="宋体" w:cs="宋体"/>
          <w:b/>
          <w:bCs/>
          <w:color w:val="auto"/>
          <w:sz w:val="21"/>
          <w:szCs w:val="21"/>
          <w:highlight w:val="none"/>
        </w:rPr>
        <w:t>已标价工程量清单</w:t>
      </w:r>
      <w:r>
        <w:rPr>
          <w:rFonts w:hint="eastAsia" w:cs="宋体"/>
          <w:b/>
          <w:bCs/>
          <w:color w:val="auto"/>
          <w:sz w:val="21"/>
          <w:szCs w:val="21"/>
          <w:highlight w:val="none"/>
          <w:lang w:eastAsia="zh-CN"/>
        </w:rPr>
        <w:t>”，否则其响应按无效响应处理</w:t>
      </w:r>
      <w:r>
        <w:rPr>
          <w:rFonts w:hint="eastAsia" w:ascii="Times New Roman" w:hAnsi="Times New Roman" w:eastAsia="宋体" w:cs="宋体"/>
          <w:b/>
          <w:bCs/>
          <w:color w:val="auto"/>
          <w:spacing w:val="0"/>
          <w:sz w:val="21"/>
          <w:szCs w:val="21"/>
          <w:highlight w:val="none"/>
          <w:lang w:eastAsia="zh-CN"/>
        </w:rPr>
        <w:t>）</w:t>
      </w:r>
      <w:bookmarkEnd w:id="172"/>
      <w:bookmarkEnd w:id="173"/>
      <w:r>
        <w:rPr>
          <w:rFonts w:hint="eastAsia" w:ascii="Times New Roman" w:hAnsi="Times New Roman" w:eastAsia="宋体" w:cs="宋体"/>
          <w:b/>
          <w:bCs/>
          <w:color w:val="auto"/>
          <w:spacing w:val="0"/>
          <w:sz w:val="21"/>
          <w:szCs w:val="21"/>
          <w:highlight w:val="none"/>
          <w:lang w:eastAsia="zh-CN"/>
        </w:rPr>
        <w:t>并按时提交最后报价，以免耽误最后报价</w:t>
      </w:r>
      <w:r>
        <w:rPr>
          <w:rFonts w:hint="eastAsia" w:ascii="Times New Roman" w:hAnsi="Times New Roman" w:eastAsia="宋体" w:cs="宋体"/>
          <w:b/>
          <w:bCs/>
          <w:color w:val="auto"/>
          <w:spacing w:val="0"/>
          <w:sz w:val="21"/>
          <w:szCs w:val="21"/>
          <w:highlight w:val="none"/>
          <w:lang w:val="zh-CN" w:eastAsia="zh-CN"/>
        </w:rPr>
        <w:t>。</w:t>
      </w:r>
    </w:p>
    <w:p w14:paraId="068088DB">
      <w:pPr>
        <w:pageBreakBefore w:val="0"/>
        <w:kinsoku/>
        <w:wordWrap/>
        <w:overflowPunct/>
        <w:topLinePunct w:val="0"/>
        <w:autoSpaceDE/>
        <w:autoSpaceDN/>
        <w:bidi w:val="0"/>
        <w:spacing w:line="360" w:lineRule="auto"/>
        <w:textAlignment w:val="auto"/>
        <w:outlineLvl w:val="2"/>
        <w:rPr>
          <w:rFonts w:hint="eastAsia" w:ascii="Times New Roman" w:hAnsi="Times New Roman" w:eastAsia="宋体" w:cs="宋体"/>
          <w:b/>
          <w:bCs/>
          <w:color w:val="auto"/>
          <w:spacing w:val="0"/>
          <w:sz w:val="21"/>
          <w:szCs w:val="21"/>
          <w:highlight w:val="none"/>
        </w:rPr>
      </w:pPr>
      <w:bookmarkStart w:id="174" w:name="_Toc113"/>
      <w:r>
        <w:rPr>
          <w:rFonts w:hint="eastAsia" w:ascii="Times New Roman" w:hAnsi="Times New Roman" w:eastAsia="宋体" w:cs="宋体"/>
          <w:b/>
          <w:bCs/>
          <w:color w:val="auto"/>
          <w:spacing w:val="0"/>
          <w:sz w:val="21"/>
          <w:szCs w:val="21"/>
          <w:highlight w:val="none"/>
        </w:rPr>
        <w:t>6.比较与评价</w:t>
      </w:r>
      <w:bookmarkEnd w:id="174"/>
    </w:p>
    <w:p w14:paraId="4B43A31D">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6.1评审方法：综合评分法。</w:t>
      </w:r>
    </w:p>
    <w:p w14:paraId="0388E1F6">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6.2经磋商确定最终采购需求和提交最后报价的供应商后，由磋商小组采用综合评分法对提交最后报价的供应商的响应文件和最后报价进行综合评分。</w:t>
      </w:r>
    </w:p>
    <w:p w14:paraId="0C44DEB3">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6.3评审时，磋商小组各成员应当独立对每个有效响应的文件进行评价、打分，然后汇总每个供应商每项评分因素的得分。</w:t>
      </w:r>
    </w:p>
    <w:p w14:paraId="764DCD40">
      <w:pPr>
        <w:pStyle w:val="13"/>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w:t>
      </w:r>
      <w:r>
        <w:rPr>
          <w:rFonts w:hint="eastAsia" w:ascii="Times New Roman" w:hAnsi="Times New Roman" w:eastAsia="宋体" w:cs="宋体"/>
          <w:color w:val="auto"/>
          <w:spacing w:val="0"/>
          <w:sz w:val="21"/>
          <w:szCs w:val="21"/>
          <w:highlight w:val="none"/>
          <w:lang w:val="en-US" w:eastAsia="zh-CN"/>
        </w:rPr>
        <w:t>1</w:t>
      </w:r>
      <w:r>
        <w:rPr>
          <w:rFonts w:hint="eastAsia" w:ascii="Times New Roman" w:hAnsi="Times New Roman" w:eastAsia="宋体" w:cs="宋体"/>
          <w:color w:val="auto"/>
          <w:spacing w:val="0"/>
          <w:sz w:val="21"/>
          <w:szCs w:val="21"/>
          <w:highlight w:val="none"/>
        </w:rPr>
        <w:t>）磋商小组成员要根据政府采购法律法规和采购文件所载明的评审方法、标准进行评审。对供应商的价格分等客观评分项的评分应当一致，对其他需要借助专业知识评判的主观评分项，应当严格按照评分细则公正评分。</w:t>
      </w:r>
    </w:p>
    <w:p w14:paraId="4B6D5754">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（2）磋商小组按照磋商文件中规定的评审标准计算各供应商的报价得分。项目评审过程中，不得去掉最后报价中的最高报价和最低报价。</w:t>
      </w:r>
    </w:p>
    <w:p w14:paraId="33BC2FD7">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（3）各供应商的得分为磋商小组所有成员的有效评分的算术平均数。</w:t>
      </w:r>
    </w:p>
    <w:p w14:paraId="5C105A7A">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sz w:val="21"/>
          <w:szCs w:val="21"/>
          <w:highlight w:val="none"/>
        </w:rPr>
      </w:pPr>
      <w:r>
        <w:rPr>
          <w:rFonts w:hint="eastAsia" w:ascii="Times New Roman" w:hAnsi="Times New Roman" w:eastAsia="宋体" w:cs="宋体"/>
          <w:color w:val="auto"/>
          <w:spacing w:val="0"/>
          <w:sz w:val="21"/>
          <w:szCs w:val="21"/>
          <w:highlight w:val="none"/>
        </w:rPr>
        <w:t>6.4评审报价为供应商的最后报价进行政策性扣除后的价格，评审报价只是作为评审时使用。最终成交供应商的成交金额等于最后报价（如有修正，以确认修正后的最后报价为准）。</w:t>
      </w:r>
    </w:p>
    <w:p w14:paraId="1F5363EC">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color w:val="auto"/>
          <w:spacing w:val="0"/>
          <w:kern w:val="0"/>
          <w:sz w:val="21"/>
          <w:szCs w:val="21"/>
          <w:highlight w:val="none"/>
        </w:rPr>
      </w:pPr>
      <w:r>
        <w:rPr>
          <w:rFonts w:hint="eastAsia" w:ascii="Times New Roman" w:hAnsi="Times New Roman" w:eastAsia="宋体" w:cs="宋体"/>
          <w:color w:val="auto"/>
          <w:spacing w:val="0"/>
          <w:sz w:val="21"/>
          <w:szCs w:val="21"/>
          <w:highlight w:val="none"/>
        </w:rPr>
        <w:t>6.5由磋商小组根据综合评分情况，按照评审得分由高到低顺序推荐3名以上成交候选供应商，并编写评</w:t>
      </w:r>
      <w:r>
        <w:rPr>
          <w:rFonts w:hint="eastAsia" w:ascii="Times New Roman" w:hAnsi="Times New Roman" w:eastAsia="宋体" w:cs="宋体"/>
          <w:color w:val="auto"/>
          <w:spacing w:val="0"/>
          <w:kern w:val="0"/>
          <w:sz w:val="21"/>
          <w:szCs w:val="21"/>
          <w:highlight w:val="none"/>
        </w:rPr>
        <w:t>审报告。评审得分相同的，</w:t>
      </w:r>
      <w:r>
        <w:rPr>
          <w:rFonts w:hint="eastAsia" w:ascii="Times New Roman" w:hAnsi="Times New Roman" w:eastAsia="宋体" w:cs="宋体"/>
          <w:bCs/>
          <w:color w:val="auto"/>
          <w:spacing w:val="0"/>
          <w:sz w:val="21"/>
          <w:szCs w:val="21"/>
          <w:highlight w:val="none"/>
        </w:rPr>
        <w:t>按照最后报价（不计算价格折扣）由低到高的顺序推荐。评审得分且最后报价（不计算价格折扣）相同的，按照技术指标优劣顺序推荐</w:t>
      </w:r>
      <w:r>
        <w:rPr>
          <w:rFonts w:hint="eastAsia" w:ascii="Times New Roman" w:hAnsi="Times New Roman" w:eastAsia="宋体" w:cs="宋体"/>
          <w:color w:val="auto"/>
          <w:spacing w:val="0"/>
          <w:kern w:val="0"/>
          <w:sz w:val="21"/>
          <w:szCs w:val="21"/>
          <w:highlight w:val="none"/>
        </w:rPr>
        <w:t>(按技术分得分由高到低排序，技术分得分相同的按照商务分得分由高到低排序)。评审得分、最后报价(不计算价格折扣)、技术分得分、商务分得分均相同的，由磋商小组随机抽取推荐。</w:t>
      </w:r>
    </w:p>
    <w:p w14:paraId="6E5755A3">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b/>
          <w:bCs/>
          <w:color w:val="auto"/>
          <w:spacing w:val="0"/>
          <w:sz w:val="21"/>
          <w:szCs w:val="21"/>
          <w:highlight w:val="none"/>
        </w:rPr>
      </w:pPr>
      <w:r>
        <w:rPr>
          <w:rFonts w:hint="eastAsia" w:ascii="Times New Roman" w:hAnsi="Times New Roman" w:eastAsia="宋体" w:cs="宋体"/>
          <w:color w:val="auto"/>
          <w:spacing w:val="0"/>
          <w:kern w:val="0"/>
          <w:sz w:val="21"/>
          <w:szCs w:val="21"/>
          <w:highlight w:val="none"/>
        </w:rPr>
        <w:t>6.6评审报告应当由磋商小组全体人员签字认可。磋商小组成员对评审报告有异议的，磋商小组按照少数服从多数的原则推荐成交候选供应商，采购程序继续进行。对评审报告有异议的磋商小组成员，应当在报告上签署不同意见并说明理由，由磋商小组书面记录相关情况。磋商小组成员拒绝在报告上签字又不书面说明其不同意见和理由的，视为同意评审报告。</w:t>
      </w:r>
    </w:p>
    <w:p w14:paraId="766EDF32">
      <w:pPr>
        <w:pageBreakBefore w:val="0"/>
        <w:kinsoku/>
        <w:wordWrap/>
        <w:overflowPunct/>
        <w:topLinePunct w:val="0"/>
        <w:autoSpaceDE/>
        <w:autoSpaceDN/>
        <w:bidi w:val="0"/>
        <w:spacing w:line="360" w:lineRule="auto"/>
        <w:textAlignment w:val="auto"/>
        <w:outlineLvl w:val="2"/>
        <w:rPr>
          <w:rFonts w:hint="eastAsia" w:ascii="Times New Roman" w:hAnsi="Times New Roman" w:eastAsia="宋体" w:cs="宋体"/>
          <w:b/>
          <w:bCs/>
          <w:color w:val="auto"/>
          <w:spacing w:val="0"/>
          <w:sz w:val="21"/>
          <w:szCs w:val="21"/>
          <w:highlight w:val="none"/>
        </w:rPr>
      </w:pPr>
      <w:bookmarkStart w:id="175" w:name="_Toc23093"/>
      <w:r>
        <w:rPr>
          <w:rFonts w:hint="eastAsia" w:ascii="Times New Roman" w:hAnsi="Times New Roman" w:eastAsia="宋体" w:cs="宋体"/>
          <w:b/>
          <w:bCs/>
          <w:color w:val="auto"/>
          <w:spacing w:val="0"/>
          <w:sz w:val="21"/>
          <w:szCs w:val="21"/>
          <w:highlight w:val="none"/>
        </w:rPr>
        <w:t>7.评审标准</w:t>
      </w:r>
      <w:bookmarkEnd w:id="175"/>
    </w:p>
    <w:p w14:paraId="289E8351">
      <w:pPr>
        <w:pageBreakBefore w:val="0"/>
        <w:kinsoku/>
        <w:wordWrap/>
        <w:overflowPunct/>
        <w:topLinePunct w:val="0"/>
        <w:autoSpaceDE/>
        <w:autoSpaceDN/>
        <w:bidi w:val="0"/>
        <w:spacing w:line="360" w:lineRule="auto"/>
        <w:ind w:firstLine="420" w:firstLineChars="200"/>
        <w:textAlignment w:val="auto"/>
        <w:rPr>
          <w:rFonts w:hint="eastAsia" w:ascii="Times New Roman" w:hAnsi="Times New Roman" w:eastAsia="宋体" w:cs="宋体"/>
          <w:bCs/>
          <w:color w:val="auto"/>
          <w:spacing w:val="0"/>
          <w:szCs w:val="21"/>
          <w:highlight w:val="none"/>
        </w:rPr>
      </w:pPr>
      <w:r>
        <w:rPr>
          <w:rFonts w:hint="eastAsia" w:ascii="Times New Roman" w:hAnsi="Times New Roman" w:eastAsia="宋体" w:cs="宋体"/>
          <w:bCs/>
          <w:color w:val="auto"/>
          <w:spacing w:val="0"/>
          <w:highlight w:val="none"/>
        </w:rPr>
        <w:t>7.</w:t>
      </w:r>
      <w:r>
        <w:rPr>
          <w:rFonts w:hint="eastAsia" w:ascii="Times New Roman" w:hAnsi="Times New Roman" w:eastAsia="宋体" w:cs="宋体"/>
          <w:bCs/>
          <w:color w:val="auto"/>
          <w:spacing w:val="0"/>
          <w:szCs w:val="21"/>
          <w:highlight w:val="none"/>
        </w:rPr>
        <w:t>1评审依据：磋商小组将以响应文件为评审依据，对供应商的报价、技术、商务等方面内容按百分制打分，供应商总得分=报价分+技术分+商务分。（计分方法按四舍五入取至百分位）</w:t>
      </w:r>
    </w:p>
    <w:p w14:paraId="59D782E9">
      <w:pPr>
        <w:pageBreakBefore w:val="0"/>
        <w:kinsoku/>
        <w:wordWrap/>
        <w:overflowPunct/>
        <w:topLinePunct w:val="0"/>
        <w:bidi w:val="0"/>
        <w:spacing w:line="360" w:lineRule="auto"/>
        <w:ind w:firstLine="420" w:firstLineChars="200"/>
        <w:textAlignment w:val="auto"/>
        <w:rPr>
          <w:rFonts w:hint="eastAsia"/>
          <w:bCs/>
          <w:color w:val="auto"/>
          <w:szCs w:val="21"/>
          <w:highlight w:val="none"/>
        </w:rPr>
      </w:pPr>
      <w:r>
        <w:rPr>
          <w:rFonts w:hint="eastAsia"/>
          <w:bCs/>
          <w:color w:val="auto"/>
          <w:szCs w:val="21"/>
          <w:highlight w:val="none"/>
        </w:rPr>
        <w:br w:type="page"/>
      </w:r>
    </w:p>
    <w:tbl>
      <w:tblPr>
        <w:tblStyle w:val="28"/>
        <w:tblW w:w="0" w:type="auto"/>
        <w:tblInd w:w="2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082"/>
        <w:gridCol w:w="1575"/>
        <w:gridCol w:w="5489"/>
        <w:gridCol w:w="794"/>
      </w:tblGrid>
      <w:tr w14:paraId="766F4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blHeader/>
        </w:trPr>
        <w:tc>
          <w:tcPr>
            <w:tcW w:w="659" w:type="dxa"/>
            <w:shd w:val="clear" w:color="auto" w:fill="8DB3E2" w:themeFill="text2" w:themeFillTint="66"/>
            <w:noWrap w:val="0"/>
            <w:vAlign w:val="center"/>
          </w:tcPr>
          <w:p w14:paraId="04D11BB1">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序号</w:t>
            </w:r>
          </w:p>
        </w:tc>
        <w:tc>
          <w:tcPr>
            <w:tcW w:w="1082" w:type="dxa"/>
            <w:shd w:val="clear" w:color="auto" w:fill="8DB3E2" w:themeFill="text2" w:themeFillTint="66"/>
            <w:noWrap w:val="0"/>
            <w:vAlign w:val="center"/>
          </w:tcPr>
          <w:p w14:paraId="778D625A">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评分类型</w:t>
            </w:r>
          </w:p>
        </w:tc>
        <w:tc>
          <w:tcPr>
            <w:tcW w:w="7064" w:type="dxa"/>
            <w:gridSpan w:val="2"/>
            <w:shd w:val="clear" w:color="auto" w:fill="8DB3E2" w:themeFill="text2" w:themeFillTint="66"/>
            <w:noWrap w:val="0"/>
            <w:vAlign w:val="center"/>
          </w:tcPr>
          <w:p w14:paraId="6E48D55D">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评分标准</w:t>
            </w:r>
          </w:p>
        </w:tc>
        <w:tc>
          <w:tcPr>
            <w:tcW w:w="794" w:type="dxa"/>
            <w:shd w:val="clear" w:color="auto" w:fill="8DB3E2" w:themeFill="text2" w:themeFillTint="66"/>
            <w:noWrap w:val="0"/>
            <w:vAlign w:val="center"/>
          </w:tcPr>
          <w:p w14:paraId="44A906B5">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分值</w:t>
            </w:r>
          </w:p>
        </w:tc>
      </w:tr>
      <w:tr w14:paraId="2AF4D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4A80CCA9">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bCs w:val="0"/>
                <w:color w:val="auto"/>
                <w:szCs w:val="21"/>
                <w:highlight w:val="none"/>
                <w:lang w:eastAsia="zh-CN"/>
              </w:rPr>
            </w:pPr>
            <w:r>
              <w:rPr>
                <w:rFonts w:hint="eastAsia" w:ascii="宋体" w:hAnsi="宋体" w:eastAsia="宋体" w:cs="宋体"/>
                <w:b/>
                <w:bCs w:val="0"/>
                <w:color w:val="auto"/>
                <w:szCs w:val="21"/>
                <w:highlight w:val="none"/>
                <w:lang w:eastAsia="zh-CN"/>
              </w:rPr>
              <w:t>一</w:t>
            </w:r>
          </w:p>
        </w:tc>
        <w:tc>
          <w:tcPr>
            <w:tcW w:w="8146" w:type="dxa"/>
            <w:gridSpan w:val="3"/>
            <w:noWrap w:val="0"/>
            <w:vAlign w:val="center"/>
          </w:tcPr>
          <w:p w14:paraId="3AEDF3A1">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bCs w:val="0"/>
                <w:color w:val="auto"/>
                <w:szCs w:val="21"/>
                <w:highlight w:val="none"/>
              </w:rPr>
            </w:pPr>
            <w:r>
              <w:rPr>
                <w:rFonts w:hint="eastAsia" w:ascii="宋体" w:hAnsi="宋体" w:eastAsia="宋体" w:cs="宋体"/>
                <w:b/>
                <w:bCs w:val="0"/>
                <w:color w:val="auto"/>
                <w:szCs w:val="21"/>
                <w:highlight w:val="none"/>
              </w:rPr>
              <w:t>报价分</w:t>
            </w:r>
          </w:p>
        </w:tc>
        <w:tc>
          <w:tcPr>
            <w:tcW w:w="794" w:type="dxa"/>
            <w:noWrap w:val="0"/>
            <w:vAlign w:val="center"/>
          </w:tcPr>
          <w:p w14:paraId="38CFF671">
            <w:pPr>
              <w:keepNext w:val="0"/>
              <w:keepLines w:val="0"/>
              <w:pageBreakBefore w:val="0"/>
              <w:widowControl w:val="0"/>
              <w:kinsoku/>
              <w:wordWrap/>
              <w:overflowPunct/>
              <w:topLinePunct w:val="0"/>
              <w:bidi w:val="0"/>
              <w:spacing w:line="400" w:lineRule="exact"/>
              <w:jc w:val="both"/>
              <w:textAlignment w:val="auto"/>
              <w:rPr>
                <w:rFonts w:hint="eastAsia" w:ascii="宋体" w:hAnsi="宋体" w:eastAsia="宋体" w:cs="宋体"/>
                <w:b/>
                <w:bCs w:val="0"/>
                <w:color w:val="auto"/>
                <w:szCs w:val="21"/>
                <w:highlight w:val="none"/>
                <w:lang w:val="en-US" w:eastAsia="zh-CN"/>
              </w:rPr>
            </w:pPr>
            <w:r>
              <w:rPr>
                <w:rFonts w:hint="eastAsia" w:ascii="宋体" w:hAnsi="宋体" w:cs="宋体"/>
                <w:b/>
                <w:bCs w:val="0"/>
                <w:color w:val="auto"/>
                <w:szCs w:val="21"/>
                <w:highlight w:val="none"/>
                <w:lang w:val="en-US" w:eastAsia="zh-CN"/>
              </w:rPr>
              <w:t>4</w:t>
            </w:r>
            <w:r>
              <w:rPr>
                <w:rFonts w:hint="eastAsia" w:ascii="宋体" w:hAnsi="宋体" w:eastAsia="宋体" w:cs="宋体"/>
                <w:b/>
                <w:bCs w:val="0"/>
                <w:color w:val="auto"/>
                <w:szCs w:val="21"/>
                <w:highlight w:val="none"/>
                <w:lang w:val="en-US" w:eastAsia="zh-CN"/>
              </w:rPr>
              <w:t>0分</w:t>
            </w:r>
          </w:p>
        </w:tc>
      </w:tr>
      <w:tr w14:paraId="639B58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74C1A909">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w:t>
            </w:r>
          </w:p>
        </w:tc>
        <w:tc>
          <w:tcPr>
            <w:tcW w:w="1082" w:type="dxa"/>
            <w:noWrap w:val="0"/>
            <w:vAlign w:val="center"/>
          </w:tcPr>
          <w:p w14:paraId="6B52A17F">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报价</w:t>
            </w:r>
            <w:r>
              <w:rPr>
                <w:rFonts w:hint="eastAsia" w:ascii="宋体" w:hAnsi="宋体" w:eastAsia="宋体" w:cs="宋体"/>
                <w:bCs/>
                <w:color w:val="auto"/>
                <w:kern w:val="0"/>
                <w:szCs w:val="21"/>
                <w:highlight w:val="none"/>
              </w:rPr>
              <w:t>分</w:t>
            </w:r>
          </w:p>
        </w:tc>
        <w:tc>
          <w:tcPr>
            <w:tcW w:w="7064" w:type="dxa"/>
            <w:gridSpan w:val="2"/>
            <w:noWrap w:val="0"/>
            <w:vAlign w:val="center"/>
          </w:tcPr>
          <w:p w14:paraId="4509E752">
            <w:pPr>
              <w:keepNext w:val="0"/>
              <w:keepLines w:val="0"/>
              <w:pageBreakBefore w:val="0"/>
              <w:widowControl w:val="0"/>
              <w:kinsoku/>
              <w:wordWrap/>
              <w:overflowPunct/>
              <w:topLinePunct w:val="0"/>
              <w:bidi w:val="0"/>
              <w:spacing w:line="400" w:lineRule="exact"/>
              <w:ind w:firstLine="535" w:firstLineChars="255"/>
              <w:jc w:val="both"/>
              <w:textAlignment w:val="auto"/>
              <w:rPr>
                <w:rFonts w:hint="eastAsia"/>
                <w:bCs/>
                <w:color w:val="auto"/>
                <w:sz w:val="21"/>
                <w:highlight w:val="none"/>
                <w:lang w:eastAsia="zh-CN"/>
              </w:rPr>
            </w:pPr>
            <w:r>
              <w:rPr>
                <w:rFonts w:hint="eastAsia"/>
                <w:bCs/>
                <w:color w:val="auto"/>
                <w:sz w:val="21"/>
                <w:highlight w:val="none"/>
                <w:lang w:val="en-US" w:eastAsia="zh-CN"/>
              </w:rPr>
              <w:t>1.</w:t>
            </w:r>
            <w:r>
              <w:rPr>
                <w:rFonts w:hint="eastAsia"/>
                <w:bCs/>
                <w:color w:val="auto"/>
                <w:sz w:val="21"/>
                <w:highlight w:val="none"/>
                <w:lang w:eastAsia="zh-CN"/>
              </w:rPr>
              <w:t>本项目为专门面向中小企业采购的项目，按照《政府采购促进中小企业发展管理办法》（财库〔2020〕46号）的规定，对供应商最后报价不再执行价格评审优惠的扶持政策。</w:t>
            </w:r>
          </w:p>
          <w:p w14:paraId="18A4AB40">
            <w:pPr>
              <w:keepNext w:val="0"/>
              <w:keepLines w:val="0"/>
              <w:pageBreakBefore w:val="0"/>
              <w:widowControl w:val="0"/>
              <w:kinsoku/>
              <w:wordWrap/>
              <w:overflowPunct/>
              <w:topLinePunct w:val="0"/>
              <w:bidi w:val="0"/>
              <w:spacing w:line="400" w:lineRule="exact"/>
              <w:ind w:firstLine="535" w:firstLineChars="255"/>
              <w:jc w:val="both"/>
              <w:textAlignment w:val="auto"/>
              <w:rPr>
                <w:rFonts w:hint="eastAsia"/>
                <w:bCs/>
                <w:color w:val="auto"/>
                <w:sz w:val="21"/>
                <w:highlight w:val="none"/>
                <w:lang w:eastAsia="zh-CN"/>
              </w:rPr>
            </w:pPr>
            <w:r>
              <w:rPr>
                <w:rFonts w:hint="eastAsia"/>
                <w:bCs/>
                <w:color w:val="auto"/>
                <w:sz w:val="21"/>
                <w:highlight w:val="none"/>
                <w:lang w:val="en-US" w:eastAsia="zh-CN"/>
              </w:rPr>
              <w:t>2.</w:t>
            </w:r>
            <w:r>
              <w:rPr>
                <w:rFonts w:hint="eastAsia"/>
                <w:bCs/>
                <w:color w:val="auto"/>
                <w:sz w:val="21"/>
                <w:highlight w:val="none"/>
                <w:lang w:eastAsia="zh-CN"/>
              </w:rPr>
              <w:t>评审报价为供应商的最后报价，评审报价只是作为评审时使用。最终成交供应商的成交金额等于最后报价（如有修正，以确认修正后的最后报价为准）。</w:t>
            </w:r>
          </w:p>
          <w:p w14:paraId="72DA7075">
            <w:pPr>
              <w:keepNext w:val="0"/>
              <w:keepLines w:val="0"/>
              <w:pageBreakBefore w:val="0"/>
              <w:widowControl w:val="0"/>
              <w:kinsoku/>
              <w:wordWrap/>
              <w:overflowPunct/>
              <w:topLinePunct w:val="0"/>
              <w:bidi w:val="0"/>
              <w:spacing w:line="400" w:lineRule="exact"/>
              <w:ind w:firstLine="535" w:firstLineChars="255"/>
              <w:jc w:val="both"/>
              <w:textAlignment w:val="auto"/>
              <w:rPr>
                <w:rFonts w:hint="eastAsia"/>
                <w:bCs/>
                <w:color w:val="auto"/>
                <w:sz w:val="21"/>
                <w:highlight w:val="none"/>
                <w:lang w:eastAsia="zh-CN"/>
              </w:rPr>
            </w:pPr>
            <w:r>
              <w:rPr>
                <w:rFonts w:hint="eastAsia"/>
                <w:bCs/>
                <w:color w:val="auto"/>
                <w:sz w:val="21"/>
                <w:highlight w:val="none"/>
                <w:lang w:val="en-US" w:eastAsia="zh-CN"/>
              </w:rPr>
              <w:t>3.</w:t>
            </w:r>
            <w:r>
              <w:rPr>
                <w:rFonts w:hint="eastAsia"/>
                <w:bCs/>
                <w:color w:val="auto"/>
                <w:sz w:val="21"/>
                <w:highlight w:val="none"/>
                <w:lang w:eastAsia="zh-CN"/>
              </w:rPr>
              <w:t>以进入比较与评价环节的最低的评审报价为基准价，基准价得分为</w:t>
            </w:r>
            <w:r>
              <w:rPr>
                <w:rFonts w:hint="eastAsia"/>
                <w:bCs/>
                <w:color w:val="auto"/>
                <w:sz w:val="21"/>
                <w:highlight w:val="none"/>
                <w:lang w:val="en-US" w:eastAsia="zh-CN"/>
              </w:rPr>
              <w:t>40</w:t>
            </w:r>
            <w:r>
              <w:rPr>
                <w:rFonts w:hint="eastAsia"/>
                <w:bCs/>
                <w:color w:val="auto"/>
                <w:sz w:val="21"/>
                <w:highlight w:val="none"/>
                <w:lang w:eastAsia="zh-CN"/>
              </w:rPr>
              <w:t>分。</w:t>
            </w:r>
          </w:p>
          <w:p w14:paraId="6F6C40B5">
            <w:pPr>
              <w:keepNext w:val="0"/>
              <w:keepLines w:val="0"/>
              <w:pageBreakBefore w:val="0"/>
              <w:widowControl w:val="0"/>
              <w:kinsoku/>
              <w:wordWrap/>
              <w:overflowPunct/>
              <w:topLinePunct w:val="0"/>
              <w:bidi w:val="0"/>
              <w:spacing w:line="400" w:lineRule="exact"/>
              <w:ind w:firstLine="535" w:firstLineChars="255"/>
              <w:jc w:val="both"/>
              <w:textAlignment w:val="auto"/>
              <w:rPr>
                <w:rFonts w:hint="eastAsia" w:ascii="宋体" w:hAnsi="宋体" w:eastAsia="宋体" w:cs="宋体"/>
                <w:color w:val="auto"/>
                <w:highlight w:val="none"/>
              </w:rPr>
            </w:pPr>
            <w:r>
              <w:rPr>
                <w:rFonts w:hint="eastAsia"/>
                <w:bCs/>
                <w:color w:val="auto"/>
                <w:sz w:val="21"/>
                <w:highlight w:val="none"/>
                <w:lang w:val="en-US" w:eastAsia="zh-CN"/>
              </w:rPr>
              <w:t>4.</w:t>
            </w:r>
            <w:r>
              <w:rPr>
                <w:rFonts w:hint="eastAsia"/>
                <w:bCs/>
                <w:color w:val="auto"/>
                <w:sz w:val="21"/>
                <w:highlight w:val="none"/>
                <w:lang w:eastAsia="zh-CN"/>
              </w:rPr>
              <w:t>价格分计算公式：报价得分=（基准价/评审报价）×</w:t>
            </w:r>
            <w:r>
              <w:rPr>
                <w:rFonts w:hint="eastAsia"/>
                <w:bCs/>
                <w:color w:val="auto"/>
                <w:sz w:val="21"/>
                <w:highlight w:val="none"/>
                <w:lang w:val="en-US" w:eastAsia="zh-CN"/>
              </w:rPr>
              <w:t>40</w:t>
            </w:r>
            <w:r>
              <w:rPr>
                <w:rFonts w:hint="eastAsia"/>
                <w:bCs/>
                <w:color w:val="auto"/>
                <w:sz w:val="21"/>
                <w:highlight w:val="none"/>
                <w:lang w:eastAsia="zh-CN"/>
              </w:rPr>
              <w:t>分。</w:t>
            </w:r>
          </w:p>
        </w:tc>
        <w:tc>
          <w:tcPr>
            <w:tcW w:w="794" w:type="dxa"/>
            <w:noWrap w:val="0"/>
            <w:vAlign w:val="center"/>
          </w:tcPr>
          <w:p w14:paraId="462879A4">
            <w:pPr>
              <w:keepNext w:val="0"/>
              <w:keepLines w:val="0"/>
              <w:pageBreakBefore w:val="0"/>
              <w:widowControl w:val="0"/>
              <w:kinsoku/>
              <w:wordWrap/>
              <w:overflowPunct/>
              <w:topLinePunct w:val="0"/>
              <w:bidi w:val="0"/>
              <w:spacing w:line="400" w:lineRule="exact"/>
              <w:jc w:val="both"/>
              <w:textAlignment w:val="auto"/>
              <w:rPr>
                <w:rFonts w:hint="eastAsia" w:ascii="宋体" w:hAnsi="宋体" w:eastAsia="宋体" w:cs="宋体"/>
                <w:bCs/>
                <w:color w:val="auto"/>
                <w:szCs w:val="21"/>
                <w:highlight w:val="none"/>
              </w:rPr>
            </w:pPr>
            <w:r>
              <w:rPr>
                <w:rFonts w:hint="eastAsia" w:ascii="宋体" w:hAnsi="宋体" w:cs="宋体"/>
                <w:color w:val="auto"/>
                <w:kern w:val="0"/>
                <w:szCs w:val="21"/>
                <w:highlight w:val="none"/>
                <w:lang w:val="en-US" w:eastAsia="zh-CN"/>
              </w:rPr>
              <w:t>4</w:t>
            </w:r>
            <w:r>
              <w:rPr>
                <w:rFonts w:hint="eastAsia" w:ascii="宋体" w:hAnsi="宋体" w:eastAsia="宋体" w:cs="宋体"/>
                <w:color w:val="auto"/>
                <w:kern w:val="0"/>
                <w:szCs w:val="21"/>
                <w:highlight w:val="none"/>
                <w:lang w:val="en-US" w:eastAsia="zh-CN"/>
              </w:rPr>
              <w:t>0</w:t>
            </w:r>
            <w:r>
              <w:rPr>
                <w:rFonts w:hint="eastAsia" w:ascii="宋体" w:hAnsi="宋体" w:eastAsia="宋体" w:cs="宋体"/>
                <w:color w:val="auto"/>
                <w:kern w:val="0"/>
                <w:szCs w:val="21"/>
                <w:highlight w:val="none"/>
              </w:rPr>
              <w:t>分</w:t>
            </w:r>
          </w:p>
        </w:tc>
      </w:tr>
      <w:tr w14:paraId="7B088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624420E7">
            <w:pPr>
              <w:keepNext w:val="0"/>
              <w:keepLines w:val="0"/>
              <w:pageBreakBefore w:val="0"/>
              <w:widowControl w:val="0"/>
              <w:numPr>
                <w:ilvl w:val="0"/>
                <w:numId w:val="0"/>
              </w:numPr>
              <w:kinsoku/>
              <w:wordWrap/>
              <w:overflowPunct/>
              <w:topLinePunct w:val="0"/>
              <w:autoSpaceDE w:val="0"/>
              <w:autoSpaceDN w:val="0"/>
              <w:bidi w:val="0"/>
              <w:adjustRightInd w:val="0"/>
              <w:snapToGrid w:val="0"/>
              <w:spacing w:line="400" w:lineRule="exact"/>
              <w:jc w:val="center"/>
              <w:textAlignment w:val="auto"/>
              <w:rPr>
                <w:rFonts w:hint="eastAsia" w:ascii="宋体" w:hAnsi="宋体" w:eastAsia="宋体" w:cs="宋体"/>
                <w:b/>
                <w:color w:val="auto"/>
                <w:szCs w:val="21"/>
                <w:highlight w:val="none"/>
                <w:lang w:eastAsia="zh-CN"/>
              </w:rPr>
            </w:pPr>
            <w:r>
              <w:rPr>
                <w:rFonts w:hint="eastAsia" w:ascii="宋体" w:hAnsi="宋体" w:eastAsia="宋体" w:cs="宋体"/>
                <w:b/>
                <w:color w:val="auto"/>
                <w:szCs w:val="21"/>
                <w:highlight w:val="none"/>
                <w:lang w:eastAsia="zh-CN"/>
              </w:rPr>
              <w:t>二</w:t>
            </w:r>
          </w:p>
        </w:tc>
        <w:tc>
          <w:tcPr>
            <w:tcW w:w="8146" w:type="dxa"/>
            <w:gridSpan w:val="3"/>
            <w:noWrap w:val="0"/>
            <w:vAlign w:val="center"/>
          </w:tcPr>
          <w:p w14:paraId="7C4B33BA">
            <w:pPr>
              <w:keepNext w:val="0"/>
              <w:keepLines w:val="0"/>
              <w:pageBreakBefore w:val="0"/>
              <w:widowControl w:val="0"/>
              <w:numPr>
                <w:ilvl w:val="0"/>
                <w:numId w:val="0"/>
              </w:numPr>
              <w:kinsoku/>
              <w:wordWrap/>
              <w:overflowPunct/>
              <w:topLinePunct w:val="0"/>
              <w:autoSpaceDE w:val="0"/>
              <w:autoSpaceDN w:val="0"/>
              <w:bidi w:val="0"/>
              <w:adjustRightInd w:val="0"/>
              <w:snapToGrid w:val="0"/>
              <w:spacing w:line="400" w:lineRule="exact"/>
              <w:jc w:val="center"/>
              <w:textAlignment w:val="auto"/>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技术分</w:t>
            </w:r>
          </w:p>
        </w:tc>
        <w:tc>
          <w:tcPr>
            <w:tcW w:w="794" w:type="dxa"/>
            <w:noWrap w:val="0"/>
            <w:vAlign w:val="center"/>
          </w:tcPr>
          <w:p w14:paraId="289EF92F">
            <w:pPr>
              <w:keepNext w:val="0"/>
              <w:keepLines w:val="0"/>
              <w:pageBreakBefore w:val="0"/>
              <w:widowControl w:val="0"/>
              <w:numPr>
                <w:ilvl w:val="0"/>
                <w:numId w:val="0"/>
              </w:numPr>
              <w:kinsoku/>
              <w:wordWrap/>
              <w:overflowPunct/>
              <w:topLinePunct w:val="0"/>
              <w:autoSpaceDE w:val="0"/>
              <w:autoSpaceDN w:val="0"/>
              <w:bidi w:val="0"/>
              <w:adjustRightInd w:val="0"/>
              <w:snapToGrid w:val="0"/>
              <w:spacing w:line="400" w:lineRule="exact"/>
              <w:jc w:val="center"/>
              <w:textAlignment w:val="auto"/>
              <w:rPr>
                <w:rFonts w:hint="default" w:ascii="宋体" w:hAnsi="宋体" w:eastAsia="宋体" w:cs="宋体"/>
                <w:b/>
                <w:color w:val="auto"/>
                <w:szCs w:val="21"/>
                <w:highlight w:val="none"/>
                <w:lang w:val="en-US" w:eastAsia="zh-CN"/>
              </w:rPr>
            </w:pPr>
            <w:r>
              <w:rPr>
                <w:rFonts w:hint="eastAsia" w:ascii="宋体" w:hAnsi="宋体" w:cs="宋体"/>
                <w:b/>
                <w:color w:val="auto"/>
                <w:szCs w:val="21"/>
                <w:highlight w:val="none"/>
                <w:lang w:val="en-US" w:eastAsia="zh-CN"/>
              </w:rPr>
              <w:t>40</w:t>
            </w:r>
            <w:r>
              <w:rPr>
                <w:rFonts w:hint="eastAsia" w:ascii="宋体" w:hAnsi="宋体" w:eastAsia="宋体" w:cs="宋体"/>
                <w:b/>
                <w:color w:val="auto"/>
                <w:szCs w:val="21"/>
                <w:highlight w:val="none"/>
                <w:lang w:val="en-US" w:eastAsia="zh-CN"/>
              </w:rPr>
              <w:t>分</w:t>
            </w:r>
          </w:p>
        </w:tc>
      </w:tr>
      <w:tr w14:paraId="3C417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1684660E">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cs="宋体"/>
                <w:bCs/>
                <w:color w:val="auto"/>
                <w:szCs w:val="21"/>
                <w:highlight w:val="none"/>
                <w:lang w:val="en-US" w:eastAsia="zh-CN"/>
              </w:rPr>
              <w:t>1</w:t>
            </w:r>
          </w:p>
        </w:tc>
        <w:tc>
          <w:tcPr>
            <w:tcW w:w="1082" w:type="dxa"/>
            <w:noWrap w:val="0"/>
            <w:vAlign w:val="center"/>
          </w:tcPr>
          <w:p w14:paraId="0731F477">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技术分</w:t>
            </w:r>
          </w:p>
        </w:tc>
        <w:tc>
          <w:tcPr>
            <w:tcW w:w="1575" w:type="dxa"/>
            <w:vMerge w:val="restart"/>
            <w:noWrap w:val="0"/>
            <w:vAlign w:val="center"/>
          </w:tcPr>
          <w:p w14:paraId="1B8089AD">
            <w:pPr>
              <w:keepNext w:val="0"/>
              <w:keepLines w:val="0"/>
              <w:pageBreakBefore w:val="0"/>
              <w:widowControl w:val="0"/>
              <w:kinsoku/>
              <w:wordWrap/>
              <w:overflowPunct/>
              <w:topLinePunct w:val="0"/>
              <w:bidi w:val="0"/>
              <w:spacing w:line="400" w:lineRule="exact"/>
              <w:jc w:val="center"/>
              <w:textAlignment w:val="auto"/>
              <w:rPr>
                <w:b/>
                <w:bCs/>
                <w:color w:val="auto"/>
                <w:sz w:val="21"/>
                <w:highlight w:val="none"/>
                <w:lang w:eastAsia="zh-CN"/>
              </w:rPr>
            </w:pPr>
            <w:r>
              <w:rPr>
                <w:b/>
                <w:bCs/>
                <w:color w:val="auto"/>
                <w:sz w:val="21"/>
                <w:highlight w:val="none"/>
                <w:lang w:eastAsia="zh-CN"/>
              </w:rPr>
              <w:t>施工组织设计方案分</w:t>
            </w:r>
          </w:p>
          <w:p w14:paraId="2CE347DF">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color w:val="auto"/>
                <w:highlight w:val="none"/>
              </w:rPr>
            </w:pPr>
            <w:r>
              <w:rPr>
                <w:rFonts w:hint="eastAsia"/>
                <w:b/>
                <w:bCs/>
                <w:color w:val="auto"/>
                <w:sz w:val="21"/>
                <w:highlight w:val="none"/>
                <w:lang w:eastAsia="zh-CN"/>
              </w:rPr>
              <w:t>（满分</w:t>
            </w:r>
            <w:r>
              <w:rPr>
                <w:rFonts w:hint="eastAsia"/>
                <w:b/>
                <w:bCs/>
                <w:color w:val="auto"/>
                <w:sz w:val="21"/>
                <w:highlight w:val="none"/>
                <w:lang w:val="en-US" w:eastAsia="zh-CN"/>
              </w:rPr>
              <w:t>40分</w:t>
            </w:r>
            <w:r>
              <w:rPr>
                <w:rFonts w:hint="eastAsia"/>
                <w:b/>
                <w:bCs/>
                <w:color w:val="auto"/>
                <w:sz w:val="21"/>
                <w:highlight w:val="none"/>
                <w:lang w:eastAsia="zh-CN"/>
              </w:rPr>
              <w:t>）</w:t>
            </w:r>
          </w:p>
        </w:tc>
        <w:tc>
          <w:tcPr>
            <w:tcW w:w="5489" w:type="dxa"/>
            <w:noWrap w:val="0"/>
            <w:vAlign w:val="center"/>
          </w:tcPr>
          <w:p w14:paraId="3E157EE5">
            <w:pPr>
              <w:spacing w:line="440" w:lineRule="exact"/>
              <w:ind w:firstLine="517" w:firstLineChars="245"/>
              <w:rPr>
                <w:b/>
                <w:color w:val="auto"/>
                <w:sz w:val="21"/>
                <w:szCs w:val="22"/>
                <w:highlight w:val="none"/>
                <w:lang w:eastAsia="zh-CN"/>
              </w:rPr>
            </w:pPr>
            <w:r>
              <w:rPr>
                <w:b/>
                <w:color w:val="auto"/>
                <w:sz w:val="21"/>
                <w:szCs w:val="22"/>
                <w:highlight w:val="none"/>
                <w:lang w:eastAsia="zh-CN"/>
              </w:rPr>
              <w:t>（1）总体概述</w:t>
            </w:r>
            <w:r>
              <w:rPr>
                <w:rFonts w:hint="eastAsia"/>
                <w:b/>
                <w:color w:val="auto"/>
                <w:sz w:val="21"/>
                <w:szCs w:val="22"/>
                <w:highlight w:val="none"/>
                <w:lang w:eastAsia="zh-CN"/>
              </w:rPr>
              <w:t>（</w:t>
            </w:r>
            <w:r>
              <w:rPr>
                <w:b/>
                <w:color w:val="auto"/>
                <w:sz w:val="21"/>
                <w:szCs w:val="22"/>
                <w:highlight w:val="none"/>
                <w:lang w:eastAsia="zh-CN"/>
              </w:rPr>
              <w:t>3分</w:t>
            </w:r>
            <w:r>
              <w:rPr>
                <w:rFonts w:hint="eastAsia"/>
                <w:b/>
                <w:color w:val="auto"/>
                <w:sz w:val="21"/>
                <w:szCs w:val="22"/>
                <w:highlight w:val="none"/>
                <w:lang w:eastAsia="zh-CN"/>
              </w:rPr>
              <w:t>）</w:t>
            </w:r>
          </w:p>
          <w:p w14:paraId="0188C72A">
            <w:pPr>
              <w:spacing w:line="440" w:lineRule="exact"/>
              <w:ind w:firstLine="535" w:firstLineChars="255"/>
              <w:rPr>
                <w:bCs/>
                <w:color w:val="auto"/>
                <w:sz w:val="21"/>
                <w:highlight w:val="none"/>
                <w:lang w:eastAsia="zh-CN"/>
              </w:rPr>
            </w:pPr>
            <w:r>
              <w:rPr>
                <w:rFonts w:hint="eastAsia"/>
                <w:bCs/>
                <w:color w:val="auto"/>
                <w:sz w:val="21"/>
                <w:highlight w:val="none"/>
                <w:lang w:eastAsia="zh-CN"/>
              </w:rPr>
              <w:t>优（</w:t>
            </w:r>
            <w:r>
              <w:rPr>
                <w:bCs/>
                <w:color w:val="auto"/>
                <w:sz w:val="21"/>
                <w:highlight w:val="none"/>
                <w:lang w:eastAsia="zh-CN"/>
              </w:rPr>
              <w:t>3分）：对项目总体有认识，表达清晰、严谨、</w:t>
            </w:r>
            <w:r>
              <w:rPr>
                <w:rFonts w:hint="eastAsia"/>
                <w:bCs/>
                <w:color w:val="auto"/>
                <w:sz w:val="21"/>
                <w:highlight w:val="none"/>
                <w:lang w:eastAsia="zh-CN"/>
              </w:rPr>
              <w:t>符合逻辑，有针对性</w:t>
            </w:r>
            <w:r>
              <w:rPr>
                <w:bCs/>
                <w:color w:val="auto"/>
                <w:sz w:val="21"/>
                <w:highlight w:val="none"/>
                <w:lang w:eastAsia="zh-CN"/>
              </w:rPr>
              <w:t>，措施</w:t>
            </w:r>
            <w:r>
              <w:rPr>
                <w:rFonts w:hint="eastAsia"/>
                <w:bCs/>
                <w:color w:val="auto"/>
                <w:sz w:val="21"/>
                <w:highlight w:val="none"/>
                <w:lang w:eastAsia="zh-CN"/>
              </w:rPr>
              <w:t>详细具体满足施工要求；施工段划分清晰完全符合施工要求，符合规范要求。</w:t>
            </w:r>
          </w:p>
          <w:p w14:paraId="044C3842">
            <w:pPr>
              <w:spacing w:line="440" w:lineRule="exact"/>
              <w:ind w:firstLine="535" w:firstLineChars="255"/>
              <w:rPr>
                <w:bCs/>
                <w:color w:val="auto"/>
                <w:sz w:val="21"/>
                <w:highlight w:val="none"/>
                <w:lang w:eastAsia="zh-CN"/>
              </w:rPr>
            </w:pPr>
            <w:r>
              <w:rPr>
                <w:rFonts w:hint="eastAsia"/>
                <w:bCs/>
                <w:color w:val="auto"/>
                <w:sz w:val="21"/>
                <w:highlight w:val="none"/>
                <w:lang w:eastAsia="zh-CN"/>
              </w:rPr>
              <w:t>良（</w:t>
            </w:r>
            <w:r>
              <w:rPr>
                <w:bCs/>
                <w:color w:val="auto"/>
                <w:sz w:val="21"/>
                <w:highlight w:val="none"/>
                <w:lang w:eastAsia="zh-CN"/>
              </w:rPr>
              <w:t>2分）：对项目总体有认识，表达清晰，措施</w:t>
            </w:r>
            <w:r>
              <w:rPr>
                <w:rFonts w:hint="eastAsia"/>
                <w:bCs/>
                <w:color w:val="auto"/>
                <w:sz w:val="21"/>
                <w:highlight w:val="none"/>
                <w:lang w:eastAsia="zh-CN"/>
              </w:rPr>
              <w:t>满足施工要求</w:t>
            </w:r>
            <w:r>
              <w:rPr>
                <w:bCs/>
                <w:color w:val="auto"/>
                <w:sz w:val="21"/>
                <w:highlight w:val="none"/>
                <w:lang w:eastAsia="zh-CN"/>
              </w:rPr>
              <w:t>；施工段划分</w:t>
            </w:r>
            <w:r>
              <w:rPr>
                <w:rFonts w:hint="eastAsia"/>
                <w:bCs/>
                <w:color w:val="auto"/>
                <w:sz w:val="21"/>
                <w:highlight w:val="none"/>
                <w:lang w:eastAsia="zh-CN"/>
              </w:rPr>
              <w:t>符合施工要求</w:t>
            </w:r>
            <w:r>
              <w:rPr>
                <w:bCs/>
                <w:color w:val="auto"/>
                <w:sz w:val="21"/>
                <w:highlight w:val="none"/>
                <w:lang w:eastAsia="zh-CN"/>
              </w:rPr>
              <w:t>，符合规范</w:t>
            </w:r>
            <w:r>
              <w:rPr>
                <w:rFonts w:hint="eastAsia"/>
                <w:bCs/>
                <w:color w:val="auto"/>
                <w:sz w:val="21"/>
                <w:highlight w:val="none"/>
                <w:lang w:eastAsia="zh-CN"/>
              </w:rPr>
              <w:t>要求。</w:t>
            </w:r>
          </w:p>
          <w:p w14:paraId="041728B9">
            <w:pPr>
              <w:spacing w:line="440" w:lineRule="exact"/>
              <w:ind w:firstLine="535" w:firstLineChars="255"/>
              <w:rPr>
                <w:bCs/>
                <w:color w:val="auto"/>
                <w:sz w:val="21"/>
                <w:highlight w:val="none"/>
                <w:lang w:eastAsia="zh-CN"/>
              </w:rPr>
            </w:pPr>
            <w:r>
              <w:rPr>
                <w:rFonts w:hint="eastAsia"/>
                <w:bCs/>
                <w:color w:val="auto"/>
                <w:sz w:val="21"/>
                <w:highlight w:val="none"/>
                <w:lang w:eastAsia="zh-CN"/>
              </w:rPr>
              <w:t>中（</w:t>
            </w:r>
            <w:r>
              <w:rPr>
                <w:bCs/>
                <w:color w:val="auto"/>
                <w:sz w:val="21"/>
                <w:highlight w:val="none"/>
                <w:lang w:eastAsia="zh-CN"/>
              </w:rPr>
              <w:t>1分）：对项目总体有认识，有</w:t>
            </w:r>
            <w:r>
              <w:rPr>
                <w:rFonts w:hint="eastAsia"/>
                <w:bCs/>
                <w:color w:val="auto"/>
                <w:sz w:val="21"/>
                <w:highlight w:val="none"/>
                <w:lang w:eastAsia="zh-CN"/>
              </w:rPr>
              <w:t>简单的措施</w:t>
            </w:r>
            <w:r>
              <w:rPr>
                <w:bCs/>
                <w:color w:val="auto"/>
                <w:sz w:val="21"/>
                <w:highlight w:val="none"/>
                <w:lang w:eastAsia="zh-CN"/>
              </w:rPr>
              <w:t>；</w:t>
            </w:r>
            <w:r>
              <w:rPr>
                <w:rFonts w:hint="eastAsia"/>
                <w:bCs/>
                <w:color w:val="auto"/>
                <w:sz w:val="21"/>
                <w:highlight w:val="none"/>
                <w:lang w:eastAsia="zh-CN"/>
              </w:rPr>
              <w:t>有</w:t>
            </w:r>
            <w:r>
              <w:rPr>
                <w:bCs/>
                <w:color w:val="auto"/>
                <w:sz w:val="21"/>
                <w:highlight w:val="none"/>
                <w:lang w:eastAsia="zh-CN"/>
              </w:rPr>
              <w:t>施工段划分</w:t>
            </w:r>
            <w:r>
              <w:rPr>
                <w:rFonts w:hint="eastAsia"/>
                <w:bCs/>
                <w:color w:val="auto"/>
                <w:sz w:val="21"/>
                <w:highlight w:val="none"/>
                <w:lang w:eastAsia="zh-CN"/>
              </w:rPr>
              <w:t>符合施工要求</w:t>
            </w:r>
            <w:r>
              <w:rPr>
                <w:bCs/>
                <w:color w:val="auto"/>
                <w:sz w:val="21"/>
                <w:highlight w:val="none"/>
                <w:lang w:eastAsia="zh-CN"/>
              </w:rPr>
              <w:t>，符合规范要求。</w:t>
            </w:r>
          </w:p>
          <w:p w14:paraId="5C045F82">
            <w:pPr>
              <w:spacing w:line="440" w:lineRule="exact"/>
              <w:ind w:firstLine="535" w:firstLineChars="255"/>
              <w:rPr>
                <w:rFonts w:hint="eastAsia" w:ascii="宋体" w:hAnsi="宋体" w:eastAsia="宋体" w:cs="宋体"/>
                <w:color w:val="auto"/>
                <w:highlight w:val="none"/>
              </w:rPr>
            </w:pPr>
            <w:r>
              <w:rPr>
                <w:rFonts w:hint="eastAsia"/>
                <w:bCs/>
                <w:color w:val="auto"/>
                <w:sz w:val="21"/>
                <w:highlight w:val="none"/>
                <w:lang w:eastAsia="zh-CN"/>
              </w:rPr>
              <w:t>差（</w:t>
            </w:r>
            <w:r>
              <w:rPr>
                <w:bCs/>
                <w:color w:val="auto"/>
                <w:sz w:val="21"/>
                <w:highlight w:val="none"/>
                <w:lang w:eastAsia="zh-CN"/>
              </w:rPr>
              <w:t>0</w:t>
            </w:r>
            <w:r>
              <w:rPr>
                <w:rFonts w:hint="eastAsia"/>
                <w:bCs/>
                <w:color w:val="auto"/>
                <w:sz w:val="21"/>
                <w:highlight w:val="none"/>
                <w:lang w:val="en-US" w:eastAsia="zh-CN"/>
              </w:rPr>
              <w:t>.1</w:t>
            </w:r>
            <w:r>
              <w:rPr>
                <w:bCs/>
                <w:color w:val="auto"/>
                <w:sz w:val="21"/>
                <w:highlight w:val="none"/>
                <w:lang w:eastAsia="zh-CN"/>
              </w:rPr>
              <w:t>分）：对项目认识不足，表达不清晰，施工段划分不</w:t>
            </w:r>
            <w:r>
              <w:rPr>
                <w:rFonts w:hint="eastAsia"/>
                <w:bCs/>
                <w:color w:val="auto"/>
                <w:sz w:val="21"/>
                <w:highlight w:val="none"/>
                <w:lang w:eastAsia="zh-CN"/>
              </w:rPr>
              <w:t>符合施工要求</w:t>
            </w:r>
            <w:r>
              <w:rPr>
                <w:bCs/>
                <w:color w:val="auto"/>
                <w:sz w:val="21"/>
                <w:highlight w:val="none"/>
                <w:lang w:eastAsia="zh-CN"/>
              </w:rPr>
              <w:t>。</w:t>
            </w:r>
          </w:p>
        </w:tc>
        <w:tc>
          <w:tcPr>
            <w:tcW w:w="794" w:type="dxa"/>
            <w:noWrap w:val="0"/>
            <w:vAlign w:val="center"/>
          </w:tcPr>
          <w:p w14:paraId="2F97BE58">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val="en-US" w:eastAsia="zh-CN"/>
              </w:rPr>
            </w:pPr>
            <w:r>
              <w:rPr>
                <w:rFonts w:hint="eastAsia" w:ascii="宋体" w:hAnsi="宋体" w:cs="宋体"/>
                <w:bCs/>
                <w:color w:val="auto"/>
                <w:szCs w:val="21"/>
                <w:highlight w:val="none"/>
                <w:lang w:val="en-US" w:eastAsia="zh-CN"/>
              </w:rPr>
              <w:t>3</w:t>
            </w:r>
            <w:r>
              <w:rPr>
                <w:rFonts w:hint="eastAsia" w:ascii="宋体" w:hAnsi="宋体" w:eastAsia="宋体" w:cs="宋体"/>
                <w:color w:val="auto"/>
                <w:kern w:val="0"/>
                <w:szCs w:val="21"/>
                <w:highlight w:val="none"/>
              </w:rPr>
              <w:t>分</w:t>
            </w:r>
          </w:p>
        </w:tc>
      </w:tr>
      <w:tr w14:paraId="294C8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1A44D80C">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cs="宋体"/>
                <w:bCs/>
                <w:color w:val="auto"/>
                <w:szCs w:val="21"/>
                <w:highlight w:val="none"/>
                <w:lang w:val="en-US" w:eastAsia="zh-CN"/>
              </w:rPr>
              <w:t>2</w:t>
            </w:r>
          </w:p>
        </w:tc>
        <w:tc>
          <w:tcPr>
            <w:tcW w:w="1082" w:type="dxa"/>
            <w:noWrap w:val="0"/>
            <w:vAlign w:val="center"/>
          </w:tcPr>
          <w:p w14:paraId="0E9A37F9">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技术分</w:t>
            </w:r>
          </w:p>
        </w:tc>
        <w:tc>
          <w:tcPr>
            <w:tcW w:w="1575" w:type="dxa"/>
            <w:vMerge w:val="continue"/>
            <w:noWrap w:val="0"/>
            <w:vAlign w:val="center"/>
          </w:tcPr>
          <w:p w14:paraId="014FBD37">
            <w:pPr>
              <w:keepNext w:val="0"/>
              <w:keepLines w:val="0"/>
              <w:pageBreakBefore w:val="0"/>
              <w:widowControl w:val="0"/>
              <w:kinsoku/>
              <w:wordWrap/>
              <w:overflowPunct/>
              <w:topLinePunct w:val="0"/>
              <w:bidi w:val="0"/>
              <w:spacing w:line="400" w:lineRule="exact"/>
              <w:jc w:val="left"/>
              <w:textAlignment w:val="auto"/>
              <w:rPr>
                <w:rFonts w:hint="eastAsia" w:ascii="宋体" w:hAnsi="宋体" w:eastAsia="宋体" w:cs="宋体"/>
                <w:color w:val="auto"/>
                <w:highlight w:val="none"/>
              </w:rPr>
            </w:pPr>
          </w:p>
        </w:tc>
        <w:tc>
          <w:tcPr>
            <w:tcW w:w="5489" w:type="dxa"/>
            <w:noWrap w:val="0"/>
            <w:vAlign w:val="center"/>
          </w:tcPr>
          <w:p w14:paraId="0C393D79">
            <w:pPr>
              <w:spacing w:line="440" w:lineRule="exact"/>
              <w:ind w:firstLine="538" w:firstLineChars="255"/>
              <w:rPr>
                <w:b/>
                <w:color w:val="auto"/>
                <w:sz w:val="21"/>
                <w:szCs w:val="22"/>
                <w:highlight w:val="none"/>
                <w:lang w:eastAsia="zh-CN"/>
              </w:rPr>
            </w:pPr>
            <w:r>
              <w:rPr>
                <w:b/>
                <w:color w:val="auto"/>
                <w:sz w:val="21"/>
                <w:szCs w:val="22"/>
                <w:highlight w:val="none"/>
                <w:lang w:eastAsia="zh-CN"/>
              </w:rPr>
              <w:t>（2 ）主要施工方法</w:t>
            </w:r>
            <w:r>
              <w:rPr>
                <w:rFonts w:hint="eastAsia"/>
                <w:b/>
                <w:color w:val="auto"/>
                <w:sz w:val="21"/>
                <w:szCs w:val="22"/>
                <w:highlight w:val="none"/>
                <w:lang w:eastAsia="zh-CN"/>
              </w:rPr>
              <w:t>（</w:t>
            </w:r>
            <w:r>
              <w:rPr>
                <w:b/>
                <w:color w:val="auto"/>
                <w:sz w:val="21"/>
                <w:szCs w:val="22"/>
                <w:highlight w:val="none"/>
                <w:lang w:eastAsia="zh-CN"/>
              </w:rPr>
              <w:t>7分</w:t>
            </w:r>
            <w:r>
              <w:rPr>
                <w:rFonts w:hint="eastAsia"/>
                <w:b/>
                <w:color w:val="auto"/>
                <w:sz w:val="21"/>
                <w:szCs w:val="22"/>
                <w:highlight w:val="none"/>
                <w:lang w:eastAsia="zh-CN"/>
              </w:rPr>
              <w:t>）</w:t>
            </w:r>
          </w:p>
          <w:p w14:paraId="61820E2A">
            <w:pPr>
              <w:spacing w:line="440" w:lineRule="exact"/>
              <w:ind w:firstLine="535" w:firstLineChars="255"/>
              <w:rPr>
                <w:bCs/>
                <w:color w:val="auto"/>
                <w:sz w:val="21"/>
                <w:highlight w:val="none"/>
                <w:lang w:eastAsia="zh-CN"/>
              </w:rPr>
            </w:pPr>
            <w:r>
              <w:rPr>
                <w:rFonts w:hint="eastAsia"/>
                <w:bCs/>
                <w:color w:val="auto"/>
                <w:sz w:val="21"/>
                <w:highlight w:val="none"/>
                <w:lang w:eastAsia="zh-CN"/>
              </w:rPr>
              <w:t>优（</w:t>
            </w:r>
            <w:r>
              <w:rPr>
                <w:bCs/>
                <w:color w:val="auto"/>
                <w:sz w:val="21"/>
                <w:highlight w:val="none"/>
                <w:lang w:eastAsia="zh-CN"/>
              </w:rPr>
              <w:t>7 分）：各主要分部施工方法符合项目实际，有施工技术方案，</w:t>
            </w:r>
            <w:r>
              <w:rPr>
                <w:rFonts w:hint="eastAsia"/>
                <w:bCs/>
                <w:color w:val="auto"/>
                <w:sz w:val="21"/>
                <w:highlight w:val="none"/>
                <w:lang w:eastAsia="zh-CN"/>
              </w:rPr>
              <w:t>有明确的</w:t>
            </w:r>
            <w:r>
              <w:rPr>
                <w:bCs/>
                <w:color w:val="auto"/>
                <w:sz w:val="21"/>
                <w:highlight w:val="none"/>
                <w:lang w:eastAsia="zh-CN"/>
              </w:rPr>
              <w:t>工艺、方法</w:t>
            </w:r>
            <w:r>
              <w:rPr>
                <w:rFonts w:hint="eastAsia"/>
                <w:bCs/>
                <w:color w:val="auto"/>
                <w:sz w:val="21"/>
                <w:highlight w:val="none"/>
                <w:lang w:eastAsia="zh-CN"/>
              </w:rPr>
              <w:t>且符合施工要求且</w:t>
            </w:r>
            <w:r>
              <w:rPr>
                <w:rFonts w:hint="eastAsia"/>
                <w:color w:val="auto"/>
                <w:lang w:eastAsia="zh-CN"/>
              </w:rPr>
              <w:t>比</w:t>
            </w:r>
            <w:r>
              <w:rPr>
                <w:rFonts w:hint="eastAsia"/>
                <w:bCs/>
                <w:color w:val="auto"/>
                <w:sz w:val="21"/>
                <w:highlight w:val="none"/>
                <w:lang w:eastAsia="zh-CN"/>
              </w:rPr>
              <w:t>目前建筑施工规范明确的工艺要求更体现性价比，能指导具体施工并确保安全，且有针对性。</w:t>
            </w:r>
          </w:p>
          <w:p w14:paraId="042BC2B2">
            <w:pPr>
              <w:spacing w:line="440" w:lineRule="exact"/>
              <w:ind w:firstLine="535" w:firstLineChars="255"/>
              <w:rPr>
                <w:bCs/>
                <w:color w:val="auto"/>
                <w:sz w:val="21"/>
                <w:highlight w:val="none"/>
                <w:lang w:eastAsia="zh-CN"/>
              </w:rPr>
            </w:pPr>
            <w:r>
              <w:rPr>
                <w:rFonts w:hint="eastAsia"/>
                <w:bCs/>
                <w:color w:val="auto"/>
                <w:sz w:val="21"/>
                <w:highlight w:val="none"/>
                <w:lang w:eastAsia="zh-CN"/>
              </w:rPr>
              <w:t>良（</w:t>
            </w:r>
            <w:r>
              <w:rPr>
                <w:bCs/>
                <w:color w:val="auto"/>
                <w:sz w:val="21"/>
                <w:highlight w:val="none"/>
                <w:lang w:eastAsia="zh-CN"/>
              </w:rPr>
              <w:t>5分）：各主要分部施工方法符合项目实际，有施工技术方案，</w:t>
            </w:r>
            <w:r>
              <w:rPr>
                <w:rFonts w:hint="eastAsia"/>
                <w:bCs/>
                <w:color w:val="auto"/>
                <w:sz w:val="21"/>
                <w:highlight w:val="none"/>
                <w:lang w:eastAsia="zh-CN"/>
              </w:rPr>
              <w:t>有明确的</w:t>
            </w:r>
            <w:r>
              <w:rPr>
                <w:bCs/>
                <w:color w:val="auto"/>
                <w:sz w:val="21"/>
                <w:highlight w:val="none"/>
                <w:lang w:eastAsia="zh-CN"/>
              </w:rPr>
              <w:t>工艺、方法</w:t>
            </w:r>
            <w:r>
              <w:rPr>
                <w:rFonts w:hint="eastAsia"/>
                <w:bCs/>
                <w:color w:val="auto"/>
                <w:sz w:val="21"/>
                <w:highlight w:val="none"/>
                <w:lang w:eastAsia="zh-CN"/>
              </w:rPr>
              <w:t>，且具有可行性，能指导具体施工并确保安全。</w:t>
            </w:r>
          </w:p>
          <w:p w14:paraId="48F88A2A">
            <w:pPr>
              <w:spacing w:line="440" w:lineRule="exact"/>
              <w:ind w:firstLine="535" w:firstLineChars="255"/>
              <w:rPr>
                <w:bCs/>
                <w:color w:val="auto"/>
                <w:sz w:val="21"/>
                <w:highlight w:val="none"/>
                <w:lang w:eastAsia="zh-CN"/>
              </w:rPr>
            </w:pPr>
            <w:r>
              <w:rPr>
                <w:rFonts w:hint="eastAsia"/>
                <w:bCs/>
                <w:color w:val="auto"/>
                <w:sz w:val="21"/>
                <w:highlight w:val="none"/>
                <w:lang w:eastAsia="zh-CN"/>
              </w:rPr>
              <w:t>中（</w:t>
            </w:r>
            <w:r>
              <w:rPr>
                <w:bCs/>
                <w:color w:val="auto"/>
                <w:sz w:val="21"/>
                <w:highlight w:val="none"/>
                <w:lang w:eastAsia="zh-CN"/>
              </w:rPr>
              <w:t>3分）：各主要分部施工方法能满足项目需求，有施工技术方案，能指导具体施工。</w:t>
            </w:r>
          </w:p>
          <w:p w14:paraId="4A2DBB76">
            <w:pPr>
              <w:spacing w:line="440" w:lineRule="exact"/>
              <w:ind w:firstLine="535" w:firstLineChars="255"/>
              <w:rPr>
                <w:rFonts w:hint="eastAsia" w:ascii="宋体" w:hAnsi="宋体" w:eastAsia="宋体" w:cs="宋体"/>
                <w:color w:val="auto"/>
                <w:highlight w:val="none"/>
              </w:rPr>
            </w:pPr>
            <w:r>
              <w:rPr>
                <w:rFonts w:hint="eastAsia"/>
                <w:bCs/>
                <w:color w:val="auto"/>
                <w:sz w:val="21"/>
                <w:highlight w:val="none"/>
                <w:lang w:eastAsia="zh-CN"/>
              </w:rPr>
              <w:t>差（</w:t>
            </w:r>
            <w:r>
              <w:rPr>
                <w:bCs/>
                <w:color w:val="auto"/>
                <w:sz w:val="21"/>
                <w:highlight w:val="none"/>
                <w:lang w:eastAsia="zh-CN"/>
              </w:rPr>
              <w:t>0分）：各主要分部施工方法不能满足项目需求，没有施工技术方案，不能指导具体施工</w:t>
            </w:r>
            <w:r>
              <w:rPr>
                <w:rFonts w:hint="eastAsia"/>
                <w:bCs/>
                <w:color w:val="auto"/>
                <w:sz w:val="21"/>
                <w:highlight w:val="none"/>
                <w:lang w:eastAsia="zh-CN"/>
              </w:rPr>
              <w:t>。</w:t>
            </w:r>
          </w:p>
        </w:tc>
        <w:tc>
          <w:tcPr>
            <w:tcW w:w="794" w:type="dxa"/>
            <w:noWrap w:val="0"/>
            <w:vAlign w:val="center"/>
          </w:tcPr>
          <w:p w14:paraId="320B9C10">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val="en-US" w:eastAsia="zh-CN"/>
              </w:rPr>
            </w:pPr>
            <w:r>
              <w:rPr>
                <w:rFonts w:hint="eastAsia" w:ascii="宋体" w:hAnsi="宋体" w:cs="宋体"/>
                <w:bCs/>
                <w:color w:val="auto"/>
                <w:szCs w:val="21"/>
                <w:highlight w:val="none"/>
                <w:lang w:val="en-US" w:eastAsia="zh-CN"/>
              </w:rPr>
              <w:t>7分</w:t>
            </w:r>
          </w:p>
        </w:tc>
      </w:tr>
      <w:tr w14:paraId="009A0D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16957288">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cs="宋体"/>
                <w:bCs/>
                <w:color w:val="auto"/>
                <w:szCs w:val="21"/>
                <w:highlight w:val="none"/>
                <w:lang w:val="en-US" w:eastAsia="zh-CN"/>
              </w:rPr>
              <w:t>3</w:t>
            </w:r>
          </w:p>
        </w:tc>
        <w:tc>
          <w:tcPr>
            <w:tcW w:w="1082" w:type="dxa"/>
            <w:noWrap w:val="0"/>
            <w:vAlign w:val="center"/>
          </w:tcPr>
          <w:p w14:paraId="6D677176">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技术分</w:t>
            </w:r>
          </w:p>
        </w:tc>
        <w:tc>
          <w:tcPr>
            <w:tcW w:w="1575" w:type="dxa"/>
            <w:vMerge w:val="continue"/>
            <w:noWrap w:val="0"/>
            <w:vAlign w:val="center"/>
          </w:tcPr>
          <w:p w14:paraId="076B5417">
            <w:pPr>
              <w:keepNext w:val="0"/>
              <w:keepLines w:val="0"/>
              <w:pageBreakBefore w:val="0"/>
              <w:widowControl w:val="0"/>
              <w:kinsoku/>
              <w:wordWrap/>
              <w:overflowPunct/>
              <w:topLinePunct w:val="0"/>
              <w:bidi w:val="0"/>
              <w:spacing w:line="400" w:lineRule="exact"/>
              <w:jc w:val="left"/>
              <w:textAlignment w:val="auto"/>
              <w:rPr>
                <w:rFonts w:hint="eastAsia" w:ascii="宋体" w:hAnsi="宋体" w:eastAsia="宋体" w:cs="宋体"/>
                <w:color w:val="auto"/>
                <w:highlight w:val="none"/>
              </w:rPr>
            </w:pPr>
          </w:p>
        </w:tc>
        <w:tc>
          <w:tcPr>
            <w:tcW w:w="5489" w:type="dxa"/>
            <w:noWrap w:val="0"/>
            <w:vAlign w:val="center"/>
          </w:tcPr>
          <w:p w14:paraId="0C3B7EC9">
            <w:pPr>
              <w:spacing w:line="440" w:lineRule="exact"/>
              <w:ind w:firstLine="538" w:firstLineChars="255"/>
              <w:rPr>
                <w:b/>
                <w:color w:val="auto"/>
                <w:sz w:val="21"/>
                <w:szCs w:val="22"/>
                <w:highlight w:val="none"/>
                <w:lang w:eastAsia="zh-CN"/>
              </w:rPr>
            </w:pPr>
            <w:r>
              <w:rPr>
                <w:b/>
                <w:color w:val="auto"/>
                <w:sz w:val="21"/>
                <w:szCs w:val="22"/>
                <w:highlight w:val="none"/>
                <w:lang w:eastAsia="zh-CN"/>
              </w:rPr>
              <w:t>（3）施工进度计划和各阶段进度的保证措施</w:t>
            </w:r>
            <w:r>
              <w:rPr>
                <w:rFonts w:hint="eastAsia"/>
                <w:b/>
                <w:color w:val="auto"/>
                <w:sz w:val="21"/>
                <w:szCs w:val="22"/>
                <w:highlight w:val="none"/>
                <w:lang w:eastAsia="zh-CN"/>
              </w:rPr>
              <w:t>（</w:t>
            </w:r>
            <w:r>
              <w:rPr>
                <w:b/>
                <w:color w:val="auto"/>
                <w:sz w:val="21"/>
                <w:szCs w:val="22"/>
                <w:highlight w:val="none"/>
                <w:lang w:eastAsia="zh-CN"/>
              </w:rPr>
              <w:t>7分</w:t>
            </w:r>
            <w:r>
              <w:rPr>
                <w:rFonts w:hint="eastAsia"/>
                <w:b/>
                <w:color w:val="auto"/>
                <w:sz w:val="21"/>
                <w:szCs w:val="22"/>
                <w:highlight w:val="none"/>
                <w:lang w:eastAsia="zh-CN"/>
              </w:rPr>
              <w:t>）</w:t>
            </w:r>
          </w:p>
          <w:p w14:paraId="2F793949">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优（</w:t>
            </w:r>
            <w:r>
              <w:rPr>
                <w:color w:val="auto"/>
                <w:sz w:val="21"/>
                <w:szCs w:val="22"/>
                <w:highlight w:val="none"/>
                <w:lang w:eastAsia="zh-CN"/>
              </w:rPr>
              <w:t>7分）：关键线路</w:t>
            </w:r>
            <w:r>
              <w:rPr>
                <w:rFonts w:hint="eastAsia"/>
                <w:color w:val="auto"/>
                <w:sz w:val="21"/>
                <w:szCs w:val="22"/>
                <w:highlight w:val="none"/>
                <w:lang w:eastAsia="zh-CN"/>
              </w:rPr>
              <w:t>具有可行性和针对性，</w:t>
            </w:r>
            <w:r>
              <w:rPr>
                <w:rFonts w:hint="eastAsia"/>
                <w:color w:val="auto"/>
                <w:lang w:eastAsia="zh-CN"/>
              </w:rPr>
              <w:t>能满足施工要求</w:t>
            </w:r>
            <w:r>
              <w:rPr>
                <w:color w:val="auto"/>
                <w:sz w:val="21"/>
                <w:szCs w:val="22"/>
                <w:highlight w:val="none"/>
                <w:lang w:eastAsia="zh-CN"/>
              </w:rPr>
              <w:t>，计划编制</w:t>
            </w:r>
            <w:r>
              <w:rPr>
                <w:rFonts w:hint="eastAsia"/>
                <w:color w:val="auto"/>
                <w:sz w:val="21"/>
                <w:szCs w:val="22"/>
                <w:highlight w:val="none"/>
                <w:lang w:eastAsia="zh-CN"/>
              </w:rPr>
              <w:t>具有针对性和可行性</w:t>
            </w:r>
            <w:r>
              <w:rPr>
                <w:color w:val="auto"/>
                <w:sz w:val="21"/>
                <w:szCs w:val="22"/>
                <w:highlight w:val="none"/>
                <w:lang w:eastAsia="zh-CN"/>
              </w:rPr>
              <w:t>，</w:t>
            </w:r>
            <w:r>
              <w:rPr>
                <w:rFonts w:hint="eastAsia"/>
                <w:color w:val="auto"/>
                <w:sz w:val="21"/>
                <w:szCs w:val="22"/>
                <w:highlight w:val="none"/>
                <w:lang w:eastAsia="zh-CN"/>
              </w:rPr>
              <w:t>有相应的</w:t>
            </w:r>
            <w:r>
              <w:rPr>
                <w:color w:val="auto"/>
                <w:sz w:val="21"/>
                <w:szCs w:val="22"/>
                <w:highlight w:val="none"/>
                <w:lang w:eastAsia="zh-CN"/>
              </w:rPr>
              <w:t>关键节点的控制措施</w:t>
            </w:r>
            <w:r>
              <w:rPr>
                <w:rFonts w:hint="eastAsia"/>
                <w:color w:val="auto"/>
                <w:sz w:val="21"/>
                <w:szCs w:val="22"/>
                <w:highlight w:val="none"/>
                <w:lang w:eastAsia="zh-CN"/>
              </w:rPr>
              <w:t>其完全符合施工要求。</w:t>
            </w:r>
          </w:p>
          <w:p w14:paraId="5FDE6DFB">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良（</w:t>
            </w:r>
            <w:r>
              <w:rPr>
                <w:color w:val="auto"/>
                <w:sz w:val="21"/>
                <w:szCs w:val="22"/>
                <w:highlight w:val="none"/>
                <w:lang w:eastAsia="zh-CN"/>
              </w:rPr>
              <w:t>5分）：关键线路</w:t>
            </w:r>
            <w:r>
              <w:rPr>
                <w:rFonts w:hint="eastAsia"/>
                <w:color w:val="auto"/>
                <w:sz w:val="21"/>
                <w:szCs w:val="22"/>
                <w:highlight w:val="none"/>
                <w:lang w:eastAsia="zh-CN"/>
              </w:rPr>
              <w:t>具有可行性能满足施工要求</w:t>
            </w:r>
            <w:r>
              <w:rPr>
                <w:color w:val="auto"/>
                <w:sz w:val="21"/>
                <w:szCs w:val="22"/>
                <w:highlight w:val="none"/>
                <w:lang w:eastAsia="zh-CN"/>
              </w:rPr>
              <w:t>，计划编制</w:t>
            </w:r>
            <w:r>
              <w:rPr>
                <w:rFonts w:hint="eastAsia"/>
                <w:color w:val="auto"/>
                <w:sz w:val="21"/>
                <w:szCs w:val="22"/>
                <w:highlight w:val="none"/>
                <w:lang w:eastAsia="zh-CN"/>
              </w:rPr>
              <w:t>具有可行性</w:t>
            </w:r>
            <w:r>
              <w:rPr>
                <w:color w:val="auto"/>
                <w:sz w:val="21"/>
                <w:szCs w:val="22"/>
                <w:highlight w:val="none"/>
                <w:lang w:eastAsia="zh-CN"/>
              </w:rPr>
              <w:t>，</w:t>
            </w:r>
            <w:r>
              <w:rPr>
                <w:rFonts w:hint="eastAsia"/>
                <w:color w:val="auto"/>
                <w:sz w:val="21"/>
                <w:szCs w:val="22"/>
                <w:highlight w:val="none"/>
                <w:lang w:eastAsia="zh-CN"/>
              </w:rPr>
              <w:t>有相应的</w:t>
            </w:r>
            <w:r>
              <w:rPr>
                <w:color w:val="auto"/>
                <w:sz w:val="21"/>
                <w:szCs w:val="22"/>
                <w:highlight w:val="none"/>
                <w:lang w:eastAsia="zh-CN"/>
              </w:rPr>
              <w:t>关键节点的控制措施</w:t>
            </w:r>
            <w:r>
              <w:rPr>
                <w:rFonts w:hint="eastAsia"/>
                <w:color w:val="auto"/>
                <w:sz w:val="21"/>
                <w:szCs w:val="22"/>
                <w:highlight w:val="none"/>
                <w:lang w:eastAsia="zh-CN"/>
              </w:rPr>
              <w:t>整体符合施工要求</w:t>
            </w:r>
            <w:r>
              <w:rPr>
                <w:color w:val="auto"/>
                <w:sz w:val="21"/>
                <w:szCs w:val="22"/>
                <w:highlight w:val="none"/>
                <w:lang w:eastAsia="zh-CN"/>
              </w:rPr>
              <w:t>。</w:t>
            </w:r>
          </w:p>
          <w:p w14:paraId="586AB7F4">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中（</w:t>
            </w:r>
            <w:r>
              <w:rPr>
                <w:color w:val="auto"/>
                <w:sz w:val="21"/>
                <w:szCs w:val="22"/>
                <w:highlight w:val="none"/>
                <w:lang w:eastAsia="zh-CN"/>
              </w:rPr>
              <w:t>3分）：关键线路</w:t>
            </w:r>
            <w:r>
              <w:rPr>
                <w:rFonts w:hint="eastAsia"/>
                <w:color w:val="auto"/>
                <w:sz w:val="21"/>
                <w:szCs w:val="22"/>
                <w:highlight w:val="none"/>
                <w:lang w:eastAsia="zh-CN"/>
              </w:rPr>
              <w:t>具有可行性</w:t>
            </w:r>
            <w:r>
              <w:rPr>
                <w:color w:val="auto"/>
                <w:sz w:val="21"/>
                <w:szCs w:val="22"/>
                <w:highlight w:val="none"/>
                <w:lang w:eastAsia="zh-CN"/>
              </w:rPr>
              <w:t>，计划编制</w:t>
            </w:r>
            <w:r>
              <w:rPr>
                <w:rFonts w:hint="eastAsia"/>
                <w:color w:val="auto"/>
                <w:sz w:val="21"/>
                <w:szCs w:val="22"/>
                <w:highlight w:val="none"/>
                <w:lang w:eastAsia="zh-CN"/>
              </w:rPr>
              <w:t>具有可行性</w:t>
            </w:r>
            <w:r>
              <w:rPr>
                <w:color w:val="auto"/>
                <w:sz w:val="21"/>
                <w:szCs w:val="22"/>
                <w:highlight w:val="none"/>
                <w:lang w:eastAsia="zh-CN"/>
              </w:rPr>
              <w:t>，</w:t>
            </w:r>
            <w:r>
              <w:rPr>
                <w:rFonts w:hint="eastAsia"/>
                <w:color w:val="auto"/>
                <w:sz w:val="21"/>
                <w:szCs w:val="22"/>
                <w:highlight w:val="none"/>
                <w:lang w:eastAsia="zh-CN"/>
              </w:rPr>
              <w:t>有相应的</w:t>
            </w:r>
            <w:r>
              <w:rPr>
                <w:color w:val="auto"/>
                <w:sz w:val="21"/>
                <w:szCs w:val="22"/>
                <w:highlight w:val="none"/>
                <w:lang w:eastAsia="zh-CN"/>
              </w:rPr>
              <w:t>关键节点的控制措施。</w:t>
            </w:r>
          </w:p>
          <w:p w14:paraId="7493CCE3">
            <w:pPr>
              <w:spacing w:line="440" w:lineRule="exact"/>
              <w:ind w:firstLine="535" w:firstLineChars="255"/>
              <w:rPr>
                <w:rFonts w:hint="eastAsia" w:ascii="宋体" w:hAnsi="宋体" w:eastAsia="宋体" w:cs="宋体"/>
                <w:color w:val="auto"/>
                <w:highlight w:val="none"/>
              </w:rPr>
            </w:pPr>
            <w:r>
              <w:rPr>
                <w:rFonts w:hint="eastAsia"/>
                <w:color w:val="auto"/>
                <w:sz w:val="21"/>
                <w:szCs w:val="22"/>
                <w:highlight w:val="none"/>
                <w:lang w:eastAsia="zh-CN"/>
              </w:rPr>
              <w:t>差（</w:t>
            </w:r>
            <w:r>
              <w:rPr>
                <w:color w:val="auto"/>
                <w:sz w:val="21"/>
                <w:szCs w:val="22"/>
                <w:highlight w:val="none"/>
                <w:lang w:eastAsia="zh-CN"/>
              </w:rPr>
              <w:t>0分）：关键线路</w:t>
            </w:r>
            <w:r>
              <w:rPr>
                <w:rFonts w:hint="eastAsia"/>
                <w:color w:val="auto"/>
                <w:sz w:val="21"/>
                <w:szCs w:val="22"/>
                <w:highlight w:val="none"/>
                <w:lang w:eastAsia="zh-CN"/>
              </w:rPr>
              <w:t>无可行性</w:t>
            </w:r>
            <w:r>
              <w:rPr>
                <w:color w:val="auto"/>
                <w:sz w:val="21"/>
                <w:szCs w:val="22"/>
                <w:highlight w:val="none"/>
                <w:lang w:eastAsia="zh-CN"/>
              </w:rPr>
              <w:t>，计划编制</w:t>
            </w:r>
            <w:r>
              <w:rPr>
                <w:rFonts w:hint="eastAsia"/>
                <w:color w:val="auto"/>
                <w:sz w:val="21"/>
                <w:szCs w:val="22"/>
                <w:highlight w:val="none"/>
                <w:lang w:eastAsia="zh-CN"/>
              </w:rPr>
              <w:t>无可行性</w:t>
            </w:r>
            <w:r>
              <w:rPr>
                <w:color w:val="auto"/>
                <w:sz w:val="21"/>
                <w:szCs w:val="22"/>
                <w:highlight w:val="none"/>
                <w:lang w:eastAsia="zh-CN"/>
              </w:rPr>
              <w:t>，关键节点的控制</w:t>
            </w:r>
            <w:r>
              <w:rPr>
                <w:rFonts w:hint="eastAsia"/>
                <w:color w:val="auto"/>
                <w:lang w:eastAsia="zh-CN"/>
              </w:rPr>
              <w:t>无可行性</w:t>
            </w:r>
            <w:r>
              <w:rPr>
                <w:color w:val="auto"/>
                <w:sz w:val="21"/>
                <w:szCs w:val="22"/>
                <w:highlight w:val="none"/>
                <w:lang w:eastAsia="zh-CN"/>
              </w:rPr>
              <w:t>。</w:t>
            </w:r>
          </w:p>
        </w:tc>
        <w:tc>
          <w:tcPr>
            <w:tcW w:w="794" w:type="dxa"/>
            <w:noWrap w:val="0"/>
            <w:vAlign w:val="center"/>
          </w:tcPr>
          <w:p w14:paraId="241727F5">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val="0"/>
                <w:bCs/>
                <w:color w:val="auto"/>
                <w:szCs w:val="21"/>
                <w:highlight w:val="none"/>
              </w:rPr>
            </w:pPr>
            <w:r>
              <w:rPr>
                <w:b w:val="0"/>
                <w:bCs/>
                <w:color w:val="auto"/>
                <w:sz w:val="21"/>
                <w:szCs w:val="22"/>
                <w:highlight w:val="none"/>
                <w:lang w:eastAsia="zh-CN"/>
              </w:rPr>
              <w:t>7分</w:t>
            </w:r>
          </w:p>
        </w:tc>
      </w:tr>
      <w:tr w14:paraId="7E2402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047471EA">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cs="宋体"/>
                <w:bCs/>
                <w:color w:val="auto"/>
                <w:szCs w:val="21"/>
                <w:highlight w:val="none"/>
                <w:lang w:val="en-US" w:eastAsia="zh-CN"/>
              </w:rPr>
              <w:t>4</w:t>
            </w:r>
          </w:p>
        </w:tc>
        <w:tc>
          <w:tcPr>
            <w:tcW w:w="1082" w:type="dxa"/>
            <w:noWrap w:val="0"/>
            <w:vAlign w:val="center"/>
          </w:tcPr>
          <w:p w14:paraId="0FCB5C40">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技术分</w:t>
            </w:r>
          </w:p>
        </w:tc>
        <w:tc>
          <w:tcPr>
            <w:tcW w:w="1575" w:type="dxa"/>
            <w:vMerge w:val="continue"/>
            <w:noWrap w:val="0"/>
            <w:vAlign w:val="center"/>
          </w:tcPr>
          <w:p w14:paraId="59163189">
            <w:pPr>
              <w:keepNext w:val="0"/>
              <w:keepLines w:val="0"/>
              <w:pageBreakBefore w:val="0"/>
              <w:widowControl w:val="0"/>
              <w:kinsoku/>
              <w:wordWrap/>
              <w:overflowPunct/>
              <w:topLinePunct w:val="0"/>
              <w:bidi w:val="0"/>
              <w:spacing w:line="400" w:lineRule="exact"/>
              <w:jc w:val="left"/>
              <w:textAlignment w:val="auto"/>
              <w:rPr>
                <w:rFonts w:hint="eastAsia" w:ascii="宋体" w:hAnsi="宋体" w:eastAsia="宋体" w:cs="宋体"/>
                <w:color w:val="auto"/>
                <w:highlight w:val="none"/>
                <w:lang w:eastAsia="zh-CN"/>
              </w:rPr>
            </w:pPr>
          </w:p>
        </w:tc>
        <w:tc>
          <w:tcPr>
            <w:tcW w:w="5489" w:type="dxa"/>
            <w:noWrap w:val="0"/>
            <w:vAlign w:val="center"/>
          </w:tcPr>
          <w:p w14:paraId="049C80CC">
            <w:pPr>
              <w:spacing w:line="440" w:lineRule="exact"/>
              <w:ind w:firstLine="538" w:firstLineChars="255"/>
              <w:rPr>
                <w:b/>
                <w:color w:val="auto"/>
                <w:sz w:val="21"/>
                <w:szCs w:val="22"/>
                <w:highlight w:val="none"/>
                <w:lang w:eastAsia="zh-CN"/>
              </w:rPr>
            </w:pPr>
            <w:r>
              <w:rPr>
                <w:b/>
                <w:color w:val="auto"/>
                <w:sz w:val="21"/>
                <w:szCs w:val="22"/>
                <w:highlight w:val="none"/>
                <w:lang w:eastAsia="zh-CN"/>
              </w:rPr>
              <w:t>（4）劳动力和材料投入计划及其保证措施</w:t>
            </w:r>
            <w:r>
              <w:rPr>
                <w:rFonts w:hint="eastAsia"/>
                <w:b/>
                <w:color w:val="auto"/>
                <w:sz w:val="21"/>
                <w:szCs w:val="22"/>
                <w:highlight w:val="none"/>
                <w:lang w:eastAsia="zh-CN"/>
              </w:rPr>
              <w:t>（</w:t>
            </w:r>
            <w:r>
              <w:rPr>
                <w:b/>
                <w:color w:val="auto"/>
                <w:sz w:val="21"/>
                <w:szCs w:val="22"/>
                <w:highlight w:val="none"/>
                <w:lang w:eastAsia="zh-CN"/>
              </w:rPr>
              <w:t>3分</w:t>
            </w:r>
            <w:r>
              <w:rPr>
                <w:rFonts w:hint="eastAsia"/>
                <w:b/>
                <w:color w:val="auto"/>
                <w:sz w:val="21"/>
                <w:szCs w:val="22"/>
                <w:highlight w:val="none"/>
                <w:lang w:eastAsia="zh-CN"/>
              </w:rPr>
              <w:t>）</w:t>
            </w:r>
          </w:p>
          <w:p w14:paraId="07C66F2F">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优（</w:t>
            </w:r>
            <w:r>
              <w:rPr>
                <w:color w:val="auto"/>
                <w:sz w:val="21"/>
                <w:szCs w:val="22"/>
                <w:highlight w:val="none"/>
                <w:lang w:eastAsia="zh-CN"/>
              </w:rPr>
              <w:t>3分）：投入计划与进度计划呼应，</w:t>
            </w:r>
            <w:r>
              <w:rPr>
                <w:rFonts w:hint="eastAsia"/>
                <w:color w:val="auto"/>
                <w:sz w:val="21"/>
                <w:szCs w:val="22"/>
                <w:highlight w:val="none"/>
                <w:lang w:eastAsia="zh-CN"/>
              </w:rPr>
              <w:t>完全</w:t>
            </w:r>
            <w:r>
              <w:rPr>
                <w:color w:val="auto"/>
                <w:sz w:val="21"/>
                <w:szCs w:val="22"/>
                <w:highlight w:val="none"/>
                <w:lang w:eastAsia="zh-CN"/>
              </w:rPr>
              <w:t>满足施工需要，调配投入计划</w:t>
            </w:r>
            <w:r>
              <w:rPr>
                <w:rFonts w:hint="eastAsia"/>
                <w:color w:val="auto"/>
                <w:sz w:val="21"/>
                <w:szCs w:val="22"/>
                <w:highlight w:val="none"/>
                <w:lang w:eastAsia="zh-CN"/>
              </w:rPr>
              <w:t>具有针对性和可行性，有明确的人员名单和相应的材料投入调配措施，完全满足施工需要</w:t>
            </w:r>
            <w:r>
              <w:rPr>
                <w:color w:val="auto"/>
                <w:sz w:val="21"/>
                <w:szCs w:val="22"/>
                <w:highlight w:val="none"/>
                <w:lang w:eastAsia="zh-CN"/>
              </w:rPr>
              <w:t>。</w:t>
            </w:r>
          </w:p>
          <w:p w14:paraId="188FECFC">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良（</w:t>
            </w:r>
            <w:r>
              <w:rPr>
                <w:color w:val="auto"/>
                <w:sz w:val="21"/>
                <w:szCs w:val="22"/>
                <w:highlight w:val="none"/>
                <w:lang w:eastAsia="zh-CN"/>
              </w:rPr>
              <w:t>2分）：投入计划与进度计划呼应，基本满足施工需要，调配投入计划</w:t>
            </w:r>
            <w:r>
              <w:rPr>
                <w:rFonts w:hint="eastAsia"/>
                <w:color w:val="auto"/>
                <w:sz w:val="21"/>
                <w:szCs w:val="22"/>
                <w:highlight w:val="none"/>
                <w:lang w:eastAsia="zh-CN"/>
              </w:rPr>
              <w:t>整体满足施工需要</w:t>
            </w:r>
            <w:r>
              <w:rPr>
                <w:color w:val="auto"/>
                <w:sz w:val="21"/>
                <w:szCs w:val="22"/>
                <w:highlight w:val="none"/>
                <w:lang w:eastAsia="zh-CN"/>
              </w:rPr>
              <w:t>。</w:t>
            </w:r>
          </w:p>
          <w:p w14:paraId="3BE423C8">
            <w:pPr>
              <w:spacing w:line="440" w:lineRule="exact"/>
              <w:ind w:firstLine="535" w:firstLineChars="255"/>
              <w:rPr>
                <w:color w:val="auto"/>
              </w:rPr>
            </w:pPr>
            <w:r>
              <w:rPr>
                <w:rFonts w:hint="eastAsia"/>
                <w:color w:val="auto"/>
                <w:sz w:val="21"/>
                <w:szCs w:val="22"/>
                <w:highlight w:val="none"/>
                <w:lang w:eastAsia="zh-CN"/>
              </w:rPr>
              <w:t>中（</w:t>
            </w:r>
            <w:r>
              <w:rPr>
                <w:color w:val="auto"/>
                <w:sz w:val="21"/>
                <w:szCs w:val="22"/>
                <w:highlight w:val="none"/>
                <w:lang w:eastAsia="zh-CN"/>
              </w:rPr>
              <w:t>1分）：投入计划与进度计划呼应，基本满足施工需要。</w:t>
            </w:r>
          </w:p>
          <w:p w14:paraId="141E3340">
            <w:pPr>
              <w:spacing w:line="440" w:lineRule="exact"/>
              <w:ind w:firstLine="535" w:firstLineChars="255"/>
              <w:rPr>
                <w:rFonts w:hint="eastAsia"/>
                <w:color w:val="auto"/>
                <w:lang w:eastAsia="zh-CN"/>
              </w:rPr>
            </w:pPr>
            <w:r>
              <w:rPr>
                <w:rFonts w:hint="eastAsia"/>
                <w:color w:val="auto"/>
                <w:sz w:val="21"/>
                <w:szCs w:val="22"/>
                <w:highlight w:val="none"/>
                <w:lang w:eastAsia="zh-CN"/>
              </w:rPr>
              <w:t>差（</w:t>
            </w:r>
            <w:r>
              <w:rPr>
                <w:color w:val="auto"/>
                <w:sz w:val="21"/>
                <w:szCs w:val="22"/>
                <w:highlight w:val="none"/>
                <w:lang w:eastAsia="zh-CN"/>
              </w:rPr>
              <w:t>0分）：投入计划与进度计划不呼应，不能满足施工需要。</w:t>
            </w:r>
          </w:p>
        </w:tc>
        <w:tc>
          <w:tcPr>
            <w:tcW w:w="794" w:type="dxa"/>
            <w:noWrap w:val="0"/>
            <w:vAlign w:val="center"/>
          </w:tcPr>
          <w:p w14:paraId="109625F4">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val="0"/>
                <w:bCs/>
                <w:color w:val="auto"/>
                <w:szCs w:val="21"/>
                <w:highlight w:val="none"/>
              </w:rPr>
            </w:pPr>
            <w:r>
              <w:rPr>
                <w:b w:val="0"/>
                <w:bCs/>
                <w:color w:val="auto"/>
                <w:sz w:val="21"/>
                <w:szCs w:val="22"/>
                <w:highlight w:val="none"/>
                <w:lang w:eastAsia="zh-CN"/>
              </w:rPr>
              <w:t>3分</w:t>
            </w:r>
          </w:p>
        </w:tc>
      </w:tr>
      <w:tr w14:paraId="39412F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28A0A344">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val="en-US" w:eastAsia="zh-CN"/>
              </w:rPr>
            </w:pPr>
            <w:r>
              <w:rPr>
                <w:rFonts w:hint="eastAsia" w:ascii="宋体" w:hAnsi="宋体" w:cs="宋体"/>
                <w:bCs/>
                <w:color w:val="auto"/>
                <w:szCs w:val="21"/>
                <w:highlight w:val="none"/>
                <w:lang w:val="en-US" w:eastAsia="zh-CN"/>
              </w:rPr>
              <w:t>5</w:t>
            </w:r>
          </w:p>
        </w:tc>
        <w:tc>
          <w:tcPr>
            <w:tcW w:w="1082" w:type="dxa"/>
            <w:noWrap w:val="0"/>
            <w:vAlign w:val="center"/>
          </w:tcPr>
          <w:p w14:paraId="2687243B">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lang w:eastAsia="zh-CN"/>
              </w:rPr>
              <w:t>技术分</w:t>
            </w:r>
          </w:p>
        </w:tc>
        <w:tc>
          <w:tcPr>
            <w:tcW w:w="1575" w:type="dxa"/>
            <w:vMerge w:val="continue"/>
            <w:noWrap w:val="0"/>
            <w:vAlign w:val="center"/>
          </w:tcPr>
          <w:p w14:paraId="2A2E9DD2">
            <w:pPr>
              <w:keepNext w:val="0"/>
              <w:keepLines w:val="0"/>
              <w:pageBreakBefore w:val="0"/>
              <w:widowControl w:val="0"/>
              <w:numPr>
                <w:ilvl w:val="0"/>
                <w:numId w:val="0"/>
              </w:numPr>
              <w:kinsoku/>
              <w:wordWrap/>
              <w:overflowPunct/>
              <w:topLinePunct w:val="0"/>
              <w:bidi w:val="0"/>
              <w:spacing w:line="400" w:lineRule="exact"/>
              <w:jc w:val="left"/>
              <w:textAlignment w:val="auto"/>
              <w:rPr>
                <w:rFonts w:hint="eastAsia"/>
                <w:color w:val="auto"/>
                <w:lang w:val="en-US" w:eastAsia="zh-CN"/>
              </w:rPr>
            </w:pPr>
          </w:p>
        </w:tc>
        <w:tc>
          <w:tcPr>
            <w:tcW w:w="5489" w:type="dxa"/>
            <w:noWrap w:val="0"/>
            <w:vAlign w:val="center"/>
          </w:tcPr>
          <w:p w14:paraId="7224A40D">
            <w:pPr>
              <w:spacing w:line="440" w:lineRule="exact"/>
              <w:ind w:firstLine="538" w:firstLineChars="255"/>
              <w:rPr>
                <w:b/>
                <w:color w:val="auto"/>
                <w:sz w:val="21"/>
                <w:szCs w:val="22"/>
                <w:highlight w:val="none"/>
                <w:lang w:eastAsia="zh-CN"/>
              </w:rPr>
            </w:pPr>
            <w:r>
              <w:rPr>
                <w:b/>
                <w:color w:val="auto"/>
                <w:sz w:val="21"/>
                <w:szCs w:val="22"/>
                <w:highlight w:val="none"/>
                <w:lang w:eastAsia="zh-CN"/>
              </w:rPr>
              <w:t>（5）施工平面布置和临时设施布置</w:t>
            </w:r>
            <w:r>
              <w:rPr>
                <w:rFonts w:hint="eastAsia"/>
                <w:b/>
                <w:color w:val="auto"/>
                <w:sz w:val="21"/>
                <w:szCs w:val="22"/>
                <w:highlight w:val="none"/>
                <w:lang w:eastAsia="zh-CN"/>
              </w:rPr>
              <w:t>（</w:t>
            </w:r>
            <w:r>
              <w:rPr>
                <w:b/>
                <w:color w:val="auto"/>
                <w:sz w:val="21"/>
                <w:szCs w:val="22"/>
                <w:highlight w:val="none"/>
                <w:lang w:eastAsia="zh-CN"/>
              </w:rPr>
              <w:t>3分</w:t>
            </w:r>
            <w:r>
              <w:rPr>
                <w:rFonts w:hint="eastAsia"/>
                <w:b/>
                <w:color w:val="auto"/>
                <w:sz w:val="21"/>
                <w:szCs w:val="22"/>
                <w:highlight w:val="none"/>
                <w:lang w:eastAsia="zh-CN"/>
              </w:rPr>
              <w:t>）</w:t>
            </w:r>
          </w:p>
          <w:p w14:paraId="55932F13">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优（</w:t>
            </w:r>
            <w:r>
              <w:rPr>
                <w:color w:val="auto"/>
                <w:sz w:val="21"/>
                <w:szCs w:val="22"/>
                <w:highlight w:val="none"/>
                <w:lang w:eastAsia="zh-CN"/>
              </w:rPr>
              <w:t>3分）：总体布置</w:t>
            </w:r>
            <w:r>
              <w:rPr>
                <w:rFonts w:hint="eastAsia"/>
                <w:color w:val="auto"/>
                <w:sz w:val="21"/>
                <w:szCs w:val="22"/>
                <w:highlight w:val="none"/>
                <w:lang w:eastAsia="zh-CN"/>
              </w:rPr>
              <w:t>具</w:t>
            </w:r>
            <w:r>
              <w:rPr>
                <w:color w:val="auto"/>
                <w:sz w:val="21"/>
                <w:szCs w:val="22"/>
                <w:highlight w:val="none"/>
                <w:lang w:eastAsia="zh-CN"/>
              </w:rPr>
              <w:t>有针对性、</w:t>
            </w:r>
            <w:r>
              <w:rPr>
                <w:rFonts w:hint="eastAsia"/>
                <w:color w:val="auto"/>
                <w:sz w:val="21"/>
                <w:szCs w:val="22"/>
                <w:highlight w:val="none"/>
                <w:lang w:eastAsia="zh-CN"/>
              </w:rPr>
              <w:t>可行性</w:t>
            </w:r>
            <w:r>
              <w:rPr>
                <w:color w:val="auto"/>
                <w:sz w:val="21"/>
                <w:szCs w:val="22"/>
                <w:highlight w:val="none"/>
                <w:lang w:eastAsia="zh-CN"/>
              </w:rPr>
              <w:t>，</w:t>
            </w:r>
            <w:r>
              <w:rPr>
                <w:rFonts w:hint="eastAsia"/>
                <w:color w:val="auto"/>
                <w:sz w:val="21"/>
                <w:szCs w:val="22"/>
                <w:highlight w:val="none"/>
                <w:lang w:eastAsia="zh-CN"/>
              </w:rPr>
              <w:t>完全</w:t>
            </w:r>
            <w:r>
              <w:rPr>
                <w:color w:val="auto"/>
                <w:sz w:val="21"/>
                <w:szCs w:val="22"/>
                <w:highlight w:val="none"/>
                <w:lang w:eastAsia="zh-CN"/>
              </w:rPr>
              <w:t>满足施工需要，符合安全、文明生产要求。</w:t>
            </w:r>
          </w:p>
          <w:p w14:paraId="770AEB68">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良（</w:t>
            </w:r>
            <w:r>
              <w:rPr>
                <w:color w:val="auto"/>
                <w:sz w:val="21"/>
                <w:szCs w:val="22"/>
                <w:highlight w:val="none"/>
                <w:lang w:eastAsia="zh-CN"/>
              </w:rPr>
              <w:t>2分）：总体布置</w:t>
            </w:r>
            <w:r>
              <w:rPr>
                <w:rFonts w:hint="eastAsia"/>
                <w:color w:val="auto"/>
                <w:sz w:val="21"/>
                <w:szCs w:val="22"/>
                <w:highlight w:val="none"/>
                <w:lang w:eastAsia="zh-CN"/>
              </w:rPr>
              <w:t>具有可行性</w:t>
            </w:r>
            <w:r>
              <w:rPr>
                <w:color w:val="auto"/>
                <w:sz w:val="21"/>
                <w:szCs w:val="22"/>
                <w:highlight w:val="none"/>
                <w:lang w:eastAsia="zh-CN"/>
              </w:rPr>
              <w:t>，</w:t>
            </w:r>
            <w:r>
              <w:rPr>
                <w:rFonts w:hint="eastAsia"/>
                <w:color w:val="auto"/>
                <w:sz w:val="21"/>
                <w:szCs w:val="22"/>
                <w:highlight w:val="none"/>
                <w:lang w:eastAsia="zh-CN"/>
              </w:rPr>
              <w:t>整体</w:t>
            </w:r>
            <w:r>
              <w:rPr>
                <w:color w:val="auto"/>
                <w:sz w:val="21"/>
                <w:szCs w:val="22"/>
                <w:highlight w:val="none"/>
                <w:lang w:eastAsia="zh-CN"/>
              </w:rPr>
              <w:t>满足施工需要，基本符合安全、文明生产要求。</w:t>
            </w:r>
          </w:p>
          <w:p w14:paraId="7DF8BD54">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中（</w:t>
            </w:r>
            <w:r>
              <w:rPr>
                <w:color w:val="auto"/>
                <w:sz w:val="21"/>
                <w:szCs w:val="22"/>
                <w:highlight w:val="none"/>
                <w:lang w:eastAsia="zh-CN"/>
              </w:rPr>
              <w:t>1分）：总体布置</w:t>
            </w:r>
            <w:r>
              <w:rPr>
                <w:rFonts w:hint="eastAsia"/>
                <w:color w:val="auto"/>
                <w:sz w:val="21"/>
                <w:szCs w:val="22"/>
                <w:highlight w:val="none"/>
                <w:lang w:eastAsia="zh-CN"/>
              </w:rPr>
              <w:t>具有可行性</w:t>
            </w:r>
            <w:r>
              <w:rPr>
                <w:color w:val="auto"/>
                <w:sz w:val="21"/>
                <w:szCs w:val="22"/>
                <w:highlight w:val="none"/>
                <w:lang w:eastAsia="zh-CN"/>
              </w:rPr>
              <w:t>，基本满足施工需要。</w:t>
            </w:r>
          </w:p>
          <w:p w14:paraId="2CB8F79F">
            <w:pPr>
              <w:spacing w:line="440" w:lineRule="exact"/>
              <w:ind w:firstLine="535" w:firstLineChars="255"/>
              <w:rPr>
                <w:rFonts w:hint="eastAsia"/>
                <w:color w:val="auto"/>
                <w:lang w:val="en-US" w:eastAsia="zh-CN"/>
              </w:rPr>
            </w:pPr>
            <w:r>
              <w:rPr>
                <w:rFonts w:hint="eastAsia"/>
                <w:color w:val="auto"/>
                <w:sz w:val="21"/>
                <w:szCs w:val="22"/>
                <w:highlight w:val="none"/>
                <w:lang w:eastAsia="zh-CN"/>
              </w:rPr>
              <w:t>差（</w:t>
            </w:r>
            <w:r>
              <w:rPr>
                <w:color w:val="auto"/>
                <w:sz w:val="21"/>
                <w:szCs w:val="22"/>
                <w:highlight w:val="none"/>
                <w:lang w:eastAsia="zh-CN"/>
              </w:rPr>
              <w:t>0分）：总体布置不符合安全、文明生产要求。</w:t>
            </w:r>
          </w:p>
        </w:tc>
        <w:tc>
          <w:tcPr>
            <w:tcW w:w="794" w:type="dxa"/>
            <w:noWrap w:val="0"/>
            <w:vAlign w:val="center"/>
          </w:tcPr>
          <w:p w14:paraId="00402102">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val="0"/>
                <w:bCs/>
                <w:color w:val="auto"/>
                <w:szCs w:val="21"/>
                <w:highlight w:val="none"/>
                <w:lang w:val="en-US" w:eastAsia="zh-CN"/>
              </w:rPr>
            </w:pPr>
            <w:r>
              <w:rPr>
                <w:b w:val="0"/>
                <w:bCs/>
                <w:color w:val="auto"/>
                <w:sz w:val="21"/>
                <w:szCs w:val="22"/>
                <w:highlight w:val="none"/>
                <w:lang w:eastAsia="zh-CN"/>
              </w:rPr>
              <w:t>3分</w:t>
            </w:r>
          </w:p>
        </w:tc>
      </w:tr>
      <w:tr w14:paraId="7CF60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168862CF">
            <w:pPr>
              <w:keepNext w:val="0"/>
              <w:keepLines w:val="0"/>
              <w:pageBreakBefore w:val="0"/>
              <w:widowControl w:val="0"/>
              <w:kinsoku/>
              <w:wordWrap/>
              <w:overflowPunct/>
              <w:topLinePunct w:val="0"/>
              <w:bidi w:val="0"/>
              <w:spacing w:line="400" w:lineRule="exact"/>
              <w:jc w:val="center"/>
              <w:textAlignment w:val="auto"/>
              <w:rPr>
                <w:rFonts w:hint="default" w:ascii="宋体" w:hAnsi="宋体" w:cs="宋体"/>
                <w:bCs/>
                <w:color w:val="auto"/>
                <w:szCs w:val="21"/>
                <w:highlight w:val="none"/>
                <w:lang w:val="en-US" w:eastAsia="zh-CN"/>
              </w:rPr>
            </w:pPr>
            <w:r>
              <w:rPr>
                <w:rFonts w:hint="eastAsia" w:ascii="宋体" w:hAnsi="宋体" w:cs="宋体"/>
                <w:bCs/>
                <w:color w:val="auto"/>
                <w:szCs w:val="21"/>
                <w:highlight w:val="none"/>
                <w:lang w:val="en-US" w:eastAsia="zh-CN"/>
              </w:rPr>
              <w:t>6</w:t>
            </w:r>
          </w:p>
        </w:tc>
        <w:tc>
          <w:tcPr>
            <w:tcW w:w="1082" w:type="dxa"/>
            <w:noWrap w:val="0"/>
            <w:vAlign w:val="center"/>
          </w:tcPr>
          <w:p w14:paraId="015603F8">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rPr>
              <w:t>技术分</w:t>
            </w:r>
          </w:p>
        </w:tc>
        <w:tc>
          <w:tcPr>
            <w:tcW w:w="1575" w:type="dxa"/>
            <w:vMerge w:val="continue"/>
            <w:noWrap w:val="0"/>
            <w:vAlign w:val="center"/>
          </w:tcPr>
          <w:p w14:paraId="4CE5AE95">
            <w:pPr>
              <w:keepNext w:val="0"/>
              <w:keepLines w:val="0"/>
              <w:pageBreakBefore w:val="0"/>
              <w:widowControl w:val="0"/>
              <w:numPr>
                <w:ilvl w:val="0"/>
                <w:numId w:val="0"/>
              </w:numPr>
              <w:kinsoku/>
              <w:wordWrap/>
              <w:overflowPunct/>
              <w:topLinePunct w:val="0"/>
              <w:bidi w:val="0"/>
              <w:spacing w:line="400" w:lineRule="exact"/>
              <w:jc w:val="left"/>
              <w:textAlignment w:val="auto"/>
              <w:rPr>
                <w:rFonts w:hint="eastAsia"/>
                <w:color w:val="auto"/>
                <w:lang w:val="en-US" w:eastAsia="zh-CN"/>
              </w:rPr>
            </w:pPr>
          </w:p>
        </w:tc>
        <w:tc>
          <w:tcPr>
            <w:tcW w:w="5489" w:type="dxa"/>
            <w:noWrap w:val="0"/>
            <w:vAlign w:val="center"/>
          </w:tcPr>
          <w:p w14:paraId="63700E25">
            <w:pPr>
              <w:spacing w:line="440" w:lineRule="exact"/>
              <w:ind w:firstLine="538" w:firstLineChars="255"/>
              <w:rPr>
                <w:b/>
                <w:color w:val="auto"/>
                <w:sz w:val="21"/>
                <w:szCs w:val="22"/>
                <w:highlight w:val="none"/>
                <w:lang w:eastAsia="zh-CN"/>
              </w:rPr>
            </w:pPr>
            <w:r>
              <w:rPr>
                <w:b/>
                <w:color w:val="auto"/>
                <w:sz w:val="21"/>
                <w:szCs w:val="22"/>
                <w:highlight w:val="none"/>
                <w:lang w:eastAsia="zh-CN"/>
              </w:rPr>
              <w:t>（6）关键施工技术、工艺及工程实施的重点、难点和解决方案</w:t>
            </w:r>
            <w:r>
              <w:rPr>
                <w:rFonts w:hint="eastAsia"/>
                <w:b/>
                <w:color w:val="auto"/>
                <w:sz w:val="21"/>
                <w:szCs w:val="22"/>
                <w:highlight w:val="none"/>
                <w:lang w:eastAsia="zh-CN"/>
              </w:rPr>
              <w:t>（</w:t>
            </w:r>
            <w:r>
              <w:rPr>
                <w:b/>
                <w:color w:val="auto"/>
                <w:sz w:val="21"/>
                <w:szCs w:val="22"/>
                <w:highlight w:val="none"/>
                <w:lang w:eastAsia="zh-CN"/>
              </w:rPr>
              <w:t>6分</w:t>
            </w:r>
            <w:r>
              <w:rPr>
                <w:rFonts w:hint="eastAsia"/>
                <w:b/>
                <w:color w:val="auto"/>
                <w:sz w:val="21"/>
                <w:szCs w:val="22"/>
                <w:highlight w:val="none"/>
                <w:lang w:eastAsia="zh-CN"/>
              </w:rPr>
              <w:t>）</w:t>
            </w:r>
          </w:p>
          <w:p w14:paraId="205724CC">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优</w:t>
            </w:r>
            <w:r>
              <w:rPr>
                <w:color w:val="auto"/>
                <w:sz w:val="21"/>
                <w:szCs w:val="22"/>
                <w:highlight w:val="none"/>
                <w:lang w:eastAsia="zh-CN"/>
              </w:rPr>
              <w:t>（6分）：对项目关键技术、工艺有</w:t>
            </w:r>
            <w:r>
              <w:rPr>
                <w:rFonts w:hint="eastAsia"/>
                <w:color w:val="auto"/>
                <w:sz w:val="21"/>
                <w:szCs w:val="22"/>
                <w:highlight w:val="none"/>
                <w:lang w:eastAsia="zh-CN"/>
              </w:rPr>
              <w:t>明确的阐述</w:t>
            </w:r>
            <w:r>
              <w:rPr>
                <w:color w:val="auto"/>
                <w:sz w:val="21"/>
                <w:szCs w:val="22"/>
                <w:highlight w:val="none"/>
                <w:lang w:eastAsia="zh-CN"/>
              </w:rPr>
              <w:t>，对重点、难点</w:t>
            </w:r>
            <w:r>
              <w:rPr>
                <w:rFonts w:hint="eastAsia"/>
                <w:color w:val="auto"/>
                <w:sz w:val="21"/>
                <w:szCs w:val="22"/>
                <w:highlight w:val="none"/>
                <w:lang w:eastAsia="zh-CN"/>
              </w:rPr>
              <w:t>有合理化</w:t>
            </w:r>
            <w:r>
              <w:rPr>
                <w:color w:val="auto"/>
                <w:sz w:val="21"/>
                <w:szCs w:val="22"/>
                <w:highlight w:val="none"/>
                <w:lang w:eastAsia="zh-CN"/>
              </w:rPr>
              <w:t>的施工措施并有可行</w:t>
            </w:r>
            <w:r>
              <w:rPr>
                <w:rFonts w:hint="eastAsia"/>
                <w:color w:val="auto"/>
                <w:sz w:val="21"/>
                <w:szCs w:val="22"/>
                <w:highlight w:val="none"/>
                <w:lang w:eastAsia="zh-CN"/>
              </w:rPr>
              <w:t>的安全措施，解决方案具有针对性，且经济、安全、切实可行，措施具有针对性和可行性。</w:t>
            </w:r>
          </w:p>
          <w:p w14:paraId="2ADBA1F1">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良</w:t>
            </w:r>
            <w:r>
              <w:rPr>
                <w:color w:val="auto"/>
                <w:sz w:val="21"/>
                <w:szCs w:val="22"/>
                <w:highlight w:val="none"/>
                <w:lang w:eastAsia="zh-CN"/>
              </w:rPr>
              <w:t>（4分）：对项目关键技术、工艺有</w:t>
            </w:r>
            <w:r>
              <w:rPr>
                <w:rFonts w:hint="eastAsia"/>
                <w:color w:val="auto"/>
                <w:sz w:val="21"/>
                <w:szCs w:val="22"/>
                <w:highlight w:val="none"/>
                <w:lang w:eastAsia="zh-CN"/>
              </w:rPr>
              <w:t>明确的阐述</w:t>
            </w:r>
            <w:r>
              <w:rPr>
                <w:color w:val="auto"/>
                <w:sz w:val="21"/>
                <w:szCs w:val="22"/>
                <w:highlight w:val="none"/>
                <w:lang w:eastAsia="zh-CN"/>
              </w:rPr>
              <w:t>，对重点、难点有合理</w:t>
            </w:r>
            <w:r>
              <w:rPr>
                <w:rFonts w:hint="eastAsia"/>
                <w:color w:val="auto"/>
                <w:lang w:eastAsia="zh-CN"/>
              </w:rPr>
              <w:t>化</w:t>
            </w:r>
            <w:r>
              <w:rPr>
                <w:color w:val="auto"/>
                <w:sz w:val="21"/>
                <w:szCs w:val="22"/>
                <w:highlight w:val="none"/>
                <w:lang w:eastAsia="zh-CN"/>
              </w:rPr>
              <w:t>的建议，解决方案经济、</w:t>
            </w:r>
            <w:r>
              <w:rPr>
                <w:rFonts w:hint="eastAsia"/>
                <w:color w:val="auto"/>
                <w:sz w:val="21"/>
                <w:szCs w:val="22"/>
                <w:highlight w:val="none"/>
                <w:lang w:eastAsia="zh-CN"/>
              </w:rPr>
              <w:t>安全、具有可行性。</w:t>
            </w:r>
          </w:p>
          <w:p w14:paraId="2E98BD13">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中</w:t>
            </w:r>
            <w:r>
              <w:rPr>
                <w:color w:val="auto"/>
                <w:sz w:val="21"/>
                <w:szCs w:val="22"/>
                <w:highlight w:val="none"/>
                <w:lang w:eastAsia="zh-CN"/>
              </w:rPr>
              <w:t>（2分）：对项目关键技术有了解，对重点、难点有建议，解决方案</w:t>
            </w:r>
            <w:r>
              <w:rPr>
                <w:rFonts w:hint="eastAsia"/>
                <w:color w:val="auto"/>
                <w:sz w:val="21"/>
                <w:szCs w:val="22"/>
                <w:highlight w:val="none"/>
                <w:lang w:eastAsia="zh-CN"/>
              </w:rPr>
              <w:t>具有可行性</w:t>
            </w:r>
            <w:r>
              <w:rPr>
                <w:color w:val="auto"/>
                <w:sz w:val="21"/>
                <w:szCs w:val="22"/>
                <w:highlight w:val="none"/>
                <w:lang w:eastAsia="zh-CN"/>
              </w:rPr>
              <w:t>。</w:t>
            </w:r>
          </w:p>
          <w:p w14:paraId="2E412DF1">
            <w:pPr>
              <w:spacing w:line="440" w:lineRule="exact"/>
              <w:ind w:firstLine="535" w:firstLineChars="255"/>
              <w:rPr>
                <w:rFonts w:hint="eastAsia"/>
                <w:color w:val="auto"/>
                <w:lang w:val="en-US" w:eastAsia="zh-CN"/>
              </w:rPr>
            </w:pPr>
            <w:r>
              <w:rPr>
                <w:rFonts w:hint="eastAsia"/>
                <w:color w:val="auto"/>
                <w:sz w:val="21"/>
                <w:szCs w:val="22"/>
                <w:highlight w:val="none"/>
                <w:lang w:eastAsia="zh-CN"/>
              </w:rPr>
              <w:t>差</w:t>
            </w:r>
            <w:r>
              <w:rPr>
                <w:color w:val="auto"/>
                <w:sz w:val="21"/>
                <w:szCs w:val="22"/>
                <w:highlight w:val="none"/>
                <w:lang w:eastAsia="zh-CN"/>
              </w:rPr>
              <w:t>（0分）：</w:t>
            </w:r>
            <w:r>
              <w:rPr>
                <w:rFonts w:hint="eastAsia"/>
                <w:color w:val="auto"/>
                <w:sz w:val="21"/>
                <w:szCs w:val="22"/>
                <w:highlight w:val="none"/>
                <w:lang w:eastAsia="zh-CN"/>
              </w:rPr>
              <w:t>无</w:t>
            </w:r>
            <w:r>
              <w:rPr>
                <w:color w:val="auto"/>
                <w:sz w:val="21"/>
                <w:szCs w:val="22"/>
                <w:highlight w:val="none"/>
                <w:lang w:eastAsia="zh-CN"/>
              </w:rPr>
              <w:t>对项目关键技术有表述</w:t>
            </w:r>
            <w:r>
              <w:rPr>
                <w:rFonts w:hint="eastAsia"/>
                <w:color w:val="auto"/>
                <w:sz w:val="21"/>
                <w:szCs w:val="22"/>
                <w:highlight w:val="none"/>
                <w:lang w:eastAsia="zh-CN"/>
              </w:rPr>
              <w:t>，无</w:t>
            </w:r>
            <w:r>
              <w:rPr>
                <w:color w:val="auto"/>
                <w:sz w:val="21"/>
                <w:szCs w:val="22"/>
                <w:highlight w:val="none"/>
                <w:lang w:eastAsia="zh-CN"/>
              </w:rPr>
              <w:t>对重点、难点</w:t>
            </w:r>
            <w:r>
              <w:rPr>
                <w:rFonts w:hint="eastAsia"/>
                <w:color w:val="auto"/>
                <w:sz w:val="21"/>
                <w:szCs w:val="22"/>
                <w:highlight w:val="none"/>
                <w:lang w:eastAsia="zh-CN"/>
              </w:rPr>
              <w:t>的</w:t>
            </w:r>
            <w:r>
              <w:rPr>
                <w:color w:val="auto"/>
                <w:sz w:val="21"/>
                <w:szCs w:val="22"/>
                <w:highlight w:val="none"/>
                <w:lang w:eastAsia="zh-CN"/>
              </w:rPr>
              <w:t>建议，</w:t>
            </w:r>
            <w:r>
              <w:rPr>
                <w:rFonts w:hint="eastAsia"/>
                <w:color w:val="auto"/>
                <w:sz w:val="21"/>
                <w:szCs w:val="22"/>
                <w:highlight w:val="none"/>
                <w:lang w:eastAsia="zh-CN"/>
              </w:rPr>
              <w:t>或有建议但</w:t>
            </w:r>
            <w:r>
              <w:rPr>
                <w:color w:val="auto"/>
                <w:sz w:val="21"/>
                <w:szCs w:val="22"/>
                <w:highlight w:val="none"/>
                <w:lang w:eastAsia="zh-CN"/>
              </w:rPr>
              <w:t>解决方案</w:t>
            </w:r>
            <w:r>
              <w:rPr>
                <w:rFonts w:hint="eastAsia"/>
                <w:color w:val="auto"/>
                <w:sz w:val="21"/>
                <w:szCs w:val="22"/>
                <w:highlight w:val="none"/>
                <w:lang w:eastAsia="zh-CN"/>
              </w:rPr>
              <w:t>无可行性</w:t>
            </w:r>
            <w:r>
              <w:rPr>
                <w:color w:val="auto"/>
                <w:sz w:val="21"/>
                <w:szCs w:val="22"/>
                <w:highlight w:val="none"/>
                <w:lang w:eastAsia="zh-CN"/>
              </w:rPr>
              <w:t>。</w:t>
            </w:r>
          </w:p>
        </w:tc>
        <w:tc>
          <w:tcPr>
            <w:tcW w:w="794" w:type="dxa"/>
            <w:noWrap w:val="0"/>
            <w:vAlign w:val="center"/>
          </w:tcPr>
          <w:p w14:paraId="383AA50A">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val="0"/>
                <w:bCs/>
                <w:color w:val="auto"/>
                <w:szCs w:val="21"/>
                <w:highlight w:val="none"/>
                <w:lang w:val="en-US" w:eastAsia="zh-CN"/>
              </w:rPr>
            </w:pPr>
            <w:r>
              <w:rPr>
                <w:b w:val="0"/>
                <w:bCs/>
                <w:color w:val="auto"/>
                <w:sz w:val="21"/>
                <w:szCs w:val="22"/>
                <w:highlight w:val="none"/>
                <w:lang w:eastAsia="zh-CN"/>
              </w:rPr>
              <w:t>6分</w:t>
            </w:r>
          </w:p>
        </w:tc>
      </w:tr>
      <w:tr w14:paraId="69B8AF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6755485B">
            <w:pPr>
              <w:keepNext w:val="0"/>
              <w:keepLines w:val="0"/>
              <w:pageBreakBefore w:val="0"/>
              <w:widowControl w:val="0"/>
              <w:kinsoku/>
              <w:wordWrap/>
              <w:overflowPunct/>
              <w:topLinePunct w:val="0"/>
              <w:bidi w:val="0"/>
              <w:spacing w:line="400" w:lineRule="exact"/>
              <w:jc w:val="center"/>
              <w:textAlignment w:val="auto"/>
              <w:rPr>
                <w:rFonts w:hint="default" w:ascii="宋体" w:hAnsi="宋体" w:cs="宋体"/>
                <w:bCs/>
                <w:color w:val="auto"/>
                <w:szCs w:val="21"/>
                <w:highlight w:val="none"/>
                <w:lang w:val="en-US" w:eastAsia="zh-CN"/>
              </w:rPr>
            </w:pPr>
            <w:r>
              <w:rPr>
                <w:rFonts w:hint="eastAsia" w:ascii="宋体" w:hAnsi="宋体" w:cs="宋体"/>
                <w:bCs/>
                <w:color w:val="auto"/>
                <w:szCs w:val="21"/>
                <w:highlight w:val="none"/>
                <w:lang w:val="en-US" w:eastAsia="zh-CN"/>
              </w:rPr>
              <w:t>7</w:t>
            </w:r>
          </w:p>
        </w:tc>
        <w:tc>
          <w:tcPr>
            <w:tcW w:w="1082" w:type="dxa"/>
            <w:noWrap w:val="0"/>
            <w:vAlign w:val="center"/>
          </w:tcPr>
          <w:p w14:paraId="604E1683">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lang w:eastAsia="zh-CN"/>
              </w:rPr>
              <w:t>技术分</w:t>
            </w:r>
          </w:p>
        </w:tc>
        <w:tc>
          <w:tcPr>
            <w:tcW w:w="1575" w:type="dxa"/>
            <w:vMerge w:val="continue"/>
            <w:noWrap w:val="0"/>
            <w:vAlign w:val="center"/>
          </w:tcPr>
          <w:p w14:paraId="51664D24">
            <w:pPr>
              <w:keepNext w:val="0"/>
              <w:keepLines w:val="0"/>
              <w:pageBreakBefore w:val="0"/>
              <w:widowControl w:val="0"/>
              <w:numPr>
                <w:ilvl w:val="0"/>
                <w:numId w:val="0"/>
              </w:numPr>
              <w:kinsoku/>
              <w:wordWrap/>
              <w:overflowPunct/>
              <w:topLinePunct w:val="0"/>
              <w:bidi w:val="0"/>
              <w:spacing w:line="400" w:lineRule="exact"/>
              <w:jc w:val="left"/>
              <w:textAlignment w:val="auto"/>
              <w:rPr>
                <w:rFonts w:hint="eastAsia"/>
                <w:color w:val="auto"/>
                <w:lang w:val="en-US" w:eastAsia="zh-CN"/>
              </w:rPr>
            </w:pPr>
          </w:p>
        </w:tc>
        <w:tc>
          <w:tcPr>
            <w:tcW w:w="5489" w:type="dxa"/>
            <w:noWrap w:val="0"/>
            <w:vAlign w:val="center"/>
          </w:tcPr>
          <w:p w14:paraId="22B36AEF">
            <w:pPr>
              <w:spacing w:line="440" w:lineRule="exact"/>
              <w:ind w:firstLine="538" w:firstLineChars="255"/>
              <w:rPr>
                <w:b/>
                <w:color w:val="auto"/>
                <w:sz w:val="21"/>
                <w:szCs w:val="22"/>
                <w:highlight w:val="none"/>
                <w:lang w:eastAsia="zh-CN"/>
              </w:rPr>
            </w:pPr>
            <w:r>
              <w:rPr>
                <w:b/>
                <w:color w:val="auto"/>
                <w:sz w:val="21"/>
                <w:szCs w:val="22"/>
                <w:highlight w:val="none"/>
                <w:lang w:eastAsia="zh-CN"/>
              </w:rPr>
              <w:t>（7）安全文明施工措施</w:t>
            </w:r>
            <w:r>
              <w:rPr>
                <w:rFonts w:hint="eastAsia"/>
                <w:b/>
                <w:color w:val="auto"/>
                <w:sz w:val="21"/>
                <w:szCs w:val="22"/>
                <w:highlight w:val="none"/>
                <w:lang w:eastAsia="zh-CN"/>
              </w:rPr>
              <w:t>（</w:t>
            </w:r>
            <w:r>
              <w:rPr>
                <w:b/>
                <w:color w:val="auto"/>
                <w:sz w:val="21"/>
                <w:szCs w:val="22"/>
                <w:highlight w:val="none"/>
                <w:lang w:eastAsia="zh-CN"/>
              </w:rPr>
              <w:t>5分</w:t>
            </w:r>
            <w:r>
              <w:rPr>
                <w:rFonts w:hint="eastAsia"/>
                <w:b/>
                <w:color w:val="auto"/>
                <w:sz w:val="21"/>
                <w:szCs w:val="22"/>
                <w:highlight w:val="none"/>
                <w:lang w:eastAsia="zh-CN"/>
              </w:rPr>
              <w:t>）</w:t>
            </w:r>
          </w:p>
          <w:p w14:paraId="1903E59C">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优</w:t>
            </w:r>
            <w:r>
              <w:rPr>
                <w:color w:val="auto"/>
                <w:sz w:val="21"/>
                <w:szCs w:val="22"/>
                <w:highlight w:val="none"/>
                <w:lang w:eastAsia="zh-CN"/>
              </w:rPr>
              <w:t>（5分）：</w:t>
            </w:r>
            <w:r>
              <w:rPr>
                <w:rFonts w:ascii="宋体" w:hAnsi="宋体" w:eastAsia="宋体" w:cs="宋体"/>
                <w:color w:val="auto"/>
                <w:sz w:val="21"/>
                <w:highlight w:val="none"/>
              </w:rPr>
              <w:t>针对本工程项目特点，有现场文明施工、环境保护措施，且措施内容达到《建筑施工安全生产检查标准》(JGJ59-2011)合格标准并符合《广西壮族自治区建筑工程文明施工导则》要求。各项措施</w:t>
            </w:r>
            <w:r>
              <w:rPr>
                <w:rFonts w:hint="eastAsia" w:ascii="宋体" w:hAnsi="宋体" w:cs="宋体"/>
                <w:color w:val="auto"/>
                <w:sz w:val="21"/>
                <w:highlight w:val="none"/>
                <w:lang w:eastAsia="zh-CN"/>
              </w:rPr>
              <w:t>详细</w:t>
            </w:r>
            <w:r>
              <w:rPr>
                <w:rFonts w:ascii="宋体" w:hAnsi="宋体" w:eastAsia="宋体" w:cs="宋体"/>
                <w:color w:val="auto"/>
                <w:sz w:val="21"/>
                <w:highlight w:val="none"/>
              </w:rPr>
              <w:t>具体、</w:t>
            </w:r>
            <w:r>
              <w:rPr>
                <w:rFonts w:hint="eastAsia" w:ascii="宋体" w:hAnsi="宋体" w:cs="宋体"/>
                <w:color w:val="auto"/>
                <w:sz w:val="21"/>
                <w:highlight w:val="none"/>
                <w:lang w:eastAsia="zh-CN"/>
              </w:rPr>
              <w:t>具有可行性和针对性</w:t>
            </w:r>
            <w:r>
              <w:rPr>
                <w:rFonts w:ascii="宋体" w:hAnsi="宋体" w:eastAsia="宋体" w:cs="宋体"/>
                <w:color w:val="auto"/>
                <w:sz w:val="21"/>
                <w:highlight w:val="none"/>
              </w:rPr>
              <w:t>。有具体实现现场文明施工目标的承诺。</w:t>
            </w:r>
          </w:p>
          <w:p w14:paraId="469E1E2D">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良</w:t>
            </w:r>
            <w:r>
              <w:rPr>
                <w:color w:val="auto"/>
                <w:sz w:val="21"/>
                <w:szCs w:val="22"/>
                <w:highlight w:val="none"/>
                <w:lang w:eastAsia="zh-CN"/>
              </w:rPr>
              <w:t>（3分）：</w:t>
            </w:r>
            <w:r>
              <w:rPr>
                <w:rFonts w:ascii="宋体" w:hAnsi="宋体" w:eastAsia="宋体" w:cs="宋体"/>
                <w:color w:val="auto"/>
                <w:sz w:val="21"/>
                <w:highlight w:val="none"/>
              </w:rPr>
              <w:t>针对本工程项目特点，有现场文明施工、环境保护措施，且措施内容达到《建筑施工安全生产检查标准》(JGJ59-2011)合格标准并符合《广西壮族自治区建筑工程文明施工导则》要求</w:t>
            </w:r>
            <w:r>
              <w:rPr>
                <w:color w:val="auto"/>
                <w:sz w:val="21"/>
                <w:szCs w:val="22"/>
                <w:highlight w:val="none"/>
                <w:lang w:eastAsia="zh-CN"/>
              </w:rPr>
              <w:t>。</w:t>
            </w:r>
          </w:p>
          <w:p w14:paraId="341A6880">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中</w:t>
            </w:r>
            <w:r>
              <w:rPr>
                <w:color w:val="auto"/>
                <w:sz w:val="21"/>
                <w:szCs w:val="22"/>
                <w:highlight w:val="none"/>
                <w:lang w:eastAsia="zh-CN"/>
              </w:rPr>
              <w:t>（1分）：</w:t>
            </w:r>
            <w:r>
              <w:rPr>
                <w:rFonts w:ascii="宋体" w:hAnsi="宋体" w:eastAsia="宋体" w:cs="宋体"/>
                <w:color w:val="auto"/>
                <w:sz w:val="21"/>
                <w:highlight w:val="none"/>
              </w:rPr>
              <w:t>针对本工程项目特点，有现场文明施工、环境保护措施</w:t>
            </w:r>
            <w:r>
              <w:rPr>
                <w:color w:val="auto"/>
                <w:sz w:val="21"/>
                <w:szCs w:val="22"/>
                <w:highlight w:val="none"/>
                <w:lang w:eastAsia="zh-CN"/>
              </w:rPr>
              <w:t>。</w:t>
            </w:r>
          </w:p>
          <w:p w14:paraId="4DC6F25D">
            <w:pPr>
              <w:spacing w:line="440" w:lineRule="exact"/>
              <w:ind w:firstLine="535" w:firstLineChars="255"/>
              <w:rPr>
                <w:rFonts w:hint="eastAsia"/>
                <w:color w:val="auto"/>
                <w:lang w:val="en-US" w:eastAsia="zh-CN"/>
              </w:rPr>
            </w:pPr>
            <w:r>
              <w:rPr>
                <w:rFonts w:hint="eastAsia"/>
                <w:color w:val="auto"/>
                <w:sz w:val="21"/>
                <w:szCs w:val="22"/>
                <w:highlight w:val="none"/>
                <w:lang w:eastAsia="zh-CN"/>
              </w:rPr>
              <w:t>差</w:t>
            </w:r>
            <w:r>
              <w:rPr>
                <w:color w:val="auto"/>
                <w:sz w:val="21"/>
                <w:szCs w:val="22"/>
                <w:highlight w:val="none"/>
                <w:lang w:eastAsia="zh-CN"/>
              </w:rPr>
              <w:t>（0分）：</w:t>
            </w:r>
            <w:r>
              <w:rPr>
                <w:rFonts w:ascii="宋体" w:hAnsi="宋体" w:eastAsia="宋体" w:cs="宋体"/>
                <w:color w:val="auto"/>
                <w:sz w:val="21"/>
                <w:highlight w:val="none"/>
              </w:rPr>
              <w:t>针对本工程项目特点，</w:t>
            </w:r>
            <w:r>
              <w:rPr>
                <w:rFonts w:hint="eastAsia" w:ascii="宋体" w:hAnsi="宋体" w:cs="宋体"/>
                <w:color w:val="auto"/>
                <w:sz w:val="21"/>
                <w:highlight w:val="none"/>
                <w:lang w:eastAsia="zh-CN"/>
              </w:rPr>
              <w:t>无</w:t>
            </w:r>
            <w:r>
              <w:rPr>
                <w:rFonts w:ascii="宋体" w:hAnsi="宋体" w:eastAsia="宋体" w:cs="宋体"/>
                <w:color w:val="auto"/>
                <w:sz w:val="21"/>
                <w:highlight w:val="none"/>
              </w:rPr>
              <w:t>现场文明施工、环境保护措施</w:t>
            </w:r>
            <w:r>
              <w:rPr>
                <w:color w:val="auto"/>
                <w:sz w:val="21"/>
                <w:szCs w:val="22"/>
                <w:highlight w:val="none"/>
                <w:lang w:eastAsia="zh-CN"/>
              </w:rPr>
              <w:t>。</w:t>
            </w:r>
          </w:p>
        </w:tc>
        <w:tc>
          <w:tcPr>
            <w:tcW w:w="794" w:type="dxa"/>
            <w:noWrap w:val="0"/>
            <w:vAlign w:val="center"/>
          </w:tcPr>
          <w:p w14:paraId="56250E14">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val="0"/>
                <w:bCs/>
                <w:color w:val="auto"/>
                <w:szCs w:val="21"/>
                <w:highlight w:val="none"/>
                <w:lang w:val="en-US" w:eastAsia="zh-CN"/>
              </w:rPr>
            </w:pPr>
            <w:r>
              <w:rPr>
                <w:b w:val="0"/>
                <w:bCs/>
                <w:color w:val="auto"/>
                <w:sz w:val="21"/>
                <w:szCs w:val="22"/>
                <w:highlight w:val="none"/>
                <w:lang w:eastAsia="zh-CN"/>
              </w:rPr>
              <w:t>5分</w:t>
            </w:r>
          </w:p>
        </w:tc>
      </w:tr>
      <w:tr w14:paraId="02A34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7901C34D">
            <w:pPr>
              <w:keepNext w:val="0"/>
              <w:keepLines w:val="0"/>
              <w:pageBreakBefore w:val="0"/>
              <w:widowControl w:val="0"/>
              <w:kinsoku/>
              <w:wordWrap/>
              <w:overflowPunct/>
              <w:topLinePunct w:val="0"/>
              <w:bidi w:val="0"/>
              <w:spacing w:line="400" w:lineRule="exact"/>
              <w:jc w:val="center"/>
              <w:textAlignment w:val="auto"/>
              <w:rPr>
                <w:rFonts w:hint="default" w:ascii="宋体" w:hAnsi="宋体" w:cs="宋体"/>
                <w:bCs/>
                <w:color w:val="auto"/>
                <w:szCs w:val="21"/>
                <w:highlight w:val="none"/>
                <w:lang w:val="en-US" w:eastAsia="zh-CN"/>
              </w:rPr>
            </w:pPr>
            <w:r>
              <w:rPr>
                <w:rFonts w:hint="eastAsia" w:ascii="宋体" w:hAnsi="宋体" w:cs="宋体"/>
                <w:bCs/>
                <w:color w:val="auto"/>
                <w:szCs w:val="21"/>
                <w:highlight w:val="none"/>
                <w:lang w:val="en-US" w:eastAsia="zh-CN"/>
              </w:rPr>
              <w:t>8</w:t>
            </w:r>
          </w:p>
        </w:tc>
        <w:tc>
          <w:tcPr>
            <w:tcW w:w="1082" w:type="dxa"/>
            <w:noWrap w:val="0"/>
            <w:vAlign w:val="center"/>
          </w:tcPr>
          <w:p w14:paraId="2EE3FFAC">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rPr>
              <w:t>技术分</w:t>
            </w:r>
          </w:p>
        </w:tc>
        <w:tc>
          <w:tcPr>
            <w:tcW w:w="1575" w:type="dxa"/>
            <w:vMerge w:val="continue"/>
            <w:noWrap w:val="0"/>
            <w:vAlign w:val="center"/>
          </w:tcPr>
          <w:p w14:paraId="3E8D9EEE">
            <w:pPr>
              <w:keepNext w:val="0"/>
              <w:keepLines w:val="0"/>
              <w:pageBreakBefore w:val="0"/>
              <w:widowControl w:val="0"/>
              <w:numPr>
                <w:ilvl w:val="0"/>
                <w:numId w:val="0"/>
              </w:numPr>
              <w:kinsoku/>
              <w:wordWrap/>
              <w:overflowPunct/>
              <w:topLinePunct w:val="0"/>
              <w:bidi w:val="0"/>
              <w:spacing w:line="400" w:lineRule="exact"/>
              <w:jc w:val="left"/>
              <w:textAlignment w:val="auto"/>
              <w:rPr>
                <w:rFonts w:hint="eastAsia"/>
                <w:color w:val="auto"/>
                <w:lang w:val="en-US" w:eastAsia="zh-CN"/>
              </w:rPr>
            </w:pPr>
          </w:p>
        </w:tc>
        <w:tc>
          <w:tcPr>
            <w:tcW w:w="5489" w:type="dxa"/>
            <w:noWrap w:val="0"/>
            <w:vAlign w:val="center"/>
          </w:tcPr>
          <w:p w14:paraId="27784C73">
            <w:pPr>
              <w:spacing w:line="440" w:lineRule="exact"/>
              <w:ind w:firstLine="538" w:firstLineChars="255"/>
              <w:rPr>
                <w:b/>
                <w:color w:val="auto"/>
                <w:sz w:val="21"/>
                <w:szCs w:val="22"/>
                <w:highlight w:val="none"/>
                <w:lang w:eastAsia="zh-CN"/>
              </w:rPr>
            </w:pPr>
            <w:r>
              <w:rPr>
                <w:b/>
                <w:color w:val="auto"/>
                <w:sz w:val="21"/>
                <w:szCs w:val="22"/>
                <w:highlight w:val="none"/>
                <w:lang w:eastAsia="zh-CN"/>
              </w:rPr>
              <w:t>（8）质量保证与承诺</w:t>
            </w:r>
            <w:r>
              <w:rPr>
                <w:rFonts w:hint="eastAsia"/>
                <w:b/>
                <w:color w:val="auto"/>
                <w:sz w:val="21"/>
                <w:szCs w:val="22"/>
                <w:highlight w:val="none"/>
                <w:lang w:eastAsia="zh-CN"/>
              </w:rPr>
              <w:t>（</w:t>
            </w:r>
            <w:r>
              <w:rPr>
                <w:b/>
                <w:color w:val="auto"/>
                <w:sz w:val="21"/>
                <w:szCs w:val="22"/>
                <w:highlight w:val="none"/>
                <w:lang w:eastAsia="zh-CN"/>
              </w:rPr>
              <w:t>3分</w:t>
            </w:r>
            <w:r>
              <w:rPr>
                <w:rFonts w:hint="eastAsia"/>
                <w:b/>
                <w:color w:val="auto"/>
                <w:sz w:val="21"/>
                <w:szCs w:val="22"/>
                <w:highlight w:val="none"/>
                <w:lang w:eastAsia="zh-CN"/>
              </w:rPr>
              <w:t>）</w:t>
            </w:r>
          </w:p>
          <w:p w14:paraId="0D0D3696">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优（</w:t>
            </w:r>
            <w:r>
              <w:rPr>
                <w:color w:val="auto"/>
                <w:sz w:val="21"/>
                <w:szCs w:val="22"/>
                <w:highlight w:val="none"/>
                <w:lang w:eastAsia="zh-CN"/>
              </w:rPr>
              <w:t>3分）：</w:t>
            </w:r>
            <w:r>
              <w:rPr>
                <w:color w:val="auto"/>
                <w:sz w:val="21"/>
                <w:szCs w:val="22"/>
                <w:highlight w:val="none"/>
              </w:rPr>
              <w:t>有</w:t>
            </w:r>
            <w:r>
              <w:rPr>
                <w:rFonts w:hint="eastAsia"/>
                <w:color w:val="auto"/>
                <w:sz w:val="21"/>
                <w:szCs w:val="22"/>
                <w:highlight w:val="none"/>
                <w:lang w:eastAsia="zh-CN"/>
              </w:rPr>
              <w:t>针对性的</w:t>
            </w:r>
            <w:r>
              <w:rPr>
                <w:color w:val="auto"/>
                <w:sz w:val="21"/>
                <w:szCs w:val="22"/>
                <w:highlight w:val="none"/>
              </w:rPr>
              <w:t>质量技术管理班子和制度，且人员配备</w:t>
            </w:r>
            <w:r>
              <w:rPr>
                <w:rFonts w:hint="eastAsia"/>
                <w:color w:val="auto"/>
                <w:sz w:val="21"/>
                <w:szCs w:val="22"/>
                <w:highlight w:val="none"/>
                <w:lang w:eastAsia="zh-CN"/>
              </w:rPr>
              <w:t>符合采购要求</w:t>
            </w:r>
            <w:r>
              <w:rPr>
                <w:color w:val="auto"/>
                <w:sz w:val="21"/>
                <w:szCs w:val="22"/>
                <w:highlight w:val="none"/>
              </w:rPr>
              <w:t>，</w:t>
            </w:r>
            <w:r>
              <w:rPr>
                <w:rFonts w:hint="eastAsia"/>
                <w:color w:val="auto"/>
                <w:sz w:val="21"/>
                <w:szCs w:val="22"/>
                <w:highlight w:val="none"/>
                <w:lang w:eastAsia="zh-CN"/>
              </w:rPr>
              <w:t>有详细具体的管理</w:t>
            </w:r>
            <w:r>
              <w:rPr>
                <w:color w:val="auto"/>
                <w:sz w:val="21"/>
                <w:szCs w:val="22"/>
                <w:highlight w:val="none"/>
              </w:rPr>
              <w:t>制度。主要工序有质量技术保证措施和手段，</w:t>
            </w:r>
            <w:r>
              <w:rPr>
                <w:rFonts w:hint="eastAsia"/>
                <w:color w:val="auto"/>
                <w:sz w:val="21"/>
                <w:szCs w:val="22"/>
                <w:highlight w:val="none"/>
                <w:lang w:eastAsia="zh-CN"/>
              </w:rPr>
              <w:t>有详细具体的</w:t>
            </w:r>
            <w:r>
              <w:rPr>
                <w:color w:val="auto"/>
                <w:sz w:val="21"/>
                <w:szCs w:val="22"/>
                <w:highlight w:val="none"/>
              </w:rPr>
              <w:t>自控体系，能有效保证技术质量，达到承诺的质量标准。</w:t>
            </w:r>
          </w:p>
          <w:p w14:paraId="47940870">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良（</w:t>
            </w:r>
            <w:r>
              <w:rPr>
                <w:color w:val="auto"/>
                <w:sz w:val="21"/>
                <w:szCs w:val="22"/>
                <w:highlight w:val="none"/>
                <w:lang w:eastAsia="zh-CN"/>
              </w:rPr>
              <w:t>2分）：</w:t>
            </w:r>
            <w:r>
              <w:rPr>
                <w:color w:val="auto"/>
                <w:sz w:val="21"/>
                <w:szCs w:val="22"/>
                <w:highlight w:val="none"/>
              </w:rPr>
              <w:t>有质量技术管理班子和制度</w:t>
            </w:r>
            <w:r>
              <w:rPr>
                <w:rFonts w:hint="eastAsia"/>
                <w:color w:val="auto"/>
                <w:sz w:val="21"/>
                <w:szCs w:val="22"/>
                <w:highlight w:val="none"/>
                <w:lang w:eastAsia="zh-CN"/>
              </w:rPr>
              <w:t>，能</w:t>
            </w:r>
            <w:r>
              <w:rPr>
                <w:color w:val="auto"/>
                <w:sz w:val="21"/>
                <w:szCs w:val="22"/>
                <w:highlight w:val="none"/>
              </w:rPr>
              <w:t>有效保证技术质量</w:t>
            </w:r>
            <w:r>
              <w:rPr>
                <w:rFonts w:hint="eastAsia"/>
                <w:color w:val="auto"/>
                <w:sz w:val="21"/>
                <w:szCs w:val="22"/>
                <w:highlight w:val="none"/>
                <w:lang w:eastAsia="zh-CN"/>
              </w:rPr>
              <w:t>。</w:t>
            </w:r>
          </w:p>
          <w:p w14:paraId="6206A559">
            <w:pPr>
              <w:spacing w:line="440" w:lineRule="exact"/>
              <w:ind w:firstLine="535" w:firstLineChars="255"/>
              <w:rPr>
                <w:color w:val="auto"/>
                <w:sz w:val="21"/>
                <w:szCs w:val="22"/>
                <w:highlight w:val="none"/>
                <w:lang w:eastAsia="zh-CN"/>
              </w:rPr>
            </w:pPr>
            <w:r>
              <w:rPr>
                <w:rFonts w:hint="eastAsia"/>
                <w:color w:val="auto"/>
                <w:sz w:val="21"/>
                <w:szCs w:val="22"/>
                <w:highlight w:val="none"/>
                <w:lang w:eastAsia="zh-CN"/>
              </w:rPr>
              <w:t>中（</w:t>
            </w:r>
            <w:r>
              <w:rPr>
                <w:color w:val="auto"/>
                <w:sz w:val="21"/>
                <w:szCs w:val="22"/>
                <w:highlight w:val="none"/>
                <w:lang w:eastAsia="zh-CN"/>
              </w:rPr>
              <w:t>1分）：</w:t>
            </w:r>
            <w:r>
              <w:rPr>
                <w:color w:val="auto"/>
                <w:sz w:val="21"/>
                <w:szCs w:val="22"/>
                <w:highlight w:val="none"/>
              </w:rPr>
              <w:t>有质量技术管理班子和制度，但人员配备</w:t>
            </w:r>
            <w:r>
              <w:rPr>
                <w:rFonts w:hint="eastAsia"/>
                <w:color w:val="auto"/>
                <w:sz w:val="21"/>
                <w:szCs w:val="22"/>
                <w:highlight w:val="none"/>
                <w:lang w:eastAsia="zh-CN"/>
              </w:rPr>
              <w:t>和管理制度</w:t>
            </w:r>
            <w:r>
              <w:rPr>
                <w:color w:val="auto"/>
                <w:sz w:val="21"/>
                <w:szCs w:val="22"/>
                <w:highlight w:val="none"/>
              </w:rPr>
              <w:t>不能有效保证技术质量</w:t>
            </w:r>
            <w:r>
              <w:rPr>
                <w:rFonts w:hint="eastAsia"/>
                <w:color w:val="auto"/>
                <w:sz w:val="21"/>
                <w:szCs w:val="22"/>
                <w:highlight w:val="none"/>
                <w:lang w:eastAsia="zh-CN"/>
              </w:rPr>
              <w:t>。</w:t>
            </w:r>
          </w:p>
          <w:p w14:paraId="2432067C">
            <w:pPr>
              <w:spacing w:line="440" w:lineRule="exact"/>
              <w:ind w:firstLine="535" w:firstLineChars="255"/>
              <w:rPr>
                <w:rFonts w:hint="eastAsia"/>
                <w:color w:val="auto"/>
                <w:lang w:val="en-US" w:eastAsia="zh-CN"/>
              </w:rPr>
            </w:pPr>
            <w:r>
              <w:rPr>
                <w:rFonts w:hint="eastAsia"/>
                <w:color w:val="auto"/>
                <w:sz w:val="21"/>
                <w:szCs w:val="22"/>
                <w:highlight w:val="none"/>
              </w:rPr>
              <w:t>差（</w:t>
            </w:r>
            <w:r>
              <w:rPr>
                <w:rFonts w:hint="eastAsia"/>
                <w:color w:val="auto"/>
                <w:sz w:val="21"/>
                <w:szCs w:val="22"/>
                <w:highlight w:val="none"/>
                <w:lang w:val="en-US" w:eastAsia="zh-CN"/>
              </w:rPr>
              <w:t>0</w:t>
            </w:r>
            <w:r>
              <w:rPr>
                <w:color w:val="auto"/>
                <w:sz w:val="21"/>
                <w:szCs w:val="22"/>
                <w:highlight w:val="none"/>
              </w:rPr>
              <w:t>分）：</w:t>
            </w:r>
            <w:r>
              <w:rPr>
                <w:rFonts w:hint="eastAsia"/>
                <w:color w:val="auto"/>
                <w:sz w:val="21"/>
                <w:szCs w:val="22"/>
                <w:highlight w:val="none"/>
                <w:lang w:eastAsia="zh-CN"/>
              </w:rPr>
              <w:t>无</w:t>
            </w:r>
            <w:r>
              <w:rPr>
                <w:color w:val="auto"/>
                <w:sz w:val="21"/>
                <w:szCs w:val="22"/>
                <w:highlight w:val="none"/>
              </w:rPr>
              <w:t>质量技术管理班子</w:t>
            </w:r>
            <w:r>
              <w:rPr>
                <w:rFonts w:hint="eastAsia"/>
                <w:color w:val="auto"/>
                <w:sz w:val="21"/>
                <w:szCs w:val="22"/>
                <w:highlight w:val="none"/>
                <w:lang w:eastAsia="zh-CN"/>
              </w:rPr>
              <w:t>，无</w:t>
            </w:r>
            <w:r>
              <w:rPr>
                <w:color w:val="auto"/>
                <w:sz w:val="21"/>
                <w:szCs w:val="22"/>
                <w:highlight w:val="none"/>
                <w:lang w:eastAsia="zh-CN"/>
              </w:rPr>
              <w:t>质量保证与承诺</w:t>
            </w:r>
            <w:r>
              <w:rPr>
                <w:color w:val="auto"/>
                <w:sz w:val="21"/>
                <w:szCs w:val="22"/>
                <w:highlight w:val="none"/>
              </w:rPr>
              <w:t>措施</w:t>
            </w:r>
            <w:r>
              <w:rPr>
                <w:rFonts w:hint="eastAsia"/>
                <w:color w:val="auto"/>
                <w:sz w:val="21"/>
                <w:szCs w:val="22"/>
                <w:highlight w:val="none"/>
                <w:lang w:eastAsia="zh-CN"/>
              </w:rPr>
              <w:t>。</w:t>
            </w:r>
          </w:p>
        </w:tc>
        <w:tc>
          <w:tcPr>
            <w:tcW w:w="794" w:type="dxa"/>
            <w:noWrap w:val="0"/>
            <w:vAlign w:val="center"/>
          </w:tcPr>
          <w:p w14:paraId="0D5554DD">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val="0"/>
                <w:bCs/>
                <w:color w:val="auto"/>
                <w:szCs w:val="21"/>
                <w:highlight w:val="none"/>
                <w:lang w:val="en-US" w:eastAsia="zh-CN"/>
              </w:rPr>
            </w:pPr>
            <w:r>
              <w:rPr>
                <w:b w:val="0"/>
                <w:bCs/>
                <w:color w:val="auto"/>
                <w:sz w:val="21"/>
                <w:szCs w:val="22"/>
                <w:highlight w:val="none"/>
                <w:lang w:eastAsia="zh-CN"/>
              </w:rPr>
              <w:t>3分</w:t>
            </w:r>
          </w:p>
        </w:tc>
      </w:tr>
      <w:tr w14:paraId="485356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2395F397">
            <w:pPr>
              <w:keepNext w:val="0"/>
              <w:keepLines w:val="0"/>
              <w:pageBreakBefore w:val="0"/>
              <w:widowControl w:val="0"/>
              <w:kinsoku/>
              <w:wordWrap/>
              <w:overflowPunct/>
              <w:topLinePunct w:val="0"/>
              <w:bidi w:val="0"/>
              <w:spacing w:line="400" w:lineRule="exact"/>
              <w:jc w:val="center"/>
              <w:textAlignment w:val="auto"/>
              <w:rPr>
                <w:rFonts w:hint="default" w:ascii="宋体" w:hAnsi="宋体" w:cs="宋体"/>
                <w:bCs/>
                <w:color w:val="auto"/>
                <w:szCs w:val="21"/>
                <w:highlight w:val="none"/>
                <w:lang w:val="en-US" w:eastAsia="zh-CN"/>
              </w:rPr>
            </w:pPr>
            <w:r>
              <w:rPr>
                <w:rFonts w:hint="eastAsia" w:ascii="宋体" w:hAnsi="宋体" w:cs="宋体"/>
                <w:bCs/>
                <w:color w:val="auto"/>
                <w:szCs w:val="21"/>
                <w:highlight w:val="none"/>
                <w:lang w:val="en-US" w:eastAsia="zh-CN"/>
              </w:rPr>
              <w:t>9</w:t>
            </w:r>
          </w:p>
        </w:tc>
        <w:tc>
          <w:tcPr>
            <w:tcW w:w="1082" w:type="dxa"/>
            <w:noWrap w:val="0"/>
            <w:vAlign w:val="center"/>
          </w:tcPr>
          <w:p w14:paraId="5DDE2573">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lang w:eastAsia="zh-CN"/>
              </w:rPr>
              <w:t>技术分</w:t>
            </w:r>
          </w:p>
        </w:tc>
        <w:tc>
          <w:tcPr>
            <w:tcW w:w="1575" w:type="dxa"/>
            <w:vMerge w:val="continue"/>
            <w:noWrap w:val="0"/>
            <w:vAlign w:val="center"/>
          </w:tcPr>
          <w:p w14:paraId="1D5167BB">
            <w:pPr>
              <w:keepNext w:val="0"/>
              <w:keepLines w:val="0"/>
              <w:pageBreakBefore w:val="0"/>
              <w:widowControl w:val="0"/>
              <w:numPr>
                <w:ilvl w:val="0"/>
                <w:numId w:val="0"/>
              </w:numPr>
              <w:kinsoku/>
              <w:wordWrap/>
              <w:overflowPunct/>
              <w:topLinePunct w:val="0"/>
              <w:bidi w:val="0"/>
              <w:spacing w:line="400" w:lineRule="exact"/>
              <w:jc w:val="left"/>
              <w:textAlignment w:val="auto"/>
              <w:rPr>
                <w:rFonts w:hint="eastAsia"/>
                <w:color w:val="auto"/>
                <w:lang w:val="en-US" w:eastAsia="zh-CN"/>
              </w:rPr>
            </w:pPr>
          </w:p>
        </w:tc>
        <w:tc>
          <w:tcPr>
            <w:tcW w:w="5489" w:type="dxa"/>
            <w:noWrap w:val="0"/>
            <w:vAlign w:val="center"/>
          </w:tcPr>
          <w:p w14:paraId="7B4296DB">
            <w:pPr>
              <w:spacing w:line="440" w:lineRule="exact"/>
              <w:ind w:firstLine="538" w:firstLineChars="255"/>
              <w:rPr>
                <w:rFonts w:hint="eastAsia" w:ascii="Times New Roman" w:hAnsi="Times New Roman" w:eastAsia="宋体" w:cs="Times New Roman"/>
                <w:b/>
                <w:bCs/>
                <w:color w:val="auto"/>
                <w:sz w:val="21"/>
                <w:szCs w:val="22"/>
                <w:highlight w:val="none"/>
                <w:lang w:val="en-US" w:eastAsia="zh-CN"/>
              </w:rPr>
            </w:pPr>
            <w:r>
              <w:rPr>
                <w:rFonts w:hint="eastAsia"/>
                <w:b/>
                <w:bCs/>
                <w:color w:val="auto"/>
                <w:lang w:val="en-US" w:eastAsia="zh-CN"/>
              </w:rPr>
              <w:t>（</w:t>
            </w:r>
            <w:r>
              <w:rPr>
                <w:rFonts w:hint="eastAsia" w:ascii="Times New Roman" w:hAnsi="Times New Roman" w:eastAsia="宋体" w:cs="Times New Roman"/>
                <w:b/>
                <w:bCs/>
                <w:color w:val="auto"/>
                <w:sz w:val="21"/>
                <w:szCs w:val="22"/>
                <w:highlight w:val="none"/>
                <w:lang w:val="en-US" w:eastAsia="zh-CN"/>
              </w:rPr>
              <w:t>9）新技术应用与承诺（3分）</w:t>
            </w:r>
          </w:p>
          <w:p w14:paraId="7431A893">
            <w:pPr>
              <w:spacing w:line="440" w:lineRule="exact"/>
              <w:ind w:firstLine="535" w:firstLineChars="255"/>
              <w:rPr>
                <w:rFonts w:hint="eastAsia" w:ascii="Times New Roman" w:hAnsi="Times New Roman" w:eastAsia="宋体" w:cs="Times New Roman"/>
                <w:color w:val="auto"/>
                <w:sz w:val="21"/>
                <w:szCs w:val="22"/>
                <w:highlight w:val="none"/>
                <w:lang w:val="en-US" w:eastAsia="zh-CN"/>
              </w:rPr>
            </w:pPr>
            <w:r>
              <w:rPr>
                <w:rFonts w:hint="eastAsia" w:ascii="Times New Roman" w:hAnsi="Times New Roman" w:eastAsia="宋体" w:cs="Times New Roman"/>
                <w:color w:val="auto"/>
                <w:sz w:val="21"/>
                <w:szCs w:val="22"/>
                <w:highlight w:val="none"/>
                <w:lang w:val="en-US" w:eastAsia="zh-CN"/>
              </w:rPr>
              <w:t>优（3分）：针对项目实际，提出采用新技术的具体措施。新技术的验证材料</w:t>
            </w:r>
            <w:r>
              <w:rPr>
                <w:rFonts w:hint="eastAsia" w:cs="Times New Roman"/>
                <w:color w:val="auto"/>
                <w:sz w:val="21"/>
                <w:szCs w:val="22"/>
                <w:highlight w:val="none"/>
                <w:lang w:val="en-US" w:eastAsia="zh-CN"/>
              </w:rPr>
              <w:t>有效</w:t>
            </w:r>
            <w:r>
              <w:rPr>
                <w:rFonts w:hint="eastAsia" w:ascii="Times New Roman" w:hAnsi="Times New Roman" w:eastAsia="宋体" w:cs="Times New Roman"/>
                <w:color w:val="auto"/>
                <w:sz w:val="21"/>
                <w:szCs w:val="22"/>
                <w:highlight w:val="none"/>
                <w:lang w:val="en-US" w:eastAsia="zh-CN"/>
              </w:rPr>
              <w:t>，对节约投资和工期的保证措施</w:t>
            </w:r>
            <w:r>
              <w:rPr>
                <w:rFonts w:hint="eastAsia" w:cs="Times New Roman"/>
                <w:color w:val="auto"/>
                <w:sz w:val="21"/>
                <w:szCs w:val="22"/>
                <w:highlight w:val="none"/>
                <w:lang w:val="en-US" w:eastAsia="zh-CN"/>
              </w:rPr>
              <w:t>符合项目施工要求</w:t>
            </w:r>
            <w:r>
              <w:rPr>
                <w:rFonts w:hint="eastAsia" w:ascii="Times New Roman" w:hAnsi="Times New Roman" w:eastAsia="宋体" w:cs="Times New Roman"/>
                <w:color w:val="auto"/>
                <w:sz w:val="21"/>
                <w:szCs w:val="22"/>
                <w:highlight w:val="none"/>
                <w:lang w:val="en-US" w:eastAsia="zh-CN"/>
              </w:rPr>
              <w:t>、</w:t>
            </w:r>
            <w:r>
              <w:rPr>
                <w:rFonts w:hint="eastAsia" w:cs="Times New Roman"/>
                <w:color w:val="auto"/>
                <w:sz w:val="21"/>
                <w:szCs w:val="22"/>
                <w:highlight w:val="none"/>
                <w:lang w:val="en-US" w:eastAsia="zh-CN"/>
              </w:rPr>
              <w:t>详细</w:t>
            </w:r>
            <w:r>
              <w:rPr>
                <w:rFonts w:hint="eastAsia" w:ascii="Times New Roman" w:hAnsi="Times New Roman" w:eastAsia="宋体" w:cs="Times New Roman"/>
                <w:color w:val="auto"/>
                <w:sz w:val="21"/>
                <w:szCs w:val="22"/>
                <w:highlight w:val="none"/>
                <w:lang w:val="en-US" w:eastAsia="zh-CN"/>
              </w:rPr>
              <w:t>具体、严谨。对采用新技术可能产生的风险预见充分，对新技术的实施有安全生产的</w:t>
            </w:r>
            <w:r>
              <w:rPr>
                <w:rFonts w:hint="eastAsia" w:cs="Times New Roman"/>
                <w:color w:val="auto"/>
                <w:sz w:val="21"/>
                <w:szCs w:val="22"/>
                <w:highlight w:val="none"/>
                <w:lang w:val="en-US" w:eastAsia="zh-CN"/>
              </w:rPr>
              <w:t>详细具体</w:t>
            </w:r>
            <w:r>
              <w:rPr>
                <w:rFonts w:hint="eastAsia" w:ascii="Times New Roman" w:hAnsi="Times New Roman" w:eastAsia="宋体" w:cs="Times New Roman"/>
                <w:color w:val="auto"/>
                <w:sz w:val="21"/>
                <w:szCs w:val="22"/>
                <w:highlight w:val="none"/>
                <w:lang w:val="en-US" w:eastAsia="zh-CN"/>
              </w:rPr>
              <w:t>方案。</w:t>
            </w:r>
          </w:p>
          <w:p w14:paraId="59C3A3A6">
            <w:pPr>
              <w:spacing w:line="440" w:lineRule="exact"/>
              <w:ind w:firstLine="535" w:firstLineChars="255"/>
              <w:rPr>
                <w:rFonts w:hint="eastAsia" w:ascii="Times New Roman" w:hAnsi="Times New Roman" w:eastAsia="宋体" w:cs="Times New Roman"/>
                <w:color w:val="auto"/>
                <w:sz w:val="21"/>
                <w:szCs w:val="22"/>
                <w:highlight w:val="none"/>
                <w:lang w:val="en-US" w:eastAsia="zh-CN"/>
              </w:rPr>
            </w:pPr>
            <w:r>
              <w:rPr>
                <w:rFonts w:hint="eastAsia" w:ascii="Times New Roman" w:hAnsi="Times New Roman" w:eastAsia="宋体" w:cs="Times New Roman"/>
                <w:color w:val="auto"/>
                <w:sz w:val="21"/>
                <w:szCs w:val="22"/>
                <w:highlight w:val="none"/>
                <w:lang w:val="en-US" w:eastAsia="zh-CN"/>
              </w:rPr>
              <w:t>良（2 分）：针对项目实际，提出采用新技术的具体措施。新技术的验证材料</w:t>
            </w:r>
            <w:r>
              <w:rPr>
                <w:rFonts w:hint="eastAsia" w:cs="Times New Roman"/>
                <w:color w:val="auto"/>
                <w:sz w:val="21"/>
                <w:szCs w:val="22"/>
                <w:highlight w:val="none"/>
                <w:lang w:val="en-US" w:eastAsia="zh-CN"/>
              </w:rPr>
              <w:t>有效</w:t>
            </w:r>
            <w:r>
              <w:rPr>
                <w:rFonts w:hint="eastAsia" w:ascii="Times New Roman" w:hAnsi="Times New Roman" w:eastAsia="宋体" w:cs="Times New Roman"/>
                <w:color w:val="auto"/>
                <w:sz w:val="21"/>
                <w:szCs w:val="22"/>
                <w:highlight w:val="none"/>
                <w:lang w:val="en-US" w:eastAsia="zh-CN"/>
              </w:rPr>
              <w:t>，对节约投资和工期有保证措施。对采用新技术可能产生的风险有一定的预见</w:t>
            </w:r>
            <w:r>
              <w:rPr>
                <w:rFonts w:hint="eastAsia" w:cs="Times New Roman"/>
                <w:color w:val="auto"/>
                <w:sz w:val="21"/>
                <w:szCs w:val="22"/>
                <w:highlight w:val="none"/>
                <w:lang w:val="en-US" w:eastAsia="zh-CN"/>
              </w:rPr>
              <w:t>，对新技术的实施缺乏有针对性的方案</w:t>
            </w:r>
            <w:r>
              <w:rPr>
                <w:rFonts w:hint="eastAsia" w:ascii="Times New Roman" w:hAnsi="Times New Roman" w:eastAsia="宋体" w:cs="Times New Roman"/>
                <w:color w:val="auto"/>
                <w:sz w:val="21"/>
                <w:szCs w:val="22"/>
                <w:highlight w:val="none"/>
                <w:lang w:val="en-US" w:eastAsia="zh-CN"/>
              </w:rPr>
              <w:t>。</w:t>
            </w:r>
          </w:p>
          <w:p w14:paraId="54CDFBC8">
            <w:pPr>
              <w:spacing w:line="440" w:lineRule="exact"/>
              <w:ind w:firstLine="535" w:firstLineChars="255"/>
              <w:rPr>
                <w:rFonts w:hint="eastAsia" w:ascii="Times New Roman" w:hAnsi="Times New Roman" w:eastAsia="宋体" w:cs="Times New Roman"/>
                <w:color w:val="auto"/>
                <w:sz w:val="21"/>
                <w:szCs w:val="22"/>
                <w:highlight w:val="none"/>
                <w:lang w:val="en-US" w:eastAsia="zh-CN"/>
              </w:rPr>
            </w:pPr>
            <w:r>
              <w:rPr>
                <w:rFonts w:hint="eastAsia" w:ascii="Times New Roman" w:hAnsi="Times New Roman" w:eastAsia="宋体" w:cs="Times New Roman"/>
                <w:color w:val="auto"/>
                <w:sz w:val="21"/>
                <w:szCs w:val="22"/>
                <w:highlight w:val="none"/>
                <w:lang w:val="en-US" w:eastAsia="zh-CN"/>
              </w:rPr>
              <w:t>中（1分）：有新技术措施，但</w:t>
            </w:r>
            <w:r>
              <w:rPr>
                <w:rFonts w:hint="eastAsia" w:cs="Times New Roman"/>
                <w:color w:val="auto"/>
                <w:sz w:val="21"/>
                <w:szCs w:val="22"/>
                <w:highlight w:val="none"/>
                <w:lang w:val="en-US" w:eastAsia="zh-CN"/>
              </w:rPr>
              <w:t>缺乏</w:t>
            </w:r>
            <w:r>
              <w:rPr>
                <w:rFonts w:hint="eastAsia" w:ascii="Times New Roman" w:hAnsi="Times New Roman" w:eastAsia="宋体" w:cs="Times New Roman"/>
                <w:color w:val="auto"/>
                <w:sz w:val="21"/>
                <w:szCs w:val="22"/>
                <w:highlight w:val="none"/>
                <w:lang w:val="en-US" w:eastAsia="zh-CN"/>
              </w:rPr>
              <w:t>验证材料，对节约投资和工期可能有一定</w:t>
            </w:r>
            <w:r>
              <w:rPr>
                <w:rFonts w:hint="eastAsia" w:cs="Times New Roman"/>
                <w:color w:val="auto"/>
                <w:sz w:val="21"/>
                <w:szCs w:val="22"/>
                <w:highlight w:val="none"/>
                <w:lang w:val="en-US" w:eastAsia="zh-CN"/>
              </w:rPr>
              <w:t>的</w:t>
            </w:r>
            <w:r>
              <w:rPr>
                <w:rFonts w:hint="eastAsia" w:ascii="Times New Roman" w:hAnsi="Times New Roman" w:eastAsia="宋体" w:cs="Times New Roman"/>
                <w:color w:val="auto"/>
                <w:sz w:val="21"/>
                <w:szCs w:val="22"/>
                <w:highlight w:val="none"/>
                <w:lang w:val="en-US" w:eastAsia="zh-CN"/>
              </w:rPr>
              <w:t>收益，对采用新技术可能产生的风险预见不足。</w:t>
            </w:r>
          </w:p>
          <w:p w14:paraId="563C453A">
            <w:pPr>
              <w:spacing w:line="440" w:lineRule="exact"/>
              <w:ind w:firstLine="535" w:firstLineChars="255"/>
              <w:rPr>
                <w:rFonts w:hint="eastAsia"/>
                <w:color w:val="auto"/>
                <w:lang w:val="en-US" w:eastAsia="zh-CN"/>
              </w:rPr>
            </w:pPr>
            <w:r>
              <w:rPr>
                <w:rFonts w:hint="eastAsia" w:ascii="Times New Roman" w:hAnsi="Times New Roman" w:eastAsia="宋体" w:cs="Times New Roman"/>
                <w:color w:val="auto"/>
                <w:sz w:val="21"/>
                <w:szCs w:val="22"/>
                <w:highlight w:val="none"/>
                <w:lang w:val="en-US" w:eastAsia="zh-CN"/>
              </w:rPr>
              <w:t>差（0分）：采用的新技</w:t>
            </w:r>
            <w:r>
              <w:rPr>
                <w:rFonts w:hint="eastAsia"/>
                <w:color w:val="auto"/>
                <w:lang w:val="en-US" w:eastAsia="zh-CN"/>
              </w:rPr>
              <w:t>术</w:t>
            </w:r>
            <w:bookmarkStart w:id="1105" w:name="_GoBack"/>
            <w:bookmarkEnd w:id="1105"/>
            <w:r>
              <w:rPr>
                <w:rFonts w:hint="eastAsia"/>
                <w:color w:val="auto"/>
                <w:lang w:val="en-US" w:eastAsia="zh-CN"/>
              </w:rPr>
              <w:t>无可行性，对节约投资和工期没有具体收益。</w:t>
            </w:r>
          </w:p>
        </w:tc>
        <w:tc>
          <w:tcPr>
            <w:tcW w:w="794" w:type="dxa"/>
            <w:noWrap w:val="0"/>
            <w:vAlign w:val="center"/>
          </w:tcPr>
          <w:p w14:paraId="364F4040">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 w:val="0"/>
                <w:bCs/>
                <w:color w:val="auto"/>
                <w:szCs w:val="21"/>
                <w:highlight w:val="none"/>
                <w:lang w:val="en-US" w:eastAsia="zh-CN"/>
              </w:rPr>
            </w:pPr>
            <w:r>
              <w:rPr>
                <w:rFonts w:hint="eastAsia" w:ascii="Times New Roman" w:hAnsi="Times New Roman" w:eastAsia="宋体" w:cs="Times New Roman"/>
                <w:b w:val="0"/>
                <w:bCs/>
                <w:color w:val="auto"/>
                <w:sz w:val="21"/>
                <w:szCs w:val="22"/>
                <w:highlight w:val="none"/>
                <w:lang w:val="en-US" w:eastAsia="zh-CN"/>
              </w:rPr>
              <w:t>3分</w:t>
            </w:r>
          </w:p>
        </w:tc>
      </w:tr>
      <w:tr w14:paraId="055C8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282ECD75">
            <w:pPr>
              <w:keepNext w:val="0"/>
              <w:keepLines w:val="0"/>
              <w:pageBreakBefore w:val="0"/>
              <w:widowControl w:val="0"/>
              <w:numPr>
                <w:ilvl w:val="0"/>
                <w:numId w:val="0"/>
              </w:numPr>
              <w:kinsoku/>
              <w:wordWrap/>
              <w:overflowPunct/>
              <w:topLinePunct w:val="0"/>
              <w:autoSpaceDE w:val="0"/>
              <w:autoSpaceDN w:val="0"/>
              <w:bidi w:val="0"/>
              <w:adjustRightInd w:val="0"/>
              <w:snapToGrid w:val="0"/>
              <w:spacing w:line="400" w:lineRule="exact"/>
              <w:jc w:val="center"/>
              <w:textAlignment w:val="auto"/>
              <w:rPr>
                <w:rFonts w:hint="eastAsia" w:ascii="宋体" w:hAnsi="宋体" w:eastAsia="宋体" w:cs="宋体"/>
                <w:b/>
                <w:color w:val="auto"/>
                <w:szCs w:val="21"/>
                <w:highlight w:val="none"/>
                <w:lang w:val="en-US" w:eastAsia="zh-CN"/>
              </w:rPr>
            </w:pPr>
            <w:r>
              <w:rPr>
                <w:rFonts w:hint="eastAsia" w:ascii="宋体" w:hAnsi="宋体" w:eastAsia="宋体" w:cs="宋体"/>
                <w:b/>
                <w:color w:val="auto"/>
                <w:szCs w:val="21"/>
                <w:highlight w:val="none"/>
                <w:lang w:val="en-US" w:eastAsia="zh-CN"/>
              </w:rPr>
              <w:t>三</w:t>
            </w:r>
          </w:p>
        </w:tc>
        <w:tc>
          <w:tcPr>
            <w:tcW w:w="8146" w:type="dxa"/>
            <w:gridSpan w:val="3"/>
            <w:noWrap w:val="0"/>
            <w:vAlign w:val="center"/>
          </w:tcPr>
          <w:p w14:paraId="7DA01618">
            <w:pPr>
              <w:keepNext w:val="0"/>
              <w:keepLines w:val="0"/>
              <w:pageBreakBefore w:val="0"/>
              <w:widowControl w:val="0"/>
              <w:numPr>
                <w:ilvl w:val="0"/>
                <w:numId w:val="0"/>
              </w:numPr>
              <w:kinsoku/>
              <w:wordWrap/>
              <w:overflowPunct/>
              <w:topLinePunct w:val="0"/>
              <w:autoSpaceDE w:val="0"/>
              <w:autoSpaceDN w:val="0"/>
              <w:bidi w:val="0"/>
              <w:adjustRightInd w:val="0"/>
              <w:snapToGrid w:val="0"/>
              <w:spacing w:line="400" w:lineRule="exact"/>
              <w:jc w:val="center"/>
              <w:textAlignment w:val="auto"/>
              <w:rPr>
                <w:rFonts w:hint="eastAsia" w:ascii="宋体" w:hAnsi="宋体" w:eastAsia="宋体" w:cs="宋体"/>
                <w:b/>
                <w:color w:val="auto"/>
                <w:szCs w:val="21"/>
                <w:highlight w:val="none"/>
                <w:lang w:eastAsia="zh-CN"/>
              </w:rPr>
            </w:pPr>
            <w:r>
              <w:rPr>
                <w:rFonts w:hint="eastAsia" w:ascii="宋体" w:hAnsi="宋体" w:eastAsia="宋体" w:cs="宋体"/>
                <w:b/>
                <w:color w:val="auto"/>
                <w:szCs w:val="21"/>
                <w:highlight w:val="none"/>
                <w:lang w:eastAsia="zh-CN"/>
              </w:rPr>
              <w:t>商务分</w:t>
            </w:r>
          </w:p>
        </w:tc>
        <w:tc>
          <w:tcPr>
            <w:tcW w:w="794" w:type="dxa"/>
            <w:noWrap w:val="0"/>
            <w:vAlign w:val="center"/>
          </w:tcPr>
          <w:p w14:paraId="567D321B">
            <w:pPr>
              <w:keepNext w:val="0"/>
              <w:keepLines w:val="0"/>
              <w:pageBreakBefore w:val="0"/>
              <w:widowControl w:val="0"/>
              <w:numPr>
                <w:ilvl w:val="0"/>
                <w:numId w:val="0"/>
              </w:numPr>
              <w:kinsoku/>
              <w:wordWrap/>
              <w:overflowPunct/>
              <w:topLinePunct w:val="0"/>
              <w:autoSpaceDE w:val="0"/>
              <w:autoSpaceDN w:val="0"/>
              <w:bidi w:val="0"/>
              <w:adjustRightInd w:val="0"/>
              <w:snapToGrid w:val="0"/>
              <w:spacing w:line="400" w:lineRule="exact"/>
              <w:jc w:val="center"/>
              <w:textAlignment w:val="auto"/>
              <w:rPr>
                <w:rFonts w:hint="default" w:ascii="宋体" w:hAnsi="宋体" w:eastAsia="宋体" w:cs="宋体"/>
                <w:b/>
                <w:color w:val="auto"/>
                <w:szCs w:val="21"/>
                <w:highlight w:val="none"/>
                <w:lang w:val="en-US" w:eastAsia="zh-CN"/>
              </w:rPr>
            </w:pPr>
            <w:r>
              <w:rPr>
                <w:rFonts w:hint="eastAsia" w:ascii="宋体" w:hAnsi="宋体" w:cs="宋体"/>
                <w:b/>
                <w:color w:val="auto"/>
                <w:szCs w:val="21"/>
                <w:highlight w:val="none"/>
                <w:lang w:val="en-US" w:eastAsia="zh-CN"/>
              </w:rPr>
              <w:t>20</w:t>
            </w:r>
            <w:r>
              <w:rPr>
                <w:rFonts w:hint="eastAsia" w:ascii="宋体" w:hAnsi="宋体" w:eastAsia="宋体" w:cs="宋体"/>
                <w:b/>
                <w:color w:val="auto"/>
                <w:szCs w:val="21"/>
                <w:highlight w:val="none"/>
                <w:lang w:val="en-US" w:eastAsia="zh-CN"/>
              </w:rPr>
              <w:t>分</w:t>
            </w:r>
          </w:p>
        </w:tc>
      </w:tr>
      <w:tr w14:paraId="505FE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2AF4DA95">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val="en-US" w:eastAsia="zh-CN"/>
              </w:rPr>
            </w:pPr>
            <w:r>
              <w:rPr>
                <w:rFonts w:hint="eastAsia" w:ascii="宋体" w:hAnsi="宋体" w:cs="宋体"/>
                <w:bCs/>
                <w:color w:val="auto"/>
                <w:szCs w:val="21"/>
                <w:highlight w:val="none"/>
                <w:lang w:val="en-US" w:eastAsia="zh-CN"/>
              </w:rPr>
              <w:t>1</w:t>
            </w:r>
          </w:p>
        </w:tc>
        <w:tc>
          <w:tcPr>
            <w:tcW w:w="1082" w:type="dxa"/>
            <w:noWrap w:val="0"/>
            <w:vAlign w:val="center"/>
          </w:tcPr>
          <w:p w14:paraId="0AC1E8DC">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商务分</w:t>
            </w:r>
          </w:p>
        </w:tc>
        <w:tc>
          <w:tcPr>
            <w:tcW w:w="1575" w:type="dxa"/>
            <w:noWrap w:val="0"/>
            <w:vAlign w:val="center"/>
          </w:tcPr>
          <w:p w14:paraId="452CB802">
            <w:pPr>
              <w:keepNext w:val="0"/>
              <w:keepLines w:val="0"/>
              <w:pageBreakBefore w:val="0"/>
              <w:widowControl w:val="0"/>
              <w:shd w:val="clear" w:color="auto" w:fill="FFFFFF"/>
              <w:kinsoku/>
              <w:wordWrap/>
              <w:overflowPunct/>
              <w:topLinePunct w:val="0"/>
              <w:bidi w:val="0"/>
              <w:spacing w:line="400" w:lineRule="exact"/>
              <w:jc w:val="center"/>
              <w:textAlignment w:val="auto"/>
              <w:rPr>
                <w:rFonts w:hint="eastAsia" w:ascii="宋体" w:hAnsi="宋体" w:eastAsia="宋体" w:cs="宋体"/>
                <w:b/>
                <w:bCs w:val="0"/>
                <w:color w:val="auto"/>
                <w:spacing w:val="0"/>
                <w:kern w:val="0"/>
                <w:sz w:val="21"/>
                <w:szCs w:val="21"/>
                <w:highlight w:val="none"/>
                <w:lang w:val="en-US" w:eastAsia="zh-CN" w:bidi="ar-SA"/>
              </w:rPr>
            </w:pPr>
            <w:r>
              <w:rPr>
                <w:rFonts w:hint="eastAsia" w:ascii="宋体" w:hAnsi="宋体" w:eastAsia="宋体" w:cs="宋体"/>
                <w:b/>
                <w:bCs w:val="0"/>
                <w:color w:val="auto"/>
                <w:spacing w:val="0"/>
                <w:kern w:val="0"/>
                <w:sz w:val="21"/>
                <w:szCs w:val="21"/>
                <w:highlight w:val="none"/>
                <w:lang w:val="en-US" w:eastAsia="zh-CN" w:bidi="ar-SA"/>
              </w:rPr>
              <w:t>项目管理机构</w:t>
            </w:r>
          </w:p>
          <w:p w14:paraId="0C7A405F">
            <w:pPr>
              <w:keepNext w:val="0"/>
              <w:keepLines w:val="0"/>
              <w:pageBreakBefore w:val="0"/>
              <w:widowControl w:val="0"/>
              <w:shd w:val="clear" w:color="auto" w:fill="FFFFFF"/>
              <w:kinsoku/>
              <w:wordWrap/>
              <w:overflowPunct/>
              <w:topLinePunct w:val="0"/>
              <w:bidi w:val="0"/>
              <w:spacing w:line="400" w:lineRule="exact"/>
              <w:jc w:val="center"/>
              <w:textAlignment w:val="auto"/>
              <w:rPr>
                <w:rFonts w:hint="eastAsia" w:ascii="宋体" w:hAnsi="宋体" w:eastAsia="宋体" w:cs="宋体"/>
                <w:b/>
                <w:bCs w:val="0"/>
                <w:color w:val="auto"/>
                <w:spacing w:val="0"/>
                <w:kern w:val="0"/>
                <w:sz w:val="21"/>
                <w:szCs w:val="21"/>
                <w:highlight w:val="none"/>
                <w:lang w:val="en-US" w:eastAsia="zh-CN" w:bidi="ar-SA"/>
              </w:rPr>
            </w:pPr>
            <w:r>
              <w:rPr>
                <w:rFonts w:hint="eastAsia" w:ascii="宋体" w:hAnsi="宋体" w:cs="宋体"/>
                <w:b/>
                <w:bCs w:val="0"/>
                <w:color w:val="auto"/>
                <w:spacing w:val="0"/>
                <w:kern w:val="0"/>
                <w:sz w:val="21"/>
                <w:szCs w:val="21"/>
                <w:highlight w:val="none"/>
                <w:lang w:val="en-US" w:eastAsia="zh-CN" w:bidi="ar-SA"/>
              </w:rPr>
              <w:t>（满分10分）</w:t>
            </w:r>
          </w:p>
        </w:tc>
        <w:tc>
          <w:tcPr>
            <w:tcW w:w="5489" w:type="dxa"/>
            <w:noWrap w:val="0"/>
            <w:vAlign w:val="center"/>
          </w:tcPr>
          <w:p w14:paraId="0BAD9590">
            <w:pPr>
              <w:spacing w:line="440" w:lineRule="exact"/>
              <w:ind w:firstLine="535" w:firstLineChars="255"/>
              <w:rPr>
                <w:color w:val="0000FF"/>
                <w:sz w:val="21"/>
                <w:szCs w:val="22"/>
                <w:highlight w:val="none"/>
              </w:rPr>
            </w:pPr>
            <w:r>
              <w:rPr>
                <w:rFonts w:hint="eastAsia"/>
                <w:color w:val="0000FF"/>
                <w:sz w:val="21"/>
                <w:szCs w:val="22"/>
                <w:highlight w:val="none"/>
                <w:lang w:eastAsia="zh-CN"/>
              </w:rPr>
              <w:t>（</w:t>
            </w:r>
            <w:r>
              <w:rPr>
                <w:color w:val="0000FF"/>
                <w:sz w:val="21"/>
                <w:szCs w:val="22"/>
                <w:highlight w:val="none"/>
                <w:lang w:eastAsia="zh-CN"/>
              </w:rPr>
              <w:t>1）项目经理</w:t>
            </w:r>
            <w:r>
              <w:rPr>
                <w:rFonts w:hint="eastAsia"/>
                <w:color w:val="0000FF"/>
                <w:sz w:val="21"/>
                <w:szCs w:val="22"/>
                <w:highlight w:val="none"/>
                <w:lang w:eastAsia="zh-CN"/>
              </w:rPr>
              <w:t>职称</w:t>
            </w:r>
            <w:r>
              <w:rPr>
                <w:color w:val="0000FF"/>
                <w:sz w:val="21"/>
                <w:szCs w:val="22"/>
                <w:highlight w:val="none"/>
                <w:lang w:eastAsia="zh-CN"/>
              </w:rPr>
              <w:t>：</w:t>
            </w:r>
            <w:r>
              <w:rPr>
                <w:rFonts w:hint="eastAsia" w:ascii="宋体" w:hAnsi="宋体"/>
                <w:color w:val="0000FF"/>
                <w:sz w:val="21"/>
                <w:highlight w:val="none"/>
                <w:lang w:eastAsia="zh-CN"/>
              </w:rPr>
              <w:t>具有工程类中级</w:t>
            </w:r>
            <w:r>
              <w:rPr>
                <w:rFonts w:ascii="宋体" w:hAnsi="宋体" w:eastAsia="宋体"/>
                <w:color w:val="0000FF"/>
                <w:sz w:val="21"/>
                <w:highlight w:val="none"/>
                <w:lang w:eastAsia="zh-CN"/>
              </w:rPr>
              <w:t>职称的得2分，具有</w:t>
            </w:r>
            <w:r>
              <w:rPr>
                <w:rFonts w:hint="eastAsia" w:ascii="宋体" w:hAnsi="宋体"/>
                <w:color w:val="0000FF"/>
                <w:sz w:val="21"/>
                <w:highlight w:val="none"/>
                <w:lang w:eastAsia="zh-CN"/>
              </w:rPr>
              <w:t>工程类高级（含）以上</w:t>
            </w:r>
            <w:r>
              <w:rPr>
                <w:rFonts w:hint="eastAsia" w:ascii="宋体" w:hAnsi="宋体" w:eastAsia="宋体"/>
                <w:color w:val="0000FF"/>
                <w:sz w:val="21"/>
                <w:highlight w:val="none"/>
                <w:lang w:eastAsia="zh-CN"/>
              </w:rPr>
              <w:t>职称</w:t>
            </w:r>
            <w:r>
              <w:rPr>
                <w:rFonts w:hint="eastAsia" w:ascii="宋体" w:hAnsi="宋体"/>
                <w:color w:val="0000FF"/>
                <w:sz w:val="21"/>
                <w:highlight w:val="none"/>
                <w:lang w:eastAsia="zh-CN"/>
              </w:rPr>
              <w:t>的</w:t>
            </w:r>
            <w:r>
              <w:rPr>
                <w:rFonts w:ascii="宋体" w:hAnsi="宋体" w:eastAsia="宋体"/>
                <w:color w:val="0000FF"/>
                <w:sz w:val="21"/>
                <w:highlight w:val="none"/>
                <w:lang w:eastAsia="zh-CN"/>
              </w:rPr>
              <w:t>得4分。</w:t>
            </w:r>
            <w:r>
              <w:rPr>
                <w:color w:val="0000FF"/>
                <w:sz w:val="21"/>
                <w:szCs w:val="22"/>
                <w:highlight w:val="none"/>
              </w:rPr>
              <w:t>（满分</w:t>
            </w:r>
            <w:r>
              <w:rPr>
                <w:rFonts w:hint="eastAsia"/>
                <w:color w:val="0000FF"/>
                <w:sz w:val="21"/>
                <w:szCs w:val="22"/>
                <w:highlight w:val="none"/>
              </w:rPr>
              <w:t>4</w:t>
            </w:r>
            <w:r>
              <w:rPr>
                <w:color w:val="0000FF"/>
                <w:sz w:val="21"/>
                <w:szCs w:val="22"/>
                <w:highlight w:val="none"/>
              </w:rPr>
              <w:t>分）</w:t>
            </w:r>
          </w:p>
          <w:p w14:paraId="49D3EFE4">
            <w:pPr>
              <w:spacing w:line="440" w:lineRule="exact"/>
              <w:ind w:firstLine="535" w:firstLineChars="255"/>
              <w:rPr>
                <w:color w:val="0000FF"/>
                <w:sz w:val="21"/>
                <w:szCs w:val="22"/>
                <w:highlight w:val="none"/>
                <w:lang w:eastAsia="zh-CN"/>
              </w:rPr>
            </w:pPr>
            <w:r>
              <w:rPr>
                <w:rFonts w:hint="eastAsia"/>
                <w:color w:val="0000FF"/>
                <w:sz w:val="21"/>
                <w:szCs w:val="22"/>
                <w:highlight w:val="none"/>
                <w:lang w:eastAsia="zh-CN"/>
              </w:rPr>
              <w:t>（</w:t>
            </w:r>
            <w:r>
              <w:rPr>
                <w:color w:val="0000FF"/>
                <w:sz w:val="21"/>
                <w:szCs w:val="22"/>
                <w:highlight w:val="none"/>
                <w:lang w:eastAsia="zh-CN"/>
              </w:rPr>
              <w:t>2）技术负责人职称：具有</w:t>
            </w:r>
            <w:r>
              <w:rPr>
                <w:rFonts w:hint="eastAsia" w:ascii="宋体" w:hAnsi="宋体"/>
                <w:color w:val="0000FF"/>
                <w:sz w:val="21"/>
                <w:highlight w:val="none"/>
                <w:lang w:eastAsia="zh-CN"/>
              </w:rPr>
              <w:t>工程类高级（含）以上</w:t>
            </w:r>
            <w:r>
              <w:rPr>
                <w:rFonts w:hint="eastAsia" w:ascii="宋体" w:hAnsi="宋体" w:eastAsia="宋体"/>
                <w:color w:val="0000FF"/>
                <w:sz w:val="21"/>
                <w:highlight w:val="none"/>
                <w:lang w:eastAsia="zh-CN"/>
              </w:rPr>
              <w:t>职称</w:t>
            </w:r>
            <w:r>
              <w:rPr>
                <w:rFonts w:hint="eastAsia" w:ascii="宋体" w:hAnsi="宋体"/>
                <w:color w:val="0000FF"/>
                <w:sz w:val="21"/>
                <w:highlight w:val="none"/>
                <w:lang w:eastAsia="zh-CN"/>
              </w:rPr>
              <w:t>的</w:t>
            </w:r>
            <w:r>
              <w:rPr>
                <w:color w:val="0000FF"/>
                <w:sz w:val="21"/>
                <w:szCs w:val="22"/>
                <w:highlight w:val="none"/>
                <w:lang w:eastAsia="zh-CN"/>
              </w:rPr>
              <w:t>得4分。（满分4 分）</w:t>
            </w:r>
          </w:p>
          <w:p w14:paraId="4243CF3F">
            <w:pPr>
              <w:spacing w:line="440" w:lineRule="exact"/>
              <w:ind w:firstLine="535" w:firstLineChars="255"/>
              <w:rPr>
                <w:color w:val="0000FF"/>
              </w:rPr>
            </w:pPr>
            <w:r>
              <w:rPr>
                <w:rFonts w:hint="eastAsia"/>
                <w:color w:val="0000FF"/>
                <w:sz w:val="21"/>
                <w:szCs w:val="22"/>
                <w:highlight w:val="none"/>
                <w:lang w:eastAsia="zh-CN"/>
              </w:rPr>
              <w:t>（3）</w:t>
            </w:r>
            <w:r>
              <w:rPr>
                <w:rFonts w:hint="eastAsia"/>
                <w:color w:val="0000FF"/>
                <w:sz w:val="21"/>
                <w:highlight w:val="none"/>
                <w:lang w:eastAsia="zh-CN"/>
              </w:rPr>
              <w:t>除项目经理、技术负责人外，拟投入的其他项目管理人员</w:t>
            </w:r>
            <w:r>
              <w:rPr>
                <w:rFonts w:hint="eastAsia"/>
                <w:color w:val="0000FF"/>
                <w:sz w:val="21"/>
                <w:szCs w:val="22"/>
                <w:highlight w:val="none"/>
                <w:lang w:eastAsia="zh-CN"/>
              </w:rPr>
              <w:t>每具有一名</w:t>
            </w:r>
            <w:r>
              <w:rPr>
                <w:rFonts w:hint="eastAsia" w:ascii="宋体" w:hAnsi="宋体"/>
                <w:color w:val="0000FF"/>
                <w:sz w:val="21"/>
                <w:highlight w:val="none"/>
                <w:lang w:eastAsia="zh-CN"/>
              </w:rPr>
              <w:t>工程类高级（含）以上职称的得</w:t>
            </w:r>
            <w:r>
              <w:rPr>
                <w:rFonts w:hint="eastAsia"/>
                <w:color w:val="0000FF"/>
                <w:sz w:val="21"/>
                <w:szCs w:val="22"/>
                <w:highlight w:val="none"/>
                <w:lang w:eastAsia="zh-CN"/>
              </w:rPr>
              <w:t>1分。（满分2分）</w:t>
            </w:r>
          </w:p>
          <w:p w14:paraId="6FEA647B">
            <w:pPr>
              <w:spacing w:line="440" w:lineRule="exact"/>
              <w:ind w:firstLine="538" w:firstLineChars="255"/>
              <w:rPr>
                <w:rFonts w:hint="eastAsia" w:eastAsia="宋体"/>
                <w:color w:val="auto"/>
                <w:lang w:val="en-US" w:eastAsia="zh-CN"/>
              </w:rPr>
            </w:pPr>
            <w:r>
              <w:rPr>
                <w:rFonts w:hint="eastAsia"/>
                <w:b/>
                <w:bCs/>
                <w:color w:val="0000FF"/>
                <w:lang w:eastAsia="zh-CN"/>
              </w:rPr>
              <w:t>注：供应商于首次响应文件中提供以上人员相关的职称证书复印件，并加盖供应商公章，否则不予计分。</w:t>
            </w:r>
          </w:p>
        </w:tc>
        <w:tc>
          <w:tcPr>
            <w:tcW w:w="794" w:type="dxa"/>
            <w:noWrap w:val="0"/>
            <w:vAlign w:val="center"/>
          </w:tcPr>
          <w:p w14:paraId="1D0093B4">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cs="宋体"/>
                <w:bCs/>
                <w:color w:val="auto"/>
                <w:szCs w:val="21"/>
                <w:highlight w:val="none"/>
                <w:lang w:val="en-US" w:eastAsia="zh-CN"/>
              </w:rPr>
              <w:t>10</w:t>
            </w:r>
            <w:r>
              <w:rPr>
                <w:rFonts w:hint="eastAsia" w:ascii="宋体" w:hAnsi="宋体" w:eastAsia="宋体" w:cs="宋体"/>
                <w:bCs/>
                <w:color w:val="auto"/>
                <w:szCs w:val="21"/>
                <w:highlight w:val="none"/>
              </w:rPr>
              <w:t>分</w:t>
            </w:r>
          </w:p>
        </w:tc>
      </w:tr>
      <w:tr w14:paraId="4085D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4734D8F4">
            <w:pPr>
              <w:keepNext w:val="0"/>
              <w:keepLines w:val="0"/>
              <w:pageBreakBefore w:val="0"/>
              <w:widowControl w:val="0"/>
              <w:kinsoku/>
              <w:wordWrap/>
              <w:overflowPunct/>
              <w:topLinePunct w:val="0"/>
              <w:bidi w:val="0"/>
              <w:spacing w:line="400" w:lineRule="exact"/>
              <w:jc w:val="center"/>
              <w:textAlignment w:val="auto"/>
              <w:rPr>
                <w:rFonts w:hint="default" w:ascii="宋体" w:hAnsi="宋体" w:cs="宋体"/>
                <w:bCs/>
                <w:color w:val="auto"/>
                <w:szCs w:val="21"/>
                <w:highlight w:val="none"/>
                <w:lang w:val="en-US" w:eastAsia="zh-CN"/>
              </w:rPr>
            </w:pPr>
            <w:bookmarkStart w:id="176" w:name="_Toc80205935"/>
            <w:r>
              <w:rPr>
                <w:rFonts w:hint="eastAsia" w:ascii="宋体" w:hAnsi="宋体" w:cs="宋体"/>
                <w:bCs/>
                <w:color w:val="auto"/>
                <w:szCs w:val="21"/>
                <w:highlight w:val="none"/>
                <w:lang w:val="en-US" w:eastAsia="zh-CN"/>
              </w:rPr>
              <w:t>2</w:t>
            </w:r>
          </w:p>
        </w:tc>
        <w:tc>
          <w:tcPr>
            <w:tcW w:w="1082" w:type="dxa"/>
            <w:noWrap w:val="0"/>
            <w:vAlign w:val="center"/>
          </w:tcPr>
          <w:p w14:paraId="0EF53C4D">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商务分</w:t>
            </w:r>
          </w:p>
        </w:tc>
        <w:tc>
          <w:tcPr>
            <w:tcW w:w="1575" w:type="dxa"/>
            <w:noWrap w:val="0"/>
            <w:vAlign w:val="center"/>
          </w:tcPr>
          <w:p w14:paraId="75AEE1C9">
            <w:pPr>
              <w:keepNext w:val="0"/>
              <w:keepLines w:val="0"/>
              <w:pageBreakBefore w:val="0"/>
              <w:widowControl w:val="0"/>
              <w:shd w:val="clear" w:color="auto" w:fill="FFFFFF"/>
              <w:kinsoku/>
              <w:wordWrap/>
              <w:overflowPunct/>
              <w:topLinePunct w:val="0"/>
              <w:bidi w:val="0"/>
              <w:spacing w:line="400" w:lineRule="exact"/>
              <w:jc w:val="center"/>
              <w:textAlignment w:val="auto"/>
              <w:rPr>
                <w:rFonts w:hint="eastAsia" w:ascii="宋体" w:hAnsi="宋体" w:eastAsia="宋体" w:cs="宋体"/>
                <w:b/>
                <w:bCs w:val="0"/>
                <w:color w:val="auto"/>
                <w:spacing w:val="0"/>
                <w:kern w:val="0"/>
                <w:sz w:val="21"/>
                <w:szCs w:val="21"/>
                <w:highlight w:val="none"/>
                <w:lang w:val="en-US" w:eastAsia="zh-CN" w:bidi="ar-SA"/>
              </w:rPr>
            </w:pPr>
            <w:r>
              <w:rPr>
                <w:rFonts w:hint="eastAsia" w:ascii="宋体" w:hAnsi="宋体" w:eastAsia="宋体" w:cs="宋体"/>
                <w:b/>
                <w:bCs w:val="0"/>
                <w:color w:val="auto"/>
                <w:spacing w:val="0"/>
                <w:kern w:val="0"/>
                <w:sz w:val="21"/>
                <w:szCs w:val="21"/>
                <w:highlight w:val="none"/>
                <w:lang w:val="en-US" w:eastAsia="zh-CN" w:bidi="ar-SA"/>
              </w:rPr>
              <w:t>企业信誉实力</w:t>
            </w:r>
            <w:r>
              <w:rPr>
                <w:rFonts w:hint="eastAsia" w:ascii="宋体" w:hAnsi="宋体" w:cs="宋体"/>
                <w:b/>
                <w:bCs w:val="0"/>
                <w:color w:val="auto"/>
                <w:spacing w:val="0"/>
                <w:kern w:val="0"/>
                <w:sz w:val="21"/>
                <w:szCs w:val="21"/>
                <w:highlight w:val="none"/>
                <w:lang w:val="en-US" w:eastAsia="zh-CN" w:bidi="ar-SA"/>
              </w:rPr>
              <w:t>分</w:t>
            </w:r>
          </w:p>
          <w:p w14:paraId="1EA051FA">
            <w:pPr>
              <w:keepNext w:val="0"/>
              <w:keepLines w:val="0"/>
              <w:pageBreakBefore w:val="0"/>
              <w:widowControl w:val="0"/>
              <w:shd w:val="clear" w:color="auto" w:fill="FFFFFF"/>
              <w:kinsoku/>
              <w:wordWrap/>
              <w:overflowPunct/>
              <w:topLinePunct w:val="0"/>
              <w:bidi w:val="0"/>
              <w:spacing w:line="400" w:lineRule="exact"/>
              <w:jc w:val="center"/>
              <w:textAlignment w:val="auto"/>
              <w:rPr>
                <w:rFonts w:hint="eastAsia" w:ascii="宋体" w:hAnsi="宋体" w:eastAsia="宋体" w:cs="宋体"/>
                <w:b/>
                <w:bCs w:val="0"/>
                <w:color w:val="auto"/>
                <w:spacing w:val="0"/>
                <w:kern w:val="0"/>
                <w:sz w:val="21"/>
                <w:szCs w:val="21"/>
                <w:highlight w:val="none"/>
                <w:lang w:val="en-US" w:eastAsia="zh-CN" w:bidi="ar-SA"/>
              </w:rPr>
            </w:pPr>
            <w:r>
              <w:rPr>
                <w:rFonts w:hint="eastAsia" w:ascii="宋体" w:hAnsi="宋体" w:cs="宋体"/>
                <w:b/>
                <w:bCs w:val="0"/>
                <w:color w:val="auto"/>
                <w:spacing w:val="0"/>
                <w:kern w:val="0"/>
                <w:sz w:val="21"/>
                <w:szCs w:val="21"/>
                <w:highlight w:val="none"/>
                <w:lang w:val="en-US" w:eastAsia="zh-CN" w:bidi="ar-SA"/>
              </w:rPr>
              <w:t>（满分6分）</w:t>
            </w:r>
          </w:p>
        </w:tc>
        <w:tc>
          <w:tcPr>
            <w:tcW w:w="5489" w:type="dxa"/>
            <w:noWrap w:val="0"/>
            <w:vAlign w:val="center"/>
          </w:tcPr>
          <w:p w14:paraId="2796288D">
            <w:pPr>
              <w:spacing w:line="440" w:lineRule="exact"/>
              <w:ind w:firstLine="535" w:firstLineChars="255"/>
              <w:rPr>
                <w:rFonts w:hint="eastAsia"/>
                <w:color w:val="auto"/>
                <w:sz w:val="21"/>
                <w:szCs w:val="22"/>
                <w:highlight w:val="none"/>
                <w:lang w:eastAsia="zh-CN"/>
              </w:rPr>
            </w:pPr>
            <w:r>
              <w:rPr>
                <w:rFonts w:hint="eastAsia"/>
                <w:color w:val="auto"/>
                <w:sz w:val="21"/>
                <w:szCs w:val="22"/>
                <w:highlight w:val="none"/>
                <w:lang w:eastAsia="zh-CN"/>
              </w:rPr>
              <w:t>（1）供应商近2年（自2023年12月1日以来）获得市级工程质量或安全文明工地奖（建筑施工安全文明标准化工地），每</w:t>
            </w:r>
            <w:r>
              <w:rPr>
                <w:color w:val="auto"/>
                <w:sz w:val="21"/>
                <w:szCs w:val="22"/>
                <w:highlight w:val="none"/>
                <w:lang w:eastAsia="zh-CN"/>
              </w:rPr>
              <w:t>提供一个</w:t>
            </w:r>
            <w:r>
              <w:rPr>
                <w:rFonts w:hint="eastAsia"/>
                <w:color w:val="auto"/>
                <w:sz w:val="21"/>
                <w:szCs w:val="22"/>
                <w:highlight w:val="none"/>
                <w:lang w:eastAsia="zh-CN"/>
              </w:rPr>
              <w:t>得</w:t>
            </w:r>
            <w:r>
              <w:rPr>
                <w:color w:val="auto"/>
                <w:sz w:val="21"/>
                <w:szCs w:val="22"/>
                <w:highlight w:val="none"/>
                <w:lang w:eastAsia="zh-CN"/>
              </w:rPr>
              <w:t>0.5</w:t>
            </w:r>
            <w:r>
              <w:rPr>
                <w:rFonts w:hint="eastAsia"/>
                <w:color w:val="auto"/>
                <w:sz w:val="21"/>
                <w:szCs w:val="22"/>
                <w:highlight w:val="none"/>
                <w:lang w:eastAsia="zh-CN"/>
              </w:rPr>
              <w:t>分。（</w:t>
            </w:r>
            <w:r>
              <w:rPr>
                <w:color w:val="auto"/>
                <w:sz w:val="21"/>
                <w:szCs w:val="22"/>
                <w:highlight w:val="none"/>
                <w:lang w:eastAsia="zh-CN"/>
              </w:rPr>
              <w:t>满分</w:t>
            </w:r>
            <w:r>
              <w:rPr>
                <w:rFonts w:hint="eastAsia"/>
                <w:color w:val="auto"/>
                <w:sz w:val="21"/>
                <w:szCs w:val="22"/>
                <w:highlight w:val="none"/>
                <w:lang w:eastAsia="zh-CN"/>
              </w:rPr>
              <w:t>2</w:t>
            </w:r>
            <w:r>
              <w:rPr>
                <w:color w:val="auto"/>
                <w:sz w:val="21"/>
                <w:szCs w:val="22"/>
                <w:highlight w:val="none"/>
                <w:lang w:eastAsia="zh-CN"/>
              </w:rPr>
              <w:t>分</w:t>
            </w:r>
            <w:r>
              <w:rPr>
                <w:rFonts w:hint="eastAsia"/>
                <w:color w:val="auto"/>
                <w:sz w:val="21"/>
                <w:szCs w:val="22"/>
                <w:highlight w:val="none"/>
                <w:lang w:eastAsia="zh-CN"/>
              </w:rPr>
              <w:t>）</w:t>
            </w:r>
          </w:p>
          <w:p w14:paraId="50665F6E">
            <w:pPr>
              <w:spacing w:line="440" w:lineRule="exact"/>
              <w:ind w:firstLine="535" w:firstLineChars="255"/>
              <w:rPr>
                <w:color w:val="auto"/>
              </w:rPr>
            </w:pPr>
            <w:r>
              <w:rPr>
                <w:rFonts w:hint="eastAsia"/>
                <w:color w:val="auto"/>
                <w:sz w:val="21"/>
                <w:szCs w:val="22"/>
                <w:highlight w:val="none"/>
                <w:lang w:eastAsia="zh-CN"/>
              </w:rPr>
              <w:t>（2）供应商近2年（自2023年12月1日以来）获得省级工程质量或安全文明工地奖（建筑施工安全文明标准化工地），每</w:t>
            </w:r>
            <w:r>
              <w:rPr>
                <w:color w:val="auto"/>
                <w:sz w:val="21"/>
                <w:szCs w:val="22"/>
                <w:highlight w:val="none"/>
                <w:lang w:eastAsia="zh-CN"/>
              </w:rPr>
              <w:t>提供一个</w:t>
            </w:r>
            <w:r>
              <w:rPr>
                <w:rFonts w:hint="eastAsia"/>
                <w:color w:val="auto"/>
                <w:sz w:val="21"/>
                <w:szCs w:val="22"/>
                <w:highlight w:val="none"/>
                <w:lang w:eastAsia="zh-CN"/>
              </w:rPr>
              <w:t>得</w:t>
            </w:r>
            <w:r>
              <w:rPr>
                <w:color w:val="auto"/>
                <w:sz w:val="21"/>
                <w:szCs w:val="22"/>
                <w:highlight w:val="none"/>
                <w:lang w:eastAsia="zh-CN"/>
              </w:rPr>
              <w:t>1</w:t>
            </w:r>
            <w:r>
              <w:rPr>
                <w:rFonts w:hint="eastAsia"/>
                <w:color w:val="auto"/>
                <w:sz w:val="21"/>
                <w:szCs w:val="22"/>
                <w:highlight w:val="none"/>
                <w:lang w:eastAsia="zh-CN"/>
              </w:rPr>
              <w:t>分。（</w:t>
            </w:r>
            <w:r>
              <w:rPr>
                <w:color w:val="auto"/>
                <w:sz w:val="21"/>
                <w:szCs w:val="22"/>
                <w:highlight w:val="none"/>
                <w:lang w:eastAsia="zh-CN"/>
              </w:rPr>
              <w:t>满分</w:t>
            </w:r>
            <w:r>
              <w:rPr>
                <w:rFonts w:hint="eastAsia"/>
                <w:color w:val="auto"/>
                <w:sz w:val="21"/>
                <w:szCs w:val="22"/>
                <w:highlight w:val="none"/>
                <w:lang w:eastAsia="zh-CN"/>
              </w:rPr>
              <w:t>4</w:t>
            </w:r>
            <w:r>
              <w:rPr>
                <w:color w:val="auto"/>
                <w:sz w:val="21"/>
                <w:szCs w:val="22"/>
                <w:highlight w:val="none"/>
                <w:lang w:eastAsia="zh-CN"/>
              </w:rPr>
              <w:t>分</w:t>
            </w:r>
            <w:r>
              <w:rPr>
                <w:rFonts w:hint="eastAsia"/>
                <w:color w:val="auto"/>
                <w:sz w:val="21"/>
                <w:szCs w:val="22"/>
                <w:highlight w:val="none"/>
                <w:lang w:eastAsia="zh-CN"/>
              </w:rPr>
              <w:t>）</w:t>
            </w:r>
          </w:p>
          <w:p w14:paraId="76733F38">
            <w:pPr>
              <w:spacing w:line="440" w:lineRule="exact"/>
              <w:ind w:firstLine="538" w:firstLineChars="255"/>
              <w:rPr>
                <w:rFonts w:hint="eastAsia" w:eastAsia="宋体"/>
                <w:color w:val="auto"/>
                <w:lang w:val="en-US" w:eastAsia="zh-CN"/>
              </w:rPr>
            </w:pPr>
            <w:r>
              <w:rPr>
                <w:rFonts w:hint="eastAsia"/>
                <w:b/>
                <w:bCs/>
                <w:color w:val="auto"/>
                <w:lang w:eastAsia="zh-CN"/>
              </w:rPr>
              <w:t>注：供应商于首次响应文件中提供以上相关奖项的复印件，并加盖供应商公章，否则不予计分。</w:t>
            </w:r>
          </w:p>
        </w:tc>
        <w:tc>
          <w:tcPr>
            <w:tcW w:w="794" w:type="dxa"/>
            <w:noWrap w:val="0"/>
            <w:vAlign w:val="center"/>
          </w:tcPr>
          <w:p w14:paraId="55A35D9B">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lang w:val="en-US" w:eastAsia="zh-CN"/>
              </w:rPr>
            </w:pPr>
            <w:r>
              <w:rPr>
                <w:rFonts w:hint="eastAsia" w:ascii="宋体" w:hAnsi="宋体" w:cs="宋体"/>
                <w:bCs/>
                <w:color w:val="auto"/>
                <w:szCs w:val="21"/>
                <w:highlight w:val="none"/>
                <w:lang w:val="en-US" w:eastAsia="zh-CN"/>
              </w:rPr>
              <w:t>6分</w:t>
            </w:r>
          </w:p>
        </w:tc>
      </w:tr>
      <w:tr w14:paraId="559EE8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59" w:type="dxa"/>
            <w:noWrap w:val="0"/>
            <w:vAlign w:val="center"/>
          </w:tcPr>
          <w:p w14:paraId="6EA7639E">
            <w:pPr>
              <w:keepNext w:val="0"/>
              <w:keepLines w:val="0"/>
              <w:pageBreakBefore w:val="0"/>
              <w:widowControl w:val="0"/>
              <w:kinsoku/>
              <w:wordWrap/>
              <w:overflowPunct/>
              <w:topLinePunct w:val="0"/>
              <w:bidi w:val="0"/>
              <w:spacing w:line="400" w:lineRule="exact"/>
              <w:jc w:val="center"/>
              <w:textAlignment w:val="auto"/>
              <w:rPr>
                <w:rFonts w:hint="default" w:ascii="宋体" w:hAnsi="宋体" w:cs="宋体"/>
                <w:bCs/>
                <w:color w:val="auto"/>
                <w:szCs w:val="21"/>
                <w:highlight w:val="none"/>
                <w:lang w:val="en-US" w:eastAsia="zh-CN"/>
              </w:rPr>
            </w:pPr>
            <w:r>
              <w:rPr>
                <w:rFonts w:hint="eastAsia" w:ascii="宋体" w:hAnsi="宋体" w:cs="宋体"/>
                <w:bCs/>
                <w:color w:val="auto"/>
                <w:szCs w:val="21"/>
                <w:highlight w:val="none"/>
                <w:lang w:val="en-US" w:eastAsia="zh-CN"/>
              </w:rPr>
              <w:t>3</w:t>
            </w:r>
          </w:p>
        </w:tc>
        <w:tc>
          <w:tcPr>
            <w:tcW w:w="1082" w:type="dxa"/>
            <w:noWrap w:val="0"/>
            <w:vAlign w:val="center"/>
          </w:tcPr>
          <w:p w14:paraId="5CD92631">
            <w:pPr>
              <w:keepNext w:val="0"/>
              <w:keepLines w:val="0"/>
              <w:pageBreakBefore w:val="0"/>
              <w:widowControl w:val="0"/>
              <w:kinsoku/>
              <w:wordWrap/>
              <w:overflowPunct/>
              <w:topLinePunct w:val="0"/>
              <w:bidi w:val="0"/>
              <w:spacing w:line="400" w:lineRule="exact"/>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商务分</w:t>
            </w:r>
          </w:p>
        </w:tc>
        <w:tc>
          <w:tcPr>
            <w:tcW w:w="1575" w:type="dxa"/>
            <w:noWrap w:val="0"/>
            <w:vAlign w:val="center"/>
          </w:tcPr>
          <w:p w14:paraId="5096DD23">
            <w:pPr>
              <w:keepNext w:val="0"/>
              <w:keepLines w:val="0"/>
              <w:pageBreakBefore w:val="0"/>
              <w:widowControl w:val="0"/>
              <w:shd w:val="clear" w:color="auto" w:fill="FFFFFF"/>
              <w:kinsoku/>
              <w:wordWrap/>
              <w:overflowPunct/>
              <w:topLinePunct w:val="0"/>
              <w:bidi w:val="0"/>
              <w:spacing w:line="400" w:lineRule="exact"/>
              <w:jc w:val="center"/>
              <w:textAlignment w:val="auto"/>
              <w:rPr>
                <w:rFonts w:hint="eastAsia" w:ascii="宋体" w:hAnsi="宋体" w:cs="宋体"/>
                <w:b/>
                <w:bCs w:val="0"/>
                <w:color w:val="auto"/>
                <w:spacing w:val="0"/>
                <w:kern w:val="0"/>
                <w:sz w:val="21"/>
                <w:szCs w:val="21"/>
                <w:highlight w:val="none"/>
                <w:lang w:val="en-US" w:eastAsia="zh-CN" w:bidi="ar-SA"/>
              </w:rPr>
            </w:pPr>
            <w:r>
              <w:rPr>
                <w:rFonts w:hint="eastAsia" w:ascii="宋体" w:hAnsi="宋体" w:cs="宋体"/>
                <w:b/>
                <w:bCs w:val="0"/>
                <w:color w:val="auto"/>
                <w:spacing w:val="0"/>
                <w:kern w:val="0"/>
                <w:sz w:val="21"/>
                <w:szCs w:val="21"/>
                <w:highlight w:val="none"/>
                <w:lang w:val="en-US" w:eastAsia="zh-CN" w:bidi="ar-SA"/>
              </w:rPr>
              <w:t>业绩分</w:t>
            </w:r>
          </w:p>
          <w:p w14:paraId="213234F6">
            <w:pPr>
              <w:keepNext w:val="0"/>
              <w:keepLines w:val="0"/>
              <w:pageBreakBefore w:val="0"/>
              <w:widowControl w:val="0"/>
              <w:shd w:val="clear" w:color="auto" w:fill="FFFFFF"/>
              <w:kinsoku/>
              <w:wordWrap/>
              <w:overflowPunct/>
              <w:topLinePunct w:val="0"/>
              <w:bidi w:val="0"/>
              <w:spacing w:line="400" w:lineRule="exact"/>
              <w:jc w:val="center"/>
              <w:textAlignment w:val="auto"/>
              <w:rPr>
                <w:rFonts w:hint="eastAsia" w:ascii="宋体" w:hAnsi="宋体" w:eastAsia="宋体" w:cs="宋体"/>
                <w:b/>
                <w:bCs w:val="0"/>
                <w:color w:val="auto"/>
                <w:spacing w:val="0"/>
                <w:kern w:val="0"/>
                <w:sz w:val="21"/>
                <w:szCs w:val="21"/>
                <w:highlight w:val="none"/>
                <w:lang w:val="en-US" w:eastAsia="zh-CN" w:bidi="ar-SA"/>
              </w:rPr>
            </w:pPr>
            <w:r>
              <w:rPr>
                <w:rFonts w:hint="eastAsia" w:ascii="宋体" w:hAnsi="宋体" w:cs="宋体"/>
                <w:b/>
                <w:bCs w:val="0"/>
                <w:color w:val="auto"/>
                <w:spacing w:val="0"/>
                <w:kern w:val="0"/>
                <w:sz w:val="21"/>
                <w:szCs w:val="21"/>
                <w:highlight w:val="none"/>
                <w:lang w:val="en-US" w:eastAsia="zh-CN" w:bidi="ar-SA"/>
              </w:rPr>
              <w:t>（满分4分）</w:t>
            </w:r>
          </w:p>
        </w:tc>
        <w:tc>
          <w:tcPr>
            <w:tcW w:w="5489" w:type="dxa"/>
            <w:noWrap w:val="0"/>
            <w:vAlign w:val="center"/>
          </w:tcPr>
          <w:p w14:paraId="50E76514">
            <w:pPr>
              <w:spacing w:line="440" w:lineRule="exact"/>
              <w:ind w:firstLine="535" w:firstLineChars="255"/>
              <w:rPr>
                <w:rFonts w:hint="eastAsia"/>
                <w:color w:val="auto"/>
                <w:sz w:val="21"/>
                <w:szCs w:val="22"/>
                <w:highlight w:val="none"/>
                <w:lang w:eastAsia="zh-CN"/>
              </w:rPr>
            </w:pPr>
            <w:r>
              <w:rPr>
                <w:rFonts w:hint="eastAsia"/>
                <w:color w:val="auto"/>
                <w:sz w:val="21"/>
                <w:szCs w:val="22"/>
                <w:highlight w:val="none"/>
                <w:lang w:eastAsia="zh-CN"/>
              </w:rPr>
              <w:t>供应商近2年（自2023年12月1日以来）</w:t>
            </w:r>
            <w:r>
              <w:rPr>
                <w:color w:val="auto"/>
                <w:sz w:val="21"/>
                <w:szCs w:val="22"/>
                <w:highlight w:val="none"/>
                <w:lang w:eastAsia="zh-CN"/>
              </w:rPr>
              <w:t>完成的类似项目业绩，每提供一个得1分。</w:t>
            </w:r>
            <w:r>
              <w:rPr>
                <w:rFonts w:hint="eastAsia"/>
                <w:color w:val="auto"/>
                <w:lang w:val="en-US" w:eastAsia="zh-CN"/>
              </w:rPr>
              <w:t>在首次响应文件中提供相应业绩的</w:t>
            </w:r>
            <w:r>
              <w:rPr>
                <w:rFonts w:hint="eastAsia"/>
                <w:color w:val="auto"/>
                <w:sz w:val="21"/>
                <w:szCs w:val="22"/>
                <w:highlight w:val="none"/>
                <w:lang w:eastAsia="zh-CN"/>
              </w:rPr>
              <w:t>竣工验收意见书或验收报告。 （</w:t>
            </w:r>
            <w:r>
              <w:rPr>
                <w:color w:val="auto"/>
                <w:sz w:val="21"/>
                <w:szCs w:val="22"/>
                <w:highlight w:val="none"/>
                <w:lang w:eastAsia="zh-CN"/>
              </w:rPr>
              <w:t>满分</w:t>
            </w:r>
            <w:r>
              <w:rPr>
                <w:rFonts w:hint="eastAsia"/>
                <w:color w:val="auto"/>
                <w:sz w:val="21"/>
                <w:szCs w:val="22"/>
                <w:highlight w:val="none"/>
                <w:lang w:eastAsia="zh-CN"/>
              </w:rPr>
              <w:t>4</w:t>
            </w:r>
            <w:r>
              <w:rPr>
                <w:color w:val="auto"/>
                <w:sz w:val="21"/>
                <w:szCs w:val="22"/>
                <w:highlight w:val="none"/>
                <w:lang w:eastAsia="zh-CN"/>
              </w:rPr>
              <w:t>分</w:t>
            </w:r>
            <w:r>
              <w:rPr>
                <w:rFonts w:hint="eastAsia"/>
                <w:color w:val="auto"/>
                <w:sz w:val="21"/>
                <w:szCs w:val="22"/>
                <w:highlight w:val="none"/>
                <w:lang w:eastAsia="zh-CN"/>
              </w:rPr>
              <w:t>）</w:t>
            </w:r>
          </w:p>
        </w:tc>
        <w:tc>
          <w:tcPr>
            <w:tcW w:w="794" w:type="dxa"/>
            <w:noWrap w:val="0"/>
            <w:vAlign w:val="center"/>
          </w:tcPr>
          <w:p w14:paraId="6F1C48DF">
            <w:pPr>
              <w:keepNext w:val="0"/>
              <w:keepLines w:val="0"/>
              <w:pageBreakBefore w:val="0"/>
              <w:widowControl w:val="0"/>
              <w:kinsoku/>
              <w:wordWrap/>
              <w:overflowPunct/>
              <w:topLinePunct w:val="0"/>
              <w:bidi w:val="0"/>
              <w:spacing w:line="400" w:lineRule="exact"/>
              <w:jc w:val="center"/>
              <w:textAlignment w:val="auto"/>
              <w:rPr>
                <w:rFonts w:hint="eastAsia" w:ascii="宋体" w:hAnsi="宋体" w:cs="宋体"/>
                <w:bCs/>
                <w:color w:val="auto"/>
                <w:szCs w:val="21"/>
                <w:highlight w:val="none"/>
                <w:lang w:val="en-US" w:eastAsia="zh-CN"/>
              </w:rPr>
            </w:pPr>
            <w:r>
              <w:rPr>
                <w:rFonts w:hint="eastAsia" w:ascii="宋体" w:hAnsi="宋体" w:cs="宋体"/>
                <w:bCs/>
                <w:color w:val="auto"/>
                <w:szCs w:val="21"/>
                <w:highlight w:val="none"/>
                <w:lang w:val="en-US" w:eastAsia="zh-CN"/>
              </w:rPr>
              <w:t>4分</w:t>
            </w:r>
          </w:p>
        </w:tc>
      </w:tr>
    </w:tbl>
    <w:p w14:paraId="47F5876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highlight w:val="none"/>
        </w:rPr>
      </w:pPr>
      <w:r>
        <w:rPr>
          <w:rFonts w:hint="eastAsia" w:ascii="宋体" w:hAnsi="宋体" w:eastAsia="宋体" w:cs="宋体"/>
          <w:color w:val="auto"/>
          <w:highlight w:val="none"/>
        </w:rPr>
        <w:t>7.2终止竞争性磋商采购活动</w:t>
      </w:r>
    </w:p>
    <w:p w14:paraId="0EBA513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color w:val="auto"/>
          <w:highlight w:val="none"/>
        </w:rPr>
      </w:pPr>
      <w:r>
        <w:rPr>
          <w:rFonts w:hint="eastAsia" w:ascii="宋体" w:hAnsi="宋体" w:eastAsia="宋体" w:cs="宋体"/>
          <w:color w:val="auto"/>
          <w:highlight w:val="none"/>
        </w:rPr>
        <w:t>磋商小组发现竞争性磋商文件存在歧义、重大缺陷导致评审工作无法进行，或者竞争性磋商文件内容违反国家有关规定的，要停止评审工作并向采购人或采购代理机构书面说明情况，采购人或采购代理机构应当修改竞争性磋商文件后重新组织采购活动；发现供应商提供虚假材料、串通等违法违规行为的，要及时向采购人或采购代理机构报告。</w:t>
      </w:r>
    </w:p>
    <w:p w14:paraId="0E2C712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color w:val="auto"/>
          <w:highlight w:val="none"/>
        </w:rPr>
      </w:pPr>
      <w:bookmarkStart w:id="177" w:name="_Toc80886939"/>
      <w:bookmarkStart w:id="178" w:name="_Toc22545"/>
      <w:bookmarkStart w:id="179" w:name="_Toc11595"/>
    </w:p>
    <w:p w14:paraId="0F91AD6A">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宋体" w:hAnsi="宋体" w:eastAsia="宋体" w:cs="宋体"/>
          <w:b/>
          <w:bCs/>
          <w:color w:val="auto"/>
          <w:sz w:val="30"/>
          <w:szCs w:val="30"/>
          <w:highlight w:val="none"/>
        </w:rPr>
      </w:pPr>
      <w:bookmarkStart w:id="180" w:name="_Toc30272"/>
      <w:r>
        <w:rPr>
          <w:rFonts w:hint="eastAsia" w:ascii="宋体" w:hAnsi="宋体" w:eastAsia="宋体" w:cs="宋体"/>
          <w:b/>
          <w:bCs/>
          <w:color w:val="auto"/>
          <w:sz w:val="30"/>
          <w:szCs w:val="30"/>
          <w:highlight w:val="none"/>
        </w:rPr>
        <w:t>第二节</w:t>
      </w:r>
      <w:r>
        <w:rPr>
          <w:rFonts w:hint="eastAsia" w:ascii="宋体" w:hAnsi="宋体" w:eastAsia="宋体" w:cs="宋体"/>
          <w:b/>
          <w:bCs/>
          <w:color w:val="auto"/>
          <w:sz w:val="30"/>
          <w:szCs w:val="30"/>
          <w:highlight w:val="none"/>
          <w:lang w:val="en-US" w:eastAsia="zh-CN"/>
        </w:rPr>
        <w:t xml:space="preserve"> </w:t>
      </w:r>
      <w:r>
        <w:rPr>
          <w:rFonts w:hint="eastAsia" w:ascii="宋体" w:hAnsi="宋体" w:eastAsia="宋体" w:cs="宋体"/>
          <w:b/>
          <w:bCs/>
          <w:color w:val="auto"/>
          <w:sz w:val="30"/>
          <w:szCs w:val="30"/>
          <w:highlight w:val="none"/>
        </w:rPr>
        <w:t xml:space="preserve"> 评</w:t>
      </w:r>
      <w:r>
        <w:rPr>
          <w:rFonts w:hint="eastAsia" w:ascii="宋体" w:hAnsi="宋体" w:eastAsia="宋体" w:cs="宋体"/>
          <w:b/>
          <w:bCs/>
          <w:color w:val="auto"/>
          <w:sz w:val="30"/>
          <w:szCs w:val="30"/>
          <w:highlight w:val="none"/>
          <w:lang w:eastAsia="zh-CN"/>
        </w:rPr>
        <w:t>审</w:t>
      </w:r>
      <w:r>
        <w:rPr>
          <w:rFonts w:hint="eastAsia" w:ascii="宋体" w:hAnsi="宋体" w:eastAsia="宋体" w:cs="宋体"/>
          <w:b/>
          <w:bCs/>
          <w:color w:val="auto"/>
          <w:sz w:val="30"/>
          <w:szCs w:val="30"/>
          <w:highlight w:val="none"/>
        </w:rPr>
        <w:t>报告</w:t>
      </w:r>
      <w:bookmarkEnd w:id="176"/>
      <w:bookmarkEnd w:id="177"/>
      <w:bookmarkEnd w:id="178"/>
      <w:bookmarkEnd w:id="179"/>
      <w:bookmarkEnd w:id="180"/>
    </w:p>
    <w:p w14:paraId="05868C19">
      <w:pPr>
        <w:keepNext w:val="0"/>
        <w:keepLines w:val="0"/>
        <w:pageBreakBefore w:val="0"/>
        <w:widowControl w:val="0"/>
        <w:kinsoku/>
        <w:wordWrap/>
        <w:overflowPunct/>
        <w:topLinePunct w:val="0"/>
        <w:autoSpaceDE/>
        <w:autoSpaceDN/>
        <w:bidi w:val="0"/>
        <w:snapToGrid/>
        <w:spacing w:line="360" w:lineRule="auto"/>
        <w:textAlignment w:val="auto"/>
        <w:rPr>
          <w:rFonts w:eastAsia="黑体"/>
          <w:color w:val="auto"/>
          <w:sz w:val="24"/>
          <w:szCs w:val="32"/>
          <w:highlight w:val="none"/>
        </w:rPr>
      </w:pPr>
      <w:r>
        <w:rPr>
          <w:rFonts w:eastAsia="黑体"/>
          <w:color w:val="auto"/>
          <w:sz w:val="24"/>
          <w:szCs w:val="32"/>
          <w:highlight w:val="none"/>
        </w:rPr>
        <w:t>1.成交标准</w:t>
      </w:r>
    </w:p>
    <w:p w14:paraId="23E834C6">
      <w:pPr>
        <w:keepNext w:val="0"/>
        <w:keepLines w:val="0"/>
        <w:pageBreakBefore w:val="0"/>
        <w:widowControl w:val="0"/>
        <w:kinsoku/>
        <w:wordWrap/>
        <w:overflowPunct/>
        <w:topLinePunct w:val="0"/>
        <w:autoSpaceDE/>
        <w:autoSpaceDN/>
        <w:bidi w:val="0"/>
        <w:snapToGrid/>
        <w:spacing w:line="360" w:lineRule="auto"/>
        <w:ind w:firstLine="420" w:firstLineChars="200"/>
        <w:textAlignment w:val="auto"/>
        <w:rPr>
          <w:color w:val="auto"/>
          <w:sz w:val="24"/>
          <w:highlight w:val="none"/>
        </w:rPr>
      </w:pPr>
      <w:r>
        <w:rPr>
          <w:bCs/>
          <w:color w:val="auto"/>
          <w:szCs w:val="21"/>
          <w:highlight w:val="none"/>
        </w:rPr>
        <w:t>由磋商小组根据综合评分情况，按照评审得分由高到低顺序推荐3名以上成交候选供应商</w:t>
      </w:r>
      <w:r>
        <w:rPr>
          <w:color w:val="auto"/>
          <w:highlight w:val="none"/>
        </w:rPr>
        <w:t>,并在线编写电子评审报告</w:t>
      </w:r>
      <w:r>
        <w:rPr>
          <w:bCs/>
          <w:color w:val="auto"/>
          <w:szCs w:val="21"/>
          <w:highlight w:val="none"/>
        </w:rPr>
        <w:t>。符合本章第一节第</w:t>
      </w:r>
      <w:r>
        <w:rPr>
          <w:rFonts w:hint="eastAsia"/>
          <w:bCs/>
          <w:color w:val="auto"/>
          <w:szCs w:val="21"/>
          <w:highlight w:val="none"/>
          <w:lang w:val="en-US" w:eastAsia="zh-CN"/>
        </w:rPr>
        <w:t>3.7</w:t>
      </w:r>
      <w:r>
        <w:rPr>
          <w:bCs/>
          <w:color w:val="auto"/>
          <w:szCs w:val="21"/>
          <w:highlight w:val="none"/>
        </w:rPr>
        <w:t>条情形的，可以推荐2家成交候选供应商。评审得分相同的，按照最后报价（不计算价格折扣）由低到高的顺序推荐。评审得分且最后报价（不计算价格折扣）相同的</w:t>
      </w:r>
      <w:r>
        <w:rPr>
          <w:rFonts w:hint="eastAsia"/>
          <w:bCs/>
          <w:color w:val="auto"/>
          <w:szCs w:val="21"/>
          <w:highlight w:val="none"/>
          <w:lang w:eastAsia="zh-CN"/>
        </w:rPr>
        <w:t>，</w:t>
      </w:r>
      <w:r>
        <w:rPr>
          <w:bCs/>
          <w:color w:val="auto"/>
          <w:szCs w:val="21"/>
          <w:highlight w:val="none"/>
        </w:rPr>
        <w:t>按照技术指标优劣顺序推荐（</w:t>
      </w:r>
      <w:r>
        <w:rPr>
          <w:rFonts w:hint="eastAsia"/>
          <w:color w:val="auto"/>
          <w:kern w:val="0"/>
          <w:szCs w:val="21"/>
          <w:highlight w:val="none"/>
        </w:rPr>
        <w:t>按技术分得分由高到低排序，技术分得分相同的按照商务分得分由高到低排序</w:t>
      </w:r>
      <w:r>
        <w:rPr>
          <w:bCs/>
          <w:color w:val="auto"/>
          <w:szCs w:val="21"/>
          <w:highlight w:val="none"/>
        </w:rPr>
        <w:t>）</w:t>
      </w:r>
      <w:r>
        <w:rPr>
          <w:rFonts w:hint="eastAsia"/>
          <w:color w:val="auto"/>
          <w:kern w:val="0"/>
          <w:szCs w:val="21"/>
          <w:highlight w:val="none"/>
        </w:rPr>
        <w:t>。评审得分、最后报价</w:t>
      </w:r>
      <w:r>
        <w:rPr>
          <w:bCs/>
          <w:color w:val="auto"/>
          <w:szCs w:val="21"/>
          <w:highlight w:val="none"/>
        </w:rPr>
        <w:t>（</w:t>
      </w:r>
      <w:r>
        <w:rPr>
          <w:rFonts w:hint="eastAsia"/>
          <w:color w:val="auto"/>
          <w:kern w:val="0"/>
          <w:szCs w:val="21"/>
          <w:highlight w:val="none"/>
        </w:rPr>
        <w:t>不计算价格折扣</w:t>
      </w:r>
      <w:r>
        <w:rPr>
          <w:bCs/>
          <w:color w:val="auto"/>
          <w:szCs w:val="21"/>
          <w:highlight w:val="none"/>
        </w:rPr>
        <w:t>）</w:t>
      </w:r>
      <w:r>
        <w:rPr>
          <w:rFonts w:hint="eastAsia"/>
          <w:color w:val="auto"/>
          <w:kern w:val="0"/>
          <w:szCs w:val="21"/>
          <w:highlight w:val="none"/>
        </w:rPr>
        <w:t>、技术分得分、商务分得分均相同的，由磋商小组随机抽取推荐</w:t>
      </w:r>
      <w:r>
        <w:rPr>
          <w:bCs/>
          <w:color w:val="auto"/>
          <w:szCs w:val="21"/>
          <w:highlight w:val="none"/>
        </w:rPr>
        <w:t>。</w:t>
      </w:r>
    </w:p>
    <w:p w14:paraId="08D544C8">
      <w:pPr>
        <w:keepNext w:val="0"/>
        <w:keepLines w:val="0"/>
        <w:pageBreakBefore w:val="0"/>
        <w:widowControl w:val="0"/>
        <w:kinsoku/>
        <w:wordWrap/>
        <w:overflowPunct/>
        <w:topLinePunct w:val="0"/>
        <w:autoSpaceDE/>
        <w:autoSpaceDN/>
        <w:bidi w:val="0"/>
        <w:snapToGrid/>
        <w:spacing w:line="360" w:lineRule="auto"/>
        <w:textAlignment w:val="auto"/>
        <w:rPr>
          <w:rFonts w:eastAsia="黑体"/>
          <w:color w:val="auto"/>
          <w:sz w:val="24"/>
          <w:szCs w:val="32"/>
          <w:highlight w:val="none"/>
        </w:rPr>
      </w:pPr>
      <w:r>
        <w:rPr>
          <w:rFonts w:eastAsia="黑体"/>
          <w:color w:val="auto"/>
          <w:sz w:val="24"/>
          <w:szCs w:val="32"/>
          <w:highlight w:val="none"/>
        </w:rPr>
        <w:t>2.评标争议事项处理</w:t>
      </w:r>
    </w:p>
    <w:p w14:paraId="16F65629">
      <w:pPr>
        <w:pStyle w:val="72"/>
        <w:keepNext w:val="0"/>
        <w:keepLines w:val="0"/>
        <w:pageBreakBefore w:val="0"/>
        <w:widowControl w:val="0"/>
        <w:kinsoku/>
        <w:wordWrap/>
        <w:overflowPunct/>
        <w:topLinePunct w:val="0"/>
        <w:autoSpaceDE/>
        <w:autoSpaceDN/>
        <w:bidi w:val="0"/>
        <w:snapToGrid/>
        <w:spacing w:before="0"/>
        <w:ind w:firstLine="420"/>
        <w:textAlignment w:val="auto"/>
        <w:rPr>
          <w:color w:val="auto"/>
          <w:kern w:val="2"/>
          <w:sz w:val="21"/>
          <w:szCs w:val="24"/>
          <w:highlight w:val="none"/>
        </w:rPr>
      </w:pPr>
      <w:r>
        <w:rPr>
          <w:color w:val="auto"/>
          <w:kern w:val="2"/>
          <w:sz w:val="21"/>
          <w:szCs w:val="24"/>
          <w:highlight w:val="none"/>
        </w:rPr>
        <w:t>磋商小组成员对需要共同认定的事项存在争议的，应当按照少数服从多数的原则作出结论。持不同意见的磋商小组成员应当在评</w:t>
      </w:r>
      <w:r>
        <w:rPr>
          <w:color w:val="auto"/>
          <w:kern w:val="2"/>
          <w:sz w:val="21"/>
          <w:szCs w:val="24"/>
          <w:highlight w:val="none"/>
          <w:lang w:eastAsia="zh-CN"/>
        </w:rPr>
        <w:t>审</w:t>
      </w:r>
      <w:r>
        <w:rPr>
          <w:color w:val="auto"/>
          <w:kern w:val="2"/>
          <w:sz w:val="21"/>
          <w:szCs w:val="24"/>
          <w:highlight w:val="none"/>
        </w:rPr>
        <w:t>报告上签署不同意见及理由，否则视为同意评</w:t>
      </w:r>
      <w:r>
        <w:rPr>
          <w:color w:val="auto"/>
          <w:kern w:val="2"/>
          <w:sz w:val="21"/>
          <w:szCs w:val="24"/>
          <w:highlight w:val="none"/>
          <w:lang w:eastAsia="zh-CN"/>
        </w:rPr>
        <w:t>审</w:t>
      </w:r>
      <w:r>
        <w:rPr>
          <w:color w:val="auto"/>
          <w:kern w:val="2"/>
          <w:sz w:val="21"/>
          <w:szCs w:val="24"/>
          <w:highlight w:val="none"/>
        </w:rPr>
        <w:t>报告。</w:t>
      </w:r>
    </w:p>
    <w:p w14:paraId="5D45CCC3">
      <w:pPr>
        <w:pStyle w:val="72"/>
        <w:keepNext w:val="0"/>
        <w:keepLines w:val="0"/>
        <w:pageBreakBefore w:val="0"/>
        <w:widowControl w:val="0"/>
        <w:kinsoku/>
        <w:wordWrap/>
        <w:overflowPunct/>
        <w:topLinePunct w:val="0"/>
        <w:autoSpaceDE/>
        <w:autoSpaceDN/>
        <w:bidi w:val="0"/>
        <w:snapToGrid/>
        <w:spacing w:before="0"/>
        <w:ind w:firstLine="420"/>
        <w:textAlignment w:val="auto"/>
        <w:rPr>
          <w:rFonts w:ascii="Times New Roman" w:hAnsi="Times New Roman"/>
          <w:b w:val="0"/>
          <w:color w:val="auto"/>
          <w:highlight w:val="none"/>
        </w:rPr>
      </w:pPr>
      <w:bookmarkStart w:id="181" w:name="_Toc20045"/>
      <w:bookmarkStart w:id="182" w:name="_Toc80205936"/>
      <w:bookmarkStart w:id="183" w:name="_Toc80886940"/>
      <w:bookmarkStart w:id="184" w:name="_Toc2025"/>
    </w:p>
    <w:p w14:paraId="378C80F0">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宋体" w:hAnsi="宋体" w:eastAsia="宋体" w:cs="宋体"/>
          <w:b/>
          <w:bCs/>
          <w:color w:val="auto"/>
          <w:sz w:val="30"/>
          <w:szCs w:val="30"/>
          <w:highlight w:val="none"/>
        </w:rPr>
      </w:pPr>
      <w:bookmarkStart w:id="185" w:name="_Toc28298"/>
      <w:r>
        <w:rPr>
          <w:rFonts w:hint="eastAsia" w:ascii="宋体" w:hAnsi="宋体" w:eastAsia="宋体" w:cs="宋体"/>
          <w:b/>
          <w:bCs/>
          <w:color w:val="auto"/>
          <w:sz w:val="30"/>
          <w:szCs w:val="30"/>
          <w:highlight w:val="none"/>
        </w:rPr>
        <w:t xml:space="preserve">第三节 </w:t>
      </w:r>
      <w:r>
        <w:rPr>
          <w:rFonts w:hint="eastAsia" w:ascii="宋体" w:hAnsi="宋体" w:eastAsia="宋体" w:cs="宋体"/>
          <w:b/>
          <w:bCs/>
          <w:color w:val="auto"/>
          <w:sz w:val="30"/>
          <w:szCs w:val="30"/>
          <w:highlight w:val="none"/>
          <w:lang w:val="en-US" w:eastAsia="zh-CN"/>
        </w:rPr>
        <w:t xml:space="preserve"> </w:t>
      </w:r>
      <w:r>
        <w:rPr>
          <w:rFonts w:hint="eastAsia" w:ascii="宋体" w:hAnsi="宋体" w:eastAsia="宋体" w:cs="宋体"/>
          <w:b/>
          <w:bCs/>
          <w:color w:val="auto"/>
          <w:sz w:val="30"/>
          <w:szCs w:val="30"/>
          <w:highlight w:val="none"/>
        </w:rPr>
        <w:t>评审过程的保密与录像</w:t>
      </w:r>
      <w:bookmarkEnd w:id="181"/>
      <w:bookmarkEnd w:id="182"/>
      <w:bookmarkEnd w:id="183"/>
      <w:bookmarkEnd w:id="184"/>
      <w:bookmarkEnd w:id="185"/>
    </w:p>
    <w:p w14:paraId="3F1A5F48">
      <w:pPr>
        <w:keepNext w:val="0"/>
        <w:keepLines w:val="0"/>
        <w:pageBreakBefore w:val="0"/>
        <w:kinsoku/>
        <w:wordWrap/>
        <w:overflowPunct/>
        <w:topLinePunct w:val="0"/>
        <w:autoSpaceDE/>
        <w:autoSpaceDN/>
        <w:bidi w:val="0"/>
        <w:adjustRightInd/>
        <w:snapToGrid/>
        <w:spacing w:line="360" w:lineRule="auto"/>
        <w:textAlignment w:val="auto"/>
        <w:rPr>
          <w:rFonts w:eastAsia="黑体"/>
          <w:color w:val="auto"/>
          <w:sz w:val="24"/>
          <w:szCs w:val="32"/>
          <w:highlight w:val="none"/>
        </w:rPr>
      </w:pPr>
      <w:r>
        <w:rPr>
          <w:rFonts w:eastAsia="黑体"/>
          <w:color w:val="auto"/>
          <w:sz w:val="24"/>
          <w:szCs w:val="32"/>
          <w:highlight w:val="none"/>
        </w:rPr>
        <w:t>1.保密。</w:t>
      </w:r>
    </w:p>
    <w:p w14:paraId="049E2A4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评审活动在严格保密的情况下进行。评审过程中凡是与响应文件评审和比较、成交供应商推荐等评审有关的情况，以及涉及国家秘密和商业秘密等信息，磋商小组成员、采购人和采购代理机构工作人员、相关监督人员等与评审有关的人员应当予以保密。</w:t>
      </w:r>
    </w:p>
    <w:p w14:paraId="18B6E95C">
      <w:pPr>
        <w:keepNext w:val="0"/>
        <w:keepLines w:val="0"/>
        <w:pageBreakBefore w:val="0"/>
        <w:widowControl/>
        <w:kinsoku/>
        <w:wordWrap/>
        <w:overflowPunct/>
        <w:topLinePunct w:val="0"/>
        <w:autoSpaceDE/>
        <w:autoSpaceDN/>
        <w:bidi w:val="0"/>
        <w:adjustRightInd/>
        <w:snapToGrid/>
        <w:spacing w:line="360" w:lineRule="auto"/>
        <w:textAlignment w:val="auto"/>
        <w:rPr>
          <w:rFonts w:eastAsia="黑体"/>
          <w:color w:val="auto"/>
          <w:sz w:val="24"/>
          <w:szCs w:val="32"/>
          <w:highlight w:val="none"/>
        </w:rPr>
      </w:pPr>
      <w:r>
        <w:rPr>
          <w:rFonts w:eastAsia="黑体"/>
          <w:color w:val="auto"/>
          <w:sz w:val="24"/>
          <w:szCs w:val="32"/>
          <w:highlight w:val="none"/>
        </w:rPr>
        <w:t>2.录音录像。</w:t>
      </w:r>
    </w:p>
    <w:p w14:paraId="417AFB2A">
      <w:pPr>
        <w:keepNext w:val="0"/>
        <w:keepLines w:val="0"/>
        <w:pageBreakBefore w:val="0"/>
        <w:kinsoku/>
        <w:wordWrap/>
        <w:overflowPunct/>
        <w:topLinePunct w:val="0"/>
        <w:autoSpaceDE/>
        <w:autoSpaceDN/>
        <w:bidi w:val="0"/>
        <w:adjustRightInd/>
        <w:snapToGrid/>
        <w:spacing w:line="360" w:lineRule="auto"/>
        <w:ind w:firstLine="420" w:firstLineChars="200"/>
        <w:textAlignment w:val="auto"/>
        <w:rPr>
          <w:rFonts w:hint="eastAsia" w:ascii="Calibri" w:hAnsi="Calibri"/>
          <w:color w:val="auto"/>
          <w:highlight w:val="none"/>
        </w:rPr>
      </w:pPr>
      <w:r>
        <w:rPr>
          <w:color w:val="auto"/>
          <w:highlight w:val="none"/>
        </w:rPr>
        <w:t>采购代理机构对评审工作现场及操作屏幕进行全过程录音录像，录音录像资料作为采购项目文件随其他文件一并存档。</w:t>
      </w:r>
      <w:bookmarkStart w:id="186" w:name="_Toc7776"/>
      <w:bookmarkStart w:id="187" w:name="_Toc12792"/>
      <w:bookmarkStart w:id="188" w:name="_Toc6476"/>
      <w:bookmarkStart w:id="189" w:name="_Toc26272"/>
      <w:bookmarkStart w:id="190" w:name="_Toc5005"/>
      <w:bookmarkStart w:id="191" w:name="_Toc12890"/>
      <w:bookmarkStart w:id="192" w:name="_Toc80886941"/>
      <w:bookmarkStart w:id="193" w:name="_Toc27282"/>
    </w:p>
    <w:p w14:paraId="39639B75">
      <w:pPr>
        <w:rPr>
          <w:rFonts w:hint="eastAsia" w:ascii="华文中宋" w:hAnsi="华文中宋" w:eastAsia="华文中宋" w:cs="华文中宋"/>
          <w:color w:val="auto"/>
          <w:sz w:val="32"/>
          <w:szCs w:val="32"/>
        </w:rPr>
      </w:pPr>
      <w:r>
        <w:rPr>
          <w:rFonts w:hint="eastAsia" w:ascii="华文中宋" w:hAnsi="华文中宋" w:eastAsia="华文中宋" w:cs="华文中宋"/>
          <w:color w:val="auto"/>
          <w:sz w:val="32"/>
          <w:szCs w:val="32"/>
        </w:rPr>
        <w:br w:type="page"/>
      </w:r>
    </w:p>
    <w:p w14:paraId="310C4A47">
      <w:pPr>
        <w:keepNext w:val="0"/>
        <w:keepLines w:val="0"/>
        <w:pageBreakBefore w:val="0"/>
        <w:widowControl w:val="0"/>
        <w:numPr>
          <w:ilvl w:val="0"/>
          <w:numId w:val="2"/>
        </w:numPr>
        <w:kinsoku/>
        <w:wordWrap/>
        <w:overflowPunct/>
        <w:topLinePunct w:val="0"/>
        <w:autoSpaceDE/>
        <w:autoSpaceDN/>
        <w:bidi w:val="0"/>
        <w:adjustRightInd/>
        <w:snapToGrid/>
        <w:spacing w:line="360" w:lineRule="auto"/>
        <w:jc w:val="center"/>
        <w:textAlignment w:val="auto"/>
        <w:outlineLvl w:val="0"/>
        <w:rPr>
          <w:rFonts w:hint="eastAsia" w:ascii="华文中宋" w:hAnsi="华文中宋" w:eastAsia="华文中宋" w:cs="华文中宋"/>
          <w:color w:val="auto"/>
          <w:sz w:val="32"/>
          <w:szCs w:val="32"/>
        </w:rPr>
      </w:pPr>
      <w:r>
        <w:rPr>
          <w:rFonts w:hint="eastAsia" w:ascii="华文中宋" w:hAnsi="华文中宋" w:eastAsia="华文中宋" w:cs="华文中宋"/>
          <w:color w:val="auto"/>
          <w:sz w:val="32"/>
          <w:szCs w:val="32"/>
          <w:lang w:val="en-US" w:eastAsia="zh-CN"/>
        </w:rPr>
        <w:t xml:space="preserve"> </w:t>
      </w:r>
      <w:bookmarkStart w:id="194" w:name="_Toc1820"/>
      <w:bookmarkStart w:id="195" w:name="_Toc4423"/>
      <w:r>
        <w:rPr>
          <w:rFonts w:hint="eastAsia" w:ascii="华文中宋" w:hAnsi="华文中宋" w:eastAsia="华文中宋" w:cs="华文中宋"/>
          <w:color w:val="auto"/>
          <w:sz w:val="32"/>
          <w:szCs w:val="32"/>
        </w:rPr>
        <w:t>响应文件格式</w:t>
      </w:r>
      <w:bookmarkEnd w:id="186"/>
      <w:bookmarkEnd w:id="187"/>
      <w:bookmarkEnd w:id="188"/>
      <w:bookmarkEnd w:id="189"/>
      <w:bookmarkEnd w:id="190"/>
      <w:bookmarkEnd w:id="191"/>
      <w:bookmarkEnd w:id="192"/>
      <w:bookmarkEnd w:id="193"/>
      <w:bookmarkEnd w:id="194"/>
      <w:bookmarkEnd w:id="195"/>
    </w:p>
    <w:p w14:paraId="7E52F496">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宋体" w:hAnsi="宋体" w:eastAsia="宋体" w:cs="宋体"/>
          <w:b/>
          <w:bCs/>
          <w:color w:val="auto"/>
          <w:sz w:val="30"/>
          <w:szCs w:val="30"/>
          <w:highlight w:val="none"/>
        </w:rPr>
      </w:pPr>
      <w:bookmarkStart w:id="196" w:name="_Toc80205939"/>
      <w:bookmarkStart w:id="197" w:name="_Toc80886943"/>
      <w:bookmarkStart w:id="198" w:name="_Toc12994"/>
      <w:bookmarkStart w:id="199" w:name="_Toc17665"/>
      <w:bookmarkStart w:id="200" w:name="_Toc22245"/>
      <w:r>
        <w:rPr>
          <w:rFonts w:hint="eastAsia" w:ascii="宋体" w:hAnsi="宋体" w:eastAsia="宋体" w:cs="宋体"/>
          <w:b/>
          <w:bCs/>
          <w:color w:val="auto"/>
          <w:sz w:val="30"/>
          <w:szCs w:val="30"/>
          <w:highlight w:val="none"/>
        </w:rPr>
        <w:t>第</w:t>
      </w:r>
      <w:r>
        <w:rPr>
          <w:rFonts w:hint="eastAsia" w:ascii="宋体" w:hAnsi="宋体" w:eastAsia="宋体" w:cs="宋体"/>
          <w:b/>
          <w:bCs/>
          <w:color w:val="auto"/>
          <w:sz w:val="30"/>
          <w:szCs w:val="30"/>
          <w:highlight w:val="none"/>
          <w:lang w:eastAsia="zh-CN"/>
        </w:rPr>
        <w:t>一</w:t>
      </w:r>
      <w:r>
        <w:rPr>
          <w:rFonts w:hint="eastAsia" w:ascii="宋体" w:hAnsi="宋体" w:eastAsia="宋体" w:cs="宋体"/>
          <w:b/>
          <w:bCs/>
          <w:color w:val="auto"/>
          <w:sz w:val="30"/>
          <w:szCs w:val="30"/>
          <w:highlight w:val="none"/>
        </w:rPr>
        <w:t xml:space="preserve">节 </w:t>
      </w:r>
      <w:r>
        <w:rPr>
          <w:rFonts w:hint="eastAsia" w:ascii="宋体" w:hAnsi="宋体" w:eastAsia="宋体" w:cs="宋体"/>
          <w:b/>
          <w:bCs/>
          <w:color w:val="auto"/>
          <w:sz w:val="30"/>
          <w:szCs w:val="30"/>
          <w:highlight w:val="none"/>
          <w:lang w:val="en-US" w:eastAsia="zh-CN"/>
        </w:rPr>
        <w:t xml:space="preserve"> </w:t>
      </w:r>
      <w:r>
        <w:rPr>
          <w:rFonts w:hint="eastAsia" w:ascii="宋体" w:hAnsi="宋体" w:eastAsia="宋体" w:cs="宋体"/>
          <w:b/>
          <w:bCs/>
          <w:color w:val="auto"/>
          <w:sz w:val="30"/>
          <w:szCs w:val="30"/>
          <w:highlight w:val="none"/>
        </w:rPr>
        <w:t>资格证明文件格式</w:t>
      </w:r>
      <w:bookmarkEnd w:id="196"/>
      <w:bookmarkEnd w:id="197"/>
      <w:bookmarkEnd w:id="198"/>
      <w:bookmarkEnd w:id="199"/>
      <w:bookmarkEnd w:id="200"/>
    </w:p>
    <w:p w14:paraId="218B41DF">
      <w:pPr>
        <w:snapToGrid w:val="0"/>
        <w:spacing w:before="120" w:beforeLines="50" w:after="50"/>
        <w:jc w:val="left"/>
        <w:outlineLvl w:val="2"/>
        <w:rPr>
          <w:color w:val="auto"/>
          <w:sz w:val="24"/>
          <w:highlight w:val="none"/>
        </w:rPr>
      </w:pPr>
      <w:bookmarkStart w:id="201" w:name="_Toc4279"/>
      <w:r>
        <w:rPr>
          <w:b/>
          <w:bCs/>
          <w:color w:val="auto"/>
          <w:sz w:val="28"/>
          <w:szCs w:val="28"/>
          <w:highlight w:val="none"/>
        </w:rPr>
        <w:t>1.资格证明文件封面的格式：</w:t>
      </w:r>
      <w:bookmarkEnd w:id="201"/>
      <w:r>
        <w:rPr>
          <w:color w:val="auto"/>
          <w:sz w:val="24"/>
          <w:highlight w:val="none"/>
        </w:rPr>
        <w:t xml:space="preserve">                                      </w:t>
      </w:r>
    </w:p>
    <w:p w14:paraId="31F627AB">
      <w:pPr>
        <w:snapToGrid w:val="0"/>
        <w:spacing w:before="120" w:beforeLines="50" w:after="50"/>
        <w:ind w:firstLine="6930" w:firstLineChars="3300"/>
        <w:rPr>
          <w:bCs/>
          <w:color w:val="auto"/>
          <w:sz w:val="32"/>
          <w:szCs w:val="20"/>
          <w:highlight w:val="none"/>
        </w:rPr>
      </w:pPr>
      <w:r>
        <w:rPr>
          <w:bCs/>
          <w:color w:val="auto"/>
          <w:highlight w:val="none"/>
        </w:rPr>
        <w:t>全流程电子文件</w:t>
      </w:r>
    </w:p>
    <w:p w14:paraId="6CD2AFA8">
      <w:pPr>
        <w:snapToGrid w:val="0"/>
        <w:spacing w:before="120" w:beforeLines="50" w:after="50"/>
        <w:rPr>
          <w:color w:val="auto"/>
          <w:sz w:val="24"/>
          <w:szCs w:val="20"/>
          <w:highlight w:val="none"/>
        </w:rPr>
      </w:pPr>
    </w:p>
    <w:p w14:paraId="3317144E">
      <w:pPr>
        <w:snapToGrid w:val="0"/>
        <w:spacing w:before="120" w:beforeLines="50" w:after="50"/>
        <w:rPr>
          <w:color w:val="auto"/>
          <w:sz w:val="24"/>
          <w:szCs w:val="20"/>
          <w:highlight w:val="none"/>
        </w:rPr>
      </w:pPr>
    </w:p>
    <w:p w14:paraId="1C542357">
      <w:pPr>
        <w:snapToGrid w:val="0"/>
        <w:spacing w:before="120" w:beforeLines="50" w:after="50"/>
        <w:jc w:val="center"/>
        <w:rPr>
          <w:rFonts w:hint="eastAsia" w:ascii="宋体" w:hAnsi="宋体" w:cs="宋体"/>
          <w:b/>
          <w:color w:val="auto"/>
          <w:sz w:val="44"/>
          <w:szCs w:val="44"/>
          <w:highlight w:val="none"/>
        </w:rPr>
      </w:pPr>
      <w:r>
        <w:rPr>
          <w:rFonts w:hint="eastAsia" w:ascii="宋体" w:hAnsi="宋体" w:cs="宋体"/>
          <w:b/>
          <w:color w:val="auto"/>
          <w:sz w:val="44"/>
          <w:szCs w:val="44"/>
          <w:highlight w:val="none"/>
        </w:rPr>
        <w:t>资格证明文件</w:t>
      </w:r>
    </w:p>
    <w:p w14:paraId="705E52CC">
      <w:pPr>
        <w:snapToGrid w:val="0"/>
        <w:spacing w:before="120" w:beforeLines="50" w:after="50"/>
        <w:rPr>
          <w:bCs/>
          <w:color w:val="auto"/>
          <w:sz w:val="24"/>
          <w:szCs w:val="20"/>
          <w:highlight w:val="none"/>
        </w:rPr>
      </w:pPr>
    </w:p>
    <w:p w14:paraId="1B00844A">
      <w:pPr>
        <w:snapToGrid w:val="0"/>
        <w:spacing w:before="120" w:beforeLines="50" w:after="50"/>
        <w:rPr>
          <w:bCs/>
          <w:color w:val="auto"/>
          <w:sz w:val="24"/>
          <w:szCs w:val="20"/>
          <w:highlight w:val="none"/>
        </w:rPr>
      </w:pPr>
    </w:p>
    <w:p w14:paraId="2ED366D8">
      <w:pPr>
        <w:snapToGrid w:val="0"/>
        <w:spacing w:before="120" w:beforeLines="50" w:after="50"/>
        <w:rPr>
          <w:bCs/>
          <w:color w:val="auto"/>
          <w:sz w:val="24"/>
          <w:szCs w:val="20"/>
          <w:highlight w:val="none"/>
        </w:rPr>
      </w:pPr>
    </w:p>
    <w:p w14:paraId="65212C57">
      <w:pPr>
        <w:snapToGrid w:val="0"/>
        <w:spacing w:before="120" w:beforeLines="50" w:after="50"/>
        <w:rPr>
          <w:bCs/>
          <w:color w:val="auto"/>
          <w:sz w:val="24"/>
          <w:szCs w:val="20"/>
          <w:highlight w:val="none"/>
        </w:rPr>
      </w:pPr>
    </w:p>
    <w:p w14:paraId="360CA320">
      <w:pPr>
        <w:snapToGrid w:val="0"/>
        <w:spacing w:before="120" w:beforeLines="50" w:after="50"/>
        <w:rPr>
          <w:bCs/>
          <w:color w:val="auto"/>
          <w:sz w:val="24"/>
          <w:szCs w:val="20"/>
          <w:highlight w:val="none"/>
        </w:rPr>
      </w:pPr>
    </w:p>
    <w:p w14:paraId="32D61887">
      <w:pPr>
        <w:snapToGrid w:val="0"/>
        <w:spacing w:before="120" w:beforeLines="50" w:after="50"/>
        <w:ind w:firstLine="640" w:firstLineChars="200"/>
        <w:rPr>
          <w:bCs/>
          <w:color w:val="auto"/>
          <w:sz w:val="32"/>
          <w:szCs w:val="32"/>
          <w:highlight w:val="none"/>
        </w:rPr>
      </w:pPr>
      <w:r>
        <w:rPr>
          <w:bCs/>
          <w:color w:val="auto"/>
          <w:sz w:val="32"/>
          <w:szCs w:val="32"/>
          <w:highlight w:val="none"/>
        </w:rPr>
        <w:t>项目名称：</w:t>
      </w:r>
    </w:p>
    <w:p w14:paraId="2E39103F">
      <w:pPr>
        <w:snapToGrid w:val="0"/>
        <w:spacing w:before="120" w:beforeLines="50" w:after="50"/>
        <w:ind w:firstLine="720" w:firstLineChars="225"/>
        <w:rPr>
          <w:bCs/>
          <w:color w:val="auto"/>
          <w:sz w:val="32"/>
          <w:szCs w:val="32"/>
          <w:highlight w:val="none"/>
        </w:rPr>
      </w:pPr>
    </w:p>
    <w:p w14:paraId="66677E55">
      <w:pPr>
        <w:snapToGrid w:val="0"/>
        <w:spacing w:before="120" w:beforeLines="50" w:after="50"/>
        <w:ind w:firstLine="720" w:firstLineChars="225"/>
        <w:rPr>
          <w:bCs/>
          <w:color w:val="auto"/>
          <w:sz w:val="32"/>
          <w:szCs w:val="32"/>
          <w:highlight w:val="none"/>
        </w:rPr>
      </w:pPr>
      <w:r>
        <w:rPr>
          <w:bCs/>
          <w:color w:val="auto"/>
          <w:sz w:val="32"/>
          <w:szCs w:val="32"/>
          <w:highlight w:val="none"/>
        </w:rPr>
        <w:t>项目编号：</w:t>
      </w:r>
    </w:p>
    <w:p w14:paraId="2B602571">
      <w:pPr>
        <w:snapToGrid w:val="0"/>
        <w:spacing w:before="120" w:beforeLines="50" w:after="50"/>
        <w:ind w:firstLine="720" w:firstLineChars="225"/>
        <w:rPr>
          <w:bCs/>
          <w:color w:val="auto"/>
          <w:sz w:val="32"/>
          <w:szCs w:val="32"/>
          <w:highlight w:val="none"/>
        </w:rPr>
      </w:pPr>
      <w:r>
        <w:rPr>
          <w:bCs/>
          <w:color w:val="auto"/>
          <w:sz w:val="32"/>
          <w:szCs w:val="32"/>
          <w:highlight w:val="none"/>
        </w:rPr>
        <w:t xml:space="preserve"> </w:t>
      </w:r>
    </w:p>
    <w:p w14:paraId="6CCAA453">
      <w:pPr>
        <w:snapToGrid w:val="0"/>
        <w:spacing w:before="120" w:beforeLines="50" w:after="50"/>
        <w:ind w:firstLine="720" w:firstLineChars="225"/>
        <w:rPr>
          <w:bCs/>
          <w:color w:val="auto"/>
          <w:sz w:val="32"/>
          <w:szCs w:val="32"/>
          <w:highlight w:val="none"/>
        </w:rPr>
      </w:pPr>
      <w:r>
        <w:rPr>
          <w:bCs/>
          <w:color w:val="auto"/>
          <w:sz w:val="32"/>
          <w:szCs w:val="32"/>
          <w:highlight w:val="none"/>
        </w:rPr>
        <w:t>所竞分标（如有则填写，无分标时填写</w:t>
      </w:r>
      <w:r>
        <w:rPr>
          <w:rFonts w:hint="eastAsia"/>
          <w:bCs/>
          <w:color w:val="auto"/>
          <w:sz w:val="32"/>
          <w:szCs w:val="32"/>
          <w:highlight w:val="none"/>
          <w:lang w:eastAsia="zh-CN"/>
        </w:rPr>
        <w:t>“</w:t>
      </w:r>
      <w:r>
        <w:rPr>
          <w:bCs/>
          <w:color w:val="auto"/>
          <w:sz w:val="32"/>
          <w:szCs w:val="32"/>
          <w:highlight w:val="none"/>
        </w:rPr>
        <w:t>无</w:t>
      </w:r>
      <w:r>
        <w:rPr>
          <w:rFonts w:hint="eastAsia"/>
          <w:bCs/>
          <w:color w:val="auto"/>
          <w:sz w:val="32"/>
          <w:szCs w:val="32"/>
          <w:highlight w:val="none"/>
          <w:lang w:eastAsia="zh-CN"/>
        </w:rPr>
        <w:t>”</w:t>
      </w:r>
      <w:r>
        <w:rPr>
          <w:bCs/>
          <w:color w:val="auto"/>
          <w:sz w:val="32"/>
          <w:szCs w:val="32"/>
          <w:highlight w:val="none"/>
        </w:rPr>
        <w:t>或者留空）：</w:t>
      </w:r>
    </w:p>
    <w:p w14:paraId="4677C2B0">
      <w:pPr>
        <w:snapToGrid w:val="0"/>
        <w:spacing w:before="120" w:beforeLines="50" w:after="50"/>
        <w:ind w:firstLine="720" w:firstLineChars="225"/>
        <w:rPr>
          <w:bCs/>
          <w:color w:val="auto"/>
          <w:sz w:val="32"/>
          <w:szCs w:val="32"/>
          <w:highlight w:val="none"/>
        </w:rPr>
      </w:pPr>
    </w:p>
    <w:p w14:paraId="378D26E7">
      <w:pPr>
        <w:pStyle w:val="10"/>
        <w:snapToGrid w:val="0"/>
        <w:spacing w:before="50" w:after="50"/>
        <w:ind w:firstLine="720" w:firstLineChars="225"/>
        <w:rPr>
          <w:bCs/>
          <w:color w:val="auto"/>
          <w:sz w:val="32"/>
          <w:szCs w:val="32"/>
          <w:highlight w:val="none"/>
        </w:rPr>
      </w:pPr>
      <w:r>
        <w:rPr>
          <w:bCs/>
          <w:color w:val="auto"/>
          <w:sz w:val="32"/>
          <w:szCs w:val="32"/>
          <w:highlight w:val="none"/>
        </w:rPr>
        <w:t>供应商名称：</w:t>
      </w:r>
    </w:p>
    <w:p w14:paraId="0C17B2E8">
      <w:pPr>
        <w:pStyle w:val="10"/>
        <w:snapToGrid w:val="0"/>
        <w:spacing w:before="50" w:after="50"/>
        <w:ind w:firstLine="720" w:firstLineChars="225"/>
        <w:rPr>
          <w:bCs/>
          <w:color w:val="auto"/>
          <w:sz w:val="32"/>
          <w:szCs w:val="32"/>
          <w:highlight w:val="none"/>
        </w:rPr>
      </w:pPr>
    </w:p>
    <w:p w14:paraId="7FDBA6DE">
      <w:pPr>
        <w:pStyle w:val="10"/>
        <w:snapToGrid w:val="0"/>
        <w:spacing w:before="50" w:after="50"/>
        <w:ind w:firstLine="720" w:firstLineChars="225"/>
        <w:rPr>
          <w:bCs/>
          <w:color w:val="auto"/>
          <w:sz w:val="32"/>
          <w:szCs w:val="32"/>
          <w:highlight w:val="none"/>
        </w:rPr>
      </w:pPr>
    </w:p>
    <w:p w14:paraId="4FA1032B">
      <w:pPr>
        <w:pStyle w:val="10"/>
        <w:snapToGrid w:val="0"/>
        <w:spacing w:before="50" w:after="50"/>
        <w:ind w:firstLine="720" w:firstLineChars="225"/>
        <w:rPr>
          <w:bCs/>
          <w:color w:val="auto"/>
          <w:sz w:val="32"/>
          <w:szCs w:val="32"/>
          <w:highlight w:val="none"/>
        </w:rPr>
      </w:pPr>
    </w:p>
    <w:p w14:paraId="15DCC348">
      <w:pPr>
        <w:pStyle w:val="10"/>
        <w:snapToGrid w:val="0"/>
        <w:spacing w:before="50" w:after="50"/>
        <w:ind w:firstLine="1280" w:firstLineChars="400"/>
        <w:rPr>
          <w:bCs/>
          <w:color w:val="auto"/>
          <w:sz w:val="32"/>
          <w:szCs w:val="32"/>
          <w:highlight w:val="none"/>
        </w:rPr>
      </w:pPr>
    </w:p>
    <w:p w14:paraId="5183301C">
      <w:pPr>
        <w:snapToGrid w:val="0"/>
        <w:spacing w:before="120" w:beforeLines="50" w:after="50"/>
        <w:jc w:val="center"/>
        <w:rPr>
          <w:color w:val="auto"/>
          <w:sz w:val="32"/>
          <w:szCs w:val="32"/>
          <w:highlight w:val="none"/>
        </w:rPr>
      </w:pPr>
      <w:r>
        <w:rPr>
          <w:color w:val="auto"/>
          <w:sz w:val="32"/>
          <w:szCs w:val="32"/>
          <w:highlight w:val="none"/>
        </w:rPr>
        <w:t>年    月    日</w:t>
      </w:r>
    </w:p>
    <w:p w14:paraId="28444AF9">
      <w:pPr>
        <w:snapToGrid w:val="0"/>
        <w:spacing w:before="120" w:beforeLines="50" w:after="50" w:line="360" w:lineRule="auto"/>
        <w:jc w:val="left"/>
        <w:outlineLvl w:val="2"/>
        <w:rPr>
          <w:b/>
          <w:bCs/>
          <w:color w:val="auto"/>
          <w:sz w:val="28"/>
          <w:szCs w:val="28"/>
          <w:highlight w:val="none"/>
        </w:rPr>
      </w:pPr>
      <w:r>
        <w:rPr>
          <w:color w:val="auto"/>
          <w:sz w:val="24"/>
          <w:highlight w:val="none"/>
        </w:rPr>
        <w:br w:type="page"/>
      </w:r>
      <w:bookmarkStart w:id="202" w:name="_Toc2263"/>
      <w:r>
        <w:rPr>
          <w:b/>
          <w:bCs/>
          <w:color w:val="auto"/>
          <w:sz w:val="28"/>
          <w:szCs w:val="28"/>
          <w:highlight w:val="none"/>
        </w:rPr>
        <w:t>2.资格证明文件目录</w:t>
      </w:r>
      <w:bookmarkEnd w:id="202"/>
    </w:p>
    <w:p w14:paraId="6A186210">
      <w:pPr>
        <w:spacing w:line="360" w:lineRule="auto"/>
        <w:ind w:firstLine="480" w:firstLineChars="200"/>
        <w:rPr>
          <w:rFonts w:hint="eastAsia" w:ascii="宋体" w:hAnsi="宋体" w:cs="宋体"/>
          <w:b/>
          <w:bCs/>
          <w:color w:val="auto"/>
          <w:sz w:val="24"/>
          <w:highlight w:val="none"/>
        </w:rPr>
      </w:pPr>
      <w:r>
        <w:rPr>
          <w:rFonts w:hint="eastAsia" w:ascii="宋体" w:hAnsi="宋体" w:cs="宋体"/>
          <w:color w:val="auto"/>
          <w:sz w:val="24"/>
          <w:highlight w:val="none"/>
        </w:rPr>
        <w:t>根据竞争性磋商文件规定及供应商提供的材料自行编写目录（部分格式后附）。</w:t>
      </w:r>
    </w:p>
    <w:p w14:paraId="42AFA5EF">
      <w:pPr>
        <w:snapToGrid w:val="0"/>
        <w:spacing w:before="120" w:beforeLines="50" w:after="50" w:line="360" w:lineRule="auto"/>
        <w:jc w:val="left"/>
        <w:outlineLvl w:val="2"/>
        <w:rPr>
          <w:b/>
          <w:bCs/>
          <w:color w:val="auto"/>
          <w:sz w:val="28"/>
          <w:szCs w:val="28"/>
          <w:highlight w:val="none"/>
        </w:rPr>
      </w:pPr>
      <w:r>
        <w:rPr>
          <w:color w:val="auto"/>
          <w:szCs w:val="21"/>
          <w:highlight w:val="none"/>
        </w:rPr>
        <w:br w:type="page"/>
      </w:r>
      <w:bookmarkStart w:id="203" w:name="_Toc3166"/>
      <w:r>
        <w:rPr>
          <w:b/>
          <w:bCs/>
          <w:color w:val="auto"/>
          <w:kern w:val="0"/>
          <w:sz w:val="28"/>
          <w:szCs w:val="28"/>
          <w:highlight w:val="none"/>
        </w:rPr>
        <w:t>3.</w:t>
      </w:r>
      <w:r>
        <w:rPr>
          <w:rFonts w:hint="eastAsia"/>
          <w:b/>
          <w:bCs/>
          <w:color w:val="auto"/>
          <w:kern w:val="0"/>
          <w:sz w:val="28"/>
          <w:szCs w:val="28"/>
          <w:highlight w:val="none"/>
          <w:lang w:eastAsia="zh-CN"/>
        </w:rPr>
        <w:t>声明函</w:t>
      </w:r>
      <w:r>
        <w:rPr>
          <w:b/>
          <w:bCs/>
          <w:color w:val="auto"/>
          <w:kern w:val="0"/>
          <w:sz w:val="28"/>
          <w:szCs w:val="28"/>
          <w:highlight w:val="none"/>
        </w:rPr>
        <w:t>的格式：</w:t>
      </w:r>
      <w:bookmarkEnd w:id="203"/>
    </w:p>
    <w:p w14:paraId="61FC8DF6">
      <w:pPr>
        <w:spacing w:line="320" w:lineRule="exact"/>
        <w:jc w:val="center"/>
        <w:rPr>
          <w:b/>
          <w:color w:val="auto"/>
          <w:sz w:val="32"/>
          <w:szCs w:val="32"/>
          <w:highlight w:val="none"/>
        </w:rPr>
      </w:pPr>
    </w:p>
    <w:p w14:paraId="107A8051">
      <w:pPr>
        <w:spacing w:line="320" w:lineRule="exact"/>
        <w:jc w:val="center"/>
        <w:rPr>
          <w:rFonts w:hint="eastAsia"/>
          <w:b/>
          <w:color w:val="auto"/>
          <w:sz w:val="32"/>
          <w:szCs w:val="32"/>
          <w:highlight w:val="none"/>
        </w:rPr>
      </w:pPr>
      <w:r>
        <w:rPr>
          <w:rFonts w:hint="eastAsia"/>
          <w:b/>
          <w:color w:val="auto"/>
          <w:sz w:val="32"/>
          <w:szCs w:val="32"/>
          <w:highlight w:val="none"/>
        </w:rPr>
        <w:t>声明函</w:t>
      </w:r>
    </w:p>
    <w:p w14:paraId="5B83E0B9">
      <w:pPr>
        <w:spacing w:line="320" w:lineRule="exact"/>
        <w:jc w:val="center"/>
        <w:rPr>
          <w:rFonts w:hint="eastAsia"/>
          <w:color w:val="auto"/>
          <w:sz w:val="24"/>
          <w:szCs w:val="20"/>
          <w:highlight w:val="none"/>
        </w:rPr>
      </w:pPr>
    </w:p>
    <w:p w14:paraId="7B27A9F7">
      <w:pPr>
        <w:keepNext w:val="0"/>
        <w:keepLines w:val="0"/>
        <w:pageBreakBefore w:val="0"/>
        <w:widowControl w:val="0"/>
        <w:kinsoku/>
        <w:wordWrap/>
        <w:overflowPunct/>
        <w:topLinePunct w:val="0"/>
        <w:bidi w:val="0"/>
        <w:adjustRightInd/>
        <w:snapToGrid/>
        <w:spacing w:line="360" w:lineRule="auto"/>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致：</w:t>
      </w:r>
      <w:r>
        <w:rPr>
          <w:rFonts w:hint="eastAsia" w:ascii="宋体" w:hAnsi="宋体" w:eastAsia="宋体" w:cs="宋体"/>
          <w:i w:val="0"/>
          <w:iCs w:val="0"/>
          <w:color w:val="auto"/>
          <w:sz w:val="21"/>
          <w:szCs w:val="21"/>
          <w:highlight w:val="none"/>
          <w:u w:val="single"/>
        </w:rPr>
        <w:t>（采购代理机构名称）</w:t>
      </w:r>
      <w:r>
        <w:rPr>
          <w:rFonts w:hint="eastAsia" w:ascii="宋体" w:hAnsi="宋体" w:eastAsia="宋体" w:cs="宋体"/>
          <w:i w:val="0"/>
          <w:iCs w:val="0"/>
          <w:color w:val="auto"/>
          <w:sz w:val="21"/>
          <w:szCs w:val="21"/>
          <w:highlight w:val="none"/>
        </w:rPr>
        <w:t>：</w:t>
      </w:r>
    </w:p>
    <w:p w14:paraId="4DAE9E91">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u w:val="single"/>
        </w:rPr>
        <w:t>（供应商名称）</w:t>
      </w:r>
      <w:r>
        <w:rPr>
          <w:rFonts w:hint="eastAsia" w:ascii="宋体" w:hAnsi="宋体" w:eastAsia="宋体" w:cs="宋体"/>
          <w:i w:val="0"/>
          <w:iCs w:val="0"/>
          <w:color w:val="auto"/>
          <w:sz w:val="21"/>
          <w:szCs w:val="21"/>
          <w:highlight w:val="none"/>
        </w:rPr>
        <w:t>系中华人民共和国合法供应商，经营地址</w:t>
      </w:r>
      <w:r>
        <w:rPr>
          <w:rFonts w:hint="eastAsia" w:ascii="宋体" w:hAnsi="宋体" w:eastAsia="宋体" w:cs="宋体"/>
          <w:i w:val="0"/>
          <w:iCs w:val="0"/>
          <w:color w:val="auto"/>
          <w:sz w:val="21"/>
          <w:szCs w:val="21"/>
          <w:highlight w:val="none"/>
          <w:u w:val="single"/>
        </w:rPr>
        <w:t xml:space="preserve">                              </w:t>
      </w:r>
      <w:r>
        <w:rPr>
          <w:rFonts w:hint="eastAsia" w:ascii="宋体" w:hAnsi="宋体" w:eastAsia="宋体" w:cs="宋体"/>
          <w:i w:val="0"/>
          <w:iCs w:val="0"/>
          <w:color w:val="auto"/>
          <w:sz w:val="21"/>
          <w:szCs w:val="21"/>
          <w:highlight w:val="none"/>
        </w:rPr>
        <w:t>。</w:t>
      </w:r>
    </w:p>
    <w:p w14:paraId="593A6810">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我方愿意参加贵方组织的</w:t>
      </w:r>
      <w:r>
        <w:rPr>
          <w:rFonts w:hint="eastAsia" w:ascii="宋体" w:hAnsi="宋体" w:eastAsia="宋体" w:cs="宋体"/>
          <w:i w:val="0"/>
          <w:iCs w:val="0"/>
          <w:color w:val="auto"/>
          <w:sz w:val="21"/>
          <w:szCs w:val="21"/>
          <w:highlight w:val="none"/>
          <w:u w:val="single"/>
        </w:rPr>
        <w:t>（项目名称）</w:t>
      </w:r>
      <w:r>
        <w:rPr>
          <w:rFonts w:hint="eastAsia" w:ascii="宋体" w:hAnsi="宋体" w:eastAsia="宋体" w:cs="宋体"/>
          <w:i w:val="0"/>
          <w:iCs w:val="0"/>
          <w:color w:val="auto"/>
          <w:sz w:val="21"/>
          <w:szCs w:val="21"/>
          <w:highlight w:val="none"/>
        </w:rPr>
        <w:t>项目的竞标，为便于贵方公正、择优地确定成交供应商及其竞标产品和服务，我方就本次竞标有关事项郑重声明如下：</w:t>
      </w:r>
    </w:p>
    <w:p w14:paraId="77A0F1AC">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1.我方向贵方提交的所有响应文件、资料都是准确的和真实的。</w:t>
      </w:r>
    </w:p>
    <w:p w14:paraId="6AC3FE35">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2.我方不是采购人的附属机构；不是为本次采购项目提供整体设计、规范编制或者项目管理、监理、检测等服务的供应商；在获知本项目采购信息后，与采购人聘请的为此项目提供咨询服务的公司及其附属机构没有任何联系。</w:t>
      </w:r>
    </w:p>
    <w:p w14:paraId="54432A18">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3.在此，我方宣布同意如下：</w:t>
      </w:r>
    </w:p>
    <w:p w14:paraId="6886BAF1">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（1）将按磋商文件的约定履行合同责任和义务；</w:t>
      </w:r>
    </w:p>
    <w:p w14:paraId="15E23AE3">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（2）已详细审查</w:t>
      </w:r>
      <w:r>
        <w:rPr>
          <w:rFonts w:hint="eastAsia" w:ascii="宋体" w:hAnsi="宋体" w:eastAsia="宋体" w:cs="宋体"/>
          <w:i w:val="0"/>
          <w:iCs w:val="0"/>
          <w:color w:val="auto"/>
          <w:sz w:val="21"/>
          <w:szCs w:val="21"/>
          <w:highlight w:val="none"/>
          <w:lang w:val="en-US" w:eastAsia="zh-CN"/>
        </w:rPr>
        <w:t>磋商</w:t>
      </w:r>
      <w:r>
        <w:rPr>
          <w:rFonts w:hint="eastAsia" w:ascii="宋体" w:hAnsi="宋体" w:eastAsia="宋体" w:cs="宋体"/>
          <w:i w:val="0"/>
          <w:iCs w:val="0"/>
          <w:color w:val="auto"/>
          <w:sz w:val="21"/>
          <w:szCs w:val="21"/>
          <w:highlight w:val="none"/>
        </w:rPr>
        <w:t>文件</w:t>
      </w:r>
      <w:r>
        <w:rPr>
          <w:rFonts w:hint="eastAsia" w:ascii="宋体" w:hAnsi="宋体" w:eastAsia="宋体" w:cs="宋体"/>
          <w:i w:val="0"/>
          <w:iCs w:val="0"/>
          <w:color w:val="auto"/>
          <w:sz w:val="21"/>
          <w:szCs w:val="21"/>
          <w:highlight w:val="none"/>
          <w:lang w:val="en-US" w:eastAsia="zh-CN"/>
        </w:rPr>
        <w:t>的</w:t>
      </w:r>
      <w:r>
        <w:rPr>
          <w:rFonts w:hint="eastAsia" w:ascii="宋体" w:hAnsi="宋体" w:eastAsia="宋体" w:cs="宋体"/>
          <w:i w:val="0"/>
          <w:iCs w:val="0"/>
          <w:color w:val="auto"/>
          <w:sz w:val="21"/>
          <w:szCs w:val="21"/>
          <w:highlight w:val="none"/>
        </w:rPr>
        <w:t>全部</w:t>
      </w:r>
      <w:r>
        <w:rPr>
          <w:rFonts w:hint="eastAsia" w:ascii="宋体" w:hAnsi="宋体" w:eastAsia="宋体" w:cs="宋体"/>
          <w:i w:val="0"/>
          <w:iCs w:val="0"/>
          <w:color w:val="auto"/>
          <w:sz w:val="21"/>
          <w:szCs w:val="21"/>
          <w:highlight w:val="none"/>
          <w:lang w:val="en-US" w:eastAsia="zh-CN"/>
        </w:rPr>
        <w:t>内容</w:t>
      </w:r>
      <w:r>
        <w:rPr>
          <w:rFonts w:hint="eastAsia" w:ascii="宋体" w:hAnsi="宋体" w:eastAsia="宋体" w:cs="宋体"/>
          <w:i w:val="0"/>
          <w:iCs w:val="0"/>
          <w:color w:val="auto"/>
          <w:sz w:val="21"/>
          <w:szCs w:val="21"/>
          <w:highlight w:val="none"/>
        </w:rPr>
        <w:t>，包括澄清或者更正公告（如有）；</w:t>
      </w:r>
    </w:p>
    <w:p w14:paraId="4B35D8D7">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（3）同意提供按照贵方可能要求的与磋商有关的一切数据或者资料。</w:t>
      </w:r>
    </w:p>
    <w:p w14:paraId="6BE383E4">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4.我方在此声明，我方在参加本项目的政府采购活动前三年内，在经营活动中没有重大违法记录（重大违法记录是指供应商因违法经营受到刑事处罚或者责令停产停业、吊销许可证或者执照、较大数额罚款等行政处罚），未被列入失信被执行人、</w:t>
      </w:r>
      <w:r>
        <w:rPr>
          <w:rFonts w:hint="eastAsia" w:ascii="宋体" w:hAnsi="宋体" w:eastAsia="宋体" w:cs="宋体"/>
          <w:i w:val="0"/>
          <w:iCs w:val="0"/>
          <w:color w:val="auto"/>
          <w:sz w:val="21"/>
          <w:szCs w:val="21"/>
          <w:highlight w:val="none"/>
          <w:lang w:eastAsia="zh-CN"/>
        </w:rPr>
        <w:t>重大税收违法失信主体</w:t>
      </w:r>
      <w:r>
        <w:rPr>
          <w:rFonts w:hint="eastAsia" w:ascii="宋体" w:hAnsi="宋体" w:eastAsia="宋体" w:cs="宋体"/>
          <w:i w:val="0"/>
          <w:iCs w:val="0"/>
          <w:color w:val="auto"/>
          <w:sz w:val="21"/>
          <w:szCs w:val="21"/>
          <w:highlight w:val="none"/>
        </w:rPr>
        <w:t>、政府采购严重违法失信行为记录名单。</w:t>
      </w:r>
    </w:p>
    <w:p w14:paraId="03192F53">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lang w:val="en-US" w:eastAsia="zh-CN"/>
        </w:rPr>
        <w:t>5</w:t>
      </w:r>
      <w:r>
        <w:rPr>
          <w:rFonts w:hint="eastAsia" w:ascii="宋体" w:hAnsi="宋体" w:eastAsia="宋体" w:cs="宋体"/>
          <w:i w:val="0"/>
          <w:iCs w:val="0"/>
          <w:color w:val="auto"/>
          <w:sz w:val="21"/>
          <w:szCs w:val="21"/>
          <w:highlight w:val="none"/>
        </w:rPr>
        <w:t>.根据《中华人民共和国政府采购法实施条例》第五十条要求对政府采购合同进行公告，但政府采购合同中涉及国家秘密、商业秘密的内容除外。我方就对本次响应文件进行注明如下：（两项内容中必须选择一项）</w:t>
      </w:r>
    </w:p>
    <w:p w14:paraId="5DD0BFD8">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□我方本次响应文件</w:t>
      </w:r>
      <w:r>
        <w:rPr>
          <w:rFonts w:hint="eastAsia" w:ascii="宋体" w:hAnsi="宋体" w:eastAsia="宋体" w:cs="宋体"/>
          <w:i w:val="0"/>
          <w:iCs w:val="0"/>
          <w:color w:val="auto"/>
          <w:kern w:val="0"/>
          <w:sz w:val="21"/>
          <w:szCs w:val="21"/>
          <w:highlight w:val="none"/>
        </w:rPr>
        <w:t>内容中</w:t>
      </w:r>
      <w:r>
        <w:rPr>
          <w:rFonts w:hint="eastAsia" w:ascii="宋体" w:hAnsi="宋体" w:eastAsia="宋体" w:cs="宋体"/>
          <w:i w:val="0"/>
          <w:iCs w:val="0"/>
          <w:color w:val="auto"/>
          <w:sz w:val="21"/>
          <w:szCs w:val="21"/>
          <w:highlight w:val="none"/>
        </w:rPr>
        <w:t>未</w:t>
      </w:r>
      <w:r>
        <w:rPr>
          <w:rFonts w:hint="eastAsia" w:ascii="宋体" w:hAnsi="宋体" w:eastAsia="宋体" w:cs="宋体"/>
          <w:i w:val="0"/>
          <w:iCs w:val="0"/>
          <w:color w:val="auto"/>
          <w:kern w:val="0"/>
          <w:sz w:val="21"/>
          <w:szCs w:val="21"/>
          <w:highlight w:val="none"/>
        </w:rPr>
        <w:t>涉及商业秘密；</w:t>
      </w:r>
    </w:p>
    <w:p w14:paraId="7171A779">
      <w:pPr>
        <w:keepNext w:val="0"/>
        <w:keepLines w:val="0"/>
        <w:pageBreakBefore w:val="0"/>
        <w:widowControl w:val="0"/>
        <w:kinsoku/>
        <w:wordWrap/>
        <w:overflowPunct/>
        <w:topLinePunct w:val="0"/>
        <w:bidi w:val="0"/>
        <w:adjustRightInd/>
        <w:snapToGrid/>
        <w:spacing w:line="360" w:lineRule="auto"/>
        <w:ind w:firstLine="420" w:firstLineChars="200"/>
        <w:contextualSpacing/>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□我方本次响应文件</w:t>
      </w:r>
      <w:r>
        <w:rPr>
          <w:rFonts w:hint="eastAsia" w:ascii="宋体" w:hAnsi="宋体" w:eastAsia="宋体" w:cs="宋体"/>
          <w:i w:val="0"/>
          <w:iCs w:val="0"/>
          <w:color w:val="auto"/>
          <w:kern w:val="0"/>
          <w:sz w:val="21"/>
          <w:szCs w:val="21"/>
          <w:highlight w:val="none"/>
        </w:rPr>
        <w:t>涉及商业秘密的内容有：</w:t>
      </w:r>
      <w:r>
        <w:rPr>
          <w:rFonts w:hint="eastAsia" w:ascii="宋体" w:hAnsi="宋体" w:eastAsia="宋体" w:cs="宋体"/>
          <w:i w:val="0"/>
          <w:iCs w:val="0"/>
          <w:color w:val="auto"/>
          <w:kern w:val="0"/>
          <w:sz w:val="21"/>
          <w:szCs w:val="21"/>
          <w:highlight w:val="none"/>
          <w:u w:val="single"/>
        </w:rPr>
        <w:t xml:space="preserve">                         </w:t>
      </w:r>
      <w:r>
        <w:rPr>
          <w:rFonts w:hint="eastAsia" w:ascii="宋体" w:hAnsi="宋体" w:eastAsia="宋体" w:cs="宋体"/>
          <w:i w:val="0"/>
          <w:iCs w:val="0"/>
          <w:color w:val="auto"/>
          <w:kern w:val="0"/>
          <w:sz w:val="21"/>
          <w:szCs w:val="21"/>
          <w:highlight w:val="none"/>
        </w:rPr>
        <w:t>；</w:t>
      </w:r>
    </w:p>
    <w:p w14:paraId="1FB44A13">
      <w:pPr>
        <w:pStyle w:val="16"/>
        <w:keepNext w:val="0"/>
        <w:keepLines w:val="0"/>
        <w:pageBreakBefore w:val="0"/>
        <w:widowControl w:val="0"/>
        <w:tabs>
          <w:tab w:val="left" w:pos="939"/>
        </w:tabs>
        <w:kinsoku/>
        <w:wordWrap/>
        <w:overflowPunct/>
        <w:topLinePunct w:val="0"/>
        <w:bidi w:val="0"/>
        <w:adjustRightInd/>
        <w:snapToGrid/>
        <w:spacing w:line="360" w:lineRule="auto"/>
        <w:ind w:left="0" w:leftChars="0" w:firstLine="420" w:firstLineChars="200"/>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kern w:val="0"/>
          <w:sz w:val="21"/>
          <w:szCs w:val="21"/>
          <w:highlight w:val="none"/>
          <w:lang w:val="en-US" w:eastAsia="zh-CN"/>
        </w:rPr>
        <w:t>6</w:t>
      </w:r>
      <w:r>
        <w:rPr>
          <w:rFonts w:hint="eastAsia" w:ascii="宋体" w:hAnsi="宋体" w:eastAsia="宋体" w:cs="宋体"/>
          <w:i w:val="0"/>
          <w:iCs w:val="0"/>
          <w:color w:val="auto"/>
          <w:kern w:val="0"/>
          <w:sz w:val="21"/>
          <w:szCs w:val="21"/>
          <w:highlight w:val="none"/>
        </w:rPr>
        <w:t>.</w:t>
      </w:r>
      <w:r>
        <w:rPr>
          <w:rFonts w:hint="eastAsia" w:ascii="宋体" w:hAnsi="宋体" w:eastAsia="宋体" w:cs="宋体"/>
          <w:i w:val="0"/>
          <w:iCs w:val="0"/>
          <w:color w:val="auto"/>
          <w:sz w:val="21"/>
          <w:szCs w:val="21"/>
          <w:highlight w:val="none"/>
        </w:rPr>
        <w:t>以上事项如有虚假或者隐瞒，我方愿意承担一切后果，并不再寻求任何旨在减轻或者免除法律责任的辩解。</w:t>
      </w:r>
    </w:p>
    <w:p w14:paraId="5E8EEF5F">
      <w:pPr>
        <w:pStyle w:val="16"/>
        <w:keepNext w:val="0"/>
        <w:keepLines w:val="0"/>
        <w:pageBreakBefore w:val="0"/>
        <w:widowControl w:val="0"/>
        <w:tabs>
          <w:tab w:val="left" w:pos="939"/>
        </w:tabs>
        <w:kinsoku/>
        <w:wordWrap/>
        <w:overflowPunct/>
        <w:topLinePunct w:val="0"/>
        <w:bidi w:val="0"/>
        <w:adjustRightInd/>
        <w:snapToGrid/>
        <w:spacing w:line="360" w:lineRule="auto"/>
        <w:ind w:left="141" w:leftChars="67" w:firstLine="315" w:firstLineChars="150"/>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特此承诺。</w:t>
      </w:r>
    </w:p>
    <w:p w14:paraId="631CA8A9">
      <w:pPr>
        <w:pStyle w:val="16"/>
        <w:keepNext w:val="0"/>
        <w:keepLines w:val="0"/>
        <w:pageBreakBefore w:val="0"/>
        <w:widowControl w:val="0"/>
        <w:tabs>
          <w:tab w:val="left" w:pos="939"/>
        </w:tabs>
        <w:kinsoku/>
        <w:wordWrap/>
        <w:overflowPunct/>
        <w:topLinePunct w:val="0"/>
        <w:bidi w:val="0"/>
        <w:adjustRightInd/>
        <w:snapToGrid/>
        <w:spacing w:line="360" w:lineRule="auto"/>
        <w:ind w:left="0" w:leftChars="0" w:firstLine="420" w:firstLineChars="200"/>
        <w:textAlignment w:val="auto"/>
        <w:rPr>
          <w:rFonts w:hint="eastAsia" w:ascii="宋体" w:hAnsi="宋体" w:eastAsia="宋体" w:cs="宋体"/>
          <w:i w:val="0"/>
          <w:iCs w:val="0"/>
          <w:color w:val="auto"/>
          <w:sz w:val="21"/>
          <w:szCs w:val="21"/>
          <w:highlight w:val="none"/>
        </w:rPr>
      </w:pPr>
      <w:r>
        <w:rPr>
          <w:rFonts w:hint="eastAsia" w:ascii="宋体" w:hAnsi="宋体" w:eastAsia="宋体" w:cs="宋体"/>
          <w:i w:val="0"/>
          <w:iCs w:val="0"/>
          <w:color w:val="auto"/>
          <w:sz w:val="21"/>
          <w:szCs w:val="21"/>
          <w:highlight w:val="none"/>
        </w:rPr>
        <w:t>注：如为联合体竞标，盖章处须加盖联合体各方公章，否则其响应文件按无效响应处理。</w:t>
      </w:r>
    </w:p>
    <w:p w14:paraId="45881EBC">
      <w:pPr>
        <w:pStyle w:val="16"/>
        <w:keepNext w:val="0"/>
        <w:keepLines w:val="0"/>
        <w:pageBreakBefore w:val="0"/>
        <w:widowControl w:val="0"/>
        <w:tabs>
          <w:tab w:val="left" w:pos="939"/>
        </w:tabs>
        <w:kinsoku/>
        <w:wordWrap/>
        <w:overflowPunct/>
        <w:topLinePunct w:val="0"/>
        <w:bidi w:val="0"/>
        <w:adjustRightInd/>
        <w:snapToGrid/>
        <w:spacing w:line="360" w:lineRule="auto"/>
        <w:ind w:left="0" w:leftChars="0" w:firstLine="420" w:firstLineChars="200"/>
        <w:textAlignment w:val="auto"/>
        <w:rPr>
          <w:rFonts w:hint="eastAsia" w:ascii="宋体" w:hAnsi="宋体" w:eastAsia="宋体" w:cs="宋体"/>
          <w:i w:val="0"/>
          <w:iCs w:val="0"/>
          <w:color w:val="auto"/>
          <w:sz w:val="21"/>
          <w:szCs w:val="21"/>
          <w:highlight w:val="none"/>
        </w:rPr>
      </w:pPr>
    </w:p>
    <w:p w14:paraId="1C3F2EF5">
      <w:pPr>
        <w:keepNext w:val="0"/>
        <w:keepLines w:val="0"/>
        <w:pageBreakBefore w:val="0"/>
        <w:widowControl w:val="0"/>
        <w:kinsoku/>
        <w:wordWrap/>
        <w:overflowPunct/>
        <w:topLinePunct w:val="0"/>
        <w:autoSpaceDE w:val="0"/>
        <w:autoSpaceDN w:val="0"/>
        <w:bidi w:val="0"/>
        <w:adjustRightInd/>
        <w:snapToGrid/>
        <w:spacing w:line="360" w:lineRule="auto"/>
        <w:ind w:left="4305" w:leftChars="1850" w:hanging="420" w:hangingChars="200"/>
        <w:textAlignment w:val="auto"/>
        <w:rPr>
          <w:rFonts w:hint="eastAsia" w:ascii="宋体" w:hAnsi="宋体" w:eastAsia="宋体" w:cs="宋体"/>
          <w:i w:val="0"/>
          <w:iCs w:val="0"/>
          <w:color w:val="auto"/>
          <w:kern w:val="0"/>
          <w:sz w:val="21"/>
          <w:szCs w:val="21"/>
          <w:highlight w:val="none"/>
        </w:rPr>
      </w:pPr>
    </w:p>
    <w:p w14:paraId="74530346">
      <w:pPr>
        <w:keepNext w:val="0"/>
        <w:keepLines w:val="0"/>
        <w:pageBreakBefore w:val="0"/>
        <w:widowControl w:val="0"/>
        <w:kinsoku/>
        <w:wordWrap/>
        <w:overflowPunct/>
        <w:topLinePunct w:val="0"/>
        <w:autoSpaceDE w:val="0"/>
        <w:autoSpaceDN w:val="0"/>
        <w:bidi w:val="0"/>
        <w:adjustRightInd/>
        <w:snapToGrid/>
        <w:spacing w:line="360" w:lineRule="auto"/>
        <w:ind w:left="4305" w:leftChars="1850" w:hanging="420" w:hangingChars="200"/>
        <w:textAlignment w:val="auto"/>
        <w:rPr>
          <w:rFonts w:hint="eastAsia" w:ascii="宋体" w:hAnsi="宋体" w:eastAsia="宋体" w:cs="宋体"/>
          <w:i w:val="0"/>
          <w:iCs w:val="0"/>
          <w:color w:val="auto"/>
          <w:kern w:val="0"/>
          <w:sz w:val="21"/>
          <w:szCs w:val="21"/>
          <w:highlight w:val="none"/>
        </w:rPr>
      </w:pPr>
    </w:p>
    <w:p w14:paraId="61D892AC">
      <w:pPr>
        <w:keepNext w:val="0"/>
        <w:keepLines w:val="0"/>
        <w:pageBreakBefore w:val="0"/>
        <w:widowControl w:val="0"/>
        <w:kinsoku/>
        <w:wordWrap/>
        <w:overflowPunct/>
        <w:topLinePunct w:val="0"/>
        <w:autoSpaceDE w:val="0"/>
        <w:autoSpaceDN w:val="0"/>
        <w:bidi w:val="0"/>
        <w:adjustRightInd/>
        <w:snapToGrid/>
        <w:spacing w:line="360" w:lineRule="auto"/>
        <w:ind w:left="4305" w:leftChars="1850" w:hanging="420" w:hangingChars="200"/>
        <w:textAlignment w:val="auto"/>
        <w:rPr>
          <w:rFonts w:hint="eastAsia" w:ascii="宋体" w:hAnsi="宋体" w:eastAsia="宋体" w:cs="宋体"/>
          <w:i w:val="0"/>
          <w:iCs w:val="0"/>
          <w:color w:val="auto"/>
          <w:kern w:val="0"/>
          <w:sz w:val="21"/>
          <w:szCs w:val="21"/>
          <w:highlight w:val="none"/>
        </w:rPr>
      </w:pPr>
      <w:r>
        <w:rPr>
          <w:rFonts w:hint="eastAsia" w:ascii="宋体" w:hAnsi="宋体" w:eastAsia="宋体" w:cs="宋体"/>
          <w:i w:val="0"/>
          <w:iCs w:val="0"/>
          <w:color w:val="auto"/>
          <w:kern w:val="0"/>
          <w:sz w:val="21"/>
          <w:szCs w:val="21"/>
          <w:highlight w:val="none"/>
        </w:rPr>
        <w:t>供应商名称（</w:t>
      </w:r>
      <w:r>
        <w:rPr>
          <w:rFonts w:hint="eastAsia" w:ascii="宋体" w:hAnsi="宋体" w:eastAsia="宋体" w:cs="宋体"/>
          <w:i w:val="0"/>
          <w:iCs w:val="0"/>
          <w:color w:val="auto"/>
          <w:kern w:val="0"/>
          <w:sz w:val="21"/>
          <w:szCs w:val="21"/>
          <w:highlight w:val="none"/>
          <w:lang w:eastAsia="zh-CN"/>
        </w:rPr>
        <w:t>盖公章</w:t>
      </w:r>
      <w:r>
        <w:rPr>
          <w:rFonts w:hint="eastAsia" w:ascii="宋体" w:hAnsi="宋体" w:eastAsia="宋体" w:cs="宋体"/>
          <w:i w:val="0"/>
          <w:iCs w:val="0"/>
          <w:color w:val="auto"/>
          <w:kern w:val="0"/>
          <w:sz w:val="21"/>
          <w:szCs w:val="21"/>
          <w:highlight w:val="none"/>
        </w:rPr>
        <w:t>）：</w:t>
      </w:r>
    </w:p>
    <w:p w14:paraId="23078D14">
      <w:pPr>
        <w:keepNext w:val="0"/>
        <w:keepLines w:val="0"/>
        <w:pageBreakBefore w:val="0"/>
        <w:widowControl w:val="0"/>
        <w:kinsoku/>
        <w:wordWrap/>
        <w:overflowPunct/>
        <w:topLinePunct w:val="0"/>
        <w:autoSpaceDE w:val="0"/>
        <w:autoSpaceDN w:val="0"/>
        <w:bidi w:val="0"/>
        <w:adjustRightInd/>
        <w:snapToGrid/>
        <w:spacing w:line="360" w:lineRule="auto"/>
        <w:ind w:firstLine="5355" w:firstLineChars="2550"/>
        <w:textAlignment w:val="auto"/>
        <w:rPr>
          <w:rFonts w:hint="eastAsia" w:ascii="宋体" w:hAnsi="宋体" w:eastAsia="宋体" w:cs="宋体"/>
          <w:i w:val="0"/>
          <w:iCs w:val="0"/>
          <w:color w:val="auto"/>
          <w:kern w:val="0"/>
          <w:sz w:val="21"/>
          <w:szCs w:val="21"/>
          <w:highlight w:val="none"/>
          <w:lang w:val="zh-CN"/>
        </w:rPr>
      </w:pPr>
      <w:r>
        <w:rPr>
          <w:rFonts w:hint="eastAsia" w:ascii="宋体" w:hAnsi="宋体" w:eastAsia="宋体" w:cs="宋体"/>
          <w:i w:val="0"/>
          <w:iCs w:val="0"/>
          <w:color w:val="auto"/>
          <w:kern w:val="0"/>
          <w:sz w:val="21"/>
          <w:szCs w:val="21"/>
          <w:highlight w:val="none"/>
          <w:lang w:val="zh-CN"/>
        </w:rPr>
        <w:t xml:space="preserve">日期：  年  月   </w:t>
      </w:r>
    </w:p>
    <w:p w14:paraId="7B936108">
      <w:pPr>
        <w:autoSpaceDE w:val="0"/>
        <w:autoSpaceDN w:val="0"/>
        <w:spacing w:line="360" w:lineRule="auto"/>
        <w:rPr>
          <w:rFonts w:hint="eastAsia" w:ascii="仿宋_GB2312" w:hAnsi="仿宋" w:eastAsia="仿宋_GB2312" w:cs="仿宋_GB2312"/>
          <w:color w:val="auto"/>
          <w:kern w:val="0"/>
          <w:sz w:val="24"/>
          <w:highlight w:val="none"/>
          <w:lang w:val="zh-CN"/>
        </w:rPr>
      </w:pPr>
    </w:p>
    <w:p w14:paraId="5EC83619">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宋体" w:hAnsi="宋体" w:eastAsia="宋体" w:cs="宋体"/>
          <w:b/>
          <w:bCs/>
          <w:color w:val="auto"/>
          <w:sz w:val="30"/>
          <w:szCs w:val="30"/>
          <w:highlight w:val="none"/>
        </w:rPr>
      </w:pPr>
      <w:bookmarkStart w:id="204" w:name="_Toc20562"/>
      <w:bookmarkStart w:id="205" w:name="_Toc80205940"/>
      <w:bookmarkStart w:id="206" w:name="_Toc1290"/>
      <w:bookmarkStart w:id="207" w:name="_Toc80886944"/>
      <w:bookmarkStart w:id="208" w:name="_Toc15951"/>
      <w:r>
        <w:rPr>
          <w:rFonts w:hint="eastAsia" w:ascii="宋体" w:hAnsi="宋体" w:eastAsia="宋体" w:cs="宋体"/>
          <w:b/>
          <w:bCs/>
          <w:color w:val="auto"/>
          <w:sz w:val="30"/>
          <w:szCs w:val="30"/>
          <w:highlight w:val="none"/>
        </w:rPr>
        <w:t>第</w:t>
      </w:r>
      <w:r>
        <w:rPr>
          <w:rFonts w:hint="eastAsia" w:ascii="宋体" w:hAnsi="宋体" w:eastAsia="宋体" w:cs="宋体"/>
          <w:b/>
          <w:bCs/>
          <w:color w:val="auto"/>
          <w:sz w:val="30"/>
          <w:szCs w:val="30"/>
          <w:highlight w:val="none"/>
          <w:lang w:eastAsia="zh-CN"/>
        </w:rPr>
        <w:t>二</w:t>
      </w:r>
      <w:r>
        <w:rPr>
          <w:rFonts w:hint="eastAsia" w:ascii="宋体" w:hAnsi="宋体" w:eastAsia="宋体" w:cs="宋体"/>
          <w:b/>
          <w:bCs/>
          <w:color w:val="auto"/>
          <w:sz w:val="30"/>
          <w:szCs w:val="30"/>
          <w:highlight w:val="none"/>
        </w:rPr>
        <w:t xml:space="preserve">节 </w:t>
      </w:r>
      <w:r>
        <w:rPr>
          <w:rFonts w:hint="eastAsia" w:ascii="宋体" w:hAnsi="宋体" w:eastAsia="宋体" w:cs="宋体"/>
          <w:b/>
          <w:bCs/>
          <w:color w:val="auto"/>
          <w:sz w:val="30"/>
          <w:szCs w:val="30"/>
          <w:highlight w:val="none"/>
          <w:lang w:val="en-US" w:eastAsia="zh-CN"/>
        </w:rPr>
        <w:t xml:space="preserve"> </w:t>
      </w:r>
      <w:r>
        <w:rPr>
          <w:rFonts w:hint="eastAsia" w:ascii="宋体" w:hAnsi="宋体" w:eastAsia="宋体" w:cs="宋体"/>
          <w:b/>
          <w:bCs/>
          <w:color w:val="auto"/>
          <w:sz w:val="30"/>
          <w:szCs w:val="30"/>
          <w:highlight w:val="none"/>
        </w:rPr>
        <w:t>商务技术文件格式</w:t>
      </w:r>
      <w:bookmarkEnd w:id="204"/>
      <w:bookmarkEnd w:id="205"/>
      <w:bookmarkEnd w:id="206"/>
      <w:bookmarkEnd w:id="207"/>
      <w:bookmarkEnd w:id="208"/>
    </w:p>
    <w:p w14:paraId="38D59E9E">
      <w:pPr>
        <w:snapToGrid w:val="0"/>
        <w:spacing w:before="120" w:beforeLines="50" w:after="50" w:line="360" w:lineRule="auto"/>
        <w:jc w:val="left"/>
        <w:outlineLvl w:val="2"/>
        <w:rPr>
          <w:b/>
          <w:color w:val="auto"/>
          <w:sz w:val="32"/>
          <w:szCs w:val="32"/>
          <w:highlight w:val="none"/>
        </w:rPr>
      </w:pPr>
      <w:bookmarkStart w:id="209" w:name="_Toc31858"/>
      <w:r>
        <w:rPr>
          <w:b/>
          <w:color w:val="auto"/>
          <w:sz w:val="28"/>
          <w:szCs w:val="28"/>
          <w:highlight w:val="none"/>
        </w:rPr>
        <w:t>1.商务技术文件封面的格式：</w:t>
      </w:r>
      <w:bookmarkEnd w:id="209"/>
    </w:p>
    <w:p w14:paraId="19633377">
      <w:pPr>
        <w:snapToGrid w:val="0"/>
        <w:spacing w:before="120" w:beforeLines="50" w:after="50"/>
        <w:rPr>
          <w:color w:val="auto"/>
          <w:sz w:val="24"/>
          <w:highlight w:val="none"/>
        </w:rPr>
      </w:pPr>
      <w:r>
        <w:rPr>
          <w:color w:val="auto"/>
          <w:sz w:val="24"/>
          <w:highlight w:val="none"/>
        </w:rPr>
        <w:t xml:space="preserve">                                             </w:t>
      </w:r>
    </w:p>
    <w:p w14:paraId="4EDE30ED">
      <w:pPr>
        <w:snapToGrid w:val="0"/>
        <w:spacing w:before="120" w:beforeLines="50" w:after="50"/>
        <w:ind w:firstLine="6720" w:firstLineChars="3200"/>
        <w:rPr>
          <w:bCs/>
          <w:color w:val="auto"/>
          <w:sz w:val="32"/>
          <w:szCs w:val="20"/>
          <w:highlight w:val="none"/>
        </w:rPr>
      </w:pPr>
      <w:r>
        <w:rPr>
          <w:bCs/>
          <w:color w:val="auto"/>
          <w:highlight w:val="none"/>
        </w:rPr>
        <w:t>全流程电子文件</w:t>
      </w:r>
    </w:p>
    <w:p w14:paraId="6533276B">
      <w:pPr>
        <w:snapToGrid w:val="0"/>
        <w:spacing w:before="120" w:beforeLines="50" w:after="50"/>
        <w:rPr>
          <w:color w:val="auto"/>
          <w:sz w:val="24"/>
          <w:szCs w:val="20"/>
          <w:highlight w:val="none"/>
        </w:rPr>
      </w:pPr>
    </w:p>
    <w:p w14:paraId="24718087">
      <w:pPr>
        <w:snapToGrid w:val="0"/>
        <w:spacing w:before="120" w:beforeLines="50" w:after="50"/>
        <w:rPr>
          <w:color w:val="auto"/>
          <w:sz w:val="24"/>
          <w:szCs w:val="20"/>
          <w:highlight w:val="none"/>
        </w:rPr>
      </w:pPr>
    </w:p>
    <w:p w14:paraId="128B7E35">
      <w:pPr>
        <w:snapToGrid w:val="0"/>
        <w:spacing w:before="120" w:beforeLines="50" w:after="50"/>
        <w:rPr>
          <w:color w:val="auto"/>
          <w:sz w:val="24"/>
          <w:szCs w:val="20"/>
          <w:highlight w:val="none"/>
        </w:rPr>
      </w:pPr>
    </w:p>
    <w:p w14:paraId="52D448DE">
      <w:pPr>
        <w:snapToGrid w:val="0"/>
        <w:spacing w:before="120" w:beforeLines="50" w:after="50"/>
        <w:jc w:val="center"/>
        <w:rPr>
          <w:rFonts w:hint="eastAsia" w:ascii="宋体" w:hAnsi="宋体" w:cs="宋体"/>
          <w:b/>
          <w:color w:val="auto"/>
          <w:sz w:val="44"/>
          <w:szCs w:val="44"/>
          <w:highlight w:val="none"/>
        </w:rPr>
      </w:pPr>
      <w:r>
        <w:rPr>
          <w:rFonts w:hint="eastAsia" w:ascii="宋体" w:hAnsi="宋体" w:cs="宋体"/>
          <w:b/>
          <w:color w:val="auto"/>
          <w:sz w:val="44"/>
          <w:szCs w:val="44"/>
          <w:highlight w:val="none"/>
        </w:rPr>
        <w:t>商务技术文件</w:t>
      </w:r>
    </w:p>
    <w:p w14:paraId="437E1486">
      <w:pPr>
        <w:snapToGrid w:val="0"/>
        <w:spacing w:before="120" w:beforeLines="50" w:after="50"/>
        <w:rPr>
          <w:bCs/>
          <w:color w:val="auto"/>
          <w:sz w:val="24"/>
          <w:szCs w:val="20"/>
          <w:highlight w:val="none"/>
        </w:rPr>
      </w:pPr>
    </w:p>
    <w:p w14:paraId="01722139">
      <w:pPr>
        <w:snapToGrid w:val="0"/>
        <w:spacing w:before="120" w:beforeLines="50" w:after="50"/>
        <w:rPr>
          <w:bCs/>
          <w:color w:val="auto"/>
          <w:sz w:val="24"/>
          <w:szCs w:val="20"/>
          <w:highlight w:val="none"/>
        </w:rPr>
      </w:pPr>
    </w:p>
    <w:p w14:paraId="391888A7">
      <w:pPr>
        <w:snapToGrid w:val="0"/>
        <w:spacing w:before="120" w:beforeLines="50" w:after="50"/>
        <w:rPr>
          <w:bCs/>
          <w:color w:val="auto"/>
          <w:sz w:val="24"/>
          <w:szCs w:val="20"/>
          <w:highlight w:val="none"/>
        </w:rPr>
      </w:pPr>
    </w:p>
    <w:p w14:paraId="13418405">
      <w:pPr>
        <w:snapToGrid w:val="0"/>
        <w:spacing w:before="120" w:beforeLines="50" w:after="50"/>
        <w:rPr>
          <w:bCs/>
          <w:color w:val="auto"/>
          <w:sz w:val="24"/>
          <w:szCs w:val="20"/>
          <w:highlight w:val="none"/>
        </w:rPr>
      </w:pPr>
    </w:p>
    <w:p w14:paraId="6E332F11">
      <w:pPr>
        <w:snapToGrid w:val="0"/>
        <w:spacing w:before="120" w:beforeLines="50" w:after="50"/>
        <w:rPr>
          <w:bCs/>
          <w:color w:val="auto"/>
          <w:sz w:val="24"/>
          <w:szCs w:val="20"/>
          <w:highlight w:val="none"/>
        </w:rPr>
      </w:pPr>
    </w:p>
    <w:p w14:paraId="56EAA180">
      <w:pPr>
        <w:snapToGrid w:val="0"/>
        <w:spacing w:before="120" w:beforeLines="50" w:after="50"/>
        <w:ind w:firstLine="640" w:firstLineChars="200"/>
        <w:rPr>
          <w:bCs/>
          <w:color w:val="auto"/>
          <w:sz w:val="32"/>
          <w:szCs w:val="32"/>
          <w:highlight w:val="none"/>
        </w:rPr>
      </w:pPr>
      <w:r>
        <w:rPr>
          <w:bCs/>
          <w:color w:val="auto"/>
          <w:sz w:val="32"/>
          <w:szCs w:val="32"/>
          <w:highlight w:val="none"/>
        </w:rPr>
        <w:t>项目名称：</w:t>
      </w:r>
    </w:p>
    <w:p w14:paraId="01991D62">
      <w:pPr>
        <w:snapToGrid w:val="0"/>
        <w:spacing w:before="120" w:beforeLines="50" w:after="50"/>
        <w:ind w:firstLine="720" w:firstLineChars="225"/>
        <w:rPr>
          <w:bCs/>
          <w:color w:val="auto"/>
          <w:sz w:val="32"/>
          <w:szCs w:val="32"/>
          <w:highlight w:val="none"/>
        </w:rPr>
      </w:pPr>
    </w:p>
    <w:p w14:paraId="35D19A88">
      <w:pPr>
        <w:snapToGrid w:val="0"/>
        <w:spacing w:before="120" w:beforeLines="50" w:after="50"/>
        <w:ind w:firstLine="640" w:firstLineChars="200"/>
        <w:rPr>
          <w:bCs/>
          <w:color w:val="auto"/>
          <w:sz w:val="32"/>
          <w:szCs w:val="32"/>
          <w:highlight w:val="none"/>
        </w:rPr>
      </w:pPr>
      <w:r>
        <w:rPr>
          <w:bCs/>
          <w:color w:val="auto"/>
          <w:sz w:val="32"/>
          <w:szCs w:val="32"/>
          <w:highlight w:val="none"/>
        </w:rPr>
        <w:t>项目编号：</w:t>
      </w:r>
    </w:p>
    <w:p w14:paraId="7D0A2D21">
      <w:pPr>
        <w:snapToGrid w:val="0"/>
        <w:spacing w:before="120" w:beforeLines="50" w:after="50"/>
        <w:ind w:firstLine="720" w:firstLineChars="225"/>
        <w:rPr>
          <w:bCs/>
          <w:color w:val="auto"/>
          <w:sz w:val="32"/>
          <w:szCs w:val="32"/>
          <w:highlight w:val="none"/>
        </w:rPr>
      </w:pPr>
      <w:r>
        <w:rPr>
          <w:bCs/>
          <w:color w:val="auto"/>
          <w:sz w:val="32"/>
          <w:szCs w:val="32"/>
          <w:highlight w:val="none"/>
        </w:rPr>
        <w:t xml:space="preserve"> </w:t>
      </w:r>
    </w:p>
    <w:p w14:paraId="65A4628F">
      <w:pPr>
        <w:snapToGrid w:val="0"/>
        <w:spacing w:before="120" w:beforeLines="50" w:after="50"/>
        <w:ind w:firstLine="640" w:firstLineChars="200"/>
        <w:rPr>
          <w:bCs/>
          <w:color w:val="auto"/>
          <w:sz w:val="32"/>
          <w:szCs w:val="32"/>
          <w:highlight w:val="none"/>
        </w:rPr>
      </w:pPr>
      <w:r>
        <w:rPr>
          <w:bCs/>
          <w:color w:val="auto"/>
          <w:sz w:val="32"/>
          <w:szCs w:val="32"/>
          <w:highlight w:val="none"/>
        </w:rPr>
        <w:t>所竞分标（如有则填写，无分标时填写</w:t>
      </w:r>
      <w:r>
        <w:rPr>
          <w:rFonts w:hint="eastAsia"/>
          <w:bCs/>
          <w:color w:val="auto"/>
          <w:sz w:val="32"/>
          <w:szCs w:val="32"/>
          <w:highlight w:val="none"/>
          <w:lang w:eastAsia="zh-CN"/>
        </w:rPr>
        <w:t>“</w:t>
      </w:r>
      <w:r>
        <w:rPr>
          <w:bCs/>
          <w:color w:val="auto"/>
          <w:sz w:val="32"/>
          <w:szCs w:val="32"/>
          <w:highlight w:val="none"/>
        </w:rPr>
        <w:t>无</w:t>
      </w:r>
      <w:r>
        <w:rPr>
          <w:rFonts w:hint="eastAsia"/>
          <w:bCs/>
          <w:color w:val="auto"/>
          <w:sz w:val="32"/>
          <w:szCs w:val="32"/>
          <w:highlight w:val="none"/>
          <w:lang w:eastAsia="zh-CN"/>
        </w:rPr>
        <w:t>”</w:t>
      </w:r>
      <w:r>
        <w:rPr>
          <w:bCs/>
          <w:color w:val="auto"/>
          <w:sz w:val="32"/>
          <w:szCs w:val="32"/>
          <w:highlight w:val="none"/>
        </w:rPr>
        <w:t>或者留空）：</w:t>
      </w:r>
    </w:p>
    <w:p w14:paraId="76AFEFB1">
      <w:pPr>
        <w:snapToGrid w:val="0"/>
        <w:spacing w:before="120" w:beforeLines="50" w:after="50"/>
        <w:ind w:firstLine="720" w:firstLineChars="225"/>
        <w:rPr>
          <w:bCs/>
          <w:color w:val="auto"/>
          <w:sz w:val="32"/>
          <w:szCs w:val="32"/>
          <w:highlight w:val="none"/>
        </w:rPr>
      </w:pPr>
    </w:p>
    <w:p w14:paraId="44DA57A5">
      <w:pPr>
        <w:pStyle w:val="10"/>
        <w:snapToGrid w:val="0"/>
        <w:spacing w:before="50" w:after="50"/>
        <w:ind w:firstLine="640" w:firstLineChars="200"/>
        <w:rPr>
          <w:bCs/>
          <w:color w:val="auto"/>
          <w:sz w:val="32"/>
          <w:szCs w:val="32"/>
          <w:highlight w:val="none"/>
        </w:rPr>
      </w:pPr>
      <w:r>
        <w:rPr>
          <w:bCs/>
          <w:color w:val="auto"/>
          <w:sz w:val="32"/>
          <w:szCs w:val="32"/>
          <w:highlight w:val="none"/>
        </w:rPr>
        <w:t>供应商名称：</w:t>
      </w:r>
    </w:p>
    <w:p w14:paraId="0F857E52">
      <w:pPr>
        <w:pStyle w:val="10"/>
        <w:snapToGrid w:val="0"/>
        <w:spacing w:before="50" w:after="50"/>
        <w:ind w:firstLine="720" w:firstLineChars="225"/>
        <w:rPr>
          <w:bCs/>
          <w:color w:val="auto"/>
          <w:sz w:val="32"/>
          <w:szCs w:val="32"/>
          <w:highlight w:val="none"/>
        </w:rPr>
      </w:pPr>
    </w:p>
    <w:p w14:paraId="77F6CCBB">
      <w:pPr>
        <w:pStyle w:val="10"/>
        <w:snapToGrid w:val="0"/>
        <w:spacing w:before="50" w:after="50"/>
        <w:ind w:firstLine="720" w:firstLineChars="225"/>
        <w:rPr>
          <w:bCs/>
          <w:color w:val="auto"/>
          <w:sz w:val="32"/>
          <w:szCs w:val="32"/>
          <w:highlight w:val="none"/>
        </w:rPr>
      </w:pPr>
    </w:p>
    <w:p w14:paraId="53D91C4D">
      <w:pPr>
        <w:pStyle w:val="10"/>
        <w:snapToGrid w:val="0"/>
        <w:spacing w:before="50" w:after="50"/>
        <w:ind w:firstLine="1280" w:firstLineChars="400"/>
        <w:rPr>
          <w:bCs/>
          <w:color w:val="auto"/>
          <w:sz w:val="32"/>
          <w:szCs w:val="32"/>
          <w:highlight w:val="none"/>
        </w:rPr>
      </w:pPr>
    </w:p>
    <w:p w14:paraId="44AFB02B">
      <w:pPr>
        <w:snapToGrid w:val="0"/>
        <w:spacing w:before="120" w:beforeLines="50" w:after="50"/>
        <w:jc w:val="center"/>
        <w:rPr>
          <w:color w:val="auto"/>
          <w:sz w:val="32"/>
          <w:szCs w:val="32"/>
          <w:highlight w:val="none"/>
        </w:rPr>
      </w:pPr>
      <w:r>
        <w:rPr>
          <w:color w:val="auto"/>
          <w:sz w:val="32"/>
          <w:szCs w:val="32"/>
          <w:highlight w:val="none"/>
        </w:rPr>
        <w:t>年    月    日</w:t>
      </w:r>
    </w:p>
    <w:p w14:paraId="02F0487F">
      <w:pPr>
        <w:snapToGrid w:val="0"/>
        <w:spacing w:before="120" w:beforeLines="50" w:after="50" w:line="360" w:lineRule="auto"/>
        <w:ind w:left="142" w:firstLine="643" w:firstLineChars="200"/>
        <w:jc w:val="left"/>
        <w:rPr>
          <w:b/>
          <w:bCs/>
          <w:color w:val="auto"/>
          <w:sz w:val="32"/>
          <w:szCs w:val="32"/>
          <w:highlight w:val="none"/>
        </w:rPr>
        <w:sectPr>
          <w:footerReference r:id="rId12" w:type="default"/>
          <w:pgSz w:w="11911" w:h="16838"/>
          <w:pgMar w:top="1440" w:right="1080" w:bottom="1440" w:left="1080" w:header="720" w:footer="720" w:gutter="0"/>
          <w:pgNumType w:start="1"/>
          <w:cols w:space="720" w:num="1"/>
        </w:sectPr>
      </w:pPr>
    </w:p>
    <w:p w14:paraId="2548BE0D">
      <w:pPr>
        <w:snapToGrid w:val="0"/>
        <w:spacing w:before="120" w:beforeLines="50" w:after="50" w:line="360" w:lineRule="auto"/>
        <w:jc w:val="left"/>
        <w:outlineLvl w:val="2"/>
        <w:rPr>
          <w:color w:val="auto"/>
          <w:sz w:val="24"/>
          <w:szCs w:val="20"/>
          <w:highlight w:val="none"/>
        </w:rPr>
      </w:pPr>
      <w:bookmarkStart w:id="210" w:name="_Toc28772"/>
      <w:r>
        <w:rPr>
          <w:b/>
          <w:bCs/>
          <w:color w:val="auto"/>
          <w:sz w:val="28"/>
          <w:szCs w:val="28"/>
          <w:highlight w:val="none"/>
        </w:rPr>
        <w:t>2.商务技术文件目录</w:t>
      </w:r>
      <w:bookmarkEnd w:id="210"/>
    </w:p>
    <w:p w14:paraId="5983E276">
      <w:pPr>
        <w:spacing w:line="400" w:lineRule="exact"/>
        <w:ind w:firstLine="480" w:firstLineChars="200"/>
        <w:rPr>
          <w:rFonts w:eastAsia="仿宋_GB2312"/>
          <w:color w:val="auto"/>
          <w:sz w:val="32"/>
          <w:szCs w:val="32"/>
          <w:highlight w:val="none"/>
        </w:rPr>
      </w:pPr>
      <w:r>
        <w:rPr>
          <w:color w:val="auto"/>
          <w:kern w:val="0"/>
          <w:sz w:val="24"/>
          <w:highlight w:val="none"/>
        </w:rPr>
        <w:t>根据竞争性磋商文件规定及供应商提供的材料自行编写目录（部分格式后附）。</w:t>
      </w:r>
    </w:p>
    <w:p w14:paraId="49E9B5B4">
      <w:pPr>
        <w:snapToGrid w:val="0"/>
        <w:spacing w:before="120" w:beforeLines="50" w:after="50" w:line="360" w:lineRule="auto"/>
        <w:jc w:val="left"/>
        <w:outlineLvl w:val="2"/>
        <w:rPr>
          <w:color w:val="auto"/>
          <w:sz w:val="28"/>
          <w:szCs w:val="28"/>
          <w:highlight w:val="none"/>
        </w:rPr>
      </w:pPr>
      <w:r>
        <w:rPr>
          <w:rFonts w:eastAsia="方正小标宋简体"/>
          <w:color w:val="auto"/>
          <w:sz w:val="44"/>
          <w:szCs w:val="44"/>
          <w:highlight w:val="none"/>
        </w:rPr>
        <w:br w:type="page"/>
      </w:r>
      <w:bookmarkStart w:id="211" w:name="_Toc19137"/>
      <w:r>
        <w:rPr>
          <w:b/>
          <w:color w:val="auto"/>
          <w:sz w:val="28"/>
          <w:szCs w:val="28"/>
          <w:highlight w:val="none"/>
        </w:rPr>
        <w:t>3.无串通</w:t>
      </w:r>
      <w:r>
        <w:rPr>
          <w:rFonts w:ascii="Times New Roman" w:hAnsi="Times New Roman" w:eastAsia="宋体" w:cs="Times New Roman"/>
          <w:b/>
          <w:bCs/>
          <w:color w:val="auto"/>
          <w:sz w:val="28"/>
          <w:szCs w:val="28"/>
          <w:highlight w:val="none"/>
        </w:rPr>
        <w:t>竞标</w:t>
      </w:r>
      <w:r>
        <w:rPr>
          <w:b/>
          <w:color w:val="auto"/>
          <w:sz w:val="28"/>
          <w:szCs w:val="28"/>
          <w:highlight w:val="none"/>
        </w:rPr>
        <w:t>行为的承诺函的格式：</w:t>
      </w:r>
      <w:bookmarkEnd w:id="211"/>
    </w:p>
    <w:p w14:paraId="70F25375">
      <w:pPr>
        <w:spacing w:line="520" w:lineRule="exact"/>
        <w:jc w:val="center"/>
        <w:rPr>
          <w:rFonts w:eastAsia="方正小标宋简体"/>
          <w:color w:val="auto"/>
          <w:sz w:val="44"/>
          <w:szCs w:val="44"/>
          <w:highlight w:val="none"/>
        </w:rPr>
      </w:pPr>
    </w:p>
    <w:p w14:paraId="63F3E6EA">
      <w:pPr>
        <w:spacing w:line="500" w:lineRule="exact"/>
        <w:jc w:val="center"/>
        <w:rPr>
          <w:rFonts w:ascii="宋体" w:hAnsi="宋体" w:cs="宋体"/>
          <w:b/>
          <w:bCs/>
          <w:color w:val="auto"/>
          <w:sz w:val="32"/>
          <w:szCs w:val="32"/>
          <w:highlight w:val="none"/>
        </w:rPr>
      </w:pPr>
      <w:r>
        <w:rPr>
          <w:rFonts w:ascii="宋体" w:hAnsi="宋体" w:cs="宋体"/>
          <w:b/>
          <w:bCs/>
          <w:color w:val="auto"/>
          <w:sz w:val="32"/>
          <w:szCs w:val="32"/>
          <w:highlight w:val="none"/>
        </w:rPr>
        <w:t>无串通竞标行为的承诺函</w:t>
      </w:r>
    </w:p>
    <w:p w14:paraId="74DF1DB1">
      <w:pPr>
        <w:spacing w:line="520" w:lineRule="exact"/>
        <w:ind w:firstLine="640" w:firstLineChars="200"/>
        <w:rPr>
          <w:rFonts w:eastAsia="仿宋_GB2312"/>
          <w:color w:val="auto"/>
          <w:sz w:val="32"/>
          <w:szCs w:val="32"/>
          <w:highlight w:val="none"/>
        </w:rPr>
      </w:pPr>
    </w:p>
    <w:p w14:paraId="3C6AD736">
      <w:pPr>
        <w:keepNext w:val="0"/>
        <w:keepLines w:val="0"/>
        <w:pageBreakBefore w:val="0"/>
        <w:widowControl w:val="0"/>
        <w:kinsoku/>
        <w:wordWrap/>
        <w:overflowPunct/>
        <w:topLinePunct w:val="0"/>
        <w:autoSpaceDE/>
        <w:autoSpaceDN/>
        <w:bidi w:val="0"/>
        <w:adjustRightInd/>
        <w:spacing w:line="360" w:lineRule="auto"/>
        <w:ind w:firstLine="422" w:firstLineChars="200"/>
        <w:contextualSpacing/>
        <w:textAlignment w:val="auto"/>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一、我方承诺无下列相互串通竞标的情形：</w:t>
      </w:r>
    </w:p>
    <w:p w14:paraId="131AE9AD">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1.不同供应商的响应文件由同一单位或者个人编制</w:t>
      </w:r>
      <w:r>
        <w:rPr>
          <w:rFonts w:hint="eastAsia" w:ascii="宋体" w:hAnsi="宋体" w:eastAsia="宋体" w:cs="宋体"/>
          <w:color w:val="auto"/>
          <w:lang w:val="en-US" w:eastAsia="zh-CN"/>
        </w:rPr>
        <w:t>或者不同供应商报名的IP地址一致的</w:t>
      </w:r>
      <w:r>
        <w:rPr>
          <w:rFonts w:hint="eastAsia" w:ascii="宋体" w:hAnsi="宋体" w:eastAsia="宋体" w:cs="宋体"/>
          <w:color w:val="auto"/>
          <w:szCs w:val="21"/>
          <w:highlight w:val="none"/>
        </w:rPr>
        <w:t>；</w:t>
      </w:r>
    </w:p>
    <w:p w14:paraId="2844556A">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2.不同供应商委托同一单位或者个人办理竞标事宜；</w:t>
      </w:r>
    </w:p>
    <w:p w14:paraId="157E3908">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3.不同供应商的响应文件载明的项目管理员为同一个人；</w:t>
      </w:r>
    </w:p>
    <w:p w14:paraId="72D738F1">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4.不</w:t>
      </w:r>
      <w:r>
        <w:rPr>
          <w:rFonts w:hint="eastAsia" w:ascii="宋体" w:hAnsi="宋体" w:eastAsia="宋体" w:cs="宋体"/>
          <w:color w:val="auto"/>
          <w:spacing w:val="-6"/>
          <w:szCs w:val="21"/>
          <w:highlight w:val="none"/>
        </w:rPr>
        <w:t>同供应商的响应文件异常一致或者响应报价呈规律性差异；</w:t>
      </w:r>
    </w:p>
    <w:p w14:paraId="498E9395">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5.不同供应商的响应文件相互混装；</w:t>
      </w:r>
    </w:p>
    <w:p w14:paraId="1C7599ED">
      <w:pPr>
        <w:pStyle w:val="13"/>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rPr>
        <w:t>6.不同供应商的磋商保证金从同一单位或者个人账户转出。</w:t>
      </w:r>
    </w:p>
    <w:p w14:paraId="6FAF7E09">
      <w:pPr>
        <w:keepNext w:val="0"/>
        <w:keepLines w:val="0"/>
        <w:pageBreakBefore w:val="0"/>
        <w:widowControl w:val="0"/>
        <w:kinsoku/>
        <w:wordWrap/>
        <w:overflowPunct/>
        <w:topLinePunct w:val="0"/>
        <w:autoSpaceDE/>
        <w:autoSpaceDN/>
        <w:bidi w:val="0"/>
        <w:adjustRightInd/>
        <w:spacing w:line="360" w:lineRule="auto"/>
        <w:ind w:firstLine="422" w:firstLineChars="200"/>
        <w:contextualSpacing/>
        <w:textAlignment w:val="auto"/>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二、我方承诺无下列恶意串通的情形：</w:t>
      </w:r>
    </w:p>
    <w:p w14:paraId="2A9DACE4">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1.供应商直接或者间接从采购人或者采购代理机构处获得其他供应商的相关信息并修改其响应文件；</w:t>
      </w:r>
    </w:p>
    <w:p w14:paraId="4E37FB5B">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2.供应商按照采购人或者采购代理机构的授意撤换、修改响应文件；</w:t>
      </w:r>
    </w:p>
    <w:p w14:paraId="2A86FED1">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3.供</w:t>
      </w:r>
      <w:r>
        <w:rPr>
          <w:rFonts w:hint="eastAsia" w:ascii="宋体" w:hAnsi="宋体" w:eastAsia="宋体" w:cs="宋体"/>
          <w:color w:val="auto"/>
          <w:spacing w:val="-6"/>
          <w:szCs w:val="21"/>
          <w:highlight w:val="none"/>
        </w:rPr>
        <w:t>应商之间协商报价、技术方案等响应文件的实质性内容；</w:t>
      </w:r>
    </w:p>
    <w:p w14:paraId="5B09270B">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4.属于同一集团、协会、商会等组织成员的供应商按照该组织要求协同参加政府采购活动；</w:t>
      </w:r>
    </w:p>
    <w:p w14:paraId="79F49FB9">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5.供应商之间事先约定一致抬高或者压低响应报价，或者在竞争性磋商项目中事先约定轮流以高价位或者低价位成交，或者事先约定由某一特定供应商成交，然后再参加竞标；</w:t>
      </w:r>
    </w:p>
    <w:p w14:paraId="059BC703">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6.供应商之间商定部分供应商放弃参加政府采购活动或者放弃成交；</w:t>
      </w:r>
    </w:p>
    <w:p w14:paraId="30A80DB8">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7.供应商与采购人或者采购代理机构之间、供应商相互之间，为</w:t>
      </w:r>
      <w:r>
        <w:rPr>
          <w:rFonts w:hint="eastAsia" w:ascii="宋体" w:hAnsi="宋体" w:eastAsia="宋体" w:cs="宋体"/>
          <w:color w:val="auto"/>
          <w:spacing w:val="-6"/>
          <w:szCs w:val="21"/>
          <w:highlight w:val="none"/>
        </w:rPr>
        <w:t>谋求特定供应商成交或者排斥其他供应商的其他串通行为。</w:t>
      </w:r>
    </w:p>
    <w:p w14:paraId="41C172AE">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hint="eastAsia" w:ascii="宋体" w:hAnsi="宋体" w:eastAsia="宋体" w:cs="宋体"/>
          <w:color w:val="auto"/>
          <w:szCs w:val="21"/>
          <w:highlight w:val="none"/>
        </w:rPr>
      </w:pPr>
    </w:p>
    <w:p w14:paraId="737F1D3E">
      <w:pPr>
        <w:keepNext w:val="0"/>
        <w:keepLines w:val="0"/>
        <w:pageBreakBefore w:val="0"/>
        <w:widowControl w:val="0"/>
        <w:kinsoku/>
        <w:wordWrap/>
        <w:overflowPunct/>
        <w:topLinePunct w:val="0"/>
        <w:autoSpaceDE/>
        <w:autoSpaceDN/>
        <w:bidi w:val="0"/>
        <w:adjustRightInd/>
        <w:spacing w:line="360" w:lineRule="auto"/>
        <w:ind w:firstLine="422" w:firstLineChars="200"/>
        <w:contextualSpacing/>
        <w:textAlignment w:val="auto"/>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以上情形一经核查属实，接受政府采购监管部门对我方认定存在围标串标行为，我方愿意承担一切后果，并不再寻求任何旨在减轻或者免除法律责任的辩解。</w:t>
      </w:r>
    </w:p>
    <w:p w14:paraId="60096719">
      <w:pPr>
        <w:pStyle w:val="21"/>
        <w:keepNext w:val="0"/>
        <w:keepLines w:val="0"/>
        <w:pageBreakBefore w:val="0"/>
        <w:widowControl w:val="0"/>
        <w:kinsoku/>
        <w:wordWrap/>
        <w:overflowPunct/>
        <w:topLinePunct w:val="0"/>
        <w:autoSpaceDE/>
        <w:autoSpaceDN/>
        <w:bidi w:val="0"/>
        <w:adjustRightInd/>
        <w:spacing w:line="360" w:lineRule="auto"/>
        <w:textAlignment w:val="auto"/>
        <w:rPr>
          <w:rFonts w:hint="eastAsia" w:ascii="宋体" w:hAnsi="宋体" w:eastAsia="宋体" w:cs="宋体"/>
          <w:b/>
          <w:bCs/>
          <w:color w:val="auto"/>
          <w:sz w:val="21"/>
          <w:szCs w:val="21"/>
          <w:highlight w:val="none"/>
        </w:rPr>
      </w:pPr>
    </w:p>
    <w:p w14:paraId="5E3B4F17">
      <w:pPr>
        <w:pStyle w:val="21"/>
        <w:keepNext w:val="0"/>
        <w:keepLines w:val="0"/>
        <w:pageBreakBefore w:val="0"/>
        <w:widowControl w:val="0"/>
        <w:kinsoku/>
        <w:wordWrap/>
        <w:overflowPunct/>
        <w:topLinePunct w:val="0"/>
        <w:autoSpaceDE/>
        <w:autoSpaceDN/>
        <w:bidi w:val="0"/>
        <w:adjustRightInd/>
        <w:spacing w:line="360" w:lineRule="auto"/>
        <w:textAlignment w:val="auto"/>
        <w:rPr>
          <w:rFonts w:hint="eastAsia" w:ascii="宋体" w:hAnsi="宋体" w:eastAsia="宋体" w:cs="宋体"/>
          <w:b/>
          <w:bCs/>
          <w:color w:val="auto"/>
          <w:sz w:val="21"/>
          <w:szCs w:val="21"/>
          <w:highlight w:val="none"/>
        </w:rPr>
      </w:pPr>
    </w:p>
    <w:p w14:paraId="6C46E1E6">
      <w:pPr>
        <w:pStyle w:val="21"/>
        <w:keepNext w:val="0"/>
        <w:keepLines w:val="0"/>
        <w:pageBreakBefore w:val="0"/>
        <w:widowControl w:val="0"/>
        <w:kinsoku/>
        <w:wordWrap/>
        <w:overflowPunct/>
        <w:topLinePunct w:val="0"/>
        <w:autoSpaceDE/>
        <w:autoSpaceDN/>
        <w:bidi w:val="0"/>
        <w:adjustRightInd/>
        <w:spacing w:line="360" w:lineRule="auto"/>
        <w:textAlignment w:val="auto"/>
        <w:rPr>
          <w:rFonts w:hint="eastAsia" w:ascii="宋体" w:hAnsi="宋体" w:eastAsia="宋体" w:cs="宋体"/>
          <w:b/>
          <w:bCs/>
          <w:color w:val="auto"/>
          <w:sz w:val="21"/>
          <w:szCs w:val="21"/>
          <w:highlight w:val="none"/>
        </w:rPr>
      </w:pPr>
    </w:p>
    <w:p w14:paraId="79AD0C33">
      <w:pPr>
        <w:pStyle w:val="21"/>
        <w:keepNext w:val="0"/>
        <w:keepLines w:val="0"/>
        <w:pageBreakBefore w:val="0"/>
        <w:widowControl w:val="0"/>
        <w:kinsoku/>
        <w:wordWrap/>
        <w:overflowPunct/>
        <w:topLinePunct w:val="0"/>
        <w:autoSpaceDE/>
        <w:autoSpaceDN/>
        <w:bidi w:val="0"/>
        <w:adjustRightInd/>
        <w:spacing w:line="360" w:lineRule="auto"/>
        <w:textAlignment w:val="auto"/>
        <w:rPr>
          <w:rFonts w:hint="eastAsia" w:ascii="宋体" w:hAnsi="宋体" w:eastAsia="宋体" w:cs="宋体"/>
          <w:b/>
          <w:bCs/>
          <w:color w:val="auto"/>
          <w:sz w:val="21"/>
          <w:szCs w:val="21"/>
          <w:highlight w:val="none"/>
        </w:rPr>
      </w:pPr>
    </w:p>
    <w:p w14:paraId="71EF8EA3">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供应商</w:t>
      </w:r>
      <w:r>
        <w:rPr>
          <w:rFonts w:hint="eastAsia" w:ascii="宋体" w:hAnsi="宋体" w:eastAsia="宋体" w:cs="宋体"/>
          <w:color w:val="auto"/>
          <w:kern w:val="0"/>
          <w:szCs w:val="21"/>
          <w:highlight w:val="none"/>
        </w:rPr>
        <w:t>名称</w:t>
      </w:r>
      <w:r>
        <w:rPr>
          <w:rFonts w:hint="eastAsia" w:ascii="宋体" w:hAnsi="宋体" w:eastAsia="宋体" w:cs="宋体"/>
          <w:color w:val="auto"/>
          <w:szCs w:val="21"/>
          <w:highlight w:val="none"/>
        </w:rPr>
        <w:t>（盖公章）：</w:t>
      </w:r>
      <w:r>
        <w:rPr>
          <w:rFonts w:hint="eastAsia" w:ascii="宋体" w:hAnsi="宋体" w:eastAsia="宋体" w:cs="宋体"/>
          <w:color w:val="auto"/>
          <w:szCs w:val="21"/>
          <w:highlight w:val="none"/>
          <w:u w:val="single"/>
        </w:rPr>
        <w:t xml:space="preserve">                   </w:t>
      </w:r>
    </w:p>
    <w:p w14:paraId="30903E6A">
      <w:pPr>
        <w:keepNext w:val="0"/>
        <w:keepLines w:val="0"/>
        <w:pageBreakBefore w:val="0"/>
        <w:widowControl w:val="0"/>
        <w:kinsoku/>
        <w:wordWrap/>
        <w:overflowPunct/>
        <w:topLinePunct w:val="0"/>
        <w:autoSpaceDE/>
        <w:autoSpaceDN/>
        <w:bidi w:val="0"/>
        <w:adjustRightInd/>
        <w:snapToGrid w:val="0"/>
        <w:spacing w:line="360" w:lineRule="auto"/>
        <w:ind w:firstLine="420" w:firstLineChars="200"/>
        <w:textAlignment w:val="auto"/>
        <w:rPr>
          <w:rFonts w:hint="eastAsia" w:ascii="宋体" w:hAnsi="宋体" w:eastAsia="宋体" w:cs="宋体"/>
          <w:b/>
          <w:color w:val="auto"/>
          <w:sz w:val="30"/>
          <w:szCs w:val="30"/>
          <w:highlight w:val="none"/>
        </w:rPr>
      </w:pPr>
      <w:r>
        <w:rPr>
          <w:rFonts w:hint="eastAsia" w:ascii="宋体" w:hAnsi="宋体" w:eastAsia="宋体" w:cs="宋体"/>
          <w:color w:val="auto"/>
          <w:szCs w:val="21"/>
          <w:highlight w:val="none"/>
        </w:rPr>
        <w:t xml:space="preserve">                                      日期：</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月</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日</w:t>
      </w:r>
    </w:p>
    <w:p w14:paraId="46BABE53">
      <w:pPr>
        <w:snapToGrid w:val="0"/>
        <w:spacing w:before="120" w:beforeLines="50" w:after="50" w:line="360" w:lineRule="auto"/>
        <w:jc w:val="left"/>
        <w:outlineLvl w:val="2"/>
        <w:rPr>
          <w:b/>
          <w:bCs/>
          <w:color w:val="auto"/>
          <w:sz w:val="28"/>
          <w:szCs w:val="28"/>
          <w:highlight w:val="none"/>
        </w:rPr>
      </w:pPr>
      <w:r>
        <w:rPr>
          <w:b/>
          <w:bCs/>
          <w:color w:val="auto"/>
          <w:szCs w:val="21"/>
          <w:highlight w:val="none"/>
        </w:rPr>
        <w:br w:type="page"/>
      </w:r>
      <w:bookmarkStart w:id="212" w:name="_Toc2814"/>
      <w:r>
        <w:rPr>
          <w:b/>
          <w:bCs/>
          <w:color w:val="auto"/>
          <w:sz w:val="28"/>
          <w:szCs w:val="28"/>
          <w:highlight w:val="none"/>
        </w:rPr>
        <w:t>4.法定</w:t>
      </w:r>
      <w:r>
        <w:rPr>
          <w:rFonts w:ascii="Times New Roman" w:hAnsi="Times New Roman" w:eastAsia="宋体" w:cs="Times New Roman"/>
          <w:b/>
          <w:bCs/>
          <w:color w:val="auto"/>
          <w:sz w:val="28"/>
          <w:szCs w:val="28"/>
          <w:highlight w:val="none"/>
        </w:rPr>
        <w:t>代表人</w:t>
      </w:r>
      <w:r>
        <w:rPr>
          <w:b/>
          <w:bCs/>
          <w:color w:val="auto"/>
          <w:sz w:val="28"/>
          <w:szCs w:val="28"/>
          <w:highlight w:val="none"/>
        </w:rPr>
        <w:t>身份证明的格式：</w:t>
      </w:r>
      <w:bookmarkEnd w:id="212"/>
    </w:p>
    <w:p w14:paraId="0852B831">
      <w:pPr>
        <w:spacing w:line="500" w:lineRule="exact"/>
        <w:jc w:val="center"/>
        <w:rPr>
          <w:rFonts w:ascii="宋体" w:hAnsi="宋体" w:cs="宋体"/>
          <w:b/>
          <w:bCs/>
          <w:color w:val="auto"/>
          <w:sz w:val="32"/>
          <w:szCs w:val="32"/>
          <w:highlight w:val="none"/>
        </w:rPr>
      </w:pPr>
      <w:r>
        <w:rPr>
          <w:rFonts w:ascii="宋体" w:hAnsi="宋体" w:cs="宋体"/>
          <w:b/>
          <w:bCs/>
          <w:color w:val="auto"/>
          <w:sz w:val="32"/>
          <w:szCs w:val="32"/>
          <w:highlight w:val="none"/>
        </w:rPr>
        <w:t>法定代表人身份证明</w:t>
      </w:r>
    </w:p>
    <w:p w14:paraId="0E132660">
      <w:pPr>
        <w:spacing w:line="360" w:lineRule="auto"/>
        <w:ind w:left="540"/>
        <w:contextualSpacing/>
        <w:rPr>
          <w:rFonts w:eastAsia="仿宋_GB2312"/>
          <w:color w:val="auto"/>
          <w:sz w:val="32"/>
          <w:szCs w:val="32"/>
          <w:highlight w:val="none"/>
        </w:rPr>
      </w:pPr>
    </w:p>
    <w:p w14:paraId="03D81A2E">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供 应 商：</w:t>
      </w:r>
      <w:r>
        <w:rPr>
          <w:rFonts w:hint="eastAsia" w:ascii="宋体" w:hAnsi="宋体" w:eastAsia="宋体" w:cs="宋体"/>
          <w:color w:val="auto"/>
          <w:szCs w:val="21"/>
          <w:highlight w:val="none"/>
          <w:u w:val="single"/>
        </w:rPr>
        <w:t xml:space="preserve">                                                        </w:t>
      </w:r>
    </w:p>
    <w:p w14:paraId="05C4EEDF">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单位性质：</w:t>
      </w:r>
      <w:r>
        <w:rPr>
          <w:rFonts w:hint="eastAsia" w:ascii="宋体" w:hAnsi="宋体" w:eastAsia="宋体" w:cs="宋体"/>
          <w:color w:val="auto"/>
          <w:szCs w:val="21"/>
          <w:highlight w:val="none"/>
          <w:u w:val="single"/>
        </w:rPr>
        <w:t xml:space="preserve">                                                        </w:t>
      </w:r>
    </w:p>
    <w:p w14:paraId="20C175F6">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地    址：</w:t>
      </w:r>
      <w:r>
        <w:rPr>
          <w:rFonts w:hint="eastAsia" w:ascii="宋体" w:hAnsi="宋体" w:eastAsia="宋体" w:cs="宋体"/>
          <w:color w:val="auto"/>
          <w:szCs w:val="21"/>
          <w:highlight w:val="none"/>
          <w:u w:val="single"/>
        </w:rPr>
        <w:t xml:space="preserve">                                                        </w:t>
      </w:r>
    </w:p>
    <w:p w14:paraId="04BAA3C5">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成立时间：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月</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日</w:t>
      </w:r>
    </w:p>
    <w:p w14:paraId="7F848E4E">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经营期限：</w:t>
      </w:r>
      <w:r>
        <w:rPr>
          <w:rFonts w:hint="eastAsia" w:ascii="宋体" w:hAnsi="宋体" w:eastAsia="宋体" w:cs="宋体"/>
          <w:color w:val="auto"/>
          <w:szCs w:val="21"/>
          <w:highlight w:val="none"/>
          <w:u w:val="single"/>
        </w:rPr>
        <w:t xml:space="preserve">                                                        </w:t>
      </w:r>
    </w:p>
    <w:p w14:paraId="17FAEE52">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姓    名：</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性     别：</w:t>
      </w:r>
      <w:r>
        <w:rPr>
          <w:rFonts w:hint="eastAsia" w:ascii="宋体" w:hAnsi="宋体" w:eastAsia="宋体" w:cs="宋体"/>
          <w:color w:val="auto"/>
          <w:szCs w:val="21"/>
          <w:highlight w:val="none"/>
          <w:u w:val="single"/>
        </w:rPr>
        <w:t xml:space="preserve">                   </w:t>
      </w:r>
    </w:p>
    <w:p w14:paraId="5CDA629C">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年    龄：</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职     务：</w:t>
      </w:r>
      <w:r>
        <w:rPr>
          <w:rFonts w:hint="eastAsia" w:ascii="宋体" w:hAnsi="宋体" w:eastAsia="宋体" w:cs="宋体"/>
          <w:color w:val="auto"/>
          <w:szCs w:val="21"/>
          <w:highlight w:val="none"/>
          <w:u w:val="single"/>
        </w:rPr>
        <w:t xml:space="preserve">                   </w:t>
      </w:r>
    </w:p>
    <w:p w14:paraId="31CB608E">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（供应商名称）的法定代表人。</w:t>
      </w:r>
    </w:p>
    <w:p w14:paraId="2FB94181">
      <w:pPr>
        <w:keepNext w:val="0"/>
        <w:keepLines w:val="0"/>
        <w:pageBreakBefore w:val="0"/>
        <w:widowControl w:val="0"/>
        <w:kinsoku/>
        <w:wordWrap/>
        <w:overflowPunct/>
        <w:topLinePunct w:val="0"/>
        <w:autoSpaceDE/>
        <w:autoSpaceDN/>
        <w:bidi w:val="0"/>
        <w:adjustRightInd/>
        <w:spacing w:line="360" w:lineRule="auto"/>
        <w:ind w:firstLine="525" w:firstLineChars="25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特此证明。</w:t>
      </w:r>
    </w:p>
    <w:p w14:paraId="667265A3">
      <w:pPr>
        <w:keepNext w:val="0"/>
        <w:keepLines w:val="0"/>
        <w:pageBreakBefore w:val="0"/>
        <w:widowControl w:val="0"/>
        <w:kinsoku/>
        <w:wordWrap/>
        <w:overflowPunct/>
        <w:topLinePunct w:val="0"/>
        <w:autoSpaceDE/>
        <w:autoSpaceDN/>
        <w:bidi w:val="0"/>
        <w:adjustRightInd/>
        <w:spacing w:line="360" w:lineRule="auto"/>
        <w:ind w:left="540"/>
        <w:contextualSpacing/>
        <w:textAlignment w:val="auto"/>
        <w:rPr>
          <w:rFonts w:hint="eastAsia" w:ascii="宋体" w:hAnsi="宋体" w:eastAsia="宋体" w:cs="宋体"/>
          <w:color w:val="auto"/>
          <w:szCs w:val="21"/>
          <w:highlight w:val="none"/>
        </w:rPr>
      </w:pPr>
    </w:p>
    <w:p w14:paraId="1CCCDBB8">
      <w:pPr>
        <w:keepNext w:val="0"/>
        <w:keepLines w:val="0"/>
        <w:pageBreakBefore w:val="0"/>
        <w:widowControl w:val="0"/>
        <w:kinsoku/>
        <w:wordWrap/>
        <w:overflowPunct/>
        <w:topLinePunct w:val="0"/>
        <w:autoSpaceDE/>
        <w:autoSpaceDN/>
        <w:bidi w:val="0"/>
        <w:adjustRightInd/>
        <w:spacing w:line="360" w:lineRule="auto"/>
        <w:ind w:left="540"/>
        <w:contextualSpacing/>
        <w:textAlignment w:val="auto"/>
        <w:rPr>
          <w:rFonts w:hint="eastAsia" w:ascii="宋体" w:hAnsi="宋体" w:eastAsia="宋体" w:cs="宋体"/>
          <w:color w:val="auto"/>
          <w:szCs w:val="21"/>
          <w:highlight w:val="none"/>
        </w:rPr>
      </w:pPr>
    </w:p>
    <w:p w14:paraId="31F1683C">
      <w:pPr>
        <w:keepNext w:val="0"/>
        <w:keepLines w:val="0"/>
        <w:pageBreakBefore w:val="0"/>
        <w:widowControl w:val="0"/>
        <w:kinsoku/>
        <w:wordWrap/>
        <w:overflowPunct/>
        <w:topLinePunct w:val="0"/>
        <w:autoSpaceDE/>
        <w:autoSpaceDN/>
        <w:bidi w:val="0"/>
        <w:adjustRightInd/>
        <w:spacing w:line="360" w:lineRule="auto"/>
        <w:ind w:left="540"/>
        <w:contextualSpacing/>
        <w:textAlignment w:val="auto"/>
        <w:rPr>
          <w:rFonts w:hint="eastAsia" w:ascii="宋体" w:hAnsi="宋体" w:eastAsia="宋体" w:cs="宋体"/>
          <w:color w:val="auto"/>
          <w:szCs w:val="21"/>
          <w:highlight w:val="none"/>
        </w:rPr>
      </w:pPr>
    </w:p>
    <w:p w14:paraId="70E27E48">
      <w:pPr>
        <w:keepNext w:val="0"/>
        <w:keepLines w:val="0"/>
        <w:pageBreakBefore w:val="0"/>
        <w:widowControl w:val="0"/>
        <w:kinsoku/>
        <w:wordWrap/>
        <w:overflowPunct/>
        <w:topLinePunct w:val="0"/>
        <w:autoSpaceDE/>
        <w:autoSpaceDN/>
        <w:bidi w:val="0"/>
        <w:adjustRightInd/>
        <w:spacing w:line="360" w:lineRule="auto"/>
        <w:ind w:left="540"/>
        <w:contextualSpacing/>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附件：法定代表人有效身份证正反面复印件</w:t>
      </w:r>
    </w:p>
    <w:p w14:paraId="6721A9C8">
      <w:pPr>
        <w:keepNext w:val="0"/>
        <w:keepLines w:val="0"/>
        <w:pageBreakBefore w:val="0"/>
        <w:widowControl w:val="0"/>
        <w:kinsoku/>
        <w:wordWrap/>
        <w:overflowPunct/>
        <w:topLinePunct w:val="0"/>
        <w:autoSpaceDE/>
        <w:autoSpaceDN/>
        <w:bidi w:val="0"/>
        <w:adjustRightInd/>
        <w:spacing w:line="360" w:lineRule="auto"/>
        <w:ind w:left="540"/>
        <w:contextualSpacing/>
        <w:textAlignment w:val="auto"/>
        <w:rPr>
          <w:rFonts w:hint="eastAsia" w:ascii="宋体" w:hAnsi="宋体" w:eastAsia="宋体" w:cs="宋体"/>
          <w:color w:val="auto"/>
          <w:szCs w:val="21"/>
          <w:highlight w:val="none"/>
        </w:rPr>
      </w:pPr>
    </w:p>
    <w:p w14:paraId="7BEBB9B5">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供应商</w:t>
      </w:r>
      <w:r>
        <w:rPr>
          <w:rFonts w:hint="eastAsia" w:ascii="宋体" w:hAnsi="宋体" w:eastAsia="宋体" w:cs="宋体"/>
          <w:color w:val="auto"/>
          <w:kern w:val="0"/>
          <w:szCs w:val="21"/>
          <w:highlight w:val="none"/>
        </w:rPr>
        <w:t>名称</w:t>
      </w:r>
      <w:r>
        <w:rPr>
          <w:rFonts w:hint="eastAsia" w:ascii="宋体" w:hAnsi="宋体" w:eastAsia="宋体" w:cs="宋体"/>
          <w:color w:val="auto"/>
          <w:szCs w:val="21"/>
          <w:highlight w:val="none"/>
        </w:rPr>
        <w:t>（盖公章）：</w:t>
      </w:r>
      <w:r>
        <w:rPr>
          <w:rFonts w:hint="eastAsia" w:ascii="宋体" w:hAnsi="宋体" w:eastAsia="宋体" w:cs="宋体"/>
          <w:color w:val="auto"/>
          <w:szCs w:val="21"/>
          <w:highlight w:val="none"/>
          <w:u w:val="single"/>
        </w:rPr>
        <w:t xml:space="preserve">                   </w:t>
      </w:r>
    </w:p>
    <w:p w14:paraId="58D45F2B">
      <w:pPr>
        <w:keepNext w:val="0"/>
        <w:keepLines w:val="0"/>
        <w:pageBreakBefore w:val="0"/>
        <w:widowControl w:val="0"/>
        <w:kinsoku/>
        <w:wordWrap/>
        <w:overflowPunct/>
        <w:topLinePunct w:val="0"/>
        <w:autoSpaceDE/>
        <w:autoSpaceDN/>
        <w:bidi w:val="0"/>
        <w:adjustRightInd/>
        <w:snapToGrid w:val="0"/>
        <w:spacing w:line="360" w:lineRule="auto"/>
        <w:ind w:firstLine="420" w:firstLineChars="200"/>
        <w:textAlignment w:val="auto"/>
        <w:rPr>
          <w:rFonts w:hint="eastAsia" w:ascii="宋体" w:hAnsi="宋体" w:eastAsia="宋体" w:cs="宋体"/>
          <w:b/>
          <w:color w:val="auto"/>
          <w:sz w:val="30"/>
          <w:szCs w:val="30"/>
          <w:highlight w:val="none"/>
        </w:rPr>
      </w:pPr>
      <w:r>
        <w:rPr>
          <w:rFonts w:hint="eastAsia" w:ascii="宋体" w:hAnsi="宋体" w:eastAsia="宋体" w:cs="宋体"/>
          <w:color w:val="auto"/>
          <w:szCs w:val="21"/>
          <w:highlight w:val="none"/>
        </w:rPr>
        <w:t xml:space="preserve">                                      日期：</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月</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日</w:t>
      </w:r>
    </w:p>
    <w:p w14:paraId="5267F007">
      <w:pPr>
        <w:keepNext w:val="0"/>
        <w:keepLines w:val="0"/>
        <w:pageBreakBefore w:val="0"/>
        <w:widowControl w:val="0"/>
        <w:kinsoku/>
        <w:wordWrap/>
        <w:overflowPunct/>
        <w:topLinePunct w:val="0"/>
        <w:autoSpaceDE/>
        <w:autoSpaceDN/>
        <w:bidi w:val="0"/>
        <w:adjustRightInd/>
        <w:spacing w:line="360" w:lineRule="auto"/>
        <w:contextualSpacing/>
        <w:jc w:val="left"/>
        <w:textAlignment w:val="auto"/>
        <w:rPr>
          <w:rFonts w:hint="eastAsia" w:ascii="宋体" w:hAnsi="宋体" w:eastAsia="宋体" w:cs="宋体"/>
          <w:color w:val="auto"/>
          <w:sz w:val="24"/>
          <w:highlight w:val="none"/>
        </w:rPr>
      </w:pPr>
    </w:p>
    <w:p w14:paraId="2973B0FD">
      <w:pPr>
        <w:keepNext w:val="0"/>
        <w:keepLines w:val="0"/>
        <w:pageBreakBefore w:val="0"/>
        <w:widowControl w:val="0"/>
        <w:kinsoku/>
        <w:wordWrap/>
        <w:overflowPunct/>
        <w:topLinePunct w:val="0"/>
        <w:autoSpaceDE/>
        <w:autoSpaceDN/>
        <w:bidi w:val="0"/>
        <w:adjustRightInd/>
        <w:spacing w:line="360" w:lineRule="auto"/>
        <w:contextualSpacing/>
        <w:jc w:val="left"/>
        <w:textAlignment w:val="auto"/>
        <w:rPr>
          <w:rFonts w:hint="eastAsia" w:ascii="宋体" w:hAnsi="宋体" w:eastAsia="宋体" w:cs="宋体"/>
          <w:color w:val="auto"/>
          <w:sz w:val="24"/>
          <w:highlight w:val="none"/>
        </w:rPr>
      </w:pPr>
    </w:p>
    <w:p w14:paraId="22CF5BDA">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jc w:val="left"/>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注：</w:t>
      </w:r>
    </w:p>
    <w:p w14:paraId="2F3B1F71">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jc w:val="left"/>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1.自然人竞标的无需提供，联合体竞标的只需牵头人出具。</w:t>
      </w:r>
    </w:p>
    <w:p w14:paraId="5ADB051E">
      <w:pPr>
        <w:keepNext w:val="0"/>
        <w:keepLines w:val="0"/>
        <w:pageBreakBefore w:val="0"/>
        <w:widowControl w:val="0"/>
        <w:kinsoku/>
        <w:wordWrap/>
        <w:overflowPunct/>
        <w:topLinePunct w:val="0"/>
        <w:autoSpaceDE/>
        <w:autoSpaceDN/>
        <w:bidi w:val="0"/>
        <w:adjustRightInd/>
        <w:spacing w:line="360" w:lineRule="auto"/>
        <w:ind w:firstLine="420" w:firstLineChars="200"/>
        <w:contextualSpacing/>
        <w:jc w:val="left"/>
        <w:textAlignment w:val="auto"/>
        <w:rPr>
          <w:rFonts w:hint="eastAsia" w:ascii="宋体" w:hAnsi="宋体" w:eastAsia="宋体" w:cs="宋体"/>
          <w:color w:val="auto"/>
          <w:szCs w:val="21"/>
          <w:highlight w:val="none"/>
        </w:rPr>
        <w:sectPr>
          <w:pgSz w:w="11911" w:h="16838"/>
          <w:pgMar w:top="1134" w:right="1134" w:bottom="1134" w:left="1134" w:header="720" w:footer="720" w:gutter="0"/>
          <w:cols w:space="720" w:num="1"/>
        </w:sectPr>
      </w:pPr>
      <w:r>
        <w:rPr>
          <w:rFonts w:hint="eastAsia" w:ascii="宋体" w:hAnsi="宋体" w:eastAsia="宋体" w:cs="宋体"/>
          <w:color w:val="auto"/>
          <w:szCs w:val="21"/>
          <w:highlight w:val="none"/>
        </w:rPr>
        <w:t>2.供应商为其他组织或者自然人时，本磋商文件规定的法定代表人指负责人或者自然人。本磋商文件所称负责人是指参加竞标的其他组织营业执照上的负责人，本磋商文件所称自然人指参与竞标的自然人本人。</w:t>
      </w:r>
    </w:p>
    <w:p w14:paraId="67FB920C">
      <w:pPr>
        <w:spacing w:line="360" w:lineRule="auto"/>
        <w:contextualSpacing/>
        <w:jc w:val="left"/>
        <w:rPr>
          <w:rFonts w:hint="eastAsia"/>
          <w:b/>
          <w:color w:val="auto"/>
          <w:szCs w:val="21"/>
          <w:highlight w:val="none"/>
        </w:rPr>
      </w:pPr>
      <w:r>
        <w:rPr>
          <w:rFonts w:hint="eastAsia" w:ascii="Calibri"/>
          <w:b/>
          <w:color w:val="auto"/>
          <w:sz w:val="24"/>
          <w:highlight w:val="none"/>
        </w:rPr>
        <w:t>附件：</w:t>
      </w:r>
    </w:p>
    <w:tbl>
      <w:tblPr>
        <w:tblStyle w:val="28"/>
        <w:tblpPr w:leftFromText="180" w:rightFromText="180" w:vertAnchor="text" w:horzAnchor="page" w:tblpX="1957" w:tblpY="335"/>
        <w:tblW w:w="846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1"/>
      </w:tblGrid>
      <w:tr w14:paraId="53248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05" w:hRule="atLeast"/>
        </w:trPr>
        <w:tc>
          <w:tcPr>
            <w:tcW w:w="8461" w:type="dxa"/>
            <w:noWrap w:val="0"/>
            <w:vAlign w:val="top"/>
          </w:tcPr>
          <w:p w14:paraId="4E450010">
            <w:pPr>
              <w:spacing w:line="360" w:lineRule="auto"/>
              <w:rPr>
                <w:rFonts w:hAnsi="Calibri"/>
                <w:b/>
                <w:color w:val="auto"/>
                <w:sz w:val="24"/>
                <w:highlight w:val="none"/>
              </w:rPr>
            </w:pPr>
            <w:r>
              <w:rPr>
                <w:rFonts w:hint="eastAsia" w:hAnsi="Calibri"/>
                <w:b/>
                <w:color w:val="auto"/>
                <w:sz w:val="24"/>
                <w:highlight w:val="none"/>
              </w:rPr>
              <w:t>法定代表人身份证复印件</w:t>
            </w:r>
            <w:r>
              <w:rPr>
                <w:rFonts w:hint="eastAsia" w:hAnsi="Calibri" w:eastAsia="宋体"/>
                <w:b/>
                <w:color w:val="auto"/>
                <w:sz w:val="24"/>
                <w:highlight w:val="none"/>
              </w:rPr>
              <w:t>粘</w:t>
            </w:r>
            <w:r>
              <w:rPr>
                <w:rFonts w:hint="eastAsia" w:hAnsi="Calibri" w:eastAsia="宋体"/>
                <w:b/>
                <w:color w:val="auto"/>
                <w:sz w:val="24"/>
                <w:highlight w:val="none"/>
                <w:lang w:val="en-US" w:eastAsia="zh-CN"/>
              </w:rPr>
              <w:t>贴</w:t>
            </w:r>
            <w:r>
              <w:rPr>
                <w:rFonts w:hint="eastAsia" w:hAnsi="Calibri" w:eastAsia="宋体"/>
                <w:b/>
                <w:color w:val="auto"/>
                <w:sz w:val="24"/>
                <w:highlight w:val="none"/>
              </w:rPr>
              <w:t>处</w:t>
            </w:r>
            <w:r>
              <w:rPr>
                <w:rFonts w:hint="eastAsia" w:hAnsi="Calibri"/>
                <w:b/>
                <w:color w:val="auto"/>
                <w:sz w:val="24"/>
                <w:highlight w:val="none"/>
              </w:rPr>
              <w:t>（正、反面）</w:t>
            </w:r>
          </w:p>
        </w:tc>
      </w:tr>
    </w:tbl>
    <w:p w14:paraId="38CDED4E">
      <w:pPr>
        <w:spacing w:line="520" w:lineRule="exact"/>
        <w:jc w:val="left"/>
        <w:rPr>
          <w:rFonts w:hint="eastAsia" w:ascii="宋体" w:hAnsi="宋体" w:cs="宋体"/>
          <w:color w:val="auto"/>
          <w:szCs w:val="21"/>
          <w:highlight w:val="none"/>
        </w:rPr>
      </w:pPr>
    </w:p>
    <w:p w14:paraId="2A34C503">
      <w:pPr>
        <w:spacing w:line="520" w:lineRule="exact"/>
        <w:ind w:firstLine="880"/>
        <w:jc w:val="left"/>
        <w:rPr>
          <w:rFonts w:hint="eastAsia" w:ascii="宋体" w:hAnsi="宋体" w:cs="宋体"/>
          <w:color w:val="auto"/>
          <w:szCs w:val="21"/>
          <w:highlight w:val="none"/>
        </w:rPr>
      </w:pPr>
    </w:p>
    <w:p w14:paraId="4194C04E">
      <w:pPr>
        <w:spacing w:line="520" w:lineRule="exact"/>
        <w:ind w:firstLine="880"/>
        <w:jc w:val="left"/>
        <w:rPr>
          <w:rFonts w:hint="eastAsia" w:ascii="宋体" w:hAnsi="宋体" w:cs="宋体"/>
          <w:color w:val="auto"/>
          <w:szCs w:val="21"/>
          <w:highlight w:val="none"/>
        </w:rPr>
      </w:pPr>
    </w:p>
    <w:p w14:paraId="18A2616C">
      <w:pPr>
        <w:spacing w:line="520" w:lineRule="exact"/>
        <w:ind w:firstLine="880"/>
        <w:jc w:val="left"/>
        <w:rPr>
          <w:rFonts w:hint="eastAsia" w:ascii="宋体" w:hAnsi="宋体" w:cs="宋体"/>
          <w:color w:val="auto"/>
          <w:szCs w:val="21"/>
          <w:highlight w:val="none"/>
        </w:rPr>
      </w:pPr>
    </w:p>
    <w:p w14:paraId="24431C97">
      <w:pPr>
        <w:spacing w:line="520" w:lineRule="exact"/>
        <w:ind w:firstLine="880"/>
        <w:jc w:val="left"/>
        <w:rPr>
          <w:rFonts w:hint="eastAsia" w:ascii="宋体" w:hAnsi="宋体" w:cs="宋体"/>
          <w:color w:val="auto"/>
          <w:szCs w:val="21"/>
          <w:highlight w:val="none"/>
        </w:rPr>
      </w:pPr>
    </w:p>
    <w:p w14:paraId="44749C9F">
      <w:pPr>
        <w:spacing w:line="520" w:lineRule="exact"/>
        <w:ind w:firstLine="880"/>
        <w:jc w:val="left"/>
        <w:rPr>
          <w:rFonts w:hint="eastAsia" w:ascii="宋体" w:hAnsi="宋体" w:cs="宋体"/>
          <w:color w:val="auto"/>
          <w:szCs w:val="21"/>
          <w:highlight w:val="none"/>
        </w:rPr>
      </w:pPr>
    </w:p>
    <w:p w14:paraId="063772A0">
      <w:pPr>
        <w:spacing w:line="520" w:lineRule="exact"/>
        <w:ind w:firstLine="880"/>
        <w:jc w:val="left"/>
        <w:rPr>
          <w:rFonts w:hint="eastAsia" w:ascii="宋体" w:hAnsi="宋体" w:cs="宋体"/>
          <w:color w:val="auto"/>
          <w:szCs w:val="21"/>
          <w:highlight w:val="none"/>
        </w:rPr>
      </w:pPr>
    </w:p>
    <w:p w14:paraId="6A471340">
      <w:pPr>
        <w:spacing w:line="520" w:lineRule="exact"/>
        <w:ind w:firstLine="880"/>
        <w:jc w:val="left"/>
        <w:rPr>
          <w:rFonts w:hint="eastAsia" w:ascii="宋体" w:hAnsi="宋体" w:cs="宋体"/>
          <w:color w:val="auto"/>
          <w:szCs w:val="21"/>
          <w:highlight w:val="none"/>
        </w:rPr>
      </w:pPr>
    </w:p>
    <w:p w14:paraId="70D47C2F">
      <w:pPr>
        <w:spacing w:line="520" w:lineRule="exact"/>
        <w:ind w:firstLine="880"/>
        <w:jc w:val="left"/>
        <w:rPr>
          <w:rFonts w:hint="eastAsia" w:ascii="宋体" w:hAnsi="宋体" w:cs="宋体"/>
          <w:color w:val="auto"/>
          <w:szCs w:val="21"/>
          <w:highlight w:val="none"/>
        </w:rPr>
      </w:pPr>
    </w:p>
    <w:p w14:paraId="1EA62924">
      <w:pPr>
        <w:spacing w:line="520" w:lineRule="exact"/>
        <w:ind w:firstLine="880"/>
        <w:jc w:val="left"/>
        <w:rPr>
          <w:rFonts w:hint="eastAsia" w:ascii="宋体" w:hAnsi="宋体" w:cs="宋体"/>
          <w:color w:val="auto"/>
          <w:szCs w:val="21"/>
          <w:highlight w:val="none"/>
        </w:rPr>
      </w:pPr>
    </w:p>
    <w:p w14:paraId="7D6CE3FD">
      <w:pPr>
        <w:spacing w:line="520" w:lineRule="exact"/>
        <w:ind w:firstLine="880"/>
        <w:jc w:val="left"/>
        <w:rPr>
          <w:rFonts w:hint="eastAsia" w:ascii="宋体" w:hAnsi="宋体" w:cs="宋体"/>
          <w:color w:val="auto"/>
          <w:szCs w:val="21"/>
          <w:highlight w:val="none"/>
        </w:rPr>
      </w:pPr>
    </w:p>
    <w:p w14:paraId="4C6B18EA">
      <w:pPr>
        <w:spacing w:line="520" w:lineRule="exact"/>
        <w:ind w:firstLine="880"/>
        <w:jc w:val="left"/>
        <w:rPr>
          <w:rFonts w:hint="eastAsia" w:ascii="宋体" w:hAnsi="宋体" w:cs="宋体"/>
          <w:color w:val="auto"/>
          <w:szCs w:val="21"/>
          <w:highlight w:val="none"/>
        </w:rPr>
      </w:pPr>
    </w:p>
    <w:p w14:paraId="325B543D">
      <w:pPr>
        <w:spacing w:line="520" w:lineRule="exact"/>
        <w:ind w:firstLine="880"/>
        <w:jc w:val="left"/>
        <w:rPr>
          <w:rFonts w:hint="eastAsia" w:ascii="宋体" w:hAnsi="宋体" w:cs="宋体"/>
          <w:color w:val="auto"/>
          <w:szCs w:val="21"/>
          <w:highlight w:val="none"/>
        </w:rPr>
      </w:pPr>
    </w:p>
    <w:p w14:paraId="3FFEA8C3">
      <w:pPr>
        <w:spacing w:line="520" w:lineRule="exact"/>
        <w:ind w:firstLine="880"/>
        <w:jc w:val="left"/>
        <w:rPr>
          <w:rFonts w:hint="eastAsia" w:ascii="宋体" w:hAnsi="宋体" w:cs="宋体"/>
          <w:color w:val="auto"/>
          <w:szCs w:val="21"/>
          <w:highlight w:val="none"/>
        </w:rPr>
      </w:pPr>
    </w:p>
    <w:p w14:paraId="088975EB">
      <w:pPr>
        <w:spacing w:line="520" w:lineRule="exact"/>
        <w:ind w:firstLine="880"/>
        <w:jc w:val="left"/>
        <w:rPr>
          <w:rFonts w:hint="eastAsia" w:ascii="宋体" w:hAnsi="宋体" w:cs="宋体"/>
          <w:color w:val="auto"/>
          <w:szCs w:val="21"/>
          <w:highlight w:val="none"/>
        </w:rPr>
      </w:pPr>
    </w:p>
    <w:p w14:paraId="24381F21">
      <w:pPr>
        <w:spacing w:line="520" w:lineRule="exact"/>
        <w:ind w:firstLine="880"/>
        <w:jc w:val="left"/>
        <w:rPr>
          <w:rFonts w:hint="eastAsia" w:ascii="宋体" w:hAnsi="宋体" w:cs="宋体"/>
          <w:color w:val="auto"/>
          <w:szCs w:val="21"/>
          <w:highlight w:val="none"/>
        </w:rPr>
      </w:pPr>
    </w:p>
    <w:p w14:paraId="0A6EE323">
      <w:pPr>
        <w:spacing w:line="520" w:lineRule="exact"/>
        <w:ind w:firstLine="880"/>
        <w:jc w:val="left"/>
        <w:rPr>
          <w:rFonts w:hint="eastAsia" w:ascii="宋体" w:hAnsi="宋体" w:cs="宋体"/>
          <w:color w:val="auto"/>
          <w:szCs w:val="21"/>
          <w:highlight w:val="none"/>
        </w:rPr>
      </w:pPr>
    </w:p>
    <w:p w14:paraId="24AA2A30">
      <w:pPr>
        <w:spacing w:line="520" w:lineRule="exact"/>
        <w:ind w:firstLine="880"/>
        <w:jc w:val="left"/>
        <w:rPr>
          <w:rFonts w:hint="eastAsia" w:ascii="宋体" w:hAnsi="宋体" w:cs="宋体"/>
          <w:color w:val="auto"/>
          <w:szCs w:val="21"/>
          <w:highlight w:val="none"/>
        </w:rPr>
      </w:pPr>
    </w:p>
    <w:p w14:paraId="16F66808">
      <w:pPr>
        <w:snapToGrid w:val="0"/>
        <w:spacing w:before="120" w:beforeLines="50" w:after="50" w:line="360" w:lineRule="auto"/>
        <w:jc w:val="left"/>
        <w:outlineLvl w:val="2"/>
        <w:rPr>
          <w:rFonts w:hint="eastAsia" w:ascii="宋体" w:hAnsi="宋体" w:eastAsia="宋体" w:cs="宋体"/>
          <w:bCs/>
          <w:i w:val="0"/>
          <w:iCs w:val="0"/>
          <w:color w:val="auto"/>
          <w:sz w:val="44"/>
          <w:szCs w:val="44"/>
          <w:highlight w:val="none"/>
        </w:rPr>
      </w:pPr>
      <w:r>
        <w:rPr>
          <w:rFonts w:hint="eastAsia" w:ascii="方正小标宋简体" w:hAnsi="方正小标宋简体" w:eastAsia="方正小标宋简体" w:cs="方正小标宋简体"/>
          <w:color w:val="auto"/>
          <w:sz w:val="44"/>
          <w:szCs w:val="44"/>
          <w:highlight w:val="none"/>
        </w:rPr>
        <w:br w:type="page"/>
      </w:r>
      <w:bookmarkStart w:id="213" w:name="_Toc18041"/>
      <w:r>
        <w:rPr>
          <w:rFonts w:hint="eastAsia" w:ascii="宋体" w:hAnsi="宋体" w:eastAsia="宋体" w:cs="宋体"/>
          <w:b/>
          <w:bCs/>
          <w:i w:val="0"/>
          <w:iCs w:val="0"/>
          <w:color w:val="auto"/>
          <w:sz w:val="28"/>
          <w:szCs w:val="28"/>
          <w:highlight w:val="none"/>
        </w:rPr>
        <w:t>5.法定</w:t>
      </w:r>
      <w:r>
        <w:rPr>
          <w:rFonts w:hint="eastAsia" w:ascii="Times New Roman" w:hAnsi="Times New Roman" w:eastAsia="宋体" w:cs="Times New Roman"/>
          <w:b/>
          <w:bCs/>
          <w:color w:val="auto"/>
          <w:sz w:val="28"/>
          <w:szCs w:val="28"/>
          <w:highlight w:val="none"/>
        </w:rPr>
        <w:t>代表人</w:t>
      </w:r>
      <w:r>
        <w:rPr>
          <w:rFonts w:hint="eastAsia" w:ascii="宋体" w:hAnsi="宋体" w:eastAsia="宋体" w:cs="宋体"/>
          <w:b/>
          <w:bCs/>
          <w:i w:val="0"/>
          <w:iCs w:val="0"/>
          <w:color w:val="auto"/>
          <w:sz w:val="28"/>
          <w:szCs w:val="28"/>
          <w:highlight w:val="none"/>
        </w:rPr>
        <w:t>授权委托书的格式：</w:t>
      </w:r>
      <w:bookmarkEnd w:id="213"/>
    </w:p>
    <w:p w14:paraId="05DD527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i w:val="0"/>
          <w:iCs w:val="0"/>
          <w:color w:val="auto"/>
          <w:sz w:val="44"/>
          <w:szCs w:val="44"/>
          <w:highlight w:val="none"/>
        </w:rPr>
      </w:pPr>
    </w:p>
    <w:p w14:paraId="165D1C3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i w:val="0"/>
          <w:iCs w:val="0"/>
          <w:color w:val="auto"/>
          <w:sz w:val="32"/>
          <w:szCs w:val="32"/>
          <w:highlight w:val="none"/>
        </w:rPr>
      </w:pPr>
      <w:r>
        <w:rPr>
          <w:rFonts w:hint="eastAsia" w:ascii="宋体" w:hAnsi="宋体" w:eastAsia="宋体" w:cs="宋体"/>
          <w:b/>
          <w:bCs/>
          <w:i w:val="0"/>
          <w:iCs w:val="0"/>
          <w:color w:val="auto"/>
          <w:sz w:val="32"/>
          <w:szCs w:val="32"/>
          <w:highlight w:val="none"/>
        </w:rPr>
        <w:t>授权委托书</w:t>
      </w:r>
    </w:p>
    <w:p w14:paraId="5557A23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 w:val="32"/>
          <w:szCs w:val="32"/>
          <w:highlight w:val="none"/>
        </w:rPr>
      </w:pPr>
    </w:p>
    <w:p w14:paraId="7742909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致：</w:t>
      </w:r>
      <w:r>
        <w:rPr>
          <w:rFonts w:hint="eastAsia" w:ascii="宋体" w:hAnsi="宋体" w:eastAsia="宋体" w:cs="宋体"/>
          <w:i w:val="0"/>
          <w:iCs w:val="0"/>
          <w:color w:val="auto"/>
          <w:szCs w:val="21"/>
          <w:highlight w:val="none"/>
          <w:u w:val="single"/>
        </w:rPr>
        <w:t>（采购人名称）</w:t>
      </w:r>
      <w:r>
        <w:rPr>
          <w:rFonts w:hint="eastAsia" w:ascii="宋体" w:hAnsi="宋体" w:eastAsia="宋体" w:cs="宋体"/>
          <w:i w:val="0"/>
          <w:iCs w:val="0"/>
          <w:color w:val="auto"/>
          <w:szCs w:val="21"/>
          <w:highlight w:val="none"/>
        </w:rPr>
        <w:t>：</w:t>
      </w:r>
    </w:p>
    <w:p w14:paraId="49EBA74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我</w:t>
      </w:r>
      <w:r>
        <w:rPr>
          <w:rFonts w:hint="eastAsia" w:ascii="宋体" w:hAnsi="宋体" w:eastAsia="宋体" w:cs="宋体"/>
          <w:i w:val="0"/>
          <w:iCs w:val="0"/>
          <w:color w:val="auto"/>
          <w:szCs w:val="21"/>
          <w:highlight w:val="none"/>
          <w:u w:val="single"/>
        </w:rPr>
        <w:t xml:space="preserve">  （姓名）  </w:t>
      </w:r>
      <w:r>
        <w:rPr>
          <w:rFonts w:hint="eastAsia" w:ascii="宋体" w:hAnsi="宋体" w:eastAsia="宋体" w:cs="宋体"/>
          <w:i w:val="0"/>
          <w:iCs w:val="0"/>
          <w:color w:val="auto"/>
          <w:szCs w:val="21"/>
          <w:highlight w:val="none"/>
        </w:rPr>
        <w:t>系</w:t>
      </w:r>
      <w:r>
        <w:rPr>
          <w:rFonts w:hint="eastAsia" w:ascii="宋体" w:hAnsi="宋体" w:eastAsia="宋体" w:cs="宋体"/>
          <w:i w:val="0"/>
          <w:iCs w:val="0"/>
          <w:color w:val="auto"/>
          <w:szCs w:val="21"/>
          <w:highlight w:val="none"/>
          <w:u w:val="single"/>
        </w:rPr>
        <w:t xml:space="preserve">  （供应商名称）  </w:t>
      </w:r>
      <w:r>
        <w:rPr>
          <w:rFonts w:hint="eastAsia" w:ascii="宋体" w:hAnsi="宋体" w:eastAsia="宋体" w:cs="宋体"/>
          <w:i w:val="0"/>
          <w:iCs w:val="0"/>
          <w:color w:val="auto"/>
          <w:szCs w:val="21"/>
          <w:highlight w:val="none"/>
        </w:rPr>
        <w:t>的（</w:t>
      </w:r>
      <w:r>
        <w:rPr>
          <w:rFonts w:hint="eastAsia" w:ascii="宋体" w:hAnsi="宋体" w:eastAsia="宋体" w:cs="宋体"/>
          <w:i w:val="0"/>
          <w:iCs w:val="0"/>
          <w:color w:val="auto"/>
          <w:szCs w:val="21"/>
          <w:highlight w:val="none"/>
          <w:u w:val="single"/>
        </w:rPr>
        <w:t>□法定代表人/□负责人/</w:t>
      </w:r>
      <w:r>
        <w:rPr>
          <w:rFonts w:hint="eastAsia" w:ascii="宋体" w:hAnsi="宋体" w:eastAsia="宋体" w:cs="宋体"/>
          <w:i w:val="0"/>
          <w:iCs w:val="0"/>
          <w:color w:val="auto"/>
          <w:szCs w:val="21"/>
          <w:highlight w:val="none"/>
          <w:u w:val="single"/>
          <w:lang w:eastAsia="zh-CN"/>
        </w:rPr>
        <w:t>□</w:t>
      </w:r>
      <w:r>
        <w:rPr>
          <w:rFonts w:hint="eastAsia" w:ascii="宋体" w:hAnsi="宋体" w:eastAsia="宋体" w:cs="宋体"/>
          <w:i w:val="0"/>
          <w:iCs w:val="0"/>
          <w:color w:val="auto"/>
          <w:szCs w:val="21"/>
          <w:highlight w:val="none"/>
          <w:u w:val="single"/>
        </w:rPr>
        <w:t>自然人本人</w:t>
      </w:r>
      <w:r>
        <w:rPr>
          <w:rFonts w:hint="eastAsia" w:ascii="宋体" w:hAnsi="宋体" w:eastAsia="宋体" w:cs="宋体"/>
          <w:i w:val="0"/>
          <w:iCs w:val="0"/>
          <w:color w:val="auto"/>
          <w:szCs w:val="21"/>
          <w:highlight w:val="none"/>
        </w:rPr>
        <w:t>），现授权</w:t>
      </w:r>
      <w:r>
        <w:rPr>
          <w:rFonts w:hint="eastAsia" w:ascii="宋体" w:hAnsi="宋体" w:eastAsia="宋体" w:cs="宋体"/>
          <w:i w:val="0"/>
          <w:iCs w:val="0"/>
          <w:color w:val="auto"/>
          <w:szCs w:val="21"/>
          <w:highlight w:val="none"/>
          <w:u w:val="single"/>
        </w:rPr>
        <w:t xml:space="preserve"> （姓名） </w:t>
      </w:r>
      <w:r>
        <w:rPr>
          <w:rFonts w:hint="eastAsia" w:ascii="宋体" w:hAnsi="宋体" w:eastAsia="宋体" w:cs="宋体"/>
          <w:i w:val="0"/>
          <w:iCs w:val="0"/>
          <w:color w:val="auto"/>
          <w:szCs w:val="21"/>
          <w:highlight w:val="none"/>
        </w:rPr>
        <w:t>以我方的名义参加</w:t>
      </w:r>
      <w:r>
        <w:rPr>
          <w:rFonts w:hint="eastAsia" w:ascii="宋体" w:hAnsi="宋体" w:eastAsia="宋体" w:cs="宋体"/>
          <w:i w:val="0"/>
          <w:iCs w:val="0"/>
          <w:color w:val="auto"/>
          <w:szCs w:val="21"/>
          <w:highlight w:val="none"/>
          <w:u w:val="single"/>
        </w:rPr>
        <w:t xml:space="preserve">      （项目名称）        </w:t>
      </w:r>
      <w:r>
        <w:rPr>
          <w:rFonts w:hint="eastAsia" w:ascii="宋体" w:hAnsi="宋体" w:eastAsia="宋体" w:cs="宋体"/>
          <w:i w:val="0"/>
          <w:iCs w:val="0"/>
          <w:color w:val="auto"/>
          <w:szCs w:val="21"/>
          <w:highlight w:val="none"/>
        </w:rPr>
        <w:t>项目的竞标活动，并代表我方全权办理针对上述项目的所有采购程序和环节的具体事务和签署相关文件。</w:t>
      </w:r>
    </w:p>
    <w:p w14:paraId="32581E5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 xml:space="preserve">    我方对委托代理人的签字事项负全部责任。</w:t>
      </w:r>
    </w:p>
    <w:p w14:paraId="1E7526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本授权书自签署之日起生效，在撤销授权的书面通知以前，本授权书一直有效。委托代理人在授权书有效期内签署的所有文件不因授权的撤销而失效。</w:t>
      </w:r>
    </w:p>
    <w:p w14:paraId="15521DF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委托代理人无转委托权，特此委托。</w:t>
      </w:r>
    </w:p>
    <w:p w14:paraId="559412F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附：委托代理人有效身份证正反面复印件</w:t>
      </w:r>
    </w:p>
    <w:p w14:paraId="3BC40AF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p>
    <w:p w14:paraId="223068B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 xml:space="preserve">委托代理人（签字）：         法定代表人（签字）：                    </w:t>
      </w:r>
    </w:p>
    <w:p w14:paraId="3EAF2AB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 xml:space="preserve">委托代理人身份证号码：                              </w:t>
      </w:r>
    </w:p>
    <w:p w14:paraId="13A8709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 xml:space="preserve">                                </w:t>
      </w:r>
    </w:p>
    <w:p w14:paraId="2AA2F057">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 xml:space="preserve">                         </w:t>
      </w:r>
      <w:r>
        <w:rPr>
          <w:rFonts w:hint="eastAsia" w:ascii="宋体" w:hAnsi="宋体" w:eastAsia="宋体" w:cs="宋体"/>
          <w:i w:val="0"/>
          <w:iCs w:val="0"/>
          <w:color w:val="auto"/>
          <w:kern w:val="0"/>
          <w:szCs w:val="21"/>
          <w:highlight w:val="none"/>
        </w:rPr>
        <w:t>供应商名称（盖公章）：</w:t>
      </w:r>
    </w:p>
    <w:p w14:paraId="7CA82F83">
      <w:pPr>
        <w:keepNext w:val="0"/>
        <w:keepLines w:val="0"/>
        <w:pageBreakBefore w:val="0"/>
        <w:widowControl w:val="0"/>
        <w:kinsoku/>
        <w:wordWrap/>
        <w:overflowPunct/>
        <w:topLinePunct w:val="0"/>
        <w:autoSpaceDE/>
        <w:autoSpaceDN/>
        <w:bidi w:val="0"/>
        <w:adjustRightInd/>
        <w:snapToGrid/>
        <w:spacing w:line="360" w:lineRule="auto"/>
        <w:contextualSpacing/>
        <w:jc w:val="center"/>
        <w:textAlignment w:val="auto"/>
        <w:rPr>
          <w:rFonts w:hint="eastAsia" w:ascii="宋体" w:hAnsi="宋体" w:eastAsia="宋体" w:cs="宋体"/>
          <w:b/>
          <w:i w:val="0"/>
          <w:iCs w:val="0"/>
          <w:color w:val="auto"/>
          <w:szCs w:val="21"/>
          <w:highlight w:val="none"/>
        </w:rPr>
      </w:pPr>
      <w:r>
        <w:rPr>
          <w:rFonts w:hint="eastAsia" w:ascii="宋体" w:hAnsi="宋体" w:eastAsia="宋体" w:cs="宋体"/>
          <w:i w:val="0"/>
          <w:iCs w:val="0"/>
          <w:color w:val="auto"/>
          <w:kern w:val="0"/>
          <w:szCs w:val="21"/>
          <w:highlight w:val="none"/>
          <w:lang w:val="zh-CN"/>
        </w:rPr>
        <w:t xml:space="preserve">                                                   日期：  年  月   日</w:t>
      </w:r>
    </w:p>
    <w:p w14:paraId="610ACBB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olor w:val="auto"/>
          <w:szCs w:val="21"/>
          <w:highlight w:val="none"/>
        </w:rPr>
      </w:pPr>
    </w:p>
    <w:p w14:paraId="2E28F6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注：</w:t>
      </w:r>
    </w:p>
    <w:p w14:paraId="282E809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1.法定代表人和委托代理人必须在授权委托书上签字，</w:t>
      </w:r>
      <w:r>
        <w:rPr>
          <w:rFonts w:hint="eastAsia" w:ascii="宋体" w:hAnsi="宋体" w:eastAsia="宋体" w:cs="宋体"/>
          <w:b/>
          <w:i w:val="0"/>
          <w:iCs w:val="0"/>
          <w:color w:val="auto"/>
          <w:szCs w:val="21"/>
          <w:highlight w:val="none"/>
        </w:rPr>
        <w:t>否则其响应文件按无效响应处理。</w:t>
      </w:r>
    </w:p>
    <w:p w14:paraId="4F0321E7">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2.供应商为其他组织或者自然人时，本磋商文件规定的法定代表人指负责人或者自然人。本磋商文件所称负责人是指参加竞标的其他组织营业执照上的负责人，本磋商文件所称自然人指参与竞标的自然人本人。</w:t>
      </w:r>
    </w:p>
    <w:p w14:paraId="4E0FB4E6">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color w:val="auto"/>
          <w:szCs w:val="21"/>
          <w:highlight w:val="none"/>
        </w:rPr>
      </w:pPr>
      <w:r>
        <w:rPr>
          <w:rFonts w:hint="eastAsia" w:ascii="宋体" w:hAnsi="宋体" w:eastAsia="宋体" w:cs="宋体"/>
          <w:i w:val="0"/>
          <w:iCs w:val="0"/>
          <w:color w:val="auto"/>
          <w:szCs w:val="21"/>
          <w:highlight w:val="none"/>
        </w:rPr>
        <w:t>3.法人、其他组织竞标时</w:t>
      </w:r>
      <w:r>
        <w:rPr>
          <w:rFonts w:hint="eastAsia" w:ascii="宋体" w:hAnsi="宋体" w:eastAsia="宋体" w:cs="宋体"/>
          <w:i w:val="0"/>
          <w:iCs w:val="0"/>
          <w:color w:val="auto"/>
          <w:szCs w:val="21"/>
          <w:highlight w:val="none"/>
          <w:lang w:eastAsia="zh-CN"/>
        </w:rPr>
        <w:t>“</w:t>
      </w:r>
      <w:r>
        <w:rPr>
          <w:rFonts w:hint="eastAsia" w:ascii="宋体" w:hAnsi="宋体" w:eastAsia="宋体" w:cs="宋体"/>
          <w:i w:val="0"/>
          <w:iCs w:val="0"/>
          <w:color w:val="auto"/>
          <w:szCs w:val="21"/>
          <w:highlight w:val="none"/>
        </w:rPr>
        <w:t>我方</w:t>
      </w:r>
      <w:r>
        <w:rPr>
          <w:rFonts w:hint="eastAsia" w:ascii="宋体" w:hAnsi="宋体" w:eastAsia="宋体" w:cs="宋体"/>
          <w:i w:val="0"/>
          <w:iCs w:val="0"/>
          <w:color w:val="auto"/>
          <w:szCs w:val="21"/>
          <w:highlight w:val="none"/>
          <w:lang w:eastAsia="zh-CN"/>
        </w:rPr>
        <w:t>”</w:t>
      </w:r>
      <w:r>
        <w:rPr>
          <w:rFonts w:hint="eastAsia" w:ascii="宋体" w:hAnsi="宋体" w:eastAsia="宋体" w:cs="宋体"/>
          <w:i w:val="0"/>
          <w:iCs w:val="0"/>
          <w:color w:val="auto"/>
          <w:szCs w:val="21"/>
          <w:highlight w:val="none"/>
        </w:rPr>
        <w:t>是指</w:t>
      </w:r>
      <w:r>
        <w:rPr>
          <w:rFonts w:hint="eastAsia" w:ascii="宋体" w:hAnsi="宋体" w:eastAsia="宋体" w:cs="宋体"/>
          <w:i w:val="0"/>
          <w:iCs w:val="0"/>
          <w:color w:val="auto"/>
          <w:szCs w:val="21"/>
          <w:highlight w:val="none"/>
          <w:lang w:eastAsia="zh-CN"/>
        </w:rPr>
        <w:t>“</w:t>
      </w:r>
      <w:r>
        <w:rPr>
          <w:rFonts w:hint="eastAsia" w:ascii="宋体" w:hAnsi="宋体" w:eastAsia="宋体" w:cs="宋体"/>
          <w:i w:val="0"/>
          <w:iCs w:val="0"/>
          <w:color w:val="auto"/>
          <w:szCs w:val="21"/>
          <w:highlight w:val="none"/>
        </w:rPr>
        <w:t>我单位</w:t>
      </w:r>
      <w:r>
        <w:rPr>
          <w:rFonts w:hint="eastAsia" w:ascii="宋体" w:hAnsi="宋体" w:eastAsia="宋体" w:cs="宋体"/>
          <w:i w:val="0"/>
          <w:iCs w:val="0"/>
          <w:color w:val="auto"/>
          <w:szCs w:val="21"/>
          <w:highlight w:val="none"/>
          <w:lang w:eastAsia="zh-CN"/>
        </w:rPr>
        <w:t>”</w:t>
      </w:r>
      <w:r>
        <w:rPr>
          <w:rFonts w:hint="eastAsia" w:ascii="宋体" w:hAnsi="宋体" w:eastAsia="宋体" w:cs="宋体"/>
          <w:i w:val="0"/>
          <w:iCs w:val="0"/>
          <w:color w:val="auto"/>
          <w:szCs w:val="21"/>
          <w:highlight w:val="none"/>
        </w:rPr>
        <w:t>，自然人竞标时</w:t>
      </w:r>
      <w:r>
        <w:rPr>
          <w:rFonts w:hint="eastAsia" w:ascii="宋体" w:hAnsi="宋体" w:eastAsia="宋体" w:cs="宋体"/>
          <w:i w:val="0"/>
          <w:iCs w:val="0"/>
          <w:color w:val="auto"/>
          <w:szCs w:val="21"/>
          <w:highlight w:val="none"/>
          <w:lang w:eastAsia="zh-CN"/>
        </w:rPr>
        <w:t>“</w:t>
      </w:r>
      <w:r>
        <w:rPr>
          <w:rFonts w:hint="eastAsia" w:ascii="宋体" w:hAnsi="宋体" w:eastAsia="宋体" w:cs="宋体"/>
          <w:i w:val="0"/>
          <w:iCs w:val="0"/>
          <w:color w:val="auto"/>
          <w:szCs w:val="21"/>
          <w:highlight w:val="none"/>
        </w:rPr>
        <w:t>我方</w:t>
      </w:r>
      <w:r>
        <w:rPr>
          <w:rFonts w:hint="eastAsia" w:ascii="宋体" w:hAnsi="宋体" w:eastAsia="宋体" w:cs="宋体"/>
          <w:i w:val="0"/>
          <w:iCs w:val="0"/>
          <w:color w:val="auto"/>
          <w:szCs w:val="21"/>
          <w:highlight w:val="none"/>
          <w:lang w:eastAsia="zh-CN"/>
        </w:rPr>
        <w:t>”</w:t>
      </w:r>
      <w:r>
        <w:rPr>
          <w:rFonts w:hint="eastAsia" w:ascii="宋体" w:hAnsi="宋体" w:eastAsia="宋体" w:cs="宋体"/>
          <w:i w:val="0"/>
          <w:iCs w:val="0"/>
          <w:color w:val="auto"/>
          <w:szCs w:val="21"/>
          <w:highlight w:val="none"/>
        </w:rPr>
        <w:t>是指</w:t>
      </w:r>
      <w:r>
        <w:rPr>
          <w:rFonts w:hint="eastAsia" w:ascii="宋体" w:hAnsi="宋体" w:eastAsia="宋体" w:cs="宋体"/>
          <w:i w:val="0"/>
          <w:iCs w:val="0"/>
          <w:color w:val="auto"/>
          <w:szCs w:val="21"/>
          <w:highlight w:val="none"/>
          <w:lang w:eastAsia="zh-CN"/>
        </w:rPr>
        <w:t>“</w:t>
      </w:r>
      <w:r>
        <w:rPr>
          <w:rFonts w:hint="eastAsia" w:ascii="宋体" w:hAnsi="宋体" w:eastAsia="宋体" w:cs="宋体"/>
          <w:i w:val="0"/>
          <w:iCs w:val="0"/>
          <w:color w:val="auto"/>
          <w:szCs w:val="21"/>
          <w:highlight w:val="none"/>
        </w:rPr>
        <w:t>本人</w:t>
      </w:r>
      <w:r>
        <w:rPr>
          <w:rFonts w:hint="eastAsia" w:ascii="宋体" w:hAnsi="宋体" w:eastAsia="宋体" w:cs="宋体"/>
          <w:i w:val="0"/>
          <w:iCs w:val="0"/>
          <w:color w:val="auto"/>
          <w:szCs w:val="21"/>
          <w:highlight w:val="none"/>
          <w:lang w:eastAsia="zh-CN"/>
        </w:rPr>
        <w:t>”</w:t>
      </w:r>
      <w:r>
        <w:rPr>
          <w:color w:val="auto"/>
          <w:szCs w:val="21"/>
          <w:highlight w:val="none"/>
        </w:rPr>
        <w:t>。</w:t>
      </w:r>
    </w:p>
    <w:p w14:paraId="135F5BBC">
      <w:pPr>
        <w:snapToGrid w:val="0"/>
        <w:spacing w:before="120" w:beforeLines="50" w:after="50" w:line="360" w:lineRule="auto"/>
        <w:jc w:val="left"/>
        <w:outlineLvl w:val="2"/>
        <w:rPr>
          <w:rFonts w:eastAsia="仿宋"/>
          <w:b/>
          <w:color w:val="auto"/>
          <w:sz w:val="30"/>
          <w:szCs w:val="30"/>
          <w:highlight w:val="none"/>
        </w:rPr>
      </w:pPr>
      <w:r>
        <w:rPr>
          <w:rFonts w:ascii="仿宋_GB2312" w:hAnsi="仿宋_GB2312" w:eastAsia="仿宋_GB2312" w:cs="仿宋_GB2312"/>
          <w:color w:val="auto"/>
          <w:szCs w:val="21"/>
          <w:highlight w:val="none"/>
        </w:rPr>
        <w:br w:type="page"/>
      </w:r>
      <w:bookmarkStart w:id="214" w:name="_Toc8419"/>
      <w:r>
        <w:rPr>
          <w:b/>
          <w:color w:val="auto"/>
          <w:sz w:val="28"/>
          <w:szCs w:val="28"/>
          <w:highlight w:val="none"/>
        </w:rPr>
        <w:t>6.商务条款偏离表的格式：</w:t>
      </w:r>
      <w:bookmarkEnd w:id="214"/>
    </w:p>
    <w:p w14:paraId="7DD9021D">
      <w:pPr>
        <w:pStyle w:val="21"/>
        <w:rPr>
          <w:color w:val="auto"/>
          <w:highlight w:val="none"/>
          <w:lang w:eastAsia="zh-CN"/>
        </w:rPr>
      </w:pPr>
    </w:p>
    <w:p w14:paraId="5A961E8C">
      <w:pPr>
        <w:spacing w:line="500" w:lineRule="exact"/>
        <w:jc w:val="center"/>
        <w:rPr>
          <w:rFonts w:ascii="宋体" w:hAnsi="宋体" w:cs="宋体"/>
          <w:b/>
          <w:bCs/>
          <w:color w:val="auto"/>
          <w:sz w:val="32"/>
          <w:szCs w:val="32"/>
          <w:highlight w:val="none"/>
        </w:rPr>
      </w:pPr>
      <w:r>
        <w:rPr>
          <w:rFonts w:ascii="宋体" w:hAnsi="宋体" w:cs="宋体"/>
          <w:b/>
          <w:bCs/>
          <w:color w:val="auto"/>
          <w:sz w:val="32"/>
          <w:szCs w:val="32"/>
          <w:highlight w:val="none"/>
        </w:rPr>
        <w:t>商务条款偏离表</w:t>
      </w:r>
    </w:p>
    <w:p w14:paraId="415A5EF2">
      <w:pPr>
        <w:spacing w:line="520" w:lineRule="exact"/>
        <w:rPr>
          <w:color w:val="auto"/>
          <w:sz w:val="32"/>
          <w:szCs w:val="32"/>
          <w:highlight w:val="none"/>
        </w:rPr>
      </w:pPr>
    </w:p>
    <w:p w14:paraId="07D7175E">
      <w:pPr>
        <w:spacing w:line="360" w:lineRule="auto"/>
        <w:contextualSpacing/>
        <w:rPr>
          <w:color w:val="auto"/>
          <w:szCs w:val="21"/>
          <w:highlight w:val="none"/>
          <w:u w:val="single"/>
        </w:rPr>
      </w:pPr>
      <w:r>
        <w:rPr>
          <w:color w:val="auto"/>
          <w:szCs w:val="21"/>
          <w:highlight w:val="none"/>
        </w:rPr>
        <w:t>项目名称：</w:t>
      </w:r>
      <w:r>
        <w:rPr>
          <w:color w:val="auto"/>
          <w:szCs w:val="21"/>
          <w:highlight w:val="none"/>
          <w:u w:val="single"/>
        </w:rPr>
        <w:t xml:space="preserve">                 </w:t>
      </w:r>
    </w:p>
    <w:p w14:paraId="2D07A9D4">
      <w:pPr>
        <w:spacing w:line="360" w:lineRule="auto"/>
        <w:contextualSpacing/>
        <w:rPr>
          <w:color w:val="auto"/>
          <w:szCs w:val="21"/>
          <w:highlight w:val="none"/>
        </w:rPr>
      </w:pPr>
      <w:r>
        <w:rPr>
          <w:color w:val="auto"/>
          <w:szCs w:val="21"/>
          <w:highlight w:val="none"/>
        </w:rPr>
        <w:t>项目编号：</w:t>
      </w:r>
      <w:r>
        <w:rPr>
          <w:color w:val="auto"/>
          <w:szCs w:val="21"/>
          <w:highlight w:val="none"/>
          <w:u w:val="single"/>
        </w:rPr>
        <w:t xml:space="preserve">                 </w:t>
      </w:r>
    </w:p>
    <w:p w14:paraId="7E0D2E17">
      <w:pPr>
        <w:spacing w:line="360" w:lineRule="auto"/>
        <w:contextualSpacing/>
        <w:rPr>
          <w:color w:val="auto"/>
          <w:szCs w:val="21"/>
          <w:highlight w:val="none"/>
          <w:u w:val="single"/>
        </w:rPr>
      </w:pPr>
      <w:r>
        <w:rPr>
          <w:color w:val="auto"/>
          <w:szCs w:val="21"/>
          <w:highlight w:val="none"/>
        </w:rPr>
        <w:t>所竞分标（如有则填写，无分标时填写</w:t>
      </w:r>
      <w:r>
        <w:rPr>
          <w:rFonts w:hint="eastAsia"/>
          <w:color w:val="auto"/>
          <w:szCs w:val="21"/>
          <w:highlight w:val="none"/>
          <w:lang w:eastAsia="zh-CN"/>
        </w:rPr>
        <w:t>“</w:t>
      </w:r>
      <w:r>
        <w:rPr>
          <w:color w:val="auto"/>
          <w:szCs w:val="21"/>
          <w:highlight w:val="none"/>
        </w:rPr>
        <w:t>无</w:t>
      </w:r>
      <w:r>
        <w:rPr>
          <w:rFonts w:hint="eastAsia"/>
          <w:color w:val="auto"/>
          <w:szCs w:val="21"/>
          <w:highlight w:val="none"/>
          <w:lang w:eastAsia="zh-CN"/>
        </w:rPr>
        <w:t>”</w:t>
      </w:r>
      <w:r>
        <w:rPr>
          <w:color w:val="auto"/>
          <w:szCs w:val="21"/>
          <w:highlight w:val="none"/>
        </w:rPr>
        <w:t>或者留空）：</w:t>
      </w:r>
      <w:r>
        <w:rPr>
          <w:color w:val="auto"/>
          <w:szCs w:val="21"/>
          <w:highlight w:val="none"/>
          <w:u w:val="single"/>
        </w:rPr>
        <w:t xml:space="preserve">                </w:t>
      </w:r>
    </w:p>
    <w:tbl>
      <w:tblPr>
        <w:tblStyle w:val="28"/>
        <w:tblW w:w="94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
        <w:gridCol w:w="3926"/>
        <w:gridCol w:w="3589"/>
        <w:gridCol w:w="1274"/>
      </w:tblGrid>
      <w:tr w14:paraId="6AE78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91"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329F37AC">
            <w:pPr>
              <w:spacing w:line="340" w:lineRule="exact"/>
              <w:jc w:val="center"/>
              <w:rPr>
                <w:b/>
                <w:bCs/>
                <w:color w:val="auto"/>
                <w:szCs w:val="21"/>
                <w:highlight w:val="none"/>
              </w:rPr>
            </w:pPr>
            <w:r>
              <w:rPr>
                <w:b/>
                <w:bCs/>
                <w:color w:val="auto"/>
                <w:szCs w:val="21"/>
                <w:highlight w:val="none"/>
              </w:rPr>
              <w:t>项号</w:t>
            </w:r>
          </w:p>
        </w:tc>
        <w:tc>
          <w:tcPr>
            <w:tcW w:w="3926"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0F0B83A7">
            <w:pPr>
              <w:spacing w:line="340" w:lineRule="exact"/>
              <w:jc w:val="center"/>
              <w:rPr>
                <w:rFonts w:hint="eastAsia" w:eastAsia="宋体"/>
                <w:b/>
                <w:bCs/>
                <w:color w:val="auto"/>
                <w:szCs w:val="21"/>
                <w:highlight w:val="none"/>
                <w:lang w:eastAsia="zh-CN"/>
              </w:rPr>
            </w:pPr>
            <w:r>
              <w:rPr>
                <w:b/>
                <w:bCs/>
                <w:color w:val="auto"/>
                <w:szCs w:val="21"/>
                <w:highlight w:val="none"/>
              </w:rPr>
              <w:t>竞争性磋商文件的商务</w:t>
            </w:r>
            <w:r>
              <w:rPr>
                <w:rFonts w:hint="eastAsia"/>
                <w:b/>
                <w:bCs/>
                <w:color w:val="auto"/>
                <w:szCs w:val="21"/>
                <w:highlight w:val="none"/>
                <w:lang w:eastAsia="zh-CN"/>
              </w:rPr>
              <w:t>条款</w:t>
            </w:r>
          </w:p>
        </w:tc>
        <w:tc>
          <w:tcPr>
            <w:tcW w:w="3589"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27136EF5">
            <w:pPr>
              <w:spacing w:line="340" w:lineRule="exact"/>
              <w:jc w:val="center"/>
              <w:rPr>
                <w:b/>
                <w:bCs/>
                <w:color w:val="auto"/>
                <w:szCs w:val="21"/>
                <w:highlight w:val="none"/>
              </w:rPr>
            </w:pPr>
            <w:r>
              <w:rPr>
                <w:b/>
                <w:bCs/>
                <w:color w:val="auto"/>
                <w:szCs w:val="21"/>
                <w:highlight w:val="none"/>
              </w:rPr>
              <w:t>响应文件响应的商务条款</w:t>
            </w:r>
          </w:p>
        </w:tc>
        <w:tc>
          <w:tcPr>
            <w:tcW w:w="1274"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6B63ABE7">
            <w:pPr>
              <w:spacing w:line="340" w:lineRule="exact"/>
              <w:jc w:val="center"/>
              <w:rPr>
                <w:b/>
                <w:bCs/>
                <w:color w:val="auto"/>
                <w:szCs w:val="21"/>
                <w:highlight w:val="none"/>
              </w:rPr>
            </w:pPr>
            <w:r>
              <w:rPr>
                <w:b/>
                <w:bCs/>
                <w:color w:val="auto"/>
                <w:szCs w:val="21"/>
                <w:highlight w:val="none"/>
              </w:rPr>
              <w:t>偏离说明</w:t>
            </w:r>
          </w:p>
        </w:tc>
      </w:tr>
      <w:tr w14:paraId="2CE18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2BB48AA5">
            <w:pPr>
              <w:spacing w:line="340" w:lineRule="exact"/>
              <w:jc w:val="center"/>
              <w:rPr>
                <w:rFonts w:hint="eastAsia"/>
                <w:color w:val="auto"/>
                <w:szCs w:val="21"/>
                <w:highlight w:val="none"/>
              </w:rPr>
            </w:pPr>
            <w:r>
              <w:rPr>
                <w:rFonts w:hint="eastAsia"/>
                <w:color w:val="auto"/>
                <w:szCs w:val="21"/>
                <w:highlight w:val="none"/>
              </w:rPr>
              <w:t>1</w:t>
            </w:r>
          </w:p>
        </w:tc>
        <w:tc>
          <w:tcPr>
            <w:tcW w:w="3926" w:type="dxa"/>
            <w:tcBorders>
              <w:top w:val="single" w:color="auto" w:sz="4" w:space="0"/>
              <w:left w:val="single" w:color="auto" w:sz="4" w:space="0"/>
              <w:bottom w:val="single" w:color="auto" w:sz="4" w:space="0"/>
              <w:right w:val="single" w:color="auto" w:sz="4" w:space="0"/>
            </w:tcBorders>
            <w:noWrap w:val="0"/>
            <w:vAlign w:val="center"/>
          </w:tcPr>
          <w:p w14:paraId="3EE4311C">
            <w:pPr>
              <w:spacing w:line="340" w:lineRule="exact"/>
              <w:rPr>
                <w:rFonts w:hint="eastAsia"/>
                <w:color w:val="auto"/>
                <w:szCs w:val="21"/>
                <w:highlight w:val="none"/>
              </w:rPr>
            </w:pPr>
          </w:p>
        </w:tc>
        <w:tc>
          <w:tcPr>
            <w:tcW w:w="3589" w:type="dxa"/>
            <w:tcBorders>
              <w:top w:val="single" w:color="auto" w:sz="4" w:space="0"/>
              <w:left w:val="single" w:color="auto" w:sz="4" w:space="0"/>
              <w:bottom w:val="single" w:color="auto" w:sz="4" w:space="0"/>
              <w:right w:val="single" w:color="auto" w:sz="4" w:space="0"/>
            </w:tcBorders>
            <w:noWrap w:val="0"/>
            <w:vAlign w:val="center"/>
          </w:tcPr>
          <w:p w14:paraId="7C88F37F">
            <w:pPr>
              <w:spacing w:line="340" w:lineRule="exact"/>
              <w:rPr>
                <w:color w:val="auto"/>
                <w:szCs w:val="21"/>
                <w:highlight w:val="none"/>
              </w:rPr>
            </w:pPr>
          </w:p>
        </w:tc>
        <w:tc>
          <w:tcPr>
            <w:tcW w:w="1274" w:type="dxa"/>
            <w:tcBorders>
              <w:top w:val="single" w:color="auto" w:sz="4" w:space="0"/>
              <w:left w:val="single" w:color="auto" w:sz="4" w:space="0"/>
              <w:bottom w:val="single" w:color="auto" w:sz="4" w:space="0"/>
              <w:right w:val="single" w:color="auto" w:sz="4" w:space="0"/>
            </w:tcBorders>
            <w:noWrap w:val="0"/>
            <w:vAlign w:val="center"/>
          </w:tcPr>
          <w:p w14:paraId="1881DF51">
            <w:pPr>
              <w:spacing w:line="300" w:lineRule="exact"/>
              <w:rPr>
                <w:color w:val="auto"/>
                <w:szCs w:val="21"/>
                <w:highlight w:val="none"/>
              </w:rPr>
            </w:pPr>
          </w:p>
        </w:tc>
      </w:tr>
      <w:tr w14:paraId="57B1CA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419F0A81">
            <w:pPr>
              <w:spacing w:line="340" w:lineRule="exact"/>
              <w:jc w:val="center"/>
              <w:rPr>
                <w:rFonts w:hint="eastAsia"/>
                <w:color w:val="auto"/>
                <w:szCs w:val="21"/>
                <w:highlight w:val="none"/>
              </w:rPr>
            </w:pPr>
            <w:r>
              <w:rPr>
                <w:rFonts w:hint="eastAsia"/>
                <w:color w:val="auto"/>
                <w:szCs w:val="21"/>
                <w:highlight w:val="none"/>
              </w:rPr>
              <w:t>2</w:t>
            </w:r>
          </w:p>
        </w:tc>
        <w:tc>
          <w:tcPr>
            <w:tcW w:w="3926" w:type="dxa"/>
            <w:tcBorders>
              <w:top w:val="single" w:color="auto" w:sz="4" w:space="0"/>
              <w:left w:val="single" w:color="auto" w:sz="4" w:space="0"/>
              <w:bottom w:val="single" w:color="auto" w:sz="4" w:space="0"/>
              <w:right w:val="single" w:color="auto" w:sz="4" w:space="0"/>
            </w:tcBorders>
            <w:noWrap w:val="0"/>
            <w:vAlign w:val="center"/>
          </w:tcPr>
          <w:p w14:paraId="2B947EA5">
            <w:pPr>
              <w:spacing w:line="340" w:lineRule="exact"/>
              <w:rPr>
                <w:rFonts w:hint="eastAsia"/>
                <w:color w:val="auto"/>
                <w:szCs w:val="21"/>
                <w:highlight w:val="none"/>
              </w:rPr>
            </w:pPr>
          </w:p>
        </w:tc>
        <w:tc>
          <w:tcPr>
            <w:tcW w:w="3589" w:type="dxa"/>
            <w:tcBorders>
              <w:top w:val="single" w:color="auto" w:sz="4" w:space="0"/>
              <w:left w:val="single" w:color="auto" w:sz="4" w:space="0"/>
              <w:bottom w:val="single" w:color="auto" w:sz="4" w:space="0"/>
              <w:right w:val="single" w:color="auto" w:sz="4" w:space="0"/>
            </w:tcBorders>
            <w:noWrap w:val="0"/>
            <w:vAlign w:val="center"/>
          </w:tcPr>
          <w:p w14:paraId="5C430F74">
            <w:pPr>
              <w:spacing w:line="340" w:lineRule="exact"/>
              <w:rPr>
                <w:color w:val="auto"/>
                <w:szCs w:val="21"/>
                <w:highlight w:val="none"/>
              </w:rPr>
            </w:pPr>
          </w:p>
        </w:tc>
        <w:tc>
          <w:tcPr>
            <w:tcW w:w="1274" w:type="dxa"/>
            <w:tcBorders>
              <w:top w:val="single" w:color="auto" w:sz="4" w:space="0"/>
              <w:left w:val="single" w:color="auto" w:sz="4" w:space="0"/>
              <w:bottom w:val="single" w:color="auto" w:sz="4" w:space="0"/>
              <w:right w:val="single" w:color="auto" w:sz="4" w:space="0"/>
            </w:tcBorders>
            <w:noWrap w:val="0"/>
            <w:vAlign w:val="center"/>
          </w:tcPr>
          <w:p w14:paraId="5A59FB99">
            <w:pPr>
              <w:spacing w:line="300" w:lineRule="exact"/>
              <w:rPr>
                <w:color w:val="auto"/>
                <w:szCs w:val="21"/>
                <w:highlight w:val="none"/>
              </w:rPr>
            </w:pPr>
          </w:p>
        </w:tc>
      </w:tr>
      <w:tr w14:paraId="5A639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53554559">
            <w:pPr>
              <w:spacing w:line="340" w:lineRule="exact"/>
              <w:jc w:val="center"/>
              <w:rPr>
                <w:rFonts w:hint="eastAsia"/>
                <w:color w:val="auto"/>
                <w:szCs w:val="21"/>
                <w:highlight w:val="none"/>
              </w:rPr>
            </w:pPr>
            <w:r>
              <w:rPr>
                <w:rFonts w:hint="eastAsia"/>
                <w:color w:val="auto"/>
                <w:szCs w:val="21"/>
                <w:highlight w:val="none"/>
              </w:rPr>
              <w:t>3</w:t>
            </w:r>
          </w:p>
        </w:tc>
        <w:tc>
          <w:tcPr>
            <w:tcW w:w="3926" w:type="dxa"/>
            <w:tcBorders>
              <w:top w:val="single" w:color="auto" w:sz="4" w:space="0"/>
              <w:left w:val="single" w:color="auto" w:sz="4" w:space="0"/>
              <w:bottom w:val="single" w:color="auto" w:sz="4" w:space="0"/>
              <w:right w:val="single" w:color="auto" w:sz="4" w:space="0"/>
            </w:tcBorders>
            <w:noWrap w:val="0"/>
            <w:vAlign w:val="center"/>
          </w:tcPr>
          <w:p w14:paraId="69317588">
            <w:pPr>
              <w:spacing w:line="340" w:lineRule="exact"/>
              <w:rPr>
                <w:rFonts w:hint="eastAsia"/>
                <w:color w:val="auto"/>
                <w:szCs w:val="21"/>
                <w:highlight w:val="none"/>
              </w:rPr>
            </w:pPr>
          </w:p>
        </w:tc>
        <w:tc>
          <w:tcPr>
            <w:tcW w:w="3589" w:type="dxa"/>
            <w:tcBorders>
              <w:top w:val="single" w:color="auto" w:sz="4" w:space="0"/>
              <w:left w:val="single" w:color="auto" w:sz="4" w:space="0"/>
              <w:bottom w:val="single" w:color="auto" w:sz="4" w:space="0"/>
              <w:right w:val="single" w:color="auto" w:sz="4" w:space="0"/>
            </w:tcBorders>
            <w:noWrap w:val="0"/>
            <w:vAlign w:val="center"/>
          </w:tcPr>
          <w:p w14:paraId="7EAC4C97">
            <w:pPr>
              <w:spacing w:line="340" w:lineRule="exact"/>
              <w:rPr>
                <w:color w:val="auto"/>
                <w:szCs w:val="21"/>
                <w:highlight w:val="none"/>
              </w:rPr>
            </w:pPr>
          </w:p>
        </w:tc>
        <w:tc>
          <w:tcPr>
            <w:tcW w:w="1274" w:type="dxa"/>
            <w:tcBorders>
              <w:top w:val="single" w:color="auto" w:sz="4" w:space="0"/>
              <w:left w:val="single" w:color="auto" w:sz="4" w:space="0"/>
              <w:bottom w:val="single" w:color="auto" w:sz="4" w:space="0"/>
              <w:right w:val="single" w:color="auto" w:sz="4" w:space="0"/>
            </w:tcBorders>
            <w:noWrap w:val="0"/>
            <w:vAlign w:val="center"/>
          </w:tcPr>
          <w:p w14:paraId="3B3D94F3">
            <w:pPr>
              <w:spacing w:line="300" w:lineRule="exact"/>
              <w:rPr>
                <w:color w:val="auto"/>
                <w:szCs w:val="21"/>
                <w:highlight w:val="none"/>
              </w:rPr>
            </w:pPr>
          </w:p>
        </w:tc>
      </w:tr>
      <w:tr w14:paraId="1C38D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496582B1">
            <w:pPr>
              <w:spacing w:line="340" w:lineRule="exact"/>
              <w:jc w:val="center"/>
              <w:rPr>
                <w:rFonts w:hint="eastAsia"/>
                <w:color w:val="auto"/>
                <w:szCs w:val="21"/>
                <w:highlight w:val="none"/>
              </w:rPr>
            </w:pPr>
            <w:r>
              <w:rPr>
                <w:rFonts w:hint="eastAsia"/>
                <w:color w:val="auto"/>
                <w:szCs w:val="21"/>
                <w:highlight w:val="none"/>
              </w:rPr>
              <w:t>4</w:t>
            </w:r>
          </w:p>
        </w:tc>
        <w:tc>
          <w:tcPr>
            <w:tcW w:w="3926" w:type="dxa"/>
            <w:tcBorders>
              <w:top w:val="single" w:color="auto" w:sz="4" w:space="0"/>
              <w:left w:val="single" w:color="auto" w:sz="4" w:space="0"/>
              <w:bottom w:val="single" w:color="auto" w:sz="4" w:space="0"/>
              <w:right w:val="single" w:color="auto" w:sz="4" w:space="0"/>
            </w:tcBorders>
            <w:noWrap w:val="0"/>
            <w:vAlign w:val="center"/>
          </w:tcPr>
          <w:p w14:paraId="29479C30">
            <w:pPr>
              <w:spacing w:line="340" w:lineRule="exact"/>
              <w:rPr>
                <w:rFonts w:hint="eastAsia"/>
                <w:color w:val="auto"/>
                <w:szCs w:val="21"/>
                <w:highlight w:val="none"/>
              </w:rPr>
            </w:pPr>
          </w:p>
        </w:tc>
        <w:tc>
          <w:tcPr>
            <w:tcW w:w="3589" w:type="dxa"/>
            <w:tcBorders>
              <w:top w:val="single" w:color="auto" w:sz="4" w:space="0"/>
              <w:left w:val="single" w:color="auto" w:sz="4" w:space="0"/>
              <w:bottom w:val="single" w:color="auto" w:sz="4" w:space="0"/>
              <w:right w:val="single" w:color="auto" w:sz="4" w:space="0"/>
            </w:tcBorders>
            <w:noWrap w:val="0"/>
            <w:vAlign w:val="center"/>
          </w:tcPr>
          <w:p w14:paraId="6A9D83AD">
            <w:pPr>
              <w:spacing w:line="340" w:lineRule="exact"/>
              <w:rPr>
                <w:color w:val="auto"/>
                <w:szCs w:val="21"/>
                <w:highlight w:val="none"/>
              </w:rPr>
            </w:pPr>
          </w:p>
        </w:tc>
        <w:tc>
          <w:tcPr>
            <w:tcW w:w="1274" w:type="dxa"/>
            <w:tcBorders>
              <w:top w:val="single" w:color="auto" w:sz="4" w:space="0"/>
              <w:left w:val="single" w:color="auto" w:sz="4" w:space="0"/>
              <w:bottom w:val="single" w:color="auto" w:sz="4" w:space="0"/>
              <w:right w:val="single" w:color="auto" w:sz="4" w:space="0"/>
            </w:tcBorders>
            <w:noWrap w:val="0"/>
            <w:vAlign w:val="center"/>
          </w:tcPr>
          <w:p w14:paraId="70C9D08F">
            <w:pPr>
              <w:spacing w:line="300" w:lineRule="exact"/>
              <w:rPr>
                <w:color w:val="auto"/>
                <w:szCs w:val="21"/>
                <w:highlight w:val="none"/>
              </w:rPr>
            </w:pPr>
          </w:p>
        </w:tc>
      </w:tr>
      <w:tr w14:paraId="3C39E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5928ED98">
            <w:pPr>
              <w:spacing w:line="340" w:lineRule="exact"/>
              <w:jc w:val="center"/>
              <w:rPr>
                <w:rFonts w:hint="eastAsia"/>
                <w:color w:val="auto"/>
                <w:szCs w:val="21"/>
                <w:highlight w:val="none"/>
              </w:rPr>
            </w:pPr>
            <w:r>
              <w:rPr>
                <w:rFonts w:hint="eastAsia"/>
                <w:color w:val="auto"/>
                <w:szCs w:val="21"/>
                <w:highlight w:val="none"/>
              </w:rPr>
              <w:t>5</w:t>
            </w:r>
          </w:p>
        </w:tc>
        <w:tc>
          <w:tcPr>
            <w:tcW w:w="3926" w:type="dxa"/>
            <w:tcBorders>
              <w:top w:val="single" w:color="auto" w:sz="4" w:space="0"/>
              <w:left w:val="single" w:color="auto" w:sz="4" w:space="0"/>
              <w:bottom w:val="single" w:color="auto" w:sz="4" w:space="0"/>
              <w:right w:val="single" w:color="auto" w:sz="4" w:space="0"/>
            </w:tcBorders>
            <w:noWrap w:val="0"/>
            <w:vAlign w:val="center"/>
          </w:tcPr>
          <w:p w14:paraId="365C0E1A">
            <w:pPr>
              <w:spacing w:line="340" w:lineRule="exact"/>
              <w:rPr>
                <w:rFonts w:hint="eastAsia"/>
                <w:color w:val="auto"/>
                <w:szCs w:val="21"/>
                <w:highlight w:val="none"/>
              </w:rPr>
            </w:pPr>
          </w:p>
        </w:tc>
        <w:tc>
          <w:tcPr>
            <w:tcW w:w="3589" w:type="dxa"/>
            <w:tcBorders>
              <w:top w:val="single" w:color="auto" w:sz="4" w:space="0"/>
              <w:left w:val="single" w:color="auto" w:sz="4" w:space="0"/>
              <w:bottom w:val="single" w:color="auto" w:sz="4" w:space="0"/>
              <w:right w:val="single" w:color="auto" w:sz="4" w:space="0"/>
            </w:tcBorders>
            <w:noWrap w:val="0"/>
            <w:vAlign w:val="center"/>
          </w:tcPr>
          <w:p w14:paraId="38BD4348">
            <w:pPr>
              <w:spacing w:line="340" w:lineRule="exact"/>
              <w:rPr>
                <w:color w:val="auto"/>
                <w:szCs w:val="21"/>
                <w:highlight w:val="none"/>
              </w:rPr>
            </w:pPr>
          </w:p>
        </w:tc>
        <w:tc>
          <w:tcPr>
            <w:tcW w:w="1274" w:type="dxa"/>
            <w:tcBorders>
              <w:top w:val="single" w:color="auto" w:sz="4" w:space="0"/>
              <w:left w:val="single" w:color="auto" w:sz="4" w:space="0"/>
              <w:bottom w:val="single" w:color="auto" w:sz="4" w:space="0"/>
              <w:right w:val="single" w:color="auto" w:sz="4" w:space="0"/>
            </w:tcBorders>
            <w:noWrap w:val="0"/>
            <w:vAlign w:val="center"/>
          </w:tcPr>
          <w:p w14:paraId="34BE47D2">
            <w:pPr>
              <w:spacing w:line="300" w:lineRule="exact"/>
              <w:rPr>
                <w:color w:val="auto"/>
                <w:szCs w:val="21"/>
                <w:highlight w:val="none"/>
              </w:rPr>
            </w:pPr>
          </w:p>
        </w:tc>
      </w:tr>
      <w:tr w14:paraId="0B965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6B4A07DE">
            <w:pPr>
              <w:spacing w:line="340" w:lineRule="exact"/>
              <w:jc w:val="center"/>
              <w:rPr>
                <w:rFonts w:hint="eastAsia"/>
                <w:color w:val="auto"/>
                <w:szCs w:val="21"/>
                <w:highlight w:val="none"/>
              </w:rPr>
            </w:pPr>
          </w:p>
        </w:tc>
        <w:tc>
          <w:tcPr>
            <w:tcW w:w="3926" w:type="dxa"/>
            <w:tcBorders>
              <w:top w:val="single" w:color="auto" w:sz="4" w:space="0"/>
              <w:left w:val="single" w:color="auto" w:sz="4" w:space="0"/>
              <w:bottom w:val="single" w:color="auto" w:sz="4" w:space="0"/>
              <w:right w:val="single" w:color="auto" w:sz="4" w:space="0"/>
            </w:tcBorders>
            <w:noWrap w:val="0"/>
            <w:vAlign w:val="center"/>
          </w:tcPr>
          <w:p w14:paraId="215AC396">
            <w:pPr>
              <w:spacing w:line="340" w:lineRule="exact"/>
              <w:rPr>
                <w:color w:val="auto"/>
                <w:szCs w:val="21"/>
                <w:highlight w:val="none"/>
              </w:rPr>
            </w:pPr>
            <w:r>
              <w:rPr>
                <w:rFonts w:hint="eastAsia"/>
                <w:color w:val="auto"/>
                <w:szCs w:val="21"/>
                <w:highlight w:val="none"/>
              </w:rPr>
              <w:t>......</w:t>
            </w:r>
          </w:p>
        </w:tc>
        <w:tc>
          <w:tcPr>
            <w:tcW w:w="3589" w:type="dxa"/>
            <w:tcBorders>
              <w:top w:val="single" w:color="auto" w:sz="4" w:space="0"/>
              <w:left w:val="single" w:color="auto" w:sz="4" w:space="0"/>
              <w:bottom w:val="single" w:color="auto" w:sz="4" w:space="0"/>
              <w:right w:val="single" w:color="auto" w:sz="4" w:space="0"/>
            </w:tcBorders>
            <w:noWrap w:val="0"/>
            <w:vAlign w:val="center"/>
          </w:tcPr>
          <w:p w14:paraId="13FA3342">
            <w:pPr>
              <w:spacing w:line="340" w:lineRule="exact"/>
              <w:rPr>
                <w:color w:val="auto"/>
                <w:szCs w:val="21"/>
                <w:highlight w:val="none"/>
              </w:rPr>
            </w:pPr>
          </w:p>
        </w:tc>
        <w:tc>
          <w:tcPr>
            <w:tcW w:w="1274" w:type="dxa"/>
            <w:tcBorders>
              <w:top w:val="single" w:color="auto" w:sz="4" w:space="0"/>
              <w:left w:val="single" w:color="auto" w:sz="4" w:space="0"/>
              <w:bottom w:val="single" w:color="auto" w:sz="4" w:space="0"/>
              <w:right w:val="single" w:color="auto" w:sz="4" w:space="0"/>
            </w:tcBorders>
            <w:noWrap w:val="0"/>
            <w:vAlign w:val="center"/>
          </w:tcPr>
          <w:p w14:paraId="2B493A76">
            <w:pPr>
              <w:spacing w:line="300" w:lineRule="exact"/>
              <w:rPr>
                <w:color w:val="auto"/>
                <w:szCs w:val="21"/>
                <w:highlight w:val="none"/>
              </w:rPr>
            </w:pPr>
          </w:p>
        </w:tc>
      </w:tr>
    </w:tbl>
    <w:p w14:paraId="6D4F6C6A">
      <w:pPr>
        <w:pStyle w:val="14"/>
        <w:spacing w:line="400" w:lineRule="exact"/>
        <w:ind w:firstLine="0" w:firstLineChars="0"/>
        <w:contextualSpacing/>
        <w:rPr>
          <w:rFonts w:ascii="Times New Roman" w:eastAsia="宋体"/>
          <w:color w:val="auto"/>
          <w:sz w:val="21"/>
          <w:szCs w:val="21"/>
          <w:highlight w:val="none"/>
        </w:rPr>
      </w:pPr>
      <w:r>
        <w:rPr>
          <w:rFonts w:ascii="Times New Roman" w:eastAsia="宋体"/>
          <w:color w:val="auto"/>
          <w:sz w:val="21"/>
          <w:szCs w:val="21"/>
          <w:highlight w:val="none"/>
        </w:rPr>
        <w:t>注：</w:t>
      </w:r>
    </w:p>
    <w:p w14:paraId="6D797A30">
      <w:pPr>
        <w:pStyle w:val="14"/>
        <w:spacing w:line="400" w:lineRule="exact"/>
        <w:ind w:firstLine="420" w:firstLineChars="200"/>
        <w:contextualSpacing/>
        <w:rPr>
          <w:rFonts w:ascii="宋体" w:hAnsi="宋体" w:eastAsia="宋体"/>
          <w:color w:val="auto"/>
          <w:sz w:val="21"/>
          <w:szCs w:val="21"/>
          <w:highlight w:val="none"/>
        </w:rPr>
      </w:pPr>
      <w:r>
        <w:rPr>
          <w:rFonts w:ascii="宋体" w:hAnsi="宋体" w:eastAsia="宋体"/>
          <w:color w:val="auto"/>
          <w:sz w:val="21"/>
          <w:szCs w:val="21"/>
          <w:highlight w:val="none"/>
        </w:rPr>
        <w:t>1.应对照磋商文件“第二章 采购需求”中的商务条款逐条作出明确响应，并作出偏离说明。</w:t>
      </w:r>
    </w:p>
    <w:p w14:paraId="40653417">
      <w:pPr>
        <w:pStyle w:val="14"/>
        <w:spacing w:line="400" w:lineRule="exact"/>
        <w:ind w:firstLine="420" w:firstLineChars="200"/>
        <w:contextualSpacing/>
        <w:rPr>
          <w:rFonts w:hint="eastAsia" w:ascii="宋体" w:hAnsi="宋体" w:eastAsia="宋体"/>
          <w:color w:val="auto"/>
          <w:sz w:val="21"/>
          <w:szCs w:val="21"/>
          <w:highlight w:val="none"/>
          <w:lang w:val="en-US" w:eastAsia="zh-CN"/>
        </w:rPr>
      </w:pPr>
      <w:r>
        <w:rPr>
          <w:rFonts w:ascii="宋体" w:hAnsi="宋体" w:eastAsia="宋体"/>
          <w:color w:val="auto"/>
          <w:sz w:val="21"/>
          <w:szCs w:val="21"/>
          <w:highlight w:val="none"/>
        </w:rPr>
        <w:t>2.供应商应根据自身的承诺，对照磋商文件要求，在“偏离说明”中注明“正偏离”</w:t>
      </w:r>
      <w:r>
        <w:rPr>
          <w:rFonts w:ascii="宋体" w:hAnsi="宋体" w:eastAsia="宋体"/>
          <w:color w:val="auto"/>
          <w:sz w:val="21"/>
          <w:szCs w:val="21"/>
          <w:highlight w:val="none"/>
          <w:lang w:eastAsia="zh-CN"/>
        </w:rPr>
        <w:t>或者</w:t>
      </w:r>
      <w:r>
        <w:rPr>
          <w:rFonts w:ascii="宋体" w:hAnsi="宋体" w:eastAsia="宋体"/>
          <w:color w:val="auto"/>
          <w:sz w:val="21"/>
          <w:szCs w:val="21"/>
          <w:highlight w:val="none"/>
        </w:rPr>
        <w:t>“负偏离”或者“无偏离”。既不属于“正偏离”也不属于“负偏离”即为“无偏离”。 当响应文件的商务内容低于竞争性磋商文件要求时，</w:t>
      </w:r>
      <w:r>
        <w:rPr>
          <w:rFonts w:ascii="宋体" w:hAnsi="宋体" w:eastAsia="宋体"/>
          <w:color w:val="auto"/>
          <w:sz w:val="21"/>
          <w:szCs w:val="21"/>
          <w:highlight w:val="none"/>
          <w:lang w:eastAsia="zh-CN"/>
        </w:rPr>
        <w:t>供应商</w:t>
      </w:r>
      <w:r>
        <w:rPr>
          <w:rFonts w:ascii="宋体" w:hAnsi="宋体" w:eastAsia="宋体"/>
          <w:color w:val="auto"/>
          <w:sz w:val="21"/>
          <w:szCs w:val="21"/>
          <w:highlight w:val="none"/>
        </w:rPr>
        <w:t>应当如实写明“负偏离”</w:t>
      </w:r>
      <w:r>
        <w:rPr>
          <w:rFonts w:hint="eastAsia" w:ascii="宋体" w:hAnsi="宋体" w:eastAsia="宋体"/>
          <w:color w:val="auto"/>
          <w:sz w:val="21"/>
          <w:szCs w:val="21"/>
          <w:highlight w:val="none"/>
          <w:lang w:eastAsia="zh-CN"/>
        </w:rPr>
        <w:t>。</w:t>
      </w:r>
    </w:p>
    <w:p w14:paraId="1C184F51">
      <w:pPr>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3.表格内容均需按要求填写，不得留空，</w:t>
      </w:r>
      <w:r>
        <w:rPr>
          <w:rFonts w:ascii="宋体" w:hAnsi="宋体"/>
          <w:b/>
          <w:bCs/>
          <w:color w:val="auto"/>
          <w:kern w:val="0"/>
          <w:szCs w:val="21"/>
          <w:highlight w:val="none"/>
        </w:rPr>
        <w:t>否则按竞标无效处理。</w:t>
      </w:r>
    </w:p>
    <w:p w14:paraId="3408433C">
      <w:pPr>
        <w:spacing w:line="400" w:lineRule="exact"/>
        <w:ind w:firstLine="420" w:firstLineChars="200"/>
        <w:contextualSpacing/>
        <w:rPr>
          <w:color w:val="auto"/>
          <w:kern w:val="0"/>
          <w:szCs w:val="21"/>
          <w:highlight w:val="none"/>
        </w:rPr>
      </w:pPr>
    </w:p>
    <w:p w14:paraId="412FC0A8">
      <w:pPr>
        <w:spacing w:line="400" w:lineRule="exact"/>
        <w:ind w:firstLine="4410" w:firstLineChars="2100"/>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1257B7B2">
      <w:pPr>
        <w:snapToGrid w:val="0"/>
        <w:spacing w:line="360" w:lineRule="auto"/>
        <w:ind w:firstLine="420" w:firstLineChars="200"/>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408EC521">
      <w:pPr>
        <w:snapToGrid w:val="0"/>
        <w:spacing w:line="360" w:lineRule="auto"/>
        <w:ind w:firstLine="602" w:firstLineChars="200"/>
        <w:rPr>
          <w:rFonts w:hint="eastAsia" w:ascii="仿宋" w:hAnsi="仿宋" w:eastAsia="仿宋" w:cs="仿宋_GB2312"/>
          <w:b/>
          <w:color w:val="auto"/>
          <w:sz w:val="30"/>
          <w:szCs w:val="30"/>
          <w:highlight w:val="none"/>
        </w:rPr>
      </w:pPr>
    </w:p>
    <w:p w14:paraId="37EF250B">
      <w:pPr>
        <w:snapToGrid w:val="0"/>
        <w:spacing w:line="360" w:lineRule="auto"/>
        <w:ind w:firstLine="602" w:firstLineChars="200"/>
        <w:rPr>
          <w:rFonts w:ascii="仿宋" w:hAnsi="仿宋" w:eastAsia="仿宋" w:cs="仿宋_GB2312"/>
          <w:b/>
          <w:color w:val="auto"/>
          <w:sz w:val="30"/>
          <w:szCs w:val="30"/>
          <w:highlight w:val="none"/>
        </w:rPr>
      </w:pPr>
    </w:p>
    <w:p w14:paraId="197451B8">
      <w:pPr>
        <w:pStyle w:val="10"/>
        <w:rPr>
          <w:rFonts w:ascii="仿宋" w:hAnsi="仿宋" w:eastAsia="仿宋" w:cs="仿宋_GB2312"/>
          <w:b/>
          <w:color w:val="auto"/>
          <w:sz w:val="30"/>
          <w:szCs w:val="30"/>
          <w:highlight w:val="none"/>
        </w:rPr>
      </w:pPr>
    </w:p>
    <w:p w14:paraId="5B5EF868">
      <w:pPr>
        <w:pStyle w:val="10"/>
        <w:rPr>
          <w:rFonts w:ascii="仿宋" w:hAnsi="仿宋" w:eastAsia="仿宋" w:cs="仿宋_GB2312"/>
          <w:b/>
          <w:color w:val="auto"/>
          <w:sz w:val="30"/>
          <w:szCs w:val="30"/>
          <w:highlight w:val="none"/>
        </w:rPr>
      </w:pPr>
    </w:p>
    <w:p w14:paraId="414B84C7">
      <w:pPr>
        <w:snapToGrid w:val="0"/>
        <w:spacing w:before="120" w:beforeLines="50" w:after="50"/>
        <w:rPr>
          <w:rFonts w:hint="eastAsia"/>
          <w:b/>
          <w:color w:val="auto"/>
          <w:sz w:val="28"/>
          <w:szCs w:val="28"/>
          <w:highlight w:val="none"/>
        </w:rPr>
        <w:sectPr>
          <w:pgSz w:w="11911" w:h="16838"/>
          <w:pgMar w:top="1134" w:right="1134" w:bottom="1134" w:left="1134" w:header="720" w:footer="720" w:gutter="0"/>
          <w:cols w:space="720" w:num="1"/>
        </w:sectPr>
      </w:pPr>
    </w:p>
    <w:p w14:paraId="19A464E2">
      <w:pPr>
        <w:snapToGrid w:val="0"/>
        <w:spacing w:before="120" w:beforeLines="50" w:after="50" w:line="360" w:lineRule="auto"/>
        <w:jc w:val="left"/>
        <w:outlineLvl w:val="2"/>
        <w:rPr>
          <w:b/>
          <w:color w:val="auto"/>
          <w:sz w:val="28"/>
          <w:szCs w:val="28"/>
          <w:highlight w:val="none"/>
        </w:rPr>
      </w:pPr>
      <w:bookmarkStart w:id="215" w:name="_Toc9925"/>
      <w:r>
        <w:rPr>
          <w:b/>
          <w:color w:val="auto"/>
          <w:sz w:val="28"/>
          <w:szCs w:val="28"/>
          <w:highlight w:val="none"/>
        </w:rPr>
        <w:t>7.建设</w:t>
      </w:r>
      <w:r>
        <w:rPr>
          <w:rFonts w:ascii="Times New Roman" w:hAnsi="Times New Roman" w:eastAsia="宋体" w:cs="Times New Roman"/>
          <w:b/>
          <w:bCs/>
          <w:color w:val="auto"/>
          <w:sz w:val="28"/>
          <w:szCs w:val="28"/>
          <w:highlight w:val="none"/>
        </w:rPr>
        <w:t>工程</w:t>
      </w:r>
      <w:r>
        <w:rPr>
          <w:b/>
          <w:color w:val="auto"/>
          <w:sz w:val="28"/>
          <w:szCs w:val="28"/>
          <w:highlight w:val="none"/>
        </w:rPr>
        <w:t>项目管理承诺书的格式：</w:t>
      </w:r>
      <w:bookmarkEnd w:id="215"/>
    </w:p>
    <w:p w14:paraId="016CD75D">
      <w:pPr>
        <w:keepNext w:val="0"/>
        <w:keepLines w:val="0"/>
        <w:pageBreakBefore w:val="0"/>
        <w:widowControl w:val="0"/>
        <w:kinsoku/>
        <w:wordWrap/>
        <w:overflowPunct/>
        <w:topLinePunct w:val="0"/>
        <w:autoSpaceDE/>
        <w:autoSpaceDN/>
        <w:bidi w:val="0"/>
        <w:adjustRightInd/>
        <w:spacing w:line="360" w:lineRule="auto"/>
        <w:textAlignment w:val="auto"/>
        <w:rPr>
          <w:rFonts w:cs="宋体"/>
          <w:b/>
          <w:bCs/>
          <w:color w:val="auto"/>
          <w:sz w:val="28"/>
          <w:szCs w:val="28"/>
          <w:highlight w:val="none"/>
        </w:rPr>
      </w:pPr>
    </w:p>
    <w:p w14:paraId="1B07027B">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hAnsi="宋体" w:cs="宋体"/>
          <w:b/>
          <w:bCs/>
          <w:color w:val="auto"/>
          <w:sz w:val="32"/>
          <w:szCs w:val="32"/>
          <w:highlight w:val="none"/>
        </w:rPr>
      </w:pPr>
      <w:r>
        <w:rPr>
          <w:rFonts w:hint="eastAsia" w:ascii="宋体" w:hAnsi="宋体" w:cs="宋体"/>
          <w:b/>
          <w:bCs/>
          <w:color w:val="auto"/>
          <w:sz w:val="32"/>
          <w:szCs w:val="32"/>
          <w:highlight w:val="none"/>
        </w:rPr>
        <w:t>建设工程项目管理承诺书</w:t>
      </w:r>
    </w:p>
    <w:p w14:paraId="57AE323B">
      <w:pPr>
        <w:keepNext w:val="0"/>
        <w:keepLines w:val="0"/>
        <w:pageBreakBefore w:val="0"/>
        <w:widowControl w:val="0"/>
        <w:kinsoku/>
        <w:wordWrap/>
        <w:overflowPunct/>
        <w:topLinePunct w:val="0"/>
        <w:autoSpaceDE/>
        <w:autoSpaceDN/>
        <w:bidi w:val="0"/>
        <w:adjustRightInd/>
        <w:spacing w:line="360" w:lineRule="auto"/>
        <w:textAlignment w:val="auto"/>
        <w:rPr>
          <w:rFonts w:ascii="宋体" w:hAnsi="宋体"/>
          <w:color w:val="auto"/>
          <w:sz w:val="24"/>
          <w:highlight w:val="none"/>
        </w:rPr>
      </w:pPr>
    </w:p>
    <w:p w14:paraId="3DD1EAC7">
      <w:pPr>
        <w:keepNext w:val="0"/>
        <w:keepLines w:val="0"/>
        <w:pageBreakBefore w:val="0"/>
        <w:widowControl w:val="0"/>
        <w:kinsoku/>
        <w:wordWrap/>
        <w:overflowPunct/>
        <w:topLinePunct w:val="0"/>
        <w:autoSpaceDE/>
        <w:autoSpaceDN/>
        <w:bidi w:val="0"/>
        <w:adjustRightInd/>
        <w:spacing w:line="360" w:lineRule="auto"/>
        <w:textAlignment w:val="auto"/>
        <w:rPr>
          <w:color w:val="auto"/>
          <w:szCs w:val="21"/>
          <w:highlight w:val="none"/>
        </w:rPr>
      </w:pPr>
      <w:r>
        <w:rPr>
          <w:color w:val="auto"/>
          <w:szCs w:val="21"/>
          <w:highlight w:val="none"/>
        </w:rPr>
        <w:t>致</w:t>
      </w:r>
      <w:r>
        <w:rPr>
          <w:color w:val="auto"/>
          <w:szCs w:val="21"/>
          <w:highlight w:val="none"/>
          <w:u w:val="single"/>
        </w:rPr>
        <w:t xml:space="preserve">                        </w:t>
      </w:r>
      <w:r>
        <w:rPr>
          <w:color w:val="auto"/>
          <w:szCs w:val="21"/>
          <w:highlight w:val="none"/>
        </w:rPr>
        <w:t>（采购人名称）：</w:t>
      </w:r>
    </w:p>
    <w:p w14:paraId="2C21A759">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szCs w:val="21"/>
          <w:highlight w:val="none"/>
        </w:rPr>
      </w:pPr>
      <w:r>
        <w:rPr>
          <w:color w:val="auto"/>
          <w:szCs w:val="21"/>
          <w:highlight w:val="none"/>
        </w:rPr>
        <w:t>作为参与</w:t>
      </w:r>
      <w:r>
        <w:rPr>
          <w:color w:val="auto"/>
          <w:szCs w:val="21"/>
          <w:highlight w:val="none"/>
          <w:u w:val="single"/>
        </w:rPr>
        <w:t xml:space="preserve">                  </w:t>
      </w:r>
      <w:r>
        <w:rPr>
          <w:color w:val="auto"/>
          <w:szCs w:val="21"/>
          <w:highlight w:val="none"/>
        </w:rPr>
        <w:t>（项目名称）项目的供应商，根据国家、自治区相关文件规定，我方在此向采购人承诺：</w:t>
      </w:r>
    </w:p>
    <w:p w14:paraId="259B59D6">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szCs w:val="21"/>
          <w:highlight w:val="none"/>
        </w:rPr>
      </w:pPr>
      <w:r>
        <w:rPr>
          <w:rFonts w:hint="eastAsia"/>
          <w:color w:val="auto"/>
          <w:szCs w:val="21"/>
          <w:highlight w:val="none"/>
        </w:rPr>
        <w:t>1、一旦成交，我方保证按照政府相关部门的规定，在成交后7个工作日内，按照《保障农民工工资支付条例》规定及广西壮族自治区有关规定开设农民工工资专用账户，专项用于支付本工程提供劳动的农民工工资。并按照与农民工依法约定的工资支付周期和具体支付日期支付工资，保证每月至少向农民工足额支付一次工资。</w:t>
      </w:r>
    </w:p>
    <w:p w14:paraId="7D35C2EA">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szCs w:val="21"/>
          <w:highlight w:val="none"/>
        </w:rPr>
      </w:pPr>
      <w:r>
        <w:rPr>
          <w:color w:val="auto"/>
          <w:szCs w:val="21"/>
          <w:highlight w:val="none"/>
        </w:rPr>
        <w:t>2、一旦成交，我方保证在施工过程中，严格执行《广西壮族自治区建筑工程安全文明施工费使用管理细则》（桂建质〔2015〕16号）的有关规定，确保建设工程各项安全防护、文明施工措施落实到位。如我方在该项目的承包中出现未按桂建质〔2015〕16号文附件一规定执行的情形，我方愿意按照相关规定接受建设单位及有关主管部门的处罚。</w:t>
      </w:r>
    </w:p>
    <w:p w14:paraId="3900D0D2">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szCs w:val="21"/>
          <w:highlight w:val="none"/>
        </w:rPr>
      </w:pPr>
      <w:r>
        <w:rPr>
          <w:color w:val="auto"/>
          <w:szCs w:val="21"/>
          <w:highlight w:val="none"/>
        </w:rPr>
        <w:t>3、一旦成交，我方保证在施工过程中，严格执行散装水泥和预拌混凝土管理的有关规定，确保建设工程按规定使用散装水泥和预拌混凝土。如我方在该项目的承包中出现未按规定执行的情形，我方愿意按照相关规定接受建设单位及有关主管部门的处罚。</w:t>
      </w:r>
    </w:p>
    <w:p w14:paraId="105F01C0">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szCs w:val="21"/>
          <w:highlight w:val="none"/>
        </w:rPr>
      </w:pPr>
      <w:r>
        <w:rPr>
          <w:color w:val="auto"/>
          <w:szCs w:val="21"/>
          <w:highlight w:val="none"/>
        </w:rPr>
        <w:t>4、一旦成交，我方保证在施工过程中，严格执行《关于禁止使用不符合规范要求的竹脚手架的通知》（桂建管字〔2003〕40号）的有关规定，不使用竹脚手架。如我方在该项目的承包中出现未按规定执行的情形，我方愿意按照相关规定接受建设单位及有关主管部门的处罚。</w:t>
      </w:r>
    </w:p>
    <w:p w14:paraId="71656415">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szCs w:val="21"/>
          <w:highlight w:val="none"/>
        </w:rPr>
      </w:pPr>
      <w:r>
        <w:rPr>
          <w:color w:val="auto"/>
          <w:szCs w:val="21"/>
          <w:highlight w:val="none"/>
        </w:rPr>
        <w:t>5、一旦成交，我方保证严格执行《危险性较大的分部分项工程安全管理规定》（建办质〔2018〕31号）的规定，强化对深基坑、高切坡、高大模板、人工挖孔桩、起重吊装、临时活动板房等重大危险源的专项施工方案的编制、论证、审批、实施、检测的风险管理。</w:t>
      </w:r>
    </w:p>
    <w:p w14:paraId="756DFEBA">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szCs w:val="21"/>
          <w:highlight w:val="none"/>
        </w:rPr>
      </w:pPr>
    </w:p>
    <w:p w14:paraId="3C7DD8BF">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4E1E764C">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ascii="宋体" w:hAnsi="宋体" w:eastAsia="宋体" w:cs="宋体"/>
          <w:color w:val="auto"/>
          <w:sz w:val="24"/>
          <w:szCs w:val="24"/>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r>
        <w:rPr>
          <w:color w:val="auto"/>
          <w:szCs w:val="21"/>
          <w:highlight w:val="none"/>
        </w:rPr>
        <w:br w:type="page"/>
      </w:r>
      <w:r>
        <w:rPr>
          <w:rFonts w:hint="eastAsia" w:ascii="宋体" w:hAnsi="宋体" w:eastAsia="宋体" w:cs="宋体"/>
          <w:b/>
          <w:bCs/>
          <w:color w:val="auto"/>
          <w:sz w:val="24"/>
          <w:szCs w:val="24"/>
          <w:highlight w:val="none"/>
        </w:rPr>
        <w:t>广西壮族自治区建筑工程安全文明施工措施项目清单内容</w:t>
      </w:r>
    </w:p>
    <w:p w14:paraId="70EDA12E">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（桂建质〔2015〕16号文附件一）</w:t>
      </w:r>
    </w:p>
    <w:p w14:paraId="3D89D10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广西壮族自治区</w:t>
      </w:r>
    </w:p>
    <w:p w14:paraId="185C009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color w:val="auto"/>
          <w:w w:val="90"/>
          <w:sz w:val="24"/>
          <w:szCs w:val="24"/>
          <w:highlight w:val="none"/>
        </w:rPr>
      </w:pPr>
      <w:r>
        <w:rPr>
          <w:rFonts w:hint="eastAsia" w:ascii="宋体" w:hAnsi="宋体" w:eastAsia="宋体" w:cs="宋体"/>
          <w:b/>
          <w:bCs/>
          <w:color w:val="auto"/>
          <w:w w:val="90"/>
          <w:sz w:val="24"/>
          <w:szCs w:val="24"/>
          <w:highlight w:val="none"/>
        </w:rPr>
        <w:t>建设工程安全文明施工措施项目清单内容</w:t>
      </w:r>
    </w:p>
    <w:tbl>
      <w:tblPr>
        <w:tblStyle w:val="28"/>
        <w:tblW w:w="9453" w:type="dxa"/>
        <w:tblInd w:w="108"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38"/>
        <w:gridCol w:w="525"/>
        <w:gridCol w:w="1545"/>
        <w:gridCol w:w="6645"/>
      </w:tblGrid>
      <w:tr w14:paraId="4EB6E7B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01" w:hRule="exact"/>
        </w:trPr>
        <w:tc>
          <w:tcPr>
            <w:tcW w:w="738" w:type="dxa"/>
            <w:tcBorders>
              <w:top w:val="single" w:color="auto" w:sz="12" w:space="0"/>
            </w:tcBorders>
            <w:noWrap w:val="0"/>
            <w:vAlign w:val="center"/>
          </w:tcPr>
          <w:p w14:paraId="02C6330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color w:val="auto"/>
                <w:sz w:val="18"/>
                <w:szCs w:val="18"/>
                <w:highlight w:val="none"/>
              </w:rPr>
            </w:pPr>
            <w:r>
              <w:rPr>
                <w:rFonts w:hint="eastAsia" w:ascii="宋体" w:hAnsi="宋体" w:eastAsia="宋体" w:cs="宋体"/>
                <w:b/>
                <w:bCs/>
                <w:color w:val="auto"/>
                <w:sz w:val="18"/>
                <w:szCs w:val="18"/>
                <w:highlight w:val="none"/>
              </w:rPr>
              <w:t>类别</w:t>
            </w:r>
          </w:p>
        </w:tc>
        <w:tc>
          <w:tcPr>
            <w:tcW w:w="2070" w:type="dxa"/>
            <w:gridSpan w:val="2"/>
            <w:tcBorders>
              <w:top w:val="single" w:color="auto" w:sz="12" w:space="0"/>
            </w:tcBorders>
            <w:noWrap w:val="0"/>
            <w:vAlign w:val="center"/>
          </w:tcPr>
          <w:p w14:paraId="048157B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color w:val="auto"/>
                <w:sz w:val="18"/>
                <w:szCs w:val="18"/>
                <w:highlight w:val="none"/>
              </w:rPr>
            </w:pPr>
            <w:r>
              <w:rPr>
                <w:rFonts w:hint="eastAsia" w:ascii="宋体" w:hAnsi="宋体" w:eastAsia="宋体" w:cs="宋体"/>
                <w:b/>
                <w:bCs/>
                <w:color w:val="auto"/>
                <w:sz w:val="18"/>
                <w:szCs w:val="18"/>
                <w:highlight w:val="none"/>
              </w:rPr>
              <w:t>项目名称</w:t>
            </w:r>
          </w:p>
        </w:tc>
        <w:tc>
          <w:tcPr>
            <w:tcW w:w="6645" w:type="dxa"/>
            <w:tcBorders>
              <w:top w:val="single" w:color="auto" w:sz="12" w:space="0"/>
            </w:tcBorders>
            <w:noWrap w:val="0"/>
            <w:vAlign w:val="center"/>
          </w:tcPr>
          <w:p w14:paraId="0AE2AB5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color w:val="auto"/>
                <w:sz w:val="18"/>
                <w:szCs w:val="18"/>
                <w:highlight w:val="none"/>
              </w:rPr>
            </w:pPr>
            <w:r>
              <w:rPr>
                <w:rFonts w:hint="eastAsia" w:ascii="宋体" w:hAnsi="宋体" w:eastAsia="宋体" w:cs="宋体"/>
                <w:b/>
                <w:bCs/>
                <w:color w:val="auto"/>
                <w:sz w:val="18"/>
                <w:szCs w:val="18"/>
                <w:highlight w:val="none"/>
              </w:rPr>
              <w:t>主要内容和要求</w:t>
            </w:r>
          </w:p>
        </w:tc>
      </w:tr>
      <w:tr w14:paraId="0F3E39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restart"/>
            <w:noWrap w:val="0"/>
            <w:vAlign w:val="center"/>
          </w:tcPr>
          <w:p w14:paraId="16CA3230">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文明</w:t>
            </w:r>
          </w:p>
          <w:p w14:paraId="639A81C9">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施工</w:t>
            </w:r>
          </w:p>
          <w:p w14:paraId="1F30741A">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与</w:t>
            </w:r>
          </w:p>
          <w:p w14:paraId="71949E30">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环境</w:t>
            </w:r>
          </w:p>
          <w:p w14:paraId="62120D7C">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保护</w:t>
            </w:r>
          </w:p>
        </w:tc>
        <w:tc>
          <w:tcPr>
            <w:tcW w:w="2070" w:type="dxa"/>
            <w:gridSpan w:val="2"/>
            <w:noWrap w:val="0"/>
            <w:vAlign w:val="center"/>
          </w:tcPr>
          <w:p w14:paraId="494472FF">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安全警示标志牌</w:t>
            </w:r>
          </w:p>
        </w:tc>
        <w:tc>
          <w:tcPr>
            <w:tcW w:w="6645" w:type="dxa"/>
            <w:noWrap w:val="0"/>
            <w:vAlign w:val="center"/>
          </w:tcPr>
          <w:p w14:paraId="0A202A0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在易发伤亡事故（或危险）处设置明显的、符合国家标准要求的安全警示标志牌。</w:t>
            </w:r>
          </w:p>
        </w:tc>
      </w:tr>
      <w:tr w14:paraId="6D25FCB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006B61E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01275D2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现场围挡</w:t>
            </w:r>
          </w:p>
        </w:tc>
        <w:tc>
          <w:tcPr>
            <w:tcW w:w="6645" w:type="dxa"/>
            <w:noWrap w:val="0"/>
            <w:vAlign w:val="center"/>
          </w:tcPr>
          <w:p w14:paraId="22A8E32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1</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现场采用封闭围挡，高度不小于1.8m。</w:t>
            </w:r>
          </w:p>
          <w:p w14:paraId="508F2B7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围挡材料可用彩色、定型钢板，砌块等墙体。</w:t>
            </w:r>
          </w:p>
        </w:tc>
      </w:tr>
      <w:tr w14:paraId="1AD3E5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1A7850A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7FB6582F">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七牌二图</w:t>
            </w:r>
          </w:p>
        </w:tc>
        <w:tc>
          <w:tcPr>
            <w:tcW w:w="6645" w:type="dxa"/>
            <w:noWrap w:val="0"/>
            <w:vAlign w:val="center"/>
          </w:tcPr>
          <w:p w14:paraId="71B96F6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在进门处悬挂工程概况、现场出入制度、管理人员名单及监督电话、安全生产规定、文明施工、消防保卫、节能公示等七牌以及施工现场总平面图、工程效果图。</w:t>
            </w:r>
          </w:p>
        </w:tc>
      </w:tr>
      <w:tr w14:paraId="1E010C9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10" w:hRule="atLeast"/>
        </w:trPr>
        <w:tc>
          <w:tcPr>
            <w:tcW w:w="738" w:type="dxa"/>
            <w:vMerge w:val="continue"/>
            <w:noWrap w:val="0"/>
            <w:vAlign w:val="center"/>
          </w:tcPr>
          <w:p w14:paraId="128A8BB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1637308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企业标志</w:t>
            </w:r>
          </w:p>
        </w:tc>
        <w:tc>
          <w:tcPr>
            <w:tcW w:w="6645" w:type="dxa"/>
            <w:noWrap w:val="0"/>
            <w:vAlign w:val="center"/>
          </w:tcPr>
          <w:p w14:paraId="1117AFC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现场出入的大门应设有本企业标志或企业标识。</w:t>
            </w:r>
          </w:p>
        </w:tc>
      </w:tr>
      <w:tr w14:paraId="43E2F82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1B511F6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14FA8ABC">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场容场貌</w:t>
            </w:r>
          </w:p>
        </w:tc>
        <w:tc>
          <w:tcPr>
            <w:tcW w:w="6645" w:type="dxa"/>
            <w:noWrap w:val="0"/>
            <w:vAlign w:val="center"/>
          </w:tcPr>
          <w:p w14:paraId="00CD762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1</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道路畅通。</w:t>
            </w:r>
          </w:p>
          <w:p w14:paraId="00D10E7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排水设施齐全畅通。</w:t>
            </w:r>
          </w:p>
          <w:p w14:paraId="16A4478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3</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工地地面硬化处理（办公区、生活区、现场道路、材料堆放、混凝土搅拌、砂浆搅拌、钢筋加工等场地和外脚手架基础等）。</w:t>
            </w:r>
          </w:p>
        </w:tc>
      </w:tr>
      <w:tr w14:paraId="4A250C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732138D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5BF95F1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材料堆放</w:t>
            </w:r>
          </w:p>
        </w:tc>
        <w:tc>
          <w:tcPr>
            <w:tcW w:w="6645" w:type="dxa"/>
            <w:noWrap w:val="0"/>
            <w:vAlign w:val="center"/>
          </w:tcPr>
          <w:p w14:paraId="36817F8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lang w:val="en-US" w:eastAsia="zh-CN"/>
              </w:rPr>
              <w:t>1、</w:t>
            </w:r>
            <w:r>
              <w:rPr>
                <w:rFonts w:hint="eastAsia" w:ascii="宋体" w:hAnsi="宋体" w:eastAsia="宋体" w:cs="宋体"/>
                <w:color w:val="auto"/>
                <w:sz w:val="18"/>
                <w:szCs w:val="18"/>
                <w:highlight w:val="none"/>
              </w:rPr>
              <w:t>材料、构件、料具等堆放时，应有名称、品种、规格等标牌。</w:t>
            </w:r>
          </w:p>
          <w:p w14:paraId="5E8F5A8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水泥和其它易飞扬细颗粒建筑材料应封闭存放或采取覆盖等措施。</w:t>
            </w:r>
          </w:p>
          <w:p w14:paraId="6F04C03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3</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易燃、易爆和有毒有害物品分类存放。</w:t>
            </w:r>
          </w:p>
        </w:tc>
      </w:tr>
      <w:tr w14:paraId="6DA2EE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10" w:hRule="exact"/>
        </w:trPr>
        <w:tc>
          <w:tcPr>
            <w:tcW w:w="738" w:type="dxa"/>
            <w:vMerge w:val="continue"/>
            <w:noWrap w:val="0"/>
            <w:vAlign w:val="center"/>
          </w:tcPr>
          <w:p w14:paraId="4CD86D0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1559472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现场防火</w:t>
            </w:r>
          </w:p>
        </w:tc>
        <w:tc>
          <w:tcPr>
            <w:tcW w:w="6645" w:type="dxa"/>
            <w:noWrap w:val="0"/>
            <w:vAlign w:val="center"/>
          </w:tcPr>
          <w:p w14:paraId="3E8510C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消防器材配置合理，符合消防要求。</w:t>
            </w:r>
          </w:p>
        </w:tc>
      </w:tr>
      <w:tr w14:paraId="2F4246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3A1B79C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11FE327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垃圾清运</w:t>
            </w:r>
          </w:p>
        </w:tc>
        <w:tc>
          <w:tcPr>
            <w:tcW w:w="6645" w:type="dxa"/>
            <w:noWrap w:val="0"/>
            <w:vAlign w:val="center"/>
          </w:tcPr>
          <w:p w14:paraId="7DC34A2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1</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施工现场应设置密闭式垃圾站，施工垃圾、生活垃圾应分类存放。</w:t>
            </w:r>
          </w:p>
          <w:p w14:paraId="46B4DE8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施工垃圾必须采用相应容器或管道运输。</w:t>
            </w:r>
          </w:p>
        </w:tc>
      </w:tr>
      <w:tr w14:paraId="0AD1DE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5A833954">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43B2496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宣传栏、环保及不扰民措施</w:t>
            </w:r>
          </w:p>
        </w:tc>
        <w:tc>
          <w:tcPr>
            <w:tcW w:w="6645" w:type="dxa"/>
            <w:noWrap w:val="0"/>
            <w:vAlign w:val="center"/>
          </w:tcPr>
          <w:p w14:paraId="3BCE7B4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宣传栏、安全宣传标语等，洗车（防止污染市区道路）、粉尘、噪声控制和排污（污水、废气）措施等。</w:t>
            </w:r>
          </w:p>
        </w:tc>
      </w:tr>
      <w:tr w14:paraId="79E60F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restart"/>
            <w:noWrap w:val="0"/>
            <w:vAlign w:val="center"/>
          </w:tcPr>
          <w:p w14:paraId="0ADA02D4">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lang w:eastAsia="zh-CN"/>
              </w:rPr>
              <w:t>临时</w:t>
            </w:r>
            <w:r>
              <w:rPr>
                <w:rFonts w:hint="eastAsia" w:ascii="宋体" w:hAnsi="宋体" w:eastAsia="宋体" w:cs="宋体"/>
                <w:color w:val="auto"/>
                <w:sz w:val="18"/>
                <w:szCs w:val="18"/>
                <w:highlight w:val="none"/>
              </w:rPr>
              <w:t>设施</w:t>
            </w:r>
          </w:p>
        </w:tc>
        <w:tc>
          <w:tcPr>
            <w:tcW w:w="2070" w:type="dxa"/>
            <w:gridSpan w:val="2"/>
            <w:noWrap w:val="0"/>
            <w:vAlign w:val="center"/>
          </w:tcPr>
          <w:p w14:paraId="0B65775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现场办公生活设施</w:t>
            </w:r>
          </w:p>
        </w:tc>
        <w:tc>
          <w:tcPr>
            <w:tcW w:w="6645" w:type="dxa"/>
            <w:noWrap w:val="0"/>
            <w:vAlign w:val="center"/>
          </w:tcPr>
          <w:p w14:paraId="0E7B125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1</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施工现场办公、生活区与作业区分开设置，保持安全距离。</w:t>
            </w:r>
          </w:p>
          <w:p w14:paraId="1A15DF8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工地办公室、现场宿舍、食堂、厕所、饮水、沐浴、休息场所等符合卫生、消防安全要求。</w:t>
            </w:r>
          </w:p>
        </w:tc>
      </w:tr>
      <w:tr w14:paraId="45D03E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3B78702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restart"/>
            <w:noWrap w:val="0"/>
            <w:vAlign w:val="center"/>
          </w:tcPr>
          <w:p w14:paraId="5D3CAC7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施工现场</w:t>
            </w:r>
          </w:p>
          <w:p w14:paraId="56E9493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临时用电</w:t>
            </w:r>
          </w:p>
        </w:tc>
        <w:tc>
          <w:tcPr>
            <w:tcW w:w="1545" w:type="dxa"/>
            <w:noWrap w:val="0"/>
            <w:vAlign w:val="center"/>
          </w:tcPr>
          <w:p w14:paraId="5A7E7A8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配电线路</w:t>
            </w:r>
          </w:p>
        </w:tc>
        <w:tc>
          <w:tcPr>
            <w:tcW w:w="6645" w:type="dxa"/>
            <w:noWrap w:val="0"/>
            <w:vAlign w:val="center"/>
          </w:tcPr>
          <w:p w14:paraId="5B15AAB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1</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按照TN-S系统要求配备五芯电缆、四芯电缆和三芯电缆。</w:t>
            </w:r>
          </w:p>
          <w:p w14:paraId="27D64E0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按要求架设临时用电线路的电杆、横担、瓷夹、瓷瓶等，或电缆埋地的地沟。</w:t>
            </w:r>
          </w:p>
          <w:p w14:paraId="0C6FAB8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3</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对靠近施工现场的外电线路，设置木质、塑料等绝缘体的防护设施。</w:t>
            </w:r>
          </w:p>
        </w:tc>
      </w:tr>
      <w:tr w14:paraId="7116D39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2AA6577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380A1C6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1545" w:type="dxa"/>
            <w:noWrap w:val="0"/>
            <w:vAlign w:val="center"/>
          </w:tcPr>
          <w:p w14:paraId="75BDAD1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配电箱开关箱</w:t>
            </w:r>
          </w:p>
        </w:tc>
        <w:tc>
          <w:tcPr>
            <w:tcW w:w="6645" w:type="dxa"/>
            <w:noWrap w:val="0"/>
            <w:vAlign w:val="center"/>
          </w:tcPr>
          <w:p w14:paraId="70E3B58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1</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按三级配电要求，配备总配电箱、分配电箱、开关箱三类（铁质）标准电箱，开关箱应符合</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一机、一箱、一闸、一漏</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，三类电箱中的各类电器应是合格品。</w:t>
            </w:r>
          </w:p>
          <w:p w14:paraId="3E82DDD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按两级保护的要求，选取符合容量要求和质量合格的总配电箱和开关箱中的漏电保护器。</w:t>
            </w:r>
          </w:p>
          <w:p w14:paraId="414E86B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3</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对大型、落地式分配电箱、开关箱设置防护棚和通透式围挡。</w:t>
            </w:r>
          </w:p>
        </w:tc>
      </w:tr>
      <w:tr w14:paraId="7DB0B92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75" w:hRule="atLeast"/>
        </w:trPr>
        <w:tc>
          <w:tcPr>
            <w:tcW w:w="738" w:type="dxa"/>
            <w:vMerge w:val="continue"/>
            <w:noWrap w:val="0"/>
            <w:vAlign w:val="center"/>
          </w:tcPr>
          <w:p w14:paraId="6838FA97">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19D5B1B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1545" w:type="dxa"/>
            <w:noWrap w:val="0"/>
            <w:vAlign w:val="center"/>
          </w:tcPr>
          <w:p w14:paraId="5CD95BA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接地装置</w:t>
            </w:r>
          </w:p>
        </w:tc>
        <w:tc>
          <w:tcPr>
            <w:tcW w:w="6645" w:type="dxa"/>
            <w:noWrap w:val="0"/>
            <w:vAlign w:val="center"/>
          </w:tcPr>
          <w:p w14:paraId="31719F8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施工现场应设置不少于三处的重复接地装置。</w:t>
            </w:r>
          </w:p>
        </w:tc>
      </w:tr>
      <w:tr w14:paraId="471985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916" w:hRule="atLeast"/>
        </w:trPr>
        <w:tc>
          <w:tcPr>
            <w:tcW w:w="738" w:type="dxa"/>
            <w:vMerge w:val="continue"/>
            <w:noWrap w:val="0"/>
            <w:vAlign w:val="center"/>
          </w:tcPr>
          <w:p w14:paraId="377ABF27">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3806293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1545" w:type="dxa"/>
            <w:noWrap w:val="0"/>
            <w:vAlign w:val="center"/>
          </w:tcPr>
          <w:p w14:paraId="0D003EB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现场</w:t>
            </w:r>
          </w:p>
          <w:p w14:paraId="662ADA0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变配电装置</w:t>
            </w:r>
          </w:p>
        </w:tc>
        <w:tc>
          <w:tcPr>
            <w:tcW w:w="6645" w:type="dxa"/>
            <w:noWrap w:val="0"/>
            <w:vAlign w:val="center"/>
          </w:tcPr>
          <w:p w14:paraId="77EA0F0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总配电房建筑材料必须达到消防防火要求，室内做硬地坪、电缆沟。</w:t>
            </w:r>
          </w:p>
        </w:tc>
      </w:tr>
      <w:tr w14:paraId="403ECC6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12" w:hRule="atLeast"/>
        </w:trPr>
        <w:tc>
          <w:tcPr>
            <w:tcW w:w="738" w:type="dxa"/>
            <w:noWrap w:val="0"/>
            <w:vAlign w:val="center"/>
          </w:tcPr>
          <w:p w14:paraId="1F39D0EE">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color w:val="auto"/>
                <w:sz w:val="18"/>
                <w:szCs w:val="18"/>
                <w:highlight w:val="none"/>
              </w:rPr>
            </w:pPr>
            <w:r>
              <w:rPr>
                <w:rFonts w:hint="eastAsia" w:ascii="宋体" w:hAnsi="宋体" w:eastAsia="宋体" w:cs="宋体"/>
                <w:b/>
                <w:bCs/>
                <w:color w:val="auto"/>
                <w:sz w:val="18"/>
                <w:szCs w:val="18"/>
                <w:highlight w:val="none"/>
              </w:rPr>
              <w:t>类别</w:t>
            </w:r>
          </w:p>
        </w:tc>
        <w:tc>
          <w:tcPr>
            <w:tcW w:w="2070" w:type="dxa"/>
            <w:gridSpan w:val="2"/>
            <w:noWrap w:val="0"/>
            <w:vAlign w:val="center"/>
          </w:tcPr>
          <w:p w14:paraId="5437A40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color w:val="auto"/>
                <w:sz w:val="18"/>
                <w:szCs w:val="18"/>
                <w:highlight w:val="none"/>
              </w:rPr>
            </w:pPr>
            <w:r>
              <w:rPr>
                <w:rFonts w:hint="eastAsia" w:ascii="宋体" w:hAnsi="宋体" w:eastAsia="宋体" w:cs="宋体"/>
                <w:b/>
                <w:bCs/>
                <w:color w:val="auto"/>
                <w:sz w:val="18"/>
                <w:szCs w:val="18"/>
                <w:highlight w:val="none"/>
              </w:rPr>
              <w:t>项目名称</w:t>
            </w:r>
          </w:p>
        </w:tc>
        <w:tc>
          <w:tcPr>
            <w:tcW w:w="6645" w:type="dxa"/>
            <w:noWrap w:val="0"/>
            <w:vAlign w:val="center"/>
          </w:tcPr>
          <w:p w14:paraId="4EC1DC0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color w:val="auto"/>
                <w:sz w:val="18"/>
                <w:szCs w:val="18"/>
                <w:highlight w:val="none"/>
              </w:rPr>
            </w:pPr>
            <w:r>
              <w:rPr>
                <w:rFonts w:hint="eastAsia" w:ascii="宋体" w:hAnsi="宋体" w:eastAsia="宋体" w:cs="宋体"/>
                <w:b/>
                <w:bCs/>
                <w:color w:val="auto"/>
                <w:sz w:val="18"/>
                <w:szCs w:val="18"/>
                <w:highlight w:val="none"/>
              </w:rPr>
              <w:t>主要内容和要求</w:t>
            </w:r>
          </w:p>
        </w:tc>
      </w:tr>
      <w:tr w14:paraId="212489B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restart"/>
            <w:noWrap w:val="0"/>
            <w:vAlign w:val="center"/>
          </w:tcPr>
          <w:p w14:paraId="1AA1BDA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安全施工</w:t>
            </w:r>
          </w:p>
        </w:tc>
        <w:tc>
          <w:tcPr>
            <w:tcW w:w="525" w:type="dxa"/>
            <w:vMerge w:val="restart"/>
            <w:noWrap w:val="0"/>
            <w:vAlign w:val="center"/>
          </w:tcPr>
          <w:p w14:paraId="169E4F1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高处作业防护</w:t>
            </w:r>
          </w:p>
        </w:tc>
        <w:tc>
          <w:tcPr>
            <w:tcW w:w="1545" w:type="dxa"/>
            <w:noWrap w:val="0"/>
            <w:vAlign w:val="center"/>
          </w:tcPr>
          <w:p w14:paraId="7D80063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楼层、屋面、阳台等临边</w:t>
            </w:r>
          </w:p>
        </w:tc>
        <w:tc>
          <w:tcPr>
            <w:tcW w:w="6645" w:type="dxa"/>
            <w:noWrap w:val="0"/>
            <w:vAlign w:val="center"/>
          </w:tcPr>
          <w:p w14:paraId="3025838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设两道防护栏杆和18cm高的踢脚板，用密目式安全立网全封闭。</w:t>
            </w:r>
          </w:p>
        </w:tc>
      </w:tr>
      <w:tr w14:paraId="04D8638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44556B1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596A4A2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3A7E325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通道口</w:t>
            </w:r>
          </w:p>
        </w:tc>
        <w:tc>
          <w:tcPr>
            <w:tcW w:w="6645" w:type="dxa"/>
            <w:noWrap w:val="0"/>
            <w:vAlign w:val="center"/>
          </w:tcPr>
          <w:p w14:paraId="0DB8EA1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设防护棚，防护棚应为不小于5cm厚的木板或两道相距50cm的竹笆。两侧应沿栏杆架用密目式安全网封闭。</w:t>
            </w:r>
          </w:p>
        </w:tc>
      </w:tr>
      <w:tr w14:paraId="7BA3D1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5160102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132D599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199486A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预留洞口</w:t>
            </w:r>
          </w:p>
        </w:tc>
        <w:tc>
          <w:tcPr>
            <w:tcW w:w="6645" w:type="dxa"/>
            <w:noWrap w:val="0"/>
            <w:vAlign w:val="center"/>
          </w:tcPr>
          <w:p w14:paraId="29A72BE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用硬质材料全封闭，短边超过1.5m长的洞口，除封闭外四周还应设有防护栏杆。</w:t>
            </w:r>
          </w:p>
        </w:tc>
      </w:tr>
      <w:tr w14:paraId="3C045B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05" w:hRule="atLeast"/>
        </w:trPr>
        <w:tc>
          <w:tcPr>
            <w:tcW w:w="738" w:type="dxa"/>
            <w:vMerge w:val="continue"/>
            <w:noWrap w:val="0"/>
            <w:vAlign w:val="center"/>
          </w:tcPr>
          <w:p w14:paraId="553023E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000EB2B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1F85EFAC">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电梯井口</w:t>
            </w:r>
          </w:p>
        </w:tc>
        <w:tc>
          <w:tcPr>
            <w:tcW w:w="6645" w:type="dxa"/>
            <w:noWrap w:val="0"/>
            <w:vAlign w:val="center"/>
          </w:tcPr>
          <w:p w14:paraId="18F79FD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设置定型化、工具化的防护门，在电梯井内每隔2层（不大于10m）设置一道水平防护。</w:t>
            </w:r>
          </w:p>
        </w:tc>
      </w:tr>
      <w:tr w14:paraId="4B500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4559D24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067A118D">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5F051104">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楼梯边</w:t>
            </w:r>
          </w:p>
        </w:tc>
        <w:tc>
          <w:tcPr>
            <w:tcW w:w="6645" w:type="dxa"/>
            <w:noWrap w:val="0"/>
            <w:vAlign w:val="center"/>
          </w:tcPr>
          <w:p w14:paraId="2EE1567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设1.2m高的定型化、工具化的防护栏，18cm高的踢脚板。</w:t>
            </w:r>
          </w:p>
        </w:tc>
      </w:tr>
      <w:tr w14:paraId="0EA920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63CBBFF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5C7BBA2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16B92DF4">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垂直方向交叉作业</w:t>
            </w:r>
          </w:p>
        </w:tc>
        <w:tc>
          <w:tcPr>
            <w:tcW w:w="6645" w:type="dxa"/>
            <w:noWrap w:val="0"/>
            <w:vAlign w:val="center"/>
          </w:tcPr>
          <w:p w14:paraId="761B685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设置防护隔离棚或其它设施。</w:t>
            </w:r>
          </w:p>
        </w:tc>
      </w:tr>
      <w:tr w14:paraId="6EA1BF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6B6A4D3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52B313DF">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578471D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高处作业</w:t>
            </w:r>
          </w:p>
        </w:tc>
        <w:tc>
          <w:tcPr>
            <w:tcW w:w="6645" w:type="dxa"/>
            <w:noWrap w:val="0"/>
            <w:vAlign w:val="center"/>
          </w:tcPr>
          <w:p w14:paraId="5F76296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有悬挂安全带的悬索或其它设施，有操作平台，有上下的梯子或其它形式的通道。</w:t>
            </w:r>
          </w:p>
        </w:tc>
      </w:tr>
      <w:tr w14:paraId="026581D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0D125EA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357C4A8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40A53C8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基坑、物料平台</w:t>
            </w:r>
          </w:p>
        </w:tc>
        <w:tc>
          <w:tcPr>
            <w:tcW w:w="6645" w:type="dxa"/>
            <w:noWrap w:val="0"/>
            <w:vAlign w:val="center"/>
          </w:tcPr>
          <w:p w14:paraId="5AC9657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设1.2m高标准化的防护栏，用密目式安全立网封闭，悬挂标识。</w:t>
            </w:r>
          </w:p>
        </w:tc>
      </w:tr>
      <w:tr w14:paraId="135012A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066CF1B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p>
        </w:tc>
        <w:tc>
          <w:tcPr>
            <w:tcW w:w="2070" w:type="dxa"/>
            <w:gridSpan w:val="2"/>
            <w:noWrap w:val="0"/>
            <w:vAlign w:val="center"/>
          </w:tcPr>
          <w:p w14:paraId="6F7FD02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安全防护用品</w:t>
            </w:r>
          </w:p>
        </w:tc>
        <w:tc>
          <w:tcPr>
            <w:tcW w:w="6645" w:type="dxa"/>
            <w:noWrap w:val="0"/>
            <w:vAlign w:val="center"/>
          </w:tcPr>
          <w:p w14:paraId="26D5E5C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安全帽、安全带、特种作业人员（电工、焊工、架子工等）防护服装、用品等。</w:t>
            </w:r>
          </w:p>
        </w:tc>
      </w:tr>
      <w:tr w14:paraId="24E10A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55" w:hRule="atLeast"/>
        </w:trPr>
        <w:tc>
          <w:tcPr>
            <w:tcW w:w="738" w:type="dxa"/>
            <w:vMerge w:val="restart"/>
            <w:noWrap w:val="0"/>
            <w:vAlign w:val="center"/>
          </w:tcPr>
          <w:p w14:paraId="5110F46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其它</w:t>
            </w:r>
          </w:p>
        </w:tc>
        <w:tc>
          <w:tcPr>
            <w:tcW w:w="525" w:type="dxa"/>
            <w:vMerge w:val="restart"/>
            <w:noWrap w:val="0"/>
            <w:vAlign w:val="center"/>
          </w:tcPr>
          <w:p w14:paraId="4BF5583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机械设备防护</w:t>
            </w:r>
          </w:p>
        </w:tc>
        <w:tc>
          <w:tcPr>
            <w:tcW w:w="1545" w:type="dxa"/>
            <w:noWrap w:val="0"/>
            <w:vAlign w:val="center"/>
          </w:tcPr>
          <w:p w14:paraId="40F60AA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中小型机械</w:t>
            </w:r>
          </w:p>
        </w:tc>
        <w:tc>
          <w:tcPr>
            <w:tcW w:w="6645" w:type="dxa"/>
            <w:noWrap w:val="0"/>
            <w:vAlign w:val="center"/>
          </w:tcPr>
          <w:p w14:paraId="28132FF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设防护棚（同通道口防护并有防雨措施）。</w:t>
            </w:r>
          </w:p>
        </w:tc>
      </w:tr>
      <w:tr w14:paraId="7F0204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noWrap w:val="0"/>
            <w:vAlign w:val="center"/>
          </w:tcPr>
          <w:p w14:paraId="37B7BAE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525" w:type="dxa"/>
            <w:vMerge w:val="continue"/>
            <w:noWrap w:val="0"/>
            <w:vAlign w:val="center"/>
          </w:tcPr>
          <w:p w14:paraId="5B6BA48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1545" w:type="dxa"/>
            <w:noWrap w:val="0"/>
            <w:vAlign w:val="center"/>
          </w:tcPr>
          <w:p w14:paraId="4B6F8B6E">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垂直运输设备</w:t>
            </w:r>
          </w:p>
        </w:tc>
        <w:tc>
          <w:tcPr>
            <w:tcW w:w="6645" w:type="dxa"/>
            <w:noWrap w:val="0"/>
            <w:vAlign w:val="center"/>
          </w:tcPr>
          <w:p w14:paraId="1174009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1</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垂直运输设备检测、检验、日常维护、保养等。</w:t>
            </w:r>
          </w:p>
          <w:p w14:paraId="790CCDB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2</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sz w:val="18"/>
                <w:szCs w:val="18"/>
                <w:highlight w:val="none"/>
              </w:rPr>
              <w:t>物料提升机、施工电梯等物料平台搭设、外侧用密目式安全立网全封闭，有安全通道、安全防护门、防护棚等。</w:t>
            </w:r>
          </w:p>
        </w:tc>
      </w:tr>
      <w:tr w14:paraId="688BF3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10" w:hRule="exact"/>
        </w:trPr>
        <w:tc>
          <w:tcPr>
            <w:tcW w:w="738" w:type="dxa"/>
            <w:vMerge w:val="continue"/>
            <w:noWrap w:val="0"/>
            <w:vAlign w:val="center"/>
          </w:tcPr>
          <w:p w14:paraId="6201808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2070" w:type="dxa"/>
            <w:gridSpan w:val="2"/>
            <w:noWrap w:val="0"/>
            <w:vAlign w:val="center"/>
          </w:tcPr>
          <w:p w14:paraId="0543242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专家论证审查</w:t>
            </w:r>
          </w:p>
        </w:tc>
        <w:tc>
          <w:tcPr>
            <w:tcW w:w="6645" w:type="dxa"/>
            <w:noWrap w:val="0"/>
            <w:vAlign w:val="center"/>
          </w:tcPr>
          <w:p w14:paraId="36CF649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超过一定规模的危险性较大分部分项工程专家论证审查。</w:t>
            </w:r>
          </w:p>
        </w:tc>
      </w:tr>
      <w:tr w14:paraId="40FE08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10" w:hRule="exact"/>
        </w:trPr>
        <w:tc>
          <w:tcPr>
            <w:tcW w:w="738" w:type="dxa"/>
            <w:vMerge w:val="continue"/>
            <w:noWrap w:val="0"/>
            <w:vAlign w:val="center"/>
          </w:tcPr>
          <w:p w14:paraId="398CC3E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2070" w:type="dxa"/>
            <w:gridSpan w:val="2"/>
            <w:noWrap w:val="0"/>
            <w:vAlign w:val="center"/>
          </w:tcPr>
          <w:p w14:paraId="3FC7539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应急救援预案</w:t>
            </w:r>
          </w:p>
        </w:tc>
        <w:tc>
          <w:tcPr>
            <w:tcW w:w="6645" w:type="dxa"/>
            <w:noWrap w:val="0"/>
            <w:vAlign w:val="center"/>
          </w:tcPr>
          <w:p w14:paraId="5EFACA9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救援器材准备及演练等。</w:t>
            </w:r>
          </w:p>
        </w:tc>
      </w:tr>
      <w:tr w14:paraId="0D21FE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Pr>
        <w:tc>
          <w:tcPr>
            <w:tcW w:w="738" w:type="dxa"/>
            <w:vMerge w:val="continue"/>
            <w:tcBorders>
              <w:bottom w:val="single" w:color="auto" w:sz="12" w:space="0"/>
            </w:tcBorders>
            <w:noWrap w:val="0"/>
            <w:vAlign w:val="center"/>
          </w:tcPr>
          <w:p w14:paraId="7A9AEA1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p>
        </w:tc>
        <w:tc>
          <w:tcPr>
            <w:tcW w:w="2070" w:type="dxa"/>
            <w:gridSpan w:val="2"/>
            <w:tcBorders>
              <w:bottom w:val="single" w:color="auto" w:sz="12" w:space="0"/>
            </w:tcBorders>
            <w:noWrap w:val="0"/>
            <w:vAlign w:val="center"/>
          </w:tcPr>
          <w:p w14:paraId="1F579EB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非正常情况施工</w:t>
            </w:r>
          </w:p>
        </w:tc>
        <w:tc>
          <w:tcPr>
            <w:tcW w:w="6645" w:type="dxa"/>
            <w:tcBorders>
              <w:bottom w:val="single" w:color="auto" w:sz="12" w:space="0"/>
            </w:tcBorders>
            <w:noWrap w:val="0"/>
            <w:vAlign w:val="center"/>
          </w:tcPr>
          <w:p w14:paraId="64E6162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18"/>
                <w:szCs w:val="18"/>
                <w:highlight w:val="none"/>
              </w:rPr>
            </w:pPr>
            <w:r>
              <w:rPr>
                <w:rFonts w:hint="eastAsia" w:ascii="宋体" w:hAnsi="宋体" w:eastAsia="宋体" w:cs="宋体"/>
                <w:color w:val="auto"/>
                <w:sz w:val="18"/>
                <w:szCs w:val="18"/>
                <w:highlight w:val="none"/>
              </w:rPr>
              <w:t>其它特殊情况下的防护费用，如：城市主干道、人流密集、河边等处施工及文物、古建筑、古树保护等。</w:t>
            </w:r>
          </w:p>
        </w:tc>
      </w:tr>
    </w:tbl>
    <w:p w14:paraId="251FA6A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color w:val="auto"/>
          <w:sz w:val="18"/>
          <w:szCs w:val="18"/>
          <w:highlight w:val="none"/>
        </w:rPr>
      </w:pPr>
      <w:r>
        <w:rPr>
          <w:rFonts w:hint="eastAsia" w:ascii="宋体" w:hAnsi="宋体" w:eastAsia="宋体" w:cs="宋体"/>
          <w:color w:val="auto"/>
          <w:sz w:val="18"/>
          <w:szCs w:val="18"/>
          <w:highlight w:val="none"/>
        </w:rPr>
        <w:t>注：本表所列建筑工程安全文明施工费，是依据现行法律法规及标准规范确定的。如法律法规和标准规范修订，本表所列项目应按照修订后的法律法规和标准规范进行调整。</w:t>
      </w:r>
    </w:p>
    <w:p w14:paraId="7F72668B">
      <w:pPr>
        <w:snapToGrid w:val="0"/>
        <w:spacing w:before="120" w:beforeLines="50" w:after="50"/>
        <w:rPr>
          <w:rFonts w:hint="eastAsia"/>
          <w:b/>
          <w:color w:val="auto"/>
          <w:sz w:val="28"/>
          <w:szCs w:val="28"/>
          <w:highlight w:val="none"/>
        </w:rPr>
        <w:sectPr>
          <w:pgSz w:w="11911" w:h="16838"/>
          <w:pgMar w:top="1134" w:right="1134" w:bottom="1134" w:left="1134" w:header="720" w:footer="720" w:gutter="0"/>
          <w:cols w:space="720" w:num="1"/>
        </w:sectPr>
      </w:pPr>
    </w:p>
    <w:p w14:paraId="4A9B6FCE">
      <w:pPr>
        <w:snapToGrid w:val="0"/>
        <w:spacing w:before="120" w:beforeLines="50" w:after="50" w:line="360" w:lineRule="auto"/>
        <w:jc w:val="left"/>
        <w:outlineLvl w:val="2"/>
        <w:rPr>
          <w:b/>
          <w:color w:val="auto"/>
          <w:sz w:val="28"/>
          <w:szCs w:val="28"/>
          <w:highlight w:val="none"/>
        </w:rPr>
      </w:pPr>
      <w:bookmarkStart w:id="216" w:name="_Toc25266"/>
      <w:r>
        <w:rPr>
          <w:rFonts w:hint="eastAsia"/>
          <w:b/>
          <w:color w:val="auto"/>
          <w:sz w:val="28"/>
          <w:szCs w:val="28"/>
          <w:highlight w:val="none"/>
        </w:rPr>
        <w:t>8</w:t>
      </w:r>
      <w:r>
        <w:rPr>
          <w:b/>
          <w:color w:val="auto"/>
          <w:sz w:val="28"/>
          <w:szCs w:val="28"/>
          <w:highlight w:val="none"/>
        </w:rPr>
        <w:t>.供应商</w:t>
      </w:r>
      <w:r>
        <w:rPr>
          <w:rFonts w:ascii="Times New Roman" w:hAnsi="Times New Roman" w:eastAsia="宋体" w:cs="Times New Roman"/>
          <w:b/>
          <w:bCs/>
          <w:color w:val="auto"/>
          <w:sz w:val="28"/>
          <w:szCs w:val="28"/>
          <w:highlight w:val="none"/>
        </w:rPr>
        <w:t>类似</w:t>
      </w:r>
      <w:r>
        <w:rPr>
          <w:b/>
          <w:color w:val="auto"/>
          <w:sz w:val="28"/>
          <w:szCs w:val="28"/>
          <w:highlight w:val="none"/>
        </w:rPr>
        <w:t>的业绩证明文件</w:t>
      </w:r>
      <w:r>
        <w:rPr>
          <w:b/>
          <w:bCs/>
          <w:color w:val="auto"/>
          <w:sz w:val="30"/>
          <w:szCs w:val="30"/>
          <w:highlight w:val="none"/>
        </w:rPr>
        <w:t>（如有要求）：</w:t>
      </w:r>
      <w:bookmarkEnd w:id="216"/>
    </w:p>
    <w:p w14:paraId="582E3D15">
      <w:pPr>
        <w:pStyle w:val="24"/>
        <w:keepNext w:val="0"/>
        <w:keepLines w:val="0"/>
        <w:pageBreakBefore w:val="0"/>
        <w:widowControl w:val="0"/>
        <w:kinsoku/>
        <w:wordWrap/>
        <w:overflowPunct/>
        <w:topLinePunct w:val="0"/>
        <w:bidi w:val="0"/>
        <w:adjustRightInd/>
        <w:snapToGrid w:val="0"/>
        <w:spacing w:line="360" w:lineRule="auto"/>
        <w:ind w:left="480" w:hanging="480"/>
        <w:textAlignment w:val="auto"/>
        <w:rPr>
          <w:color w:val="auto"/>
          <w:sz w:val="24"/>
          <w:highlight w:val="none"/>
        </w:rPr>
      </w:pPr>
    </w:p>
    <w:p w14:paraId="53704734">
      <w:pPr>
        <w:keepNext w:val="0"/>
        <w:keepLines w:val="0"/>
        <w:pageBreakBefore w:val="0"/>
        <w:widowControl w:val="0"/>
        <w:kinsoku/>
        <w:wordWrap/>
        <w:overflowPunct/>
        <w:topLinePunct w:val="0"/>
        <w:autoSpaceDE w:val="0"/>
        <w:autoSpaceDN w:val="0"/>
        <w:bidi w:val="0"/>
        <w:adjustRightInd/>
        <w:snapToGrid/>
        <w:spacing w:line="360" w:lineRule="auto"/>
        <w:ind w:firstLine="422" w:firstLineChars="200"/>
        <w:textAlignment w:val="auto"/>
        <w:rPr>
          <w:color w:val="auto"/>
          <w:szCs w:val="21"/>
          <w:highlight w:val="none"/>
        </w:rPr>
      </w:pPr>
      <w:r>
        <w:rPr>
          <w:b/>
          <w:color w:val="auto"/>
          <w:szCs w:val="21"/>
          <w:highlight w:val="none"/>
        </w:rPr>
        <w:t>附表:相关项目业绩一览表（供应商类似项目合同复印件、用户验收报告、用户评价意见格式自拟）</w:t>
      </w:r>
    </w:p>
    <w:p w14:paraId="4DCCF92B">
      <w:pPr>
        <w:keepNext w:val="0"/>
        <w:keepLines w:val="0"/>
        <w:pageBreakBefore w:val="0"/>
        <w:widowControl w:val="0"/>
        <w:kinsoku/>
        <w:wordWrap/>
        <w:overflowPunct/>
        <w:topLinePunct w:val="0"/>
        <w:bidi w:val="0"/>
        <w:adjustRightInd/>
        <w:snapToGrid/>
        <w:spacing w:line="360" w:lineRule="auto"/>
        <w:ind w:left="72" w:firstLine="420" w:firstLineChars="200"/>
        <w:textAlignment w:val="auto"/>
        <w:rPr>
          <w:color w:val="auto"/>
          <w:kern w:val="0"/>
          <w:szCs w:val="21"/>
          <w:highlight w:val="none"/>
        </w:rPr>
      </w:pPr>
      <w:r>
        <w:rPr>
          <w:color w:val="auto"/>
          <w:kern w:val="0"/>
          <w:szCs w:val="21"/>
          <w:highlight w:val="none"/>
        </w:rPr>
        <w:t>注：供应商可参照下述的格式自行编制，须随表提交相应的合同复印件和用户单位验收证明并注明所在供应商商务技术文件页码。</w:t>
      </w:r>
    </w:p>
    <w:tbl>
      <w:tblPr>
        <w:tblStyle w:val="28"/>
        <w:tblW w:w="9874"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414"/>
        <w:gridCol w:w="1813"/>
        <w:gridCol w:w="1134"/>
        <w:gridCol w:w="1134"/>
        <w:gridCol w:w="1379"/>
        <w:gridCol w:w="1410"/>
        <w:gridCol w:w="1590"/>
      </w:tblGrid>
      <w:tr w14:paraId="613FD9B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87" w:hRule="atLeast"/>
        </w:trPr>
        <w:tc>
          <w:tcPr>
            <w:tcW w:w="1414" w:type="dxa"/>
            <w:vMerge w:val="restart"/>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3FE226C6">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采购人名称</w:t>
            </w:r>
          </w:p>
        </w:tc>
        <w:tc>
          <w:tcPr>
            <w:tcW w:w="1813" w:type="dxa"/>
            <w:vMerge w:val="restart"/>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5CB16471">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项目名称</w:t>
            </w:r>
          </w:p>
        </w:tc>
        <w:tc>
          <w:tcPr>
            <w:tcW w:w="1134" w:type="dxa"/>
            <w:vMerge w:val="restart"/>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1C280A12">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合同金额</w:t>
            </w:r>
          </w:p>
          <w:p w14:paraId="530580AC">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（万元）</w:t>
            </w:r>
          </w:p>
        </w:tc>
        <w:tc>
          <w:tcPr>
            <w:tcW w:w="3923" w:type="dxa"/>
            <w:gridSpan w:val="3"/>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5311F566">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附件在响应文件中页码</w:t>
            </w:r>
          </w:p>
        </w:tc>
        <w:tc>
          <w:tcPr>
            <w:tcW w:w="1590" w:type="dxa"/>
            <w:vMerge w:val="restart"/>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7016C08F">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采购人联系人及联系电话</w:t>
            </w:r>
          </w:p>
        </w:tc>
      </w:tr>
      <w:tr w14:paraId="472CC96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196" w:hRule="atLeast"/>
        </w:trPr>
        <w:tc>
          <w:tcPr>
            <w:tcW w:w="1414" w:type="dxa"/>
            <w:vMerge w:val="continue"/>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460153C4">
            <w:pPr>
              <w:keepNext w:val="0"/>
              <w:keepLines w:val="0"/>
              <w:pageBreakBefore w:val="0"/>
              <w:widowControl w:val="0"/>
              <w:kinsoku/>
              <w:wordWrap/>
              <w:overflowPunct/>
              <w:topLinePunct w:val="0"/>
              <w:bidi w:val="0"/>
              <w:adjustRightInd/>
              <w:spacing w:line="360" w:lineRule="auto"/>
              <w:jc w:val="left"/>
              <w:textAlignment w:val="auto"/>
              <w:rPr>
                <w:rFonts w:hint="eastAsia" w:ascii="宋体" w:hAnsi="宋体" w:eastAsia="宋体" w:cs="宋体"/>
                <w:b/>
                <w:bCs/>
                <w:color w:val="auto"/>
                <w:sz w:val="21"/>
                <w:szCs w:val="21"/>
                <w:highlight w:val="none"/>
              </w:rPr>
            </w:pPr>
          </w:p>
        </w:tc>
        <w:tc>
          <w:tcPr>
            <w:tcW w:w="1813" w:type="dxa"/>
            <w:vMerge w:val="continue"/>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70DC07C7">
            <w:pPr>
              <w:keepNext w:val="0"/>
              <w:keepLines w:val="0"/>
              <w:pageBreakBefore w:val="0"/>
              <w:widowControl w:val="0"/>
              <w:kinsoku/>
              <w:wordWrap/>
              <w:overflowPunct/>
              <w:topLinePunct w:val="0"/>
              <w:bidi w:val="0"/>
              <w:adjustRightInd/>
              <w:spacing w:line="360" w:lineRule="auto"/>
              <w:jc w:val="left"/>
              <w:textAlignment w:val="auto"/>
              <w:rPr>
                <w:rFonts w:hint="eastAsia" w:ascii="宋体" w:hAnsi="宋体" w:eastAsia="宋体" w:cs="宋体"/>
                <w:b/>
                <w:bCs/>
                <w:color w:val="auto"/>
                <w:sz w:val="21"/>
                <w:szCs w:val="21"/>
                <w:highlight w:val="none"/>
              </w:rPr>
            </w:pPr>
          </w:p>
        </w:tc>
        <w:tc>
          <w:tcPr>
            <w:tcW w:w="1134" w:type="dxa"/>
            <w:vMerge w:val="continue"/>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50F2BD37">
            <w:pPr>
              <w:keepNext w:val="0"/>
              <w:keepLines w:val="0"/>
              <w:pageBreakBefore w:val="0"/>
              <w:widowControl w:val="0"/>
              <w:kinsoku/>
              <w:wordWrap/>
              <w:overflowPunct/>
              <w:topLinePunct w:val="0"/>
              <w:bidi w:val="0"/>
              <w:adjustRightInd/>
              <w:spacing w:line="360" w:lineRule="auto"/>
              <w:jc w:val="left"/>
              <w:textAlignment w:val="auto"/>
              <w:rPr>
                <w:rFonts w:hint="eastAsia" w:ascii="宋体" w:hAnsi="宋体" w:eastAsia="宋体" w:cs="宋体"/>
                <w:b/>
                <w:bCs/>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685B428B">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合同</w:t>
            </w:r>
          </w:p>
        </w:tc>
        <w:tc>
          <w:tcPr>
            <w:tcW w:w="1379"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7E156F93">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验收报告</w:t>
            </w:r>
          </w:p>
        </w:tc>
        <w:tc>
          <w:tcPr>
            <w:tcW w:w="1410"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27CF22EE">
            <w:pPr>
              <w:keepNext w:val="0"/>
              <w:keepLines w:val="0"/>
              <w:pageBreakBefore w:val="0"/>
              <w:widowControl w:val="0"/>
              <w:kinsoku/>
              <w:wordWrap/>
              <w:overflowPunct/>
              <w:topLinePunct w:val="0"/>
              <w:bidi w:val="0"/>
              <w:adjustRightInd/>
              <w:snapToGrid w:val="0"/>
              <w:spacing w:line="36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用户评价</w:t>
            </w:r>
          </w:p>
        </w:tc>
        <w:tc>
          <w:tcPr>
            <w:tcW w:w="1590" w:type="dxa"/>
            <w:vMerge w:val="continue"/>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07F729A9">
            <w:pPr>
              <w:keepNext w:val="0"/>
              <w:keepLines w:val="0"/>
              <w:pageBreakBefore w:val="0"/>
              <w:widowControl w:val="0"/>
              <w:kinsoku/>
              <w:wordWrap/>
              <w:overflowPunct/>
              <w:topLinePunct w:val="0"/>
              <w:bidi w:val="0"/>
              <w:adjustRightInd/>
              <w:spacing w:line="360" w:lineRule="auto"/>
              <w:jc w:val="left"/>
              <w:textAlignment w:val="auto"/>
              <w:rPr>
                <w:rFonts w:hint="eastAsia" w:ascii="宋体" w:hAnsi="宋体" w:eastAsia="宋体" w:cs="宋体"/>
                <w:b/>
                <w:bCs/>
                <w:color w:val="auto"/>
                <w:sz w:val="21"/>
                <w:szCs w:val="21"/>
                <w:highlight w:val="none"/>
              </w:rPr>
            </w:pPr>
          </w:p>
        </w:tc>
      </w:tr>
      <w:tr w14:paraId="3676526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49" w:hRule="atLeast"/>
        </w:trPr>
        <w:tc>
          <w:tcPr>
            <w:tcW w:w="1414" w:type="dxa"/>
            <w:tcBorders>
              <w:top w:val="single" w:color="auto" w:sz="4" w:space="0"/>
              <w:left w:val="single" w:color="auto" w:sz="4" w:space="0"/>
              <w:bottom w:val="single" w:color="auto" w:sz="4" w:space="0"/>
              <w:right w:val="single" w:color="auto" w:sz="4" w:space="0"/>
            </w:tcBorders>
            <w:noWrap w:val="0"/>
            <w:vAlign w:val="top"/>
          </w:tcPr>
          <w:p w14:paraId="6502A010">
            <w:pPr>
              <w:keepNext w:val="0"/>
              <w:keepLines w:val="0"/>
              <w:pageBreakBefore w:val="0"/>
              <w:widowControl w:val="0"/>
              <w:kinsoku/>
              <w:wordWrap/>
              <w:overflowPunct/>
              <w:topLinePunct w:val="0"/>
              <w:bidi w:val="0"/>
              <w:adjustRightInd/>
              <w:snapToGrid w:val="0"/>
              <w:spacing w:line="360" w:lineRule="auto"/>
              <w:jc w:val="left"/>
              <w:textAlignment w:val="auto"/>
              <w:rPr>
                <w:rFonts w:hint="eastAsia" w:ascii="宋体" w:hAnsi="宋体" w:eastAsia="宋体" w:cs="宋体"/>
                <w:color w:val="auto"/>
                <w:sz w:val="21"/>
                <w:szCs w:val="21"/>
                <w:highlight w:val="none"/>
              </w:rPr>
            </w:pPr>
          </w:p>
        </w:tc>
        <w:tc>
          <w:tcPr>
            <w:tcW w:w="1813" w:type="dxa"/>
            <w:tcBorders>
              <w:top w:val="single" w:color="auto" w:sz="4" w:space="0"/>
              <w:left w:val="single" w:color="auto" w:sz="4" w:space="0"/>
              <w:bottom w:val="single" w:color="auto" w:sz="4" w:space="0"/>
              <w:right w:val="single" w:color="auto" w:sz="4" w:space="0"/>
            </w:tcBorders>
            <w:noWrap w:val="0"/>
            <w:vAlign w:val="top"/>
          </w:tcPr>
          <w:p w14:paraId="4FCF7904">
            <w:pPr>
              <w:keepNext w:val="0"/>
              <w:keepLines w:val="0"/>
              <w:pageBreakBefore w:val="0"/>
              <w:widowControl w:val="0"/>
              <w:kinsoku/>
              <w:wordWrap/>
              <w:overflowPunct/>
              <w:topLinePunct w:val="0"/>
              <w:bidi w:val="0"/>
              <w:adjustRightInd/>
              <w:snapToGrid w:val="0"/>
              <w:spacing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3BA3BFFB">
            <w:pPr>
              <w:keepNext w:val="0"/>
              <w:keepLines w:val="0"/>
              <w:pageBreakBefore w:val="0"/>
              <w:widowControl w:val="0"/>
              <w:kinsoku/>
              <w:wordWrap/>
              <w:overflowPunct/>
              <w:topLinePunct w:val="0"/>
              <w:bidi w:val="0"/>
              <w:adjustRightInd/>
              <w:snapToGrid w:val="0"/>
              <w:spacing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2D70A213">
            <w:pPr>
              <w:keepNext w:val="0"/>
              <w:keepLines w:val="0"/>
              <w:pageBreakBefore w:val="0"/>
              <w:widowControl w:val="0"/>
              <w:kinsoku/>
              <w:wordWrap/>
              <w:overflowPunct/>
              <w:topLinePunct w:val="0"/>
              <w:bidi w:val="0"/>
              <w:adjustRightInd/>
              <w:snapToGrid w:val="0"/>
              <w:spacing w:line="360" w:lineRule="auto"/>
              <w:jc w:val="left"/>
              <w:textAlignment w:val="auto"/>
              <w:rPr>
                <w:rFonts w:hint="eastAsia" w:ascii="宋体" w:hAnsi="宋体" w:eastAsia="宋体" w:cs="宋体"/>
                <w:color w:val="auto"/>
                <w:sz w:val="21"/>
                <w:szCs w:val="21"/>
                <w:highlight w:val="none"/>
              </w:rPr>
            </w:pPr>
          </w:p>
        </w:tc>
        <w:tc>
          <w:tcPr>
            <w:tcW w:w="1379" w:type="dxa"/>
            <w:tcBorders>
              <w:top w:val="single" w:color="auto" w:sz="4" w:space="0"/>
              <w:left w:val="single" w:color="auto" w:sz="4" w:space="0"/>
              <w:bottom w:val="single" w:color="auto" w:sz="4" w:space="0"/>
              <w:right w:val="single" w:color="auto" w:sz="4" w:space="0"/>
            </w:tcBorders>
            <w:noWrap w:val="0"/>
            <w:vAlign w:val="top"/>
          </w:tcPr>
          <w:p w14:paraId="6C05DB83">
            <w:pPr>
              <w:keepNext w:val="0"/>
              <w:keepLines w:val="0"/>
              <w:pageBreakBefore w:val="0"/>
              <w:widowControl w:val="0"/>
              <w:kinsoku/>
              <w:wordWrap/>
              <w:overflowPunct/>
              <w:topLinePunct w:val="0"/>
              <w:bidi w:val="0"/>
              <w:adjustRightInd/>
              <w:snapToGrid w:val="0"/>
              <w:spacing w:line="360" w:lineRule="auto"/>
              <w:jc w:val="left"/>
              <w:textAlignment w:val="auto"/>
              <w:rPr>
                <w:rFonts w:hint="eastAsia" w:ascii="宋体" w:hAnsi="宋体" w:eastAsia="宋体" w:cs="宋体"/>
                <w:color w:val="auto"/>
                <w:sz w:val="21"/>
                <w:szCs w:val="21"/>
                <w:highlight w:val="none"/>
              </w:rPr>
            </w:pPr>
          </w:p>
        </w:tc>
        <w:tc>
          <w:tcPr>
            <w:tcW w:w="1410" w:type="dxa"/>
            <w:tcBorders>
              <w:top w:val="single" w:color="auto" w:sz="4" w:space="0"/>
              <w:left w:val="single" w:color="auto" w:sz="4" w:space="0"/>
              <w:bottom w:val="single" w:color="auto" w:sz="4" w:space="0"/>
              <w:right w:val="single" w:color="auto" w:sz="4" w:space="0"/>
            </w:tcBorders>
            <w:noWrap w:val="0"/>
            <w:vAlign w:val="top"/>
          </w:tcPr>
          <w:p w14:paraId="19AC9FFB">
            <w:pPr>
              <w:keepNext w:val="0"/>
              <w:keepLines w:val="0"/>
              <w:pageBreakBefore w:val="0"/>
              <w:widowControl w:val="0"/>
              <w:kinsoku/>
              <w:wordWrap/>
              <w:overflowPunct/>
              <w:topLinePunct w:val="0"/>
              <w:bidi w:val="0"/>
              <w:adjustRightInd/>
              <w:snapToGrid w:val="0"/>
              <w:spacing w:line="360" w:lineRule="auto"/>
              <w:jc w:val="left"/>
              <w:textAlignment w:val="auto"/>
              <w:rPr>
                <w:rFonts w:hint="eastAsia" w:ascii="宋体" w:hAnsi="宋体" w:eastAsia="宋体" w:cs="宋体"/>
                <w:color w:val="auto"/>
                <w:sz w:val="21"/>
                <w:szCs w:val="21"/>
                <w:highlight w:val="none"/>
              </w:rPr>
            </w:pPr>
          </w:p>
        </w:tc>
        <w:tc>
          <w:tcPr>
            <w:tcW w:w="1590" w:type="dxa"/>
            <w:tcBorders>
              <w:top w:val="single" w:color="auto" w:sz="4" w:space="0"/>
              <w:left w:val="single" w:color="auto" w:sz="4" w:space="0"/>
              <w:bottom w:val="single" w:color="auto" w:sz="4" w:space="0"/>
              <w:right w:val="single" w:color="auto" w:sz="4" w:space="0"/>
            </w:tcBorders>
            <w:noWrap w:val="0"/>
            <w:vAlign w:val="top"/>
          </w:tcPr>
          <w:p w14:paraId="33DEC5CC">
            <w:pPr>
              <w:keepNext w:val="0"/>
              <w:keepLines w:val="0"/>
              <w:pageBreakBefore w:val="0"/>
              <w:widowControl w:val="0"/>
              <w:kinsoku/>
              <w:wordWrap/>
              <w:overflowPunct/>
              <w:topLinePunct w:val="0"/>
              <w:bidi w:val="0"/>
              <w:adjustRightInd/>
              <w:snapToGrid w:val="0"/>
              <w:spacing w:line="360" w:lineRule="auto"/>
              <w:jc w:val="left"/>
              <w:textAlignment w:val="auto"/>
              <w:rPr>
                <w:rFonts w:hint="eastAsia" w:ascii="宋体" w:hAnsi="宋体" w:eastAsia="宋体" w:cs="宋体"/>
                <w:color w:val="auto"/>
                <w:sz w:val="21"/>
                <w:szCs w:val="21"/>
                <w:highlight w:val="none"/>
              </w:rPr>
            </w:pPr>
          </w:p>
        </w:tc>
      </w:tr>
      <w:tr w14:paraId="210A8E9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414" w:type="dxa"/>
            <w:tcBorders>
              <w:top w:val="single" w:color="auto" w:sz="4" w:space="0"/>
              <w:left w:val="single" w:color="auto" w:sz="4" w:space="0"/>
              <w:bottom w:val="single" w:color="auto" w:sz="4" w:space="0"/>
              <w:right w:val="single" w:color="auto" w:sz="4" w:space="0"/>
            </w:tcBorders>
            <w:noWrap w:val="0"/>
            <w:vAlign w:val="top"/>
          </w:tcPr>
          <w:p w14:paraId="15EBF640">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813" w:type="dxa"/>
            <w:tcBorders>
              <w:top w:val="single" w:color="auto" w:sz="4" w:space="0"/>
              <w:left w:val="single" w:color="auto" w:sz="4" w:space="0"/>
              <w:bottom w:val="single" w:color="auto" w:sz="4" w:space="0"/>
              <w:right w:val="single" w:color="auto" w:sz="4" w:space="0"/>
            </w:tcBorders>
            <w:noWrap w:val="0"/>
            <w:vAlign w:val="top"/>
          </w:tcPr>
          <w:p w14:paraId="70542783">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760BB1CB">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41B34490">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379" w:type="dxa"/>
            <w:tcBorders>
              <w:top w:val="single" w:color="auto" w:sz="4" w:space="0"/>
              <w:left w:val="single" w:color="auto" w:sz="4" w:space="0"/>
              <w:bottom w:val="single" w:color="auto" w:sz="4" w:space="0"/>
              <w:right w:val="single" w:color="auto" w:sz="4" w:space="0"/>
            </w:tcBorders>
            <w:noWrap w:val="0"/>
            <w:vAlign w:val="top"/>
          </w:tcPr>
          <w:p w14:paraId="25DB402F">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410" w:type="dxa"/>
            <w:tcBorders>
              <w:top w:val="single" w:color="auto" w:sz="4" w:space="0"/>
              <w:left w:val="single" w:color="auto" w:sz="4" w:space="0"/>
              <w:bottom w:val="single" w:color="auto" w:sz="4" w:space="0"/>
              <w:right w:val="single" w:color="auto" w:sz="4" w:space="0"/>
            </w:tcBorders>
            <w:noWrap w:val="0"/>
            <w:vAlign w:val="top"/>
          </w:tcPr>
          <w:p w14:paraId="1C4CC910">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590" w:type="dxa"/>
            <w:tcBorders>
              <w:top w:val="single" w:color="auto" w:sz="4" w:space="0"/>
              <w:left w:val="single" w:color="auto" w:sz="4" w:space="0"/>
              <w:bottom w:val="single" w:color="auto" w:sz="4" w:space="0"/>
              <w:right w:val="single" w:color="auto" w:sz="4" w:space="0"/>
            </w:tcBorders>
            <w:noWrap w:val="0"/>
            <w:vAlign w:val="top"/>
          </w:tcPr>
          <w:p w14:paraId="4637739C">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r>
      <w:tr w14:paraId="4B602BC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10" w:hRule="atLeast"/>
        </w:trPr>
        <w:tc>
          <w:tcPr>
            <w:tcW w:w="1414" w:type="dxa"/>
            <w:tcBorders>
              <w:top w:val="single" w:color="auto" w:sz="4" w:space="0"/>
              <w:left w:val="single" w:color="auto" w:sz="4" w:space="0"/>
              <w:bottom w:val="single" w:color="auto" w:sz="4" w:space="0"/>
              <w:right w:val="single" w:color="auto" w:sz="4" w:space="0"/>
            </w:tcBorders>
            <w:noWrap w:val="0"/>
            <w:vAlign w:val="top"/>
          </w:tcPr>
          <w:p w14:paraId="62684F44">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813" w:type="dxa"/>
            <w:tcBorders>
              <w:top w:val="single" w:color="auto" w:sz="4" w:space="0"/>
              <w:left w:val="single" w:color="auto" w:sz="4" w:space="0"/>
              <w:bottom w:val="single" w:color="auto" w:sz="4" w:space="0"/>
              <w:right w:val="single" w:color="auto" w:sz="4" w:space="0"/>
            </w:tcBorders>
            <w:noWrap w:val="0"/>
            <w:vAlign w:val="top"/>
          </w:tcPr>
          <w:p w14:paraId="3549169C">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16AB99B4">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2881BA4E">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379" w:type="dxa"/>
            <w:tcBorders>
              <w:top w:val="single" w:color="auto" w:sz="4" w:space="0"/>
              <w:left w:val="single" w:color="auto" w:sz="4" w:space="0"/>
              <w:bottom w:val="single" w:color="auto" w:sz="4" w:space="0"/>
              <w:right w:val="single" w:color="auto" w:sz="4" w:space="0"/>
            </w:tcBorders>
            <w:noWrap w:val="0"/>
            <w:vAlign w:val="top"/>
          </w:tcPr>
          <w:p w14:paraId="313AF496">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410" w:type="dxa"/>
            <w:tcBorders>
              <w:top w:val="single" w:color="auto" w:sz="4" w:space="0"/>
              <w:left w:val="single" w:color="auto" w:sz="4" w:space="0"/>
              <w:bottom w:val="single" w:color="auto" w:sz="4" w:space="0"/>
              <w:right w:val="single" w:color="auto" w:sz="4" w:space="0"/>
            </w:tcBorders>
            <w:noWrap w:val="0"/>
            <w:vAlign w:val="top"/>
          </w:tcPr>
          <w:p w14:paraId="5153B023">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590" w:type="dxa"/>
            <w:tcBorders>
              <w:top w:val="single" w:color="auto" w:sz="4" w:space="0"/>
              <w:left w:val="single" w:color="auto" w:sz="4" w:space="0"/>
              <w:bottom w:val="single" w:color="auto" w:sz="4" w:space="0"/>
              <w:right w:val="single" w:color="auto" w:sz="4" w:space="0"/>
            </w:tcBorders>
            <w:noWrap w:val="0"/>
            <w:vAlign w:val="top"/>
          </w:tcPr>
          <w:p w14:paraId="42F21E3E">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r>
      <w:tr w14:paraId="35A04CF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414" w:type="dxa"/>
            <w:tcBorders>
              <w:top w:val="single" w:color="auto" w:sz="4" w:space="0"/>
              <w:left w:val="single" w:color="auto" w:sz="4" w:space="0"/>
              <w:bottom w:val="single" w:color="auto" w:sz="4" w:space="0"/>
              <w:right w:val="single" w:color="auto" w:sz="4" w:space="0"/>
            </w:tcBorders>
            <w:noWrap w:val="0"/>
            <w:vAlign w:val="top"/>
          </w:tcPr>
          <w:p w14:paraId="0BBB0735">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813" w:type="dxa"/>
            <w:tcBorders>
              <w:top w:val="single" w:color="auto" w:sz="4" w:space="0"/>
              <w:left w:val="single" w:color="auto" w:sz="4" w:space="0"/>
              <w:bottom w:val="single" w:color="auto" w:sz="4" w:space="0"/>
              <w:right w:val="single" w:color="auto" w:sz="4" w:space="0"/>
            </w:tcBorders>
            <w:noWrap w:val="0"/>
            <w:vAlign w:val="top"/>
          </w:tcPr>
          <w:p w14:paraId="4F2AE5D1">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48443EF5">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6F1CCF89">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379" w:type="dxa"/>
            <w:tcBorders>
              <w:top w:val="single" w:color="auto" w:sz="4" w:space="0"/>
              <w:left w:val="single" w:color="auto" w:sz="4" w:space="0"/>
              <w:bottom w:val="single" w:color="auto" w:sz="4" w:space="0"/>
              <w:right w:val="single" w:color="auto" w:sz="4" w:space="0"/>
            </w:tcBorders>
            <w:noWrap w:val="0"/>
            <w:vAlign w:val="top"/>
          </w:tcPr>
          <w:p w14:paraId="65983122">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410" w:type="dxa"/>
            <w:tcBorders>
              <w:top w:val="single" w:color="auto" w:sz="4" w:space="0"/>
              <w:left w:val="single" w:color="auto" w:sz="4" w:space="0"/>
              <w:bottom w:val="single" w:color="auto" w:sz="4" w:space="0"/>
              <w:right w:val="single" w:color="auto" w:sz="4" w:space="0"/>
            </w:tcBorders>
            <w:noWrap w:val="0"/>
            <w:vAlign w:val="top"/>
          </w:tcPr>
          <w:p w14:paraId="174A79A8">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590" w:type="dxa"/>
            <w:tcBorders>
              <w:top w:val="single" w:color="auto" w:sz="4" w:space="0"/>
              <w:left w:val="single" w:color="auto" w:sz="4" w:space="0"/>
              <w:bottom w:val="single" w:color="auto" w:sz="4" w:space="0"/>
              <w:right w:val="single" w:color="auto" w:sz="4" w:space="0"/>
            </w:tcBorders>
            <w:noWrap w:val="0"/>
            <w:vAlign w:val="top"/>
          </w:tcPr>
          <w:p w14:paraId="74CAB09A">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r>
      <w:tr w14:paraId="7751DCC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414" w:type="dxa"/>
            <w:tcBorders>
              <w:top w:val="single" w:color="auto" w:sz="4" w:space="0"/>
              <w:left w:val="single" w:color="auto" w:sz="4" w:space="0"/>
              <w:bottom w:val="single" w:color="auto" w:sz="4" w:space="0"/>
              <w:right w:val="single" w:color="auto" w:sz="4" w:space="0"/>
            </w:tcBorders>
            <w:noWrap w:val="0"/>
            <w:vAlign w:val="top"/>
          </w:tcPr>
          <w:p w14:paraId="737AFE32">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813" w:type="dxa"/>
            <w:tcBorders>
              <w:top w:val="single" w:color="auto" w:sz="4" w:space="0"/>
              <w:left w:val="single" w:color="auto" w:sz="4" w:space="0"/>
              <w:bottom w:val="single" w:color="auto" w:sz="4" w:space="0"/>
              <w:right w:val="single" w:color="auto" w:sz="4" w:space="0"/>
            </w:tcBorders>
            <w:noWrap w:val="0"/>
            <w:vAlign w:val="top"/>
          </w:tcPr>
          <w:p w14:paraId="4AE6E45E">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3E8F69E6">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134" w:type="dxa"/>
            <w:tcBorders>
              <w:top w:val="single" w:color="auto" w:sz="4" w:space="0"/>
              <w:left w:val="single" w:color="auto" w:sz="4" w:space="0"/>
              <w:bottom w:val="single" w:color="auto" w:sz="4" w:space="0"/>
              <w:right w:val="single" w:color="auto" w:sz="4" w:space="0"/>
            </w:tcBorders>
            <w:noWrap w:val="0"/>
            <w:vAlign w:val="top"/>
          </w:tcPr>
          <w:p w14:paraId="2DF18D1D">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379" w:type="dxa"/>
            <w:tcBorders>
              <w:top w:val="single" w:color="auto" w:sz="4" w:space="0"/>
              <w:left w:val="single" w:color="auto" w:sz="4" w:space="0"/>
              <w:bottom w:val="single" w:color="auto" w:sz="4" w:space="0"/>
              <w:right w:val="single" w:color="auto" w:sz="4" w:space="0"/>
            </w:tcBorders>
            <w:noWrap w:val="0"/>
            <w:vAlign w:val="top"/>
          </w:tcPr>
          <w:p w14:paraId="41DB7146">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410" w:type="dxa"/>
            <w:tcBorders>
              <w:top w:val="single" w:color="auto" w:sz="4" w:space="0"/>
              <w:left w:val="single" w:color="auto" w:sz="4" w:space="0"/>
              <w:bottom w:val="single" w:color="auto" w:sz="4" w:space="0"/>
              <w:right w:val="single" w:color="auto" w:sz="4" w:space="0"/>
            </w:tcBorders>
            <w:noWrap w:val="0"/>
            <w:vAlign w:val="top"/>
          </w:tcPr>
          <w:p w14:paraId="13E2B132">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c>
          <w:tcPr>
            <w:tcW w:w="1590" w:type="dxa"/>
            <w:tcBorders>
              <w:top w:val="single" w:color="auto" w:sz="4" w:space="0"/>
              <w:left w:val="single" w:color="auto" w:sz="4" w:space="0"/>
              <w:bottom w:val="single" w:color="auto" w:sz="4" w:space="0"/>
              <w:right w:val="single" w:color="auto" w:sz="4" w:space="0"/>
            </w:tcBorders>
            <w:noWrap w:val="0"/>
            <w:vAlign w:val="top"/>
          </w:tcPr>
          <w:p w14:paraId="0BEA9DC3">
            <w:pPr>
              <w:keepNext w:val="0"/>
              <w:keepLines w:val="0"/>
              <w:pageBreakBefore w:val="0"/>
              <w:widowControl w:val="0"/>
              <w:kinsoku/>
              <w:wordWrap/>
              <w:overflowPunct/>
              <w:topLinePunct w:val="0"/>
              <w:bidi w:val="0"/>
              <w:adjustRightInd/>
              <w:snapToGrid w:val="0"/>
              <w:spacing w:before="50" w:after="120" w:afterLines="50" w:line="360" w:lineRule="auto"/>
              <w:jc w:val="left"/>
              <w:textAlignment w:val="auto"/>
              <w:rPr>
                <w:rFonts w:hint="eastAsia" w:ascii="宋体" w:hAnsi="宋体" w:eastAsia="宋体" w:cs="宋体"/>
                <w:color w:val="auto"/>
                <w:sz w:val="21"/>
                <w:szCs w:val="21"/>
                <w:highlight w:val="none"/>
              </w:rPr>
            </w:pPr>
          </w:p>
        </w:tc>
      </w:tr>
    </w:tbl>
    <w:p w14:paraId="2E3C58A4">
      <w:pPr>
        <w:keepNext w:val="0"/>
        <w:keepLines w:val="0"/>
        <w:pageBreakBefore w:val="0"/>
        <w:widowControl w:val="0"/>
        <w:kinsoku/>
        <w:wordWrap/>
        <w:overflowPunct/>
        <w:topLinePunct w:val="0"/>
        <w:bidi w:val="0"/>
        <w:adjustRightInd/>
        <w:spacing w:line="360" w:lineRule="auto"/>
        <w:textAlignment w:val="auto"/>
        <w:rPr>
          <w:color w:val="auto"/>
          <w:szCs w:val="21"/>
          <w:highlight w:val="none"/>
        </w:rPr>
      </w:pPr>
    </w:p>
    <w:p w14:paraId="6CDE2DC7">
      <w:pPr>
        <w:keepNext w:val="0"/>
        <w:keepLines w:val="0"/>
        <w:pageBreakBefore w:val="0"/>
        <w:widowControl w:val="0"/>
        <w:kinsoku/>
        <w:wordWrap/>
        <w:overflowPunct/>
        <w:topLinePunct w:val="0"/>
        <w:bidi w:val="0"/>
        <w:adjustRightInd/>
        <w:spacing w:line="360" w:lineRule="auto"/>
        <w:ind w:firstLine="4410" w:firstLineChars="2100"/>
        <w:textAlignment w:val="auto"/>
        <w:rPr>
          <w:color w:val="auto"/>
          <w:szCs w:val="21"/>
          <w:highlight w:val="none"/>
        </w:rPr>
      </w:pPr>
    </w:p>
    <w:p w14:paraId="3969224A">
      <w:pPr>
        <w:keepNext w:val="0"/>
        <w:keepLines w:val="0"/>
        <w:pageBreakBefore w:val="0"/>
        <w:widowControl w:val="0"/>
        <w:kinsoku/>
        <w:wordWrap/>
        <w:overflowPunct/>
        <w:topLinePunct w:val="0"/>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4A778E46">
      <w:pPr>
        <w:keepNext w:val="0"/>
        <w:keepLines w:val="0"/>
        <w:pageBreakBefore w:val="0"/>
        <w:widowControl w:val="0"/>
        <w:kinsoku/>
        <w:wordWrap/>
        <w:overflowPunct/>
        <w:topLinePunct w:val="0"/>
        <w:bidi w:val="0"/>
        <w:adjustRightInd/>
        <w:snapToGrid w:val="0"/>
        <w:spacing w:line="360" w:lineRule="auto"/>
        <w:ind w:firstLine="420" w:firstLineChars="200"/>
        <w:textAlignment w:val="auto"/>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1D2070DE">
      <w:pPr>
        <w:rPr>
          <w:rFonts w:hint="eastAsia"/>
          <w:b/>
          <w:color w:val="auto"/>
          <w:sz w:val="28"/>
          <w:szCs w:val="28"/>
          <w:highlight w:val="none"/>
        </w:rPr>
      </w:pPr>
      <w:r>
        <w:rPr>
          <w:rFonts w:hint="eastAsia"/>
          <w:b/>
          <w:color w:val="auto"/>
          <w:sz w:val="28"/>
          <w:szCs w:val="28"/>
          <w:highlight w:val="none"/>
        </w:rPr>
        <w:br w:type="page"/>
      </w:r>
    </w:p>
    <w:p w14:paraId="19C2D931">
      <w:pPr>
        <w:snapToGrid w:val="0"/>
        <w:spacing w:before="120" w:beforeLines="50" w:after="50" w:line="360" w:lineRule="auto"/>
        <w:jc w:val="left"/>
        <w:outlineLvl w:val="2"/>
        <w:rPr>
          <w:color w:val="auto"/>
          <w:sz w:val="28"/>
          <w:szCs w:val="28"/>
          <w:highlight w:val="none"/>
        </w:rPr>
      </w:pPr>
      <w:bookmarkStart w:id="217" w:name="_Toc24413"/>
      <w:r>
        <w:rPr>
          <w:rFonts w:hint="eastAsia"/>
          <w:b/>
          <w:color w:val="auto"/>
          <w:sz w:val="28"/>
          <w:szCs w:val="28"/>
          <w:highlight w:val="none"/>
        </w:rPr>
        <w:t>9</w:t>
      </w:r>
      <w:r>
        <w:rPr>
          <w:b/>
          <w:color w:val="auto"/>
          <w:sz w:val="28"/>
          <w:szCs w:val="28"/>
          <w:highlight w:val="none"/>
        </w:rPr>
        <w:t>.</w:t>
      </w:r>
      <w:r>
        <w:rPr>
          <w:rFonts w:hint="eastAsia"/>
          <w:b/>
          <w:color w:val="auto"/>
          <w:sz w:val="28"/>
          <w:szCs w:val="28"/>
          <w:highlight w:val="none"/>
        </w:rPr>
        <w:t>技术</w:t>
      </w:r>
      <w:r>
        <w:rPr>
          <w:b/>
          <w:color w:val="auto"/>
          <w:sz w:val="28"/>
          <w:szCs w:val="28"/>
          <w:highlight w:val="none"/>
        </w:rPr>
        <w:t>需求偏离表的格式：</w:t>
      </w:r>
      <w:bookmarkEnd w:id="217"/>
    </w:p>
    <w:p w14:paraId="72FA6366">
      <w:pPr>
        <w:spacing w:line="500" w:lineRule="exact"/>
        <w:jc w:val="center"/>
        <w:rPr>
          <w:rFonts w:ascii="宋体" w:hAnsi="宋体" w:cs="宋体"/>
          <w:b/>
          <w:bCs/>
          <w:color w:val="auto"/>
          <w:sz w:val="32"/>
          <w:szCs w:val="32"/>
          <w:highlight w:val="none"/>
        </w:rPr>
      </w:pPr>
      <w:r>
        <w:rPr>
          <w:rFonts w:hint="eastAsia" w:ascii="宋体" w:hAnsi="宋体" w:cs="宋体"/>
          <w:b/>
          <w:bCs/>
          <w:color w:val="auto"/>
          <w:sz w:val="32"/>
          <w:szCs w:val="32"/>
          <w:highlight w:val="none"/>
        </w:rPr>
        <w:t>技术</w:t>
      </w:r>
      <w:r>
        <w:rPr>
          <w:rFonts w:ascii="宋体" w:hAnsi="宋体" w:cs="宋体"/>
          <w:b/>
          <w:bCs/>
          <w:color w:val="auto"/>
          <w:sz w:val="32"/>
          <w:szCs w:val="32"/>
          <w:highlight w:val="none"/>
        </w:rPr>
        <w:t>需求偏离表</w:t>
      </w:r>
    </w:p>
    <w:p w14:paraId="27037761">
      <w:pPr>
        <w:spacing w:line="500" w:lineRule="exact"/>
        <w:jc w:val="center"/>
        <w:rPr>
          <w:rFonts w:ascii="宋体" w:hAnsi="宋体" w:cs="宋体"/>
          <w:b/>
          <w:bCs/>
          <w:color w:val="auto"/>
          <w:sz w:val="32"/>
          <w:szCs w:val="32"/>
          <w:highlight w:val="none"/>
        </w:rPr>
      </w:pPr>
      <w:r>
        <w:rPr>
          <w:rFonts w:ascii="宋体" w:hAnsi="宋体" w:cs="宋体"/>
          <w:b/>
          <w:bCs/>
          <w:color w:val="auto"/>
          <w:sz w:val="32"/>
          <w:szCs w:val="32"/>
          <w:highlight w:val="none"/>
        </w:rPr>
        <w:t>(注：按采购需求具体条款修改)</w:t>
      </w:r>
    </w:p>
    <w:p w14:paraId="6E54B257">
      <w:pPr>
        <w:spacing w:line="360" w:lineRule="auto"/>
        <w:contextualSpacing/>
        <w:jc w:val="left"/>
        <w:rPr>
          <w:color w:val="auto"/>
          <w:sz w:val="24"/>
          <w:highlight w:val="none"/>
        </w:rPr>
      </w:pPr>
    </w:p>
    <w:p w14:paraId="6C2BCCEA">
      <w:pPr>
        <w:spacing w:line="360" w:lineRule="auto"/>
        <w:ind w:firstLine="720" w:firstLineChars="300"/>
        <w:contextualSpacing/>
        <w:rPr>
          <w:color w:val="auto"/>
          <w:sz w:val="24"/>
          <w:highlight w:val="none"/>
          <w:u w:val="single"/>
        </w:rPr>
      </w:pPr>
      <w:r>
        <w:rPr>
          <w:color w:val="auto"/>
          <w:sz w:val="24"/>
          <w:highlight w:val="none"/>
        </w:rPr>
        <w:t>项目名称：</w:t>
      </w:r>
      <w:r>
        <w:rPr>
          <w:color w:val="auto"/>
          <w:sz w:val="24"/>
          <w:highlight w:val="none"/>
          <w:u w:val="single"/>
        </w:rPr>
        <w:t xml:space="preserve">                 </w:t>
      </w:r>
    </w:p>
    <w:p w14:paraId="1D641C5C">
      <w:pPr>
        <w:spacing w:line="360" w:lineRule="auto"/>
        <w:ind w:firstLine="720" w:firstLineChars="300"/>
        <w:contextualSpacing/>
        <w:rPr>
          <w:color w:val="auto"/>
          <w:sz w:val="24"/>
          <w:highlight w:val="none"/>
        </w:rPr>
      </w:pPr>
      <w:r>
        <w:rPr>
          <w:color w:val="auto"/>
          <w:sz w:val="24"/>
          <w:highlight w:val="none"/>
        </w:rPr>
        <w:t>项目编号：</w:t>
      </w:r>
      <w:r>
        <w:rPr>
          <w:color w:val="auto"/>
          <w:sz w:val="24"/>
          <w:highlight w:val="none"/>
          <w:u w:val="single"/>
        </w:rPr>
        <w:t xml:space="preserve">                 </w:t>
      </w:r>
    </w:p>
    <w:p w14:paraId="15C0D464">
      <w:pPr>
        <w:spacing w:line="360" w:lineRule="auto"/>
        <w:ind w:firstLine="720" w:firstLineChars="300"/>
        <w:contextualSpacing/>
        <w:rPr>
          <w:color w:val="auto"/>
          <w:sz w:val="24"/>
          <w:highlight w:val="none"/>
          <w:u w:val="single"/>
        </w:rPr>
      </w:pPr>
      <w:r>
        <w:rPr>
          <w:color w:val="auto"/>
          <w:sz w:val="24"/>
          <w:highlight w:val="none"/>
        </w:rPr>
        <w:t>所竞分标（如有则填写，无分标时填写</w:t>
      </w:r>
      <w:r>
        <w:rPr>
          <w:rFonts w:hint="eastAsia"/>
          <w:color w:val="auto"/>
          <w:sz w:val="24"/>
          <w:highlight w:val="none"/>
          <w:lang w:eastAsia="zh-CN"/>
        </w:rPr>
        <w:t>“</w:t>
      </w:r>
      <w:r>
        <w:rPr>
          <w:color w:val="auto"/>
          <w:sz w:val="24"/>
          <w:highlight w:val="none"/>
        </w:rPr>
        <w:t>无</w:t>
      </w:r>
      <w:r>
        <w:rPr>
          <w:rFonts w:hint="eastAsia"/>
          <w:color w:val="auto"/>
          <w:sz w:val="24"/>
          <w:highlight w:val="none"/>
          <w:lang w:eastAsia="zh-CN"/>
        </w:rPr>
        <w:t>”</w:t>
      </w:r>
      <w:r>
        <w:rPr>
          <w:color w:val="auto"/>
          <w:sz w:val="24"/>
          <w:highlight w:val="none"/>
        </w:rPr>
        <w:t>或者留空）：</w:t>
      </w:r>
      <w:r>
        <w:rPr>
          <w:color w:val="auto"/>
          <w:sz w:val="24"/>
          <w:highlight w:val="none"/>
          <w:u w:val="single"/>
        </w:rPr>
        <w:t xml:space="preserve">              </w:t>
      </w:r>
    </w:p>
    <w:tbl>
      <w:tblPr>
        <w:tblStyle w:val="28"/>
        <w:tblW w:w="9765"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
        <w:gridCol w:w="3487"/>
        <w:gridCol w:w="3952"/>
        <w:gridCol w:w="1635"/>
      </w:tblGrid>
      <w:tr w14:paraId="78495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691"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0EEFABAE">
            <w:pPr>
              <w:spacing w:line="340" w:lineRule="exact"/>
              <w:jc w:val="center"/>
              <w:rPr>
                <w:b/>
                <w:bCs/>
                <w:color w:val="auto"/>
                <w:sz w:val="21"/>
                <w:szCs w:val="21"/>
                <w:highlight w:val="none"/>
              </w:rPr>
            </w:pPr>
            <w:r>
              <w:rPr>
                <w:b/>
                <w:bCs/>
                <w:color w:val="auto"/>
                <w:sz w:val="21"/>
                <w:szCs w:val="21"/>
                <w:highlight w:val="none"/>
              </w:rPr>
              <w:t>项号</w:t>
            </w:r>
          </w:p>
        </w:tc>
        <w:tc>
          <w:tcPr>
            <w:tcW w:w="3487"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773FD105">
            <w:pPr>
              <w:spacing w:line="340" w:lineRule="exact"/>
              <w:jc w:val="center"/>
              <w:rPr>
                <w:b/>
                <w:bCs/>
                <w:color w:val="auto"/>
                <w:sz w:val="21"/>
                <w:szCs w:val="21"/>
                <w:highlight w:val="none"/>
              </w:rPr>
            </w:pPr>
            <w:r>
              <w:rPr>
                <w:b/>
                <w:bCs/>
                <w:color w:val="auto"/>
                <w:sz w:val="21"/>
                <w:szCs w:val="21"/>
                <w:highlight w:val="none"/>
              </w:rPr>
              <w:t>竞争性磋商文件的</w:t>
            </w:r>
            <w:r>
              <w:rPr>
                <w:rFonts w:hint="eastAsia"/>
                <w:b/>
                <w:bCs/>
                <w:color w:val="auto"/>
                <w:sz w:val="21"/>
                <w:szCs w:val="21"/>
                <w:highlight w:val="none"/>
              </w:rPr>
              <w:t>技术要</w:t>
            </w:r>
            <w:r>
              <w:rPr>
                <w:b/>
                <w:bCs/>
                <w:color w:val="auto"/>
                <w:sz w:val="21"/>
                <w:szCs w:val="21"/>
                <w:highlight w:val="none"/>
              </w:rPr>
              <w:t>求</w:t>
            </w:r>
          </w:p>
        </w:tc>
        <w:tc>
          <w:tcPr>
            <w:tcW w:w="3952"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652C48A3">
            <w:pPr>
              <w:spacing w:line="340" w:lineRule="exact"/>
              <w:jc w:val="center"/>
              <w:rPr>
                <w:rFonts w:hint="eastAsia"/>
                <w:b/>
                <w:bCs/>
                <w:color w:val="auto"/>
                <w:sz w:val="21"/>
                <w:szCs w:val="21"/>
                <w:highlight w:val="none"/>
              </w:rPr>
            </w:pPr>
            <w:r>
              <w:rPr>
                <w:b/>
                <w:bCs/>
                <w:color w:val="auto"/>
                <w:sz w:val="21"/>
                <w:szCs w:val="21"/>
                <w:highlight w:val="none"/>
              </w:rPr>
              <w:t>响应文件响应的</w:t>
            </w:r>
            <w:r>
              <w:rPr>
                <w:rFonts w:hint="eastAsia"/>
                <w:b/>
                <w:bCs/>
                <w:color w:val="auto"/>
                <w:sz w:val="21"/>
                <w:szCs w:val="21"/>
                <w:highlight w:val="none"/>
              </w:rPr>
              <w:t>技术要求</w:t>
            </w:r>
          </w:p>
        </w:tc>
        <w:tc>
          <w:tcPr>
            <w:tcW w:w="1635"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53100094">
            <w:pPr>
              <w:spacing w:line="340" w:lineRule="exact"/>
              <w:jc w:val="center"/>
              <w:rPr>
                <w:b/>
                <w:bCs/>
                <w:color w:val="auto"/>
                <w:sz w:val="21"/>
                <w:szCs w:val="21"/>
                <w:highlight w:val="none"/>
              </w:rPr>
            </w:pPr>
            <w:r>
              <w:rPr>
                <w:b/>
                <w:bCs/>
                <w:color w:val="auto"/>
                <w:sz w:val="21"/>
                <w:szCs w:val="21"/>
                <w:highlight w:val="none"/>
              </w:rPr>
              <w:t>偏离说明</w:t>
            </w:r>
          </w:p>
        </w:tc>
      </w:tr>
      <w:tr w14:paraId="4256E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5D39D969">
            <w:pPr>
              <w:spacing w:line="340" w:lineRule="exact"/>
              <w:jc w:val="center"/>
              <w:rPr>
                <w:rFonts w:hint="eastAsia"/>
                <w:color w:val="auto"/>
                <w:szCs w:val="21"/>
                <w:highlight w:val="none"/>
              </w:rPr>
            </w:pPr>
          </w:p>
        </w:tc>
        <w:tc>
          <w:tcPr>
            <w:tcW w:w="3487" w:type="dxa"/>
            <w:tcBorders>
              <w:top w:val="single" w:color="auto" w:sz="4" w:space="0"/>
              <w:left w:val="single" w:color="auto" w:sz="4" w:space="0"/>
              <w:bottom w:val="single" w:color="auto" w:sz="4" w:space="0"/>
              <w:right w:val="single" w:color="auto" w:sz="4" w:space="0"/>
            </w:tcBorders>
            <w:noWrap w:val="0"/>
            <w:vAlign w:val="center"/>
          </w:tcPr>
          <w:p w14:paraId="584A7D1B">
            <w:pPr>
              <w:spacing w:line="340" w:lineRule="exact"/>
              <w:rPr>
                <w:rFonts w:hint="eastAsia"/>
                <w:color w:val="auto"/>
                <w:szCs w:val="21"/>
                <w:highlight w:val="none"/>
              </w:rPr>
            </w:pPr>
          </w:p>
        </w:tc>
        <w:tc>
          <w:tcPr>
            <w:tcW w:w="3952" w:type="dxa"/>
            <w:tcBorders>
              <w:top w:val="single" w:color="auto" w:sz="4" w:space="0"/>
              <w:left w:val="single" w:color="auto" w:sz="4" w:space="0"/>
              <w:bottom w:val="single" w:color="auto" w:sz="4" w:space="0"/>
              <w:right w:val="single" w:color="auto" w:sz="4" w:space="0"/>
            </w:tcBorders>
            <w:noWrap w:val="0"/>
            <w:vAlign w:val="center"/>
          </w:tcPr>
          <w:p w14:paraId="05162E34">
            <w:pPr>
              <w:spacing w:line="340" w:lineRule="exact"/>
              <w:rPr>
                <w:color w:val="auto"/>
                <w:szCs w:val="21"/>
                <w:highlight w:val="none"/>
              </w:rPr>
            </w:pPr>
          </w:p>
        </w:tc>
        <w:tc>
          <w:tcPr>
            <w:tcW w:w="1635" w:type="dxa"/>
            <w:tcBorders>
              <w:top w:val="single" w:color="auto" w:sz="4" w:space="0"/>
              <w:left w:val="single" w:color="auto" w:sz="4" w:space="0"/>
              <w:bottom w:val="single" w:color="auto" w:sz="4" w:space="0"/>
              <w:right w:val="single" w:color="auto" w:sz="4" w:space="0"/>
            </w:tcBorders>
            <w:noWrap w:val="0"/>
            <w:vAlign w:val="center"/>
          </w:tcPr>
          <w:p w14:paraId="202E59FB">
            <w:pPr>
              <w:spacing w:line="300" w:lineRule="exact"/>
              <w:rPr>
                <w:color w:val="auto"/>
                <w:szCs w:val="21"/>
                <w:highlight w:val="none"/>
              </w:rPr>
            </w:pPr>
          </w:p>
        </w:tc>
      </w:tr>
      <w:tr w14:paraId="7A2E4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711ABBDC">
            <w:pPr>
              <w:spacing w:line="340" w:lineRule="exact"/>
              <w:jc w:val="center"/>
              <w:rPr>
                <w:rFonts w:hint="eastAsia"/>
                <w:color w:val="auto"/>
                <w:szCs w:val="21"/>
                <w:highlight w:val="none"/>
              </w:rPr>
            </w:pPr>
          </w:p>
        </w:tc>
        <w:tc>
          <w:tcPr>
            <w:tcW w:w="3487" w:type="dxa"/>
            <w:tcBorders>
              <w:top w:val="single" w:color="auto" w:sz="4" w:space="0"/>
              <w:left w:val="single" w:color="auto" w:sz="4" w:space="0"/>
              <w:bottom w:val="single" w:color="auto" w:sz="4" w:space="0"/>
              <w:right w:val="single" w:color="auto" w:sz="4" w:space="0"/>
            </w:tcBorders>
            <w:noWrap w:val="0"/>
            <w:vAlign w:val="center"/>
          </w:tcPr>
          <w:p w14:paraId="619D1539">
            <w:pPr>
              <w:spacing w:line="340" w:lineRule="exact"/>
              <w:rPr>
                <w:rFonts w:hint="eastAsia"/>
                <w:color w:val="auto"/>
                <w:szCs w:val="21"/>
                <w:highlight w:val="none"/>
              </w:rPr>
            </w:pPr>
          </w:p>
        </w:tc>
        <w:tc>
          <w:tcPr>
            <w:tcW w:w="3952" w:type="dxa"/>
            <w:tcBorders>
              <w:top w:val="single" w:color="auto" w:sz="4" w:space="0"/>
              <w:left w:val="single" w:color="auto" w:sz="4" w:space="0"/>
              <w:bottom w:val="single" w:color="auto" w:sz="4" w:space="0"/>
              <w:right w:val="single" w:color="auto" w:sz="4" w:space="0"/>
            </w:tcBorders>
            <w:noWrap w:val="0"/>
            <w:vAlign w:val="center"/>
          </w:tcPr>
          <w:p w14:paraId="5D8BB5FC">
            <w:pPr>
              <w:spacing w:line="340" w:lineRule="exact"/>
              <w:rPr>
                <w:color w:val="auto"/>
                <w:szCs w:val="21"/>
                <w:highlight w:val="none"/>
              </w:rPr>
            </w:pPr>
          </w:p>
        </w:tc>
        <w:tc>
          <w:tcPr>
            <w:tcW w:w="1635" w:type="dxa"/>
            <w:tcBorders>
              <w:top w:val="single" w:color="auto" w:sz="4" w:space="0"/>
              <w:left w:val="single" w:color="auto" w:sz="4" w:space="0"/>
              <w:bottom w:val="single" w:color="auto" w:sz="4" w:space="0"/>
              <w:right w:val="single" w:color="auto" w:sz="4" w:space="0"/>
            </w:tcBorders>
            <w:noWrap w:val="0"/>
            <w:vAlign w:val="center"/>
          </w:tcPr>
          <w:p w14:paraId="27F1CF95">
            <w:pPr>
              <w:spacing w:line="300" w:lineRule="exact"/>
              <w:rPr>
                <w:color w:val="auto"/>
                <w:szCs w:val="21"/>
                <w:highlight w:val="none"/>
              </w:rPr>
            </w:pPr>
          </w:p>
        </w:tc>
      </w:tr>
      <w:tr w14:paraId="0A735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6"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646EFD3C">
            <w:pPr>
              <w:spacing w:line="340" w:lineRule="exact"/>
              <w:jc w:val="center"/>
              <w:rPr>
                <w:rFonts w:hint="eastAsia"/>
                <w:color w:val="auto"/>
                <w:szCs w:val="21"/>
                <w:highlight w:val="none"/>
              </w:rPr>
            </w:pPr>
          </w:p>
        </w:tc>
        <w:tc>
          <w:tcPr>
            <w:tcW w:w="3487" w:type="dxa"/>
            <w:tcBorders>
              <w:top w:val="single" w:color="auto" w:sz="4" w:space="0"/>
              <w:left w:val="single" w:color="auto" w:sz="4" w:space="0"/>
              <w:bottom w:val="single" w:color="auto" w:sz="4" w:space="0"/>
              <w:right w:val="single" w:color="auto" w:sz="4" w:space="0"/>
            </w:tcBorders>
            <w:noWrap w:val="0"/>
            <w:vAlign w:val="center"/>
          </w:tcPr>
          <w:p w14:paraId="0BB6B8D2">
            <w:pPr>
              <w:spacing w:line="340" w:lineRule="exact"/>
              <w:rPr>
                <w:rFonts w:hint="eastAsia"/>
                <w:color w:val="auto"/>
                <w:szCs w:val="21"/>
                <w:highlight w:val="none"/>
              </w:rPr>
            </w:pPr>
          </w:p>
        </w:tc>
        <w:tc>
          <w:tcPr>
            <w:tcW w:w="3952" w:type="dxa"/>
            <w:tcBorders>
              <w:top w:val="single" w:color="auto" w:sz="4" w:space="0"/>
              <w:left w:val="single" w:color="auto" w:sz="4" w:space="0"/>
              <w:bottom w:val="single" w:color="auto" w:sz="4" w:space="0"/>
              <w:right w:val="single" w:color="auto" w:sz="4" w:space="0"/>
            </w:tcBorders>
            <w:noWrap w:val="0"/>
            <w:vAlign w:val="center"/>
          </w:tcPr>
          <w:p w14:paraId="28346630">
            <w:pPr>
              <w:spacing w:line="340" w:lineRule="exact"/>
              <w:rPr>
                <w:color w:val="auto"/>
                <w:szCs w:val="21"/>
                <w:highlight w:val="none"/>
              </w:rPr>
            </w:pPr>
          </w:p>
        </w:tc>
        <w:tc>
          <w:tcPr>
            <w:tcW w:w="1635" w:type="dxa"/>
            <w:tcBorders>
              <w:top w:val="single" w:color="auto" w:sz="4" w:space="0"/>
              <w:left w:val="single" w:color="auto" w:sz="4" w:space="0"/>
              <w:bottom w:val="single" w:color="auto" w:sz="4" w:space="0"/>
              <w:right w:val="single" w:color="auto" w:sz="4" w:space="0"/>
            </w:tcBorders>
            <w:noWrap w:val="0"/>
            <w:vAlign w:val="center"/>
          </w:tcPr>
          <w:p w14:paraId="5FD04521">
            <w:pPr>
              <w:spacing w:line="300" w:lineRule="exact"/>
              <w:rPr>
                <w:color w:val="auto"/>
                <w:szCs w:val="21"/>
                <w:highlight w:val="none"/>
              </w:rPr>
            </w:pPr>
          </w:p>
        </w:tc>
      </w:tr>
      <w:tr w14:paraId="32B18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6"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3DDD607C">
            <w:pPr>
              <w:spacing w:line="340" w:lineRule="exact"/>
              <w:jc w:val="center"/>
              <w:rPr>
                <w:rFonts w:hint="eastAsia"/>
                <w:color w:val="auto"/>
                <w:szCs w:val="21"/>
                <w:highlight w:val="none"/>
              </w:rPr>
            </w:pPr>
          </w:p>
        </w:tc>
        <w:tc>
          <w:tcPr>
            <w:tcW w:w="3487" w:type="dxa"/>
            <w:tcBorders>
              <w:top w:val="single" w:color="auto" w:sz="4" w:space="0"/>
              <w:left w:val="single" w:color="auto" w:sz="4" w:space="0"/>
              <w:bottom w:val="single" w:color="auto" w:sz="4" w:space="0"/>
              <w:right w:val="single" w:color="auto" w:sz="4" w:space="0"/>
            </w:tcBorders>
            <w:noWrap w:val="0"/>
            <w:vAlign w:val="center"/>
          </w:tcPr>
          <w:p w14:paraId="38597CFC">
            <w:pPr>
              <w:spacing w:line="340" w:lineRule="exact"/>
              <w:rPr>
                <w:rFonts w:hint="eastAsia"/>
                <w:color w:val="auto"/>
                <w:szCs w:val="21"/>
                <w:highlight w:val="none"/>
              </w:rPr>
            </w:pPr>
          </w:p>
        </w:tc>
        <w:tc>
          <w:tcPr>
            <w:tcW w:w="3952" w:type="dxa"/>
            <w:tcBorders>
              <w:top w:val="single" w:color="auto" w:sz="4" w:space="0"/>
              <w:left w:val="single" w:color="auto" w:sz="4" w:space="0"/>
              <w:bottom w:val="single" w:color="auto" w:sz="4" w:space="0"/>
              <w:right w:val="single" w:color="auto" w:sz="4" w:space="0"/>
            </w:tcBorders>
            <w:noWrap w:val="0"/>
            <w:vAlign w:val="center"/>
          </w:tcPr>
          <w:p w14:paraId="5BA720B3">
            <w:pPr>
              <w:spacing w:line="340" w:lineRule="exact"/>
              <w:rPr>
                <w:color w:val="auto"/>
                <w:szCs w:val="21"/>
                <w:highlight w:val="none"/>
              </w:rPr>
            </w:pPr>
          </w:p>
        </w:tc>
        <w:tc>
          <w:tcPr>
            <w:tcW w:w="1635" w:type="dxa"/>
            <w:tcBorders>
              <w:top w:val="single" w:color="auto" w:sz="4" w:space="0"/>
              <w:left w:val="single" w:color="auto" w:sz="4" w:space="0"/>
              <w:bottom w:val="single" w:color="auto" w:sz="4" w:space="0"/>
              <w:right w:val="single" w:color="auto" w:sz="4" w:space="0"/>
            </w:tcBorders>
            <w:noWrap w:val="0"/>
            <w:vAlign w:val="center"/>
          </w:tcPr>
          <w:p w14:paraId="527EFB07">
            <w:pPr>
              <w:spacing w:line="300" w:lineRule="exact"/>
              <w:rPr>
                <w:color w:val="auto"/>
                <w:szCs w:val="21"/>
                <w:highlight w:val="none"/>
              </w:rPr>
            </w:pPr>
          </w:p>
        </w:tc>
      </w:tr>
      <w:tr w14:paraId="3CD2D4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6"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4C850F18">
            <w:pPr>
              <w:spacing w:line="340" w:lineRule="exact"/>
              <w:jc w:val="center"/>
              <w:rPr>
                <w:rFonts w:hint="eastAsia"/>
                <w:color w:val="auto"/>
                <w:szCs w:val="21"/>
                <w:highlight w:val="none"/>
              </w:rPr>
            </w:pPr>
          </w:p>
        </w:tc>
        <w:tc>
          <w:tcPr>
            <w:tcW w:w="3487" w:type="dxa"/>
            <w:tcBorders>
              <w:top w:val="single" w:color="auto" w:sz="4" w:space="0"/>
              <w:left w:val="single" w:color="auto" w:sz="4" w:space="0"/>
              <w:bottom w:val="single" w:color="auto" w:sz="4" w:space="0"/>
              <w:right w:val="single" w:color="auto" w:sz="4" w:space="0"/>
            </w:tcBorders>
            <w:noWrap w:val="0"/>
            <w:vAlign w:val="center"/>
          </w:tcPr>
          <w:p w14:paraId="60544D28">
            <w:pPr>
              <w:spacing w:line="340" w:lineRule="exact"/>
              <w:rPr>
                <w:rFonts w:hint="eastAsia"/>
                <w:color w:val="auto"/>
                <w:szCs w:val="21"/>
                <w:highlight w:val="none"/>
              </w:rPr>
            </w:pPr>
          </w:p>
        </w:tc>
        <w:tc>
          <w:tcPr>
            <w:tcW w:w="3952" w:type="dxa"/>
            <w:tcBorders>
              <w:top w:val="single" w:color="auto" w:sz="4" w:space="0"/>
              <w:left w:val="single" w:color="auto" w:sz="4" w:space="0"/>
              <w:bottom w:val="single" w:color="auto" w:sz="4" w:space="0"/>
              <w:right w:val="single" w:color="auto" w:sz="4" w:space="0"/>
            </w:tcBorders>
            <w:noWrap w:val="0"/>
            <w:vAlign w:val="center"/>
          </w:tcPr>
          <w:p w14:paraId="79F19202">
            <w:pPr>
              <w:spacing w:line="340" w:lineRule="exact"/>
              <w:rPr>
                <w:color w:val="auto"/>
                <w:szCs w:val="21"/>
                <w:highlight w:val="none"/>
              </w:rPr>
            </w:pPr>
          </w:p>
        </w:tc>
        <w:tc>
          <w:tcPr>
            <w:tcW w:w="1635" w:type="dxa"/>
            <w:tcBorders>
              <w:top w:val="single" w:color="auto" w:sz="4" w:space="0"/>
              <w:left w:val="single" w:color="auto" w:sz="4" w:space="0"/>
              <w:bottom w:val="single" w:color="auto" w:sz="4" w:space="0"/>
              <w:right w:val="single" w:color="auto" w:sz="4" w:space="0"/>
            </w:tcBorders>
            <w:noWrap w:val="0"/>
            <w:vAlign w:val="center"/>
          </w:tcPr>
          <w:p w14:paraId="0DDBDDD2">
            <w:pPr>
              <w:spacing w:line="300" w:lineRule="exact"/>
              <w:rPr>
                <w:color w:val="auto"/>
                <w:szCs w:val="21"/>
                <w:highlight w:val="none"/>
              </w:rPr>
            </w:pPr>
          </w:p>
        </w:tc>
      </w:tr>
      <w:tr w14:paraId="4646C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6" w:hRule="atLeast"/>
        </w:trPr>
        <w:tc>
          <w:tcPr>
            <w:tcW w:w="691" w:type="dxa"/>
            <w:tcBorders>
              <w:top w:val="single" w:color="auto" w:sz="4" w:space="0"/>
              <w:left w:val="single" w:color="auto" w:sz="4" w:space="0"/>
              <w:bottom w:val="single" w:color="auto" w:sz="4" w:space="0"/>
              <w:right w:val="single" w:color="auto" w:sz="4" w:space="0"/>
            </w:tcBorders>
            <w:noWrap w:val="0"/>
            <w:vAlign w:val="center"/>
          </w:tcPr>
          <w:p w14:paraId="08C3D79E">
            <w:pPr>
              <w:spacing w:line="340" w:lineRule="exact"/>
              <w:jc w:val="center"/>
              <w:rPr>
                <w:rFonts w:hint="eastAsia"/>
                <w:color w:val="auto"/>
                <w:szCs w:val="21"/>
                <w:highlight w:val="none"/>
              </w:rPr>
            </w:pPr>
          </w:p>
        </w:tc>
        <w:tc>
          <w:tcPr>
            <w:tcW w:w="3487" w:type="dxa"/>
            <w:tcBorders>
              <w:top w:val="single" w:color="auto" w:sz="4" w:space="0"/>
              <w:left w:val="single" w:color="auto" w:sz="4" w:space="0"/>
              <w:bottom w:val="single" w:color="auto" w:sz="4" w:space="0"/>
              <w:right w:val="single" w:color="auto" w:sz="4" w:space="0"/>
            </w:tcBorders>
            <w:noWrap w:val="0"/>
            <w:vAlign w:val="center"/>
          </w:tcPr>
          <w:p w14:paraId="25C2476F">
            <w:pPr>
              <w:spacing w:line="340" w:lineRule="exact"/>
              <w:rPr>
                <w:color w:val="auto"/>
                <w:szCs w:val="21"/>
                <w:highlight w:val="none"/>
              </w:rPr>
            </w:pPr>
            <w:r>
              <w:rPr>
                <w:rFonts w:hint="eastAsia"/>
                <w:color w:val="auto"/>
                <w:szCs w:val="21"/>
                <w:highlight w:val="none"/>
              </w:rPr>
              <w:t>......</w:t>
            </w:r>
          </w:p>
        </w:tc>
        <w:tc>
          <w:tcPr>
            <w:tcW w:w="3952" w:type="dxa"/>
            <w:tcBorders>
              <w:top w:val="single" w:color="auto" w:sz="4" w:space="0"/>
              <w:left w:val="single" w:color="auto" w:sz="4" w:space="0"/>
              <w:bottom w:val="single" w:color="auto" w:sz="4" w:space="0"/>
              <w:right w:val="single" w:color="auto" w:sz="4" w:space="0"/>
            </w:tcBorders>
            <w:noWrap w:val="0"/>
            <w:vAlign w:val="center"/>
          </w:tcPr>
          <w:p w14:paraId="52BC99E9">
            <w:pPr>
              <w:spacing w:line="340" w:lineRule="exact"/>
              <w:rPr>
                <w:color w:val="auto"/>
                <w:szCs w:val="21"/>
                <w:highlight w:val="none"/>
              </w:rPr>
            </w:pPr>
          </w:p>
        </w:tc>
        <w:tc>
          <w:tcPr>
            <w:tcW w:w="1635" w:type="dxa"/>
            <w:tcBorders>
              <w:top w:val="single" w:color="auto" w:sz="4" w:space="0"/>
              <w:left w:val="single" w:color="auto" w:sz="4" w:space="0"/>
              <w:bottom w:val="single" w:color="auto" w:sz="4" w:space="0"/>
              <w:right w:val="single" w:color="auto" w:sz="4" w:space="0"/>
            </w:tcBorders>
            <w:noWrap w:val="0"/>
            <w:vAlign w:val="center"/>
          </w:tcPr>
          <w:p w14:paraId="09C8FB9A">
            <w:pPr>
              <w:spacing w:line="300" w:lineRule="exact"/>
              <w:rPr>
                <w:color w:val="auto"/>
                <w:szCs w:val="21"/>
                <w:highlight w:val="none"/>
              </w:rPr>
            </w:pPr>
          </w:p>
        </w:tc>
      </w:tr>
    </w:tbl>
    <w:p w14:paraId="4EFBC954">
      <w:pPr>
        <w:pStyle w:val="12"/>
        <w:keepNext w:val="0"/>
        <w:keepLines w:val="0"/>
        <w:pageBreakBefore w:val="0"/>
        <w:widowControl w:val="0"/>
        <w:kinsoku/>
        <w:wordWrap/>
        <w:overflowPunct/>
        <w:topLinePunct w:val="0"/>
        <w:autoSpaceDE/>
        <w:autoSpaceDN/>
        <w:bidi w:val="0"/>
        <w:adjustRightInd/>
        <w:spacing w:after="0" w:line="360" w:lineRule="auto"/>
        <w:contextualSpacing/>
        <w:textAlignment w:val="auto"/>
        <w:rPr>
          <w:color w:val="auto"/>
          <w:kern w:val="0"/>
          <w:sz w:val="21"/>
          <w:szCs w:val="21"/>
          <w:highlight w:val="none"/>
        </w:rPr>
      </w:pPr>
      <w:r>
        <w:rPr>
          <w:color w:val="auto"/>
          <w:kern w:val="0"/>
          <w:sz w:val="21"/>
          <w:szCs w:val="21"/>
          <w:highlight w:val="none"/>
        </w:rPr>
        <w:t>注：</w:t>
      </w:r>
    </w:p>
    <w:p w14:paraId="107111EC">
      <w:pPr>
        <w:pStyle w:val="12"/>
        <w:keepNext w:val="0"/>
        <w:keepLines w:val="0"/>
        <w:pageBreakBefore w:val="0"/>
        <w:widowControl w:val="0"/>
        <w:kinsoku/>
        <w:wordWrap/>
        <w:overflowPunct/>
        <w:topLinePunct w:val="0"/>
        <w:autoSpaceDE/>
        <w:autoSpaceDN/>
        <w:bidi w:val="0"/>
        <w:adjustRightInd/>
        <w:spacing w:after="0" w:line="360" w:lineRule="auto"/>
        <w:ind w:firstLine="420" w:firstLineChars="200"/>
        <w:contextualSpacing/>
        <w:textAlignment w:val="auto"/>
        <w:rPr>
          <w:color w:val="auto"/>
          <w:kern w:val="0"/>
          <w:sz w:val="21"/>
          <w:szCs w:val="21"/>
          <w:highlight w:val="none"/>
        </w:rPr>
      </w:pPr>
      <w:r>
        <w:rPr>
          <w:color w:val="auto"/>
          <w:kern w:val="0"/>
          <w:sz w:val="21"/>
          <w:szCs w:val="21"/>
          <w:highlight w:val="none"/>
        </w:rPr>
        <w:t>1.说明：应对照磋商文件</w:t>
      </w:r>
      <w:r>
        <w:rPr>
          <w:rFonts w:hint="eastAsia"/>
          <w:color w:val="auto"/>
          <w:kern w:val="0"/>
          <w:sz w:val="21"/>
          <w:szCs w:val="21"/>
          <w:highlight w:val="none"/>
          <w:lang w:eastAsia="zh-CN"/>
        </w:rPr>
        <w:t>“</w:t>
      </w:r>
      <w:r>
        <w:rPr>
          <w:color w:val="auto"/>
          <w:kern w:val="0"/>
          <w:sz w:val="21"/>
          <w:szCs w:val="21"/>
          <w:highlight w:val="none"/>
        </w:rPr>
        <w:t>第二章</w:t>
      </w:r>
      <w:r>
        <w:rPr>
          <w:rFonts w:hint="eastAsia"/>
          <w:color w:val="auto"/>
          <w:kern w:val="0"/>
          <w:sz w:val="21"/>
          <w:szCs w:val="21"/>
          <w:highlight w:val="none"/>
          <w:lang w:eastAsia="zh-CN"/>
        </w:rPr>
        <w:t>”</w:t>
      </w:r>
      <w:r>
        <w:rPr>
          <w:color w:val="auto"/>
          <w:kern w:val="0"/>
          <w:sz w:val="21"/>
          <w:szCs w:val="21"/>
          <w:highlight w:val="none"/>
        </w:rPr>
        <w:t>中</w:t>
      </w:r>
      <w:r>
        <w:rPr>
          <w:rFonts w:hint="eastAsia"/>
          <w:color w:val="auto"/>
          <w:kern w:val="0"/>
          <w:sz w:val="21"/>
          <w:szCs w:val="21"/>
          <w:highlight w:val="none"/>
          <w:lang w:eastAsia="zh-CN"/>
        </w:rPr>
        <w:t>“</w:t>
      </w:r>
      <w:r>
        <w:rPr>
          <w:color w:val="auto"/>
          <w:kern w:val="0"/>
          <w:sz w:val="21"/>
          <w:szCs w:val="21"/>
          <w:highlight w:val="none"/>
        </w:rPr>
        <w:t>需求一览表</w:t>
      </w:r>
      <w:r>
        <w:rPr>
          <w:rFonts w:hint="eastAsia"/>
          <w:color w:val="auto"/>
          <w:kern w:val="0"/>
          <w:sz w:val="21"/>
          <w:szCs w:val="21"/>
          <w:highlight w:val="none"/>
          <w:lang w:eastAsia="zh-CN"/>
        </w:rPr>
        <w:t>”</w:t>
      </w:r>
      <w:r>
        <w:rPr>
          <w:color w:val="auto"/>
          <w:kern w:val="0"/>
          <w:sz w:val="21"/>
          <w:szCs w:val="21"/>
          <w:highlight w:val="none"/>
        </w:rPr>
        <w:t>的</w:t>
      </w:r>
      <w:r>
        <w:rPr>
          <w:rFonts w:hint="eastAsia"/>
          <w:color w:val="auto"/>
          <w:kern w:val="0"/>
          <w:sz w:val="21"/>
          <w:szCs w:val="21"/>
          <w:highlight w:val="none"/>
          <w:lang w:eastAsia="zh-CN"/>
        </w:rPr>
        <w:t>技术要求</w:t>
      </w:r>
      <w:r>
        <w:rPr>
          <w:color w:val="auto"/>
          <w:kern w:val="0"/>
          <w:sz w:val="21"/>
          <w:szCs w:val="21"/>
          <w:highlight w:val="none"/>
        </w:rPr>
        <w:t>逐条作出明确响应，并作出偏离说明。</w:t>
      </w:r>
    </w:p>
    <w:p w14:paraId="598ACA27">
      <w:pPr>
        <w:pStyle w:val="14"/>
        <w:keepNext w:val="0"/>
        <w:keepLines w:val="0"/>
        <w:pageBreakBefore w:val="0"/>
        <w:widowControl w:val="0"/>
        <w:kinsoku/>
        <w:wordWrap/>
        <w:overflowPunct/>
        <w:topLinePunct w:val="0"/>
        <w:autoSpaceDE/>
        <w:autoSpaceDN/>
        <w:bidi w:val="0"/>
        <w:adjustRightInd/>
        <w:spacing w:line="360" w:lineRule="auto"/>
        <w:ind w:firstLine="420" w:firstLineChars="200"/>
        <w:contextualSpacing/>
        <w:textAlignment w:val="auto"/>
        <w:rPr>
          <w:rFonts w:ascii="Times New Roman" w:eastAsia="宋体"/>
          <w:color w:val="auto"/>
          <w:sz w:val="21"/>
          <w:szCs w:val="21"/>
          <w:highlight w:val="none"/>
          <w:lang w:eastAsia="zh-CN"/>
        </w:rPr>
      </w:pPr>
      <w:r>
        <w:rPr>
          <w:rFonts w:ascii="Times New Roman" w:eastAsia="宋体"/>
          <w:color w:val="auto"/>
          <w:sz w:val="21"/>
          <w:szCs w:val="21"/>
          <w:highlight w:val="none"/>
        </w:rPr>
        <w:t>2.供应商应根据自身的承诺，对照磋商文件要求，在</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偏离说明</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中注明</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正偏离</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lang w:eastAsia="zh-CN"/>
        </w:rPr>
        <w:t>或者</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负偏离</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或者</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无偏离</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。既不属于</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正偏离</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也不属于</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负偏离</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即为</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无偏离</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 当响应文件的</w:t>
      </w:r>
      <w:r>
        <w:rPr>
          <w:rFonts w:hint="eastAsia" w:ascii="Times New Roman" w:eastAsia="宋体"/>
          <w:color w:val="auto"/>
          <w:sz w:val="21"/>
          <w:szCs w:val="21"/>
          <w:highlight w:val="none"/>
          <w:lang w:eastAsia="zh-CN"/>
        </w:rPr>
        <w:t>技术要求</w:t>
      </w:r>
      <w:r>
        <w:rPr>
          <w:rFonts w:ascii="Times New Roman" w:eastAsia="宋体"/>
          <w:color w:val="auto"/>
          <w:sz w:val="21"/>
          <w:szCs w:val="21"/>
          <w:highlight w:val="none"/>
        </w:rPr>
        <w:t>内容低于竞争性磋商文件要求时，</w:t>
      </w:r>
      <w:r>
        <w:rPr>
          <w:rFonts w:ascii="Times New Roman" w:eastAsia="宋体"/>
          <w:color w:val="auto"/>
          <w:sz w:val="21"/>
          <w:szCs w:val="21"/>
          <w:highlight w:val="none"/>
          <w:lang w:eastAsia="zh-CN"/>
        </w:rPr>
        <w:t>供应商</w:t>
      </w:r>
      <w:r>
        <w:rPr>
          <w:rFonts w:ascii="Times New Roman" w:eastAsia="宋体"/>
          <w:color w:val="auto"/>
          <w:sz w:val="21"/>
          <w:szCs w:val="21"/>
          <w:highlight w:val="none"/>
        </w:rPr>
        <w:t>应当如实写明</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负偏离</w:t>
      </w:r>
      <w:r>
        <w:rPr>
          <w:rFonts w:hint="eastAsia" w:ascii="Times New Roman" w:eastAsia="宋体"/>
          <w:color w:val="auto"/>
          <w:sz w:val="21"/>
          <w:szCs w:val="21"/>
          <w:highlight w:val="none"/>
          <w:lang w:eastAsia="zh-CN"/>
        </w:rPr>
        <w:t>”</w:t>
      </w:r>
      <w:r>
        <w:rPr>
          <w:rFonts w:ascii="Times New Roman" w:eastAsia="宋体"/>
          <w:color w:val="auto"/>
          <w:sz w:val="21"/>
          <w:szCs w:val="21"/>
          <w:highlight w:val="none"/>
        </w:rPr>
        <w:t>，否则视为虚假应标</w:t>
      </w:r>
      <w:r>
        <w:rPr>
          <w:rFonts w:ascii="Times New Roman" w:eastAsia="宋体"/>
          <w:color w:val="auto"/>
          <w:sz w:val="21"/>
          <w:szCs w:val="21"/>
          <w:highlight w:val="none"/>
          <w:lang w:eastAsia="zh-CN"/>
        </w:rPr>
        <w:t>。</w:t>
      </w:r>
    </w:p>
    <w:p w14:paraId="5C611B0C">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b/>
          <w:bCs/>
          <w:color w:val="auto"/>
          <w:kern w:val="0"/>
          <w:szCs w:val="21"/>
          <w:highlight w:val="none"/>
        </w:rPr>
      </w:pPr>
      <w:r>
        <w:rPr>
          <w:color w:val="auto"/>
          <w:kern w:val="0"/>
          <w:szCs w:val="21"/>
          <w:highlight w:val="none"/>
        </w:rPr>
        <w:t>3.表格内容均需按要求填写并盖章，不得留空，</w:t>
      </w:r>
      <w:r>
        <w:rPr>
          <w:b/>
          <w:bCs/>
          <w:color w:val="auto"/>
          <w:kern w:val="0"/>
          <w:szCs w:val="21"/>
          <w:highlight w:val="none"/>
        </w:rPr>
        <w:t>否则按竞标无效处理。</w:t>
      </w:r>
    </w:p>
    <w:p w14:paraId="5A0AE70B">
      <w:pPr>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eastAsia="宋体"/>
          <w:b/>
          <w:bCs/>
          <w:color w:val="auto"/>
          <w:kern w:val="0"/>
          <w:szCs w:val="21"/>
          <w:highlight w:val="none"/>
          <w:lang w:val="en-US" w:eastAsia="zh-CN"/>
        </w:rPr>
      </w:pPr>
      <w:r>
        <w:rPr>
          <w:rFonts w:hint="eastAsia" w:eastAsia="宋体"/>
          <w:b/>
          <w:bCs/>
          <w:color w:val="auto"/>
          <w:kern w:val="0"/>
          <w:szCs w:val="21"/>
          <w:highlight w:val="none"/>
          <w:lang w:val="en-US" w:eastAsia="zh-CN"/>
        </w:rPr>
        <w:t>4.按</w:t>
      </w:r>
      <w:r>
        <w:rPr>
          <w:rFonts w:hint="eastAsia" w:eastAsia="宋体"/>
          <w:b/>
          <w:bCs/>
          <w:color w:val="auto"/>
          <w:kern w:val="0"/>
          <w:szCs w:val="21"/>
          <w:highlight w:val="none"/>
          <w:lang w:eastAsia="zh-CN"/>
        </w:rPr>
        <w:t>磋商文件“第二章”中“需求一览表”的技术要求提供相关证明材料，否则按竞标无效处理。</w:t>
      </w:r>
    </w:p>
    <w:p w14:paraId="23226D88">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1DE17BDC">
      <w:pPr>
        <w:keepNext w:val="0"/>
        <w:keepLines w:val="0"/>
        <w:pageBreakBefore w:val="0"/>
        <w:widowControl w:val="0"/>
        <w:kinsoku/>
        <w:wordWrap/>
        <w:overflowPunct/>
        <w:topLinePunct w:val="0"/>
        <w:autoSpaceDE/>
        <w:autoSpaceDN/>
        <w:bidi w:val="0"/>
        <w:adjustRightInd/>
        <w:snapToGrid w:val="0"/>
        <w:spacing w:line="360" w:lineRule="auto"/>
        <w:ind w:firstLine="420" w:firstLineChars="200"/>
        <w:textAlignment w:val="auto"/>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68E69AE6">
      <w:pPr>
        <w:adjustRightInd w:val="0"/>
        <w:snapToGrid w:val="0"/>
        <w:spacing w:line="520" w:lineRule="exact"/>
        <w:jc w:val="center"/>
        <w:rPr>
          <w:rFonts w:hint="eastAsia" w:ascii="方正小标宋简体" w:hAnsi="方正小标宋简体" w:eastAsia="方正小标宋简体" w:cs="方正小标宋简体"/>
          <w:bCs/>
          <w:color w:val="auto"/>
          <w:sz w:val="44"/>
          <w:szCs w:val="44"/>
          <w:highlight w:val="none"/>
        </w:rPr>
      </w:pPr>
    </w:p>
    <w:p w14:paraId="453EED1B">
      <w:pPr>
        <w:snapToGrid w:val="0"/>
        <w:spacing w:line="360" w:lineRule="auto"/>
        <w:rPr>
          <w:rFonts w:hint="eastAsia"/>
          <w:b/>
          <w:color w:val="auto"/>
          <w:sz w:val="28"/>
          <w:szCs w:val="28"/>
          <w:highlight w:val="none"/>
        </w:rPr>
      </w:pPr>
    </w:p>
    <w:p w14:paraId="04D449E0">
      <w:pPr>
        <w:snapToGrid w:val="0"/>
        <w:spacing w:line="360" w:lineRule="auto"/>
        <w:rPr>
          <w:rFonts w:hint="eastAsia"/>
          <w:b/>
          <w:color w:val="auto"/>
          <w:sz w:val="28"/>
          <w:szCs w:val="28"/>
          <w:highlight w:val="none"/>
        </w:rPr>
      </w:pPr>
    </w:p>
    <w:p w14:paraId="6E14C883">
      <w:pPr>
        <w:snapToGrid w:val="0"/>
        <w:spacing w:line="360" w:lineRule="auto"/>
        <w:rPr>
          <w:rFonts w:hint="eastAsia"/>
          <w:b/>
          <w:color w:val="auto"/>
          <w:sz w:val="28"/>
          <w:szCs w:val="28"/>
          <w:highlight w:val="none"/>
        </w:rPr>
      </w:pPr>
    </w:p>
    <w:p w14:paraId="0ED0F406">
      <w:pPr>
        <w:snapToGrid w:val="0"/>
        <w:spacing w:line="360" w:lineRule="auto"/>
        <w:rPr>
          <w:rFonts w:hint="eastAsia"/>
          <w:b/>
          <w:color w:val="auto"/>
          <w:sz w:val="28"/>
          <w:szCs w:val="28"/>
          <w:highlight w:val="none"/>
        </w:rPr>
      </w:pPr>
    </w:p>
    <w:p w14:paraId="18D0F2CA">
      <w:pPr>
        <w:snapToGrid w:val="0"/>
        <w:spacing w:before="120" w:beforeLines="50" w:after="50" w:line="360" w:lineRule="auto"/>
        <w:jc w:val="left"/>
        <w:outlineLvl w:val="2"/>
        <w:rPr>
          <w:b/>
          <w:color w:val="auto"/>
          <w:sz w:val="28"/>
          <w:szCs w:val="28"/>
          <w:highlight w:val="none"/>
        </w:rPr>
      </w:pPr>
      <w:bookmarkStart w:id="218" w:name="_Toc19575"/>
      <w:r>
        <w:rPr>
          <w:rFonts w:hint="eastAsia"/>
          <w:b/>
          <w:color w:val="auto"/>
          <w:sz w:val="28"/>
          <w:szCs w:val="28"/>
          <w:highlight w:val="none"/>
        </w:rPr>
        <w:t>10</w:t>
      </w:r>
      <w:r>
        <w:rPr>
          <w:b/>
          <w:color w:val="auto"/>
          <w:sz w:val="28"/>
          <w:szCs w:val="28"/>
          <w:highlight w:val="none"/>
        </w:rPr>
        <w:t>.施工</w:t>
      </w:r>
      <w:r>
        <w:rPr>
          <w:rFonts w:ascii="Times New Roman" w:hAnsi="Times New Roman" w:eastAsia="宋体" w:cs="Times New Roman"/>
          <w:b/>
          <w:bCs/>
          <w:color w:val="auto"/>
          <w:sz w:val="28"/>
          <w:szCs w:val="28"/>
          <w:highlight w:val="none"/>
        </w:rPr>
        <w:t>组织</w:t>
      </w:r>
      <w:r>
        <w:rPr>
          <w:b/>
          <w:color w:val="auto"/>
          <w:sz w:val="28"/>
          <w:szCs w:val="28"/>
          <w:highlight w:val="none"/>
        </w:rPr>
        <w:t>设计（格式自拟）</w:t>
      </w:r>
      <w:bookmarkEnd w:id="218"/>
    </w:p>
    <w:p w14:paraId="5E0ED15A">
      <w:pPr>
        <w:keepNext w:val="0"/>
        <w:keepLines w:val="0"/>
        <w:pageBreakBefore w:val="0"/>
        <w:widowControl w:val="0"/>
        <w:kinsoku/>
        <w:wordWrap/>
        <w:overflowPunct/>
        <w:topLinePunct w:val="0"/>
        <w:autoSpaceDE/>
        <w:autoSpaceDN/>
        <w:bidi w:val="0"/>
        <w:adjustRightInd/>
        <w:spacing w:line="360" w:lineRule="auto"/>
        <w:jc w:val="center"/>
        <w:textAlignment w:val="auto"/>
        <w:rPr>
          <w:color w:val="auto"/>
          <w:szCs w:val="21"/>
          <w:highlight w:val="none"/>
        </w:rPr>
      </w:pPr>
      <w:r>
        <w:rPr>
          <w:b/>
          <w:color w:val="auto"/>
          <w:sz w:val="28"/>
          <w:szCs w:val="28"/>
          <w:highlight w:val="none"/>
        </w:rPr>
        <w:t>施工</w:t>
      </w:r>
      <w:r>
        <w:rPr>
          <w:rFonts w:ascii="Times New Roman" w:hAnsi="Times New Roman" w:eastAsia="宋体" w:cs="Times New Roman"/>
          <w:b/>
          <w:bCs/>
          <w:color w:val="auto"/>
          <w:sz w:val="28"/>
          <w:szCs w:val="28"/>
          <w:highlight w:val="none"/>
        </w:rPr>
        <w:t>组织</w:t>
      </w:r>
      <w:r>
        <w:rPr>
          <w:b/>
          <w:color w:val="auto"/>
          <w:sz w:val="28"/>
          <w:szCs w:val="28"/>
          <w:highlight w:val="none"/>
        </w:rPr>
        <w:t>设计</w:t>
      </w:r>
    </w:p>
    <w:p w14:paraId="539F22A4">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6F000B03">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1EBDF7A8">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380968E8">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4C11AC07">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0A6BC3C9">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1C70D233">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6E53984F">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rPr>
      </w:pPr>
    </w:p>
    <w:p w14:paraId="57CD95E0">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67D879C1">
      <w:pPr>
        <w:keepNext w:val="0"/>
        <w:keepLines w:val="0"/>
        <w:pageBreakBefore w:val="0"/>
        <w:widowControl w:val="0"/>
        <w:kinsoku/>
        <w:wordWrap/>
        <w:overflowPunct/>
        <w:topLinePunct w:val="0"/>
        <w:autoSpaceDE/>
        <w:autoSpaceDN/>
        <w:bidi w:val="0"/>
        <w:adjustRightInd/>
        <w:snapToGrid w:val="0"/>
        <w:spacing w:line="360" w:lineRule="auto"/>
        <w:ind w:firstLine="420" w:firstLineChars="200"/>
        <w:textAlignment w:val="auto"/>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080E3988">
      <w:pPr>
        <w:keepLines w:val="0"/>
        <w:pageBreakBefore w:val="0"/>
        <w:widowControl w:val="0"/>
        <w:kinsoku/>
        <w:wordWrap/>
        <w:overflowPunct/>
        <w:topLinePunct w:val="0"/>
        <w:bidi w:val="0"/>
        <w:adjustRightInd/>
        <w:snapToGrid w:val="0"/>
        <w:spacing w:line="360" w:lineRule="auto"/>
        <w:textAlignment w:val="auto"/>
        <w:rPr>
          <w:rFonts w:hint="eastAsia" w:ascii="宋体" w:hAnsi="宋体" w:cs="宋体"/>
          <w:b/>
          <w:color w:val="auto"/>
          <w:sz w:val="30"/>
          <w:szCs w:val="30"/>
          <w:highlight w:val="none"/>
        </w:rPr>
      </w:pPr>
    </w:p>
    <w:p w14:paraId="7DA055C3">
      <w:pPr>
        <w:pStyle w:val="10"/>
        <w:keepLines w:val="0"/>
        <w:pageBreakBefore w:val="0"/>
        <w:widowControl w:val="0"/>
        <w:kinsoku/>
        <w:wordWrap/>
        <w:overflowPunct/>
        <w:topLinePunct w:val="0"/>
        <w:bidi w:val="0"/>
        <w:adjustRightInd/>
        <w:spacing w:line="360" w:lineRule="auto"/>
        <w:ind w:left="0" w:leftChars="0" w:firstLine="0" w:firstLineChars="0"/>
        <w:textAlignment w:val="auto"/>
        <w:rPr>
          <w:rFonts w:hint="eastAsia" w:ascii="宋体" w:hAnsi="宋体" w:cs="宋体"/>
          <w:b/>
          <w:color w:val="auto"/>
          <w:sz w:val="30"/>
          <w:szCs w:val="30"/>
          <w:highlight w:val="none"/>
        </w:rPr>
      </w:pPr>
    </w:p>
    <w:p w14:paraId="4974C608">
      <w:pPr>
        <w:rPr>
          <w:b/>
          <w:color w:val="auto"/>
          <w:sz w:val="28"/>
          <w:szCs w:val="28"/>
          <w:highlight w:val="none"/>
        </w:rPr>
      </w:pPr>
      <w:bookmarkStart w:id="219" w:name="_Toc16013"/>
      <w:r>
        <w:rPr>
          <w:b/>
          <w:color w:val="auto"/>
          <w:sz w:val="28"/>
          <w:szCs w:val="28"/>
          <w:highlight w:val="none"/>
        </w:rPr>
        <w:br w:type="page"/>
      </w:r>
    </w:p>
    <w:p w14:paraId="64186205">
      <w:pPr>
        <w:snapToGrid w:val="0"/>
        <w:spacing w:before="120" w:beforeLines="50" w:after="50" w:line="360" w:lineRule="auto"/>
        <w:jc w:val="left"/>
        <w:outlineLvl w:val="2"/>
        <w:rPr>
          <w:b/>
          <w:color w:val="auto"/>
          <w:sz w:val="28"/>
          <w:szCs w:val="28"/>
          <w:highlight w:val="none"/>
        </w:rPr>
      </w:pPr>
      <w:r>
        <w:rPr>
          <w:b/>
          <w:color w:val="auto"/>
          <w:sz w:val="28"/>
          <w:szCs w:val="28"/>
          <w:highlight w:val="none"/>
        </w:rPr>
        <w:t>1</w:t>
      </w:r>
      <w:r>
        <w:rPr>
          <w:rFonts w:hint="eastAsia"/>
          <w:b/>
          <w:color w:val="auto"/>
          <w:sz w:val="28"/>
          <w:szCs w:val="28"/>
          <w:highlight w:val="none"/>
        </w:rPr>
        <w:t>1</w:t>
      </w:r>
      <w:r>
        <w:rPr>
          <w:b/>
          <w:color w:val="auto"/>
          <w:sz w:val="28"/>
          <w:szCs w:val="28"/>
          <w:highlight w:val="none"/>
        </w:rPr>
        <w:t>.项目</w:t>
      </w:r>
      <w:r>
        <w:rPr>
          <w:rFonts w:hint="eastAsia" w:ascii="Times New Roman" w:hAnsi="Times New Roman" w:eastAsia="宋体" w:cs="Times New Roman"/>
          <w:b/>
          <w:bCs/>
          <w:color w:val="auto"/>
          <w:sz w:val="28"/>
          <w:szCs w:val="28"/>
          <w:highlight w:val="none"/>
          <w:lang w:eastAsia="zh-CN"/>
        </w:rPr>
        <w:t>管理</w:t>
      </w:r>
      <w:r>
        <w:rPr>
          <w:b/>
          <w:color w:val="auto"/>
          <w:sz w:val="28"/>
          <w:szCs w:val="28"/>
          <w:highlight w:val="none"/>
        </w:rPr>
        <w:t>人员一览表</w:t>
      </w:r>
      <w:bookmarkEnd w:id="219"/>
    </w:p>
    <w:p w14:paraId="0E309EF5">
      <w:pPr>
        <w:keepLines w:val="0"/>
        <w:pageBreakBefore w:val="0"/>
        <w:widowControl w:val="0"/>
        <w:kinsoku/>
        <w:wordWrap/>
        <w:overflowPunct/>
        <w:topLinePunct w:val="0"/>
        <w:bidi w:val="0"/>
        <w:adjustRightInd/>
        <w:spacing w:line="360" w:lineRule="auto"/>
        <w:jc w:val="center"/>
        <w:textAlignment w:val="auto"/>
        <w:rPr>
          <w:rFonts w:hint="eastAsia" w:ascii="宋体" w:hAnsi="宋体" w:cs="宋体"/>
          <w:color w:val="auto"/>
          <w:sz w:val="24"/>
          <w:highlight w:val="none"/>
        </w:rPr>
      </w:pPr>
      <w:r>
        <w:rPr>
          <w:rFonts w:hint="eastAsia" w:ascii="宋体" w:hAnsi="宋体" w:cs="宋体"/>
          <w:color w:val="auto"/>
          <w:sz w:val="24"/>
          <w:highlight w:val="none"/>
        </w:rPr>
        <w:t>（由供应商根据采购需求及采购文件要求编制）</w:t>
      </w:r>
    </w:p>
    <w:p w14:paraId="4DEF320B">
      <w:pPr>
        <w:pStyle w:val="21"/>
        <w:keepLines w:val="0"/>
        <w:pageBreakBefore w:val="0"/>
        <w:widowControl w:val="0"/>
        <w:kinsoku/>
        <w:wordWrap/>
        <w:overflowPunct/>
        <w:topLinePunct w:val="0"/>
        <w:bidi w:val="0"/>
        <w:adjustRightInd/>
        <w:spacing w:line="360" w:lineRule="auto"/>
        <w:textAlignment w:val="auto"/>
        <w:rPr>
          <w:rFonts w:hint="eastAsia"/>
          <w:color w:val="auto"/>
          <w:highlight w:val="none"/>
        </w:rPr>
      </w:pPr>
    </w:p>
    <w:p w14:paraId="681FCB98">
      <w:pPr>
        <w:keepLines w:val="0"/>
        <w:pageBreakBefore w:val="0"/>
        <w:widowControl w:val="0"/>
        <w:kinsoku/>
        <w:wordWrap/>
        <w:overflowPunct/>
        <w:topLinePunct w:val="0"/>
        <w:bidi w:val="0"/>
        <w:adjustRightInd/>
        <w:spacing w:line="360" w:lineRule="auto"/>
        <w:textAlignment w:val="auto"/>
        <w:rPr>
          <w:color w:val="auto"/>
          <w:kern w:val="0"/>
          <w:szCs w:val="21"/>
          <w:highlight w:val="none"/>
        </w:rPr>
      </w:pPr>
      <w:r>
        <w:rPr>
          <w:color w:val="auto"/>
          <w:szCs w:val="21"/>
          <w:highlight w:val="none"/>
        </w:rPr>
        <w:t>所竞分标（如有则填写，无分标时填写</w:t>
      </w:r>
      <w:r>
        <w:rPr>
          <w:rFonts w:hint="eastAsia"/>
          <w:color w:val="auto"/>
          <w:szCs w:val="21"/>
          <w:highlight w:val="none"/>
          <w:lang w:eastAsia="zh-CN"/>
        </w:rPr>
        <w:t>“</w:t>
      </w:r>
      <w:r>
        <w:rPr>
          <w:color w:val="auto"/>
          <w:szCs w:val="21"/>
          <w:highlight w:val="none"/>
        </w:rPr>
        <w:t>无</w:t>
      </w:r>
      <w:r>
        <w:rPr>
          <w:rFonts w:hint="eastAsia"/>
          <w:color w:val="auto"/>
          <w:szCs w:val="21"/>
          <w:highlight w:val="none"/>
          <w:lang w:eastAsia="zh-CN"/>
        </w:rPr>
        <w:t>”</w:t>
      </w:r>
      <w:r>
        <w:rPr>
          <w:color w:val="auto"/>
          <w:szCs w:val="21"/>
          <w:highlight w:val="none"/>
        </w:rPr>
        <w:t>或者留空）：</w:t>
      </w:r>
      <w:r>
        <w:rPr>
          <w:color w:val="auto"/>
          <w:szCs w:val="21"/>
          <w:highlight w:val="none"/>
          <w:u w:val="single"/>
        </w:rPr>
        <w:t xml:space="preserve">             </w:t>
      </w:r>
    </w:p>
    <w:p w14:paraId="37DB7383">
      <w:pPr>
        <w:keepNext/>
        <w:keepLines w:val="0"/>
        <w:pageBreakBefore w:val="0"/>
        <w:widowControl w:val="0"/>
        <w:kinsoku/>
        <w:wordWrap/>
        <w:overflowPunct/>
        <w:topLinePunct w:val="0"/>
        <w:autoSpaceDE w:val="0"/>
        <w:autoSpaceDN w:val="0"/>
        <w:bidi w:val="0"/>
        <w:adjustRightInd/>
        <w:spacing w:line="360" w:lineRule="auto"/>
        <w:ind w:firstLine="211" w:firstLineChars="100"/>
        <w:textAlignment w:val="auto"/>
        <w:rPr>
          <w:b/>
          <w:color w:val="auto"/>
          <w:szCs w:val="21"/>
          <w:highlight w:val="none"/>
        </w:rPr>
      </w:pPr>
      <w:r>
        <w:rPr>
          <w:b/>
          <w:color w:val="auto"/>
          <w:szCs w:val="21"/>
          <w:highlight w:val="none"/>
        </w:rPr>
        <w:t>项目经理</w:t>
      </w:r>
      <w:r>
        <w:rPr>
          <w:rFonts w:hint="eastAsia"/>
          <w:b/>
          <w:color w:val="auto"/>
          <w:szCs w:val="21"/>
          <w:highlight w:val="none"/>
        </w:rPr>
        <w:t>简历表</w:t>
      </w:r>
      <w:r>
        <w:rPr>
          <w:color w:val="auto"/>
          <w:szCs w:val="21"/>
          <w:highlight w:val="none"/>
        </w:rPr>
        <w:t>（参照此格式自制）</w:t>
      </w:r>
    </w:p>
    <w:tbl>
      <w:tblPr>
        <w:tblStyle w:val="28"/>
        <w:tblW w:w="92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3"/>
        <w:gridCol w:w="464"/>
        <w:gridCol w:w="1548"/>
        <w:gridCol w:w="328"/>
        <w:gridCol w:w="1219"/>
        <w:gridCol w:w="674"/>
        <w:gridCol w:w="874"/>
        <w:gridCol w:w="711"/>
        <w:gridCol w:w="836"/>
        <w:gridCol w:w="272"/>
        <w:gridCol w:w="1276"/>
      </w:tblGrid>
      <w:tr w14:paraId="59785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083" w:type="dxa"/>
            <w:noWrap w:val="0"/>
            <w:vAlign w:val="center"/>
          </w:tcPr>
          <w:p w14:paraId="4DB89016">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姓名</w:t>
            </w:r>
          </w:p>
        </w:tc>
        <w:tc>
          <w:tcPr>
            <w:tcW w:w="2340" w:type="dxa"/>
            <w:gridSpan w:val="3"/>
            <w:noWrap w:val="0"/>
            <w:vAlign w:val="center"/>
          </w:tcPr>
          <w:p w14:paraId="621E3945">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893" w:type="dxa"/>
            <w:gridSpan w:val="2"/>
            <w:noWrap w:val="0"/>
            <w:vAlign w:val="center"/>
          </w:tcPr>
          <w:p w14:paraId="63BBE455">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性别</w:t>
            </w:r>
          </w:p>
        </w:tc>
        <w:tc>
          <w:tcPr>
            <w:tcW w:w="1585" w:type="dxa"/>
            <w:gridSpan w:val="2"/>
            <w:noWrap w:val="0"/>
            <w:vAlign w:val="center"/>
          </w:tcPr>
          <w:p w14:paraId="1C4B554C">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108" w:type="dxa"/>
            <w:gridSpan w:val="2"/>
            <w:noWrap w:val="0"/>
            <w:vAlign w:val="center"/>
          </w:tcPr>
          <w:p w14:paraId="3FEE9EF3">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年龄</w:t>
            </w:r>
          </w:p>
        </w:tc>
        <w:tc>
          <w:tcPr>
            <w:tcW w:w="1276" w:type="dxa"/>
            <w:noWrap w:val="0"/>
            <w:vAlign w:val="center"/>
          </w:tcPr>
          <w:p w14:paraId="72B41D41">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r w14:paraId="66C35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083" w:type="dxa"/>
            <w:noWrap w:val="0"/>
            <w:vAlign w:val="center"/>
          </w:tcPr>
          <w:p w14:paraId="61AE50C6">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职务</w:t>
            </w:r>
          </w:p>
        </w:tc>
        <w:tc>
          <w:tcPr>
            <w:tcW w:w="2340" w:type="dxa"/>
            <w:gridSpan w:val="3"/>
            <w:noWrap w:val="0"/>
            <w:vAlign w:val="center"/>
          </w:tcPr>
          <w:p w14:paraId="322F857D">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893" w:type="dxa"/>
            <w:gridSpan w:val="2"/>
            <w:noWrap w:val="0"/>
            <w:vAlign w:val="center"/>
          </w:tcPr>
          <w:p w14:paraId="01357DF3">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职称</w:t>
            </w:r>
          </w:p>
        </w:tc>
        <w:tc>
          <w:tcPr>
            <w:tcW w:w="1585" w:type="dxa"/>
            <w:gridSpan w:val="2"/>
            <w:noWrap w:val="0"/>
            <w:vAlign w:val="center"/>
          </w:tcPr>
          <w:p w14:paraId="763BCB81">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108" w:type="dxa"/>
            <w:gridSpan w:val="2"/>
            <w:noWrap w:val="0"/>
            <w:vAlign w:val="center"/>
          </w:tcPr>
          <w:p w14:paraId="24E10DE6">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学历</w:t>
            </w:r>
          </w:p>
        </w:tc>
        <w:tc>
          <w:tcPr>
            <w:tcW w:w="1276" w:type="dxa"/>
            <w:noWrap w:val="0"/>
            <w:vAlign w:val="center"/>
          </w:tcPr>
          <w:p w14:paraId="2C872307">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r w14:paraId="10FD8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3423" w:type="dxa"/>
            <w:gridSpan w:val="4"/>
            <w:noWrap w:val="0"/>
            <w:vAlign w:val="center"/>
          </w:tcPr>
          <w:p w14:paraId="41CCB6A1">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参加工作时间</w:t>
            </w:r>
          </w:p>
        </w:tc>
        <w:tc>
          <w:tcPr>
            <w:tcW w:w="1893" w:type="dxa"/>
            <w:gridSpan w:val="2"/>
            <w:noWrap w:val="0"/>
            <w:vAlign w:val="center"/>
          </w:tcPr>
          <w:p w14:paraId="78B8DBC7">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2693" w:type="dxa"/>
            <w:gridSpan w:val="4"/>
            <w:noWrap w:val="0"/>
            <w:vAlign w:val="center"/>
          </w:tcPr>
          <w:p w14:paraId="3B89E00E">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担任项目经理年限</w:t>
            </w:r>
          </w:p>
        </w:tc>
        <w:tc>
          <w:tcPr>
            <w:tcW w:w="1276" w:type="dxa"/>
            <w:noWrap w:val="0"/>
            <w:vAlign w:val="center"/>
          </w:tcPr>
          <w:p w14:paraId="54F16A3D">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r w14:paraId="1DDA6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jc w:val="center"/>
        </w:trPr>
        <w:tc>
          <w:tcPr>
            <w:tcW w:w="3423" w:type="dxa"/>
            <w:gridSpan w:val="4"/>
            <w:noWrap w:val="0"/>
            <w:vAlign w:val="center"/>
          </w:tcPr>
          <w:p w14:paraId="52F3F9A5">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建造师注册证书编号</w:t>
            </w:r>
          </w:p>
        </w:tc>
        <w:tc>
          <w:tcPr>
            <w:tcW w:w="5862" w:type="dxa"/>
            <w:gridSpan w:val="7"/>
            <w:noWrap w:val="0"/>
            <w:vAlign w:val="center"/>
          </w:tcPr>
          <w:p w14:paraId="16BC9AD5">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r w14:paraId="7E653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9285" w:type="dxa"/>
            <w:gridSpan w:val="11"/>
            <w:noWrap w:val="0"/>
            <w:vAlign w:val="center"/>
          </w:tcPr>
          <w:p w14:paraId="1E30485D">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在建和已完工程项目情况</w:t>
            </w:r>
          </w:p>
        </w:tc>
      </w:tr>
      <w:tr w14:paraId="1AFDA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547" w:type="dxa"/>
            <w:gridSpan w:val="2"/>
            <w:noWrap w:val="0"/>
            <w:vAlign w:val="center"/>
          </w:tcPr>
          <w:p w14:paraId="11B32F03">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建设单位</w:t>
            </w:r>
          </w:p>
        </w:tc>
        <w:tc>
          <w:tcPr>
            <w:tcW w:w="1548" w:type="dxa"/>
            <w:noWrap w:val="0"/>
            <w:vAlign w:val="center"/>
          </w:tcPr>
          <w:p w14:paraId="4EB58128">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项目名称</w:t>
            </w:r>
          </w:p>
        </w:tc>
        <w:tc>
          <w:tcPr>
            <w:tcW w:w="1547" w:type="dxa"/>
            <w:gridSpan w:val="2"/>
            <w:noWrap w:val="0"/>
            <w:vAlign w:val="center"/>
          </w:tcPr>
          <w:p w14:paraId="32B21AB7">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建设规模</w:t>
            </w:r>
          </w:p>
        </w:tc>
        <w:tc>
          <w:tcPr>
            <w:tcW w:w="1548" w:type="dxa"/>
            <w:gridSpan w:val="2"/>
            <w:noWrap w:val="0"/>
            <w:vAlign w:val="center"/>
          </w:tcPr>
          <w:p w14:paraId="116B3E97">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开、竣工日期</w:t>
            </w:r>
          </w:p>
        </w:tc>
        <w:tc>
          <w:tcPr>
            <w:tcW w:w="1547" w:type="dxa"/>
            <w:gridSpan w:val="2"/>
            <w:noWrap w:val="0"/>
            <w:vAlign w:val="center"/>
          </w:tcPr>
          <w:p w14:paraId="1076A7BC">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在建或已完</w:t>
            </w:r>
          </w:p>
        </w:tc>
        <w:tc>
          <w:tcPr>
            <w:tcW w:w="1548" w:type="dxa"/>
            <w:gridSpan w:val="2"/>
            <w:noWrap w:val="0"/>
            <w:vAlign w:val="center"/>
          </w:tcPr>
          <w:p w14:paraId="36976FA5">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r>
              <w:rPr>
                <w:color w:val="auto"/>
                <w:szCs w:val="21"/>
                <w:highlight w:val="none"/>
              </w:rPr>
              <w:t>工程质量</w:t>
            </w:r>
          </w:p>
        </w:tc>
      </w:tr>
      <w:tr w14:paraId="0CFEB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noWrap w:val="0"/>
            <w:vAlign w:val="center"/>
          </w:tcPr>
          <w:p w14:paraId="348832E4">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noWrap w:val="0"/>
            <w:vAlign w:val="center"/>
          </w:tcPr>
          <w:p w14:paraId="17874170">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0663A0E4">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60A7ADB1">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6B27EF0D">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692E8809">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r w14:paraId="12091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noWrap w:val="0"/>
            <w:vAlign w:val="center"/>
          </w:tcPr>
          <w:p w14:paraId="2CC98AC5">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noWrap w:val="0"/>
            <w:vAlign w:val="center"/>
          </w:tcPr>
          <w:p w14:paraId="0E24AFE4">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53F54EFC">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1E7B3650">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4C7B2C52">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4E5CF8AE">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r w14:paraId="368605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noWrap w:val="0"/>
            <w:vAlign w:val="center"/>
          </w:tcPr>
          <w:p w14:paraId="6359714C">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noWrap w:val="0"/>
            <w:vAlign w:val="center"/>
          </w:tcPr>
          <w:p w14:paraId="72ED6476">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341F297F">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1797AF8E">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3E7E02B8">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190241A0">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r w14:paraId="5BC0B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547" w:type="dxa"/>
            <w:gridSpan w:val="2"/>
            <w:noWrap w:val="0"/>
            <w:vAlign w:val="center"/>
          </w:tcPr>
          <w:p w14:paraId="0D165A8F">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noWrap w:val="0"/>
            <w:vAlign w:val="center"/>
          </w:tcPr>
          <w:p w14:paraId="7D5BC716">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2FAEAA6E">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5516848D">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7" w:type="dxa"/>
            <w:gridSpan w:val="2"/>
            <w:noWrap w:val="0"/>
            <w:vAlign w:val="center"/>
          </w:tcPr>
          <w:p w14:paraId="48663797">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c>
          <w:tcPr>
            <w:tcW w:w="1548" w:type="dxa"/>
            <w:gridSpan w:val="2"/>
            <w:noWrap w:val="0"/>
            <w:vAlign w:val="center"/>
          </w:tcPr>
          <w:p w14:paraId="042A65FF">
            <w:pPr>
              <w:keepLines w:val="0"/>
              <w:pageBreakBefore w:val="0"/>
              <w:widowControl w:val="0"/>
              <w:kinsoku/>
              <w:wordWrap/>
              <w:overflowPunct/>
              <w:topLinePunct w:val="0"/>
              <w:bidi w:val="0"/>
              <w:adjustRightInd/>
              <w:spacing w:line="360" w:lineRule="auto"/>
              <w:jc w:val="center"/>
              <w:textAlignment w:val="auto"/>
              <w:rPr>
                <w:color w:val="auto"/>
                <w:szCs w:val="21"/>
                <w:highlight w:val="none"/>
              </w:rPr>
            </w:pPr>
          </w:p>
        </w:tc>
      </w:tr>
    </w:tbl>
    <w:p w14:paraId="39E48FFC">
      <w:pPr>
        <w:keepLines w:val="0"/>
        <w:pageBreakBefore w:val="0"/>
        <w:widowControl w:val="0"/>
        <w:kinsoku/>
        <w:wordWrap/>
        <w:overflowPunct/>
        <w:topLinePunct w:val="0"/>
        <w:autoSpaceDE w:val="0"/>
        <w:autoSpaceDN w:val="0"/>
        <w:bidi w:val="0"/>
        <w:adjustRightInd/>
        <w:spacing w:line="360" w:lineRule="auto"/>
        <w:textAlignment w:val="auto"/>
        <w:rPr>
          <w:b/>
          <w:color w:val="auto"/>
          <w:szCs w:val="21"/>
          <w:highlight w:val="none"/>
        </w:rPr>
      </w:pPr>
    </w:p>
    <w:p w14:paraId="4F26E6CB">
      <w:pPr>
        <w:keepLines w:val="0"/>
        <w:pageBreakBefore w:val="0"/>
        <w:widowControl w:val="0"/>
        <w:kinsoku/>
        <w:wordWrap/>
        <w:overflowPunct/>
        <w:topLinePunct w:val="0"/>
        <w:bidi w:val="0"/>
        <w:adjustRightInd/>
        <w:spacing w:line="360" w:lineRule="auto"/>
        <w:ind w:firstLine="420" w:firstLineChars="200"/>
        <w:textAlignment w:val="auto"/>
        <w:rPr>
          <w:rFonts w:hint="eastAsia" w:eastAsia="楷体"/>
          <w:b/>
          <w:color w:val="auto"/>
          <w:szCs w:val="21"/>
          <w:highlight w:val="none"/>
        </w:rPr>
      </w:pPr>
      <w:r>
        <w:rPr>
          <w:rFonts w:hint="eastAsia" w:ascii="楷体" w:hAnsi="楷体" w:eastAsia="楷体"/>
          <w:color w:val="auto"/>
          <w:highlight w:val="none"/>
        </w:rPr>
        <w:t>备注：</w:t>
      </w:r>
      <w:r>
        <w:rPr>
          <w:rFonts w:hint="eastAsia" w:eastAsia="楷体"/>
          <w:color w:val="auto"/>
          <w:highlight w:val="none"/>
        </w:rPr>
        <w:t>附身份证、注册建造师执业资格证、职称证（如有）、</w:t>
      </w:r>
      <w:r>
        <w:rPr>
          <w:rFonts w:eastAsia="楷体"/>
          <w:color w:val="auto"/>
          <w:highlight w:val="none"/>
        </w:rPr>
        <w:t>已完成的类似工程应附中标通知书（如有）、合同协议书有关页面（如有）、工程竣工验收证明材料（如有）的</w:t>
      </w:r>
      <w:r>
        <w:rPr>
          <w:rFonts w:hint="eastAsia" w:eastAsia="楷体"/>
          <w:color w:val="auto"/>
          <w:highlight w:val="none"/>
        </w:rPr>
        <w:t>扫描件。</w:t>
      </w:r>
    </w:p>
    <w:p w14:paraId="028F8F01">
      <w:pPr>
        <w:keepLines w:val="0"/>
        <w:pageBreakBefore w:val="0"/>
        <w:widowControl w:val="0"/>
        <w:kinsoku/>
        <w:wordWrap/>
        <w:overflowPunct/>
        <w:topLinePunct w:val="0"/>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1ABE3AC1">
      <w:pPr>
        <w:keepLines w:val="0"/>
        <w:pageBreakBefore w:val="0"/>
        <w:widowControl w:val="0"/>
        <w:kinsoku/>
        <w:wordWrap/>
        <w:overflowPunct/>
        <w:topLinePunct w:val="0"/>
        <w:bidi w:val="0"/>
        <w:adjustRightInd/>
        <w:snapToGrid w:val="0"/>
        <w:spacing w:line="360" w:lineRule="auto"/>
        <w:ind w:firstLine="420" w:firstLineChars="200"/>
        <w:textAlignment w:val="auto"/>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6F8D386E">
      <w:pPr>
        <w:keepLines w:val="0"/>
        <w:pageBreakBefore w:val="0"/>
        <w:widowControl w:val="0"/>
        <w:kinsoku/>
        <w:wordWrap/>
        <w:overflowPunct/>
        <w:topLinePunct w:val="0"/>
        <w:autoSpaceDE w:val="0"/>
        <w:autoSpaceDN w:val="0"/>
        <w:bidi w:val="0"/>
        <w:adjustRightInd/>
        <w:spacing w:line="360" w:lineRule="auto"/>
        <w:textAlignment w:val="auto"/>
        <w:rPr>
          <w:b/>
          <w:color w:val="auto"/>
          <w:szCs w:val="21"/>
          <w:highlight w:val="none"/>
        </w:rPr>
      </w:pPr>
    </w:p>
    <w:p w14:paraId="5B7AC977">
      <w:pPr>
        <w:pStyle w:val="10"/>
        <w:keepLines w:val="0"/>
        <w:pageBreakBefore w:val="0"/>
        <w:widowControl w:val="0"/>
        <w:kinsoku/>
        <w:wordWrap/>
        <w:overflowPunct/>
        <w:topLinePunct w:val="0"/>
        <w:bidi w:val="0"/>
        <w:adjustRightInd/>
        <w:spacing w:line="360" w:lineRule="auto"/>
        <w:textAlignment w:val="auto"/>
        <w:rPr>
          <w:b/>
          <w:color w:val="auto"/>
          <w:szCs w:val="21"/>
          <w:highlight w:val="none"/>
        </w:rPr>
      </w:pPr>
    </w:p>
    <w:p w14:paraId="0A1351BB">
      <w:pPr>
        <w:keepLines w:val="0"/>
        <w:pageBreakBefore w:val="0"/>
        <w:widowControl w:val="0"/>
        <w:kinsoku/>
        <w:wordWrap/>
        <w:overflowPunct/>
        <w:topLinePunct w:val="0"/>
        <w:autoSpaceDE w:val="0"/>
        <w:autoSpaceDN w:val="0"/>
        <w:bidi w:val="0"/>
        <w:adjustRightInd/>
        <w:spacing w:line="360" w:lineRule="auto"/>
        <w:textAlignment w:val="auto"/>
        <w:rPr>
          <w:rFonts w:hint="eastAsia"/>
          <w:b/>
          <w:color w:val="auto"/>
          <w:szCs w:val="21"/>
          <w:highlight w:val="none"/>
        </w:rPr>
      </w:pPr>
    </w:p>
    <w:p w14:paraId="6CB24957">
      <w:pPr>
        <w:keepLines w:val="0"/>
        <w:pageBreakBefore w:val="0"/>
        <w:widowControl w:val="0"/>
        <w:kinsoku/>
        <w:wordWrap/>
        <w:overflowPunct/>
        <w:topLinePunct w:val="0"/>
        <w:autoSpaceDE w:val="0"/>
        <w:autoSpaceDN w:val="0"/>
        <w:bidi w:val="0"/>
        <w:adjustRightInd/>
        <w:spacing w:line="360" w:lineRule="auto"/>
        <w:textAlignment w:val="auto"/>
        <w:rPr>
          <w:rFonts w:hint="eastAsia"/>
          <w:b/>
          <w:color w:val="auto"/>
          <w:szCs w:val="21"/>
          <w:highlight w:val="none"/>
        </w:rPr>
      </w:pPr>
    </w:p>
    <w:p w14:paraId="219282AB">
      <w:pPr>
        <w:keepLines w:val="0"/>
        <w:pageBreakBefore w:val="0"/>
        <w:widowControl w:val="0"/>
        <w:kinsoku/>
        <w:wordWrap/>
        <w:overflowPunct/>
        <w:topLinePunct w:val="0"/>
        <w:autoSpaceDE w:val="0"/>
        <w:autoSpaceDN w:val="0"/>
        <w:bidi w:val="0"/>
        <w:adjustRightInd/>
        <w:spacing w:line="360" w:lineRule="auto"/>
        <w:textAlignment w:val="auto"/>
        <w:rPr>
          <w:rFonts w:hint="eastAsia"/>
          <w:b/>
          <w:color w:val="auto"/>
          <w:szCs w:val="21"/>
          <w:highlight w:val="none"/>
        </w:rPr>
      </w:pPr>
    </w:p>
    <w:p w14:paraId="7CF8D2D9">
      <w:pPr>
        <w:keepLines w:val="0"/>
        <w:pageBreakBefore w:val="0"/>
        <w:widowControl w:val="0"/>
        <w:kinsoku/>
        <w:wordWrap/>
        <w:overflowPunct/>
        <w:topLinePunct w:val="0"/>
        <w:autoSpaceDE w:val="0"/>
        <w:autoSpaceDN w:val="0"/>
        <w:bidi w:val="0"/>
        <w:adjustRightInd/>
        <w:spacing w:line="360" w:lineRule="auto"/>
        <w:textAlignment w:val="auto"/>
        <w:rPr>
          <w:rFonts w:hint="eastAsia"/>
          <w:b/>
          <w:color w:val="auto"/>
          <w:szCs w:val="21"/>
          <w:highlight w:val="none"/>
        </w:rPr>
      </w:pPr>
    </w:p>
    <w:p w14:paraId="46AC8B5E">
      <w:pPr>
        <w:rPr>
          <w:rFonts w:hint="eastAsia"/>
          <w:b/>
          <w:color w:val="auto"/>
          <w:szCs w:val="21"/>
          <w:highlight w:val="none"/>
        </w:rPr>
      </w:pPr>
      <w:r>
        <w:rPr>
          <w:rFonts w:hint="eastAsia"/>
          <w:b/>
          <w:color w:val="auto"/>
          <w:szCs w:val="21"/>
          <w:highlight w:val="none"/>
        </w:rPr>
        <w:br w:type="page"/>
      </w:r>
    </w:p>
    <w:p w14:paraId="4BF905C7">
      <w:pPr>
        <w:keepNext w:val="0"/>
        <w:keepLines w:val="0"/>
        <w:pageBreakBefore w:val="0"/>
        <w:widowControl w:val="0"/>
        <w:kinsoku/>
        <w:wordWrap/>
        <w:overflowPunct/>
        <w:topLinePunct w:val="0"/>
        <w:autoSpaceDE w:val="0"/>
        <w:autoSpaceDN w:val="0"/>
        <w:bidi w:val="0"/>
        <w:adjustRightInd/>
        <w:spacing w:line="360" w:lineRule="auto"/>
        <w:jc w:val="center"/>
        <w:textAlignment w:val="auto"/>
        <w:rPr>
          <w:b/>
          <w:color w:val="auto"/>
          <w:sz w:val="32"/>
          <w:szCs w:val="32"/>
          <w:highlight w:val="none"/>
        </w:rPr>
      </w:pPr>
      <w:r>
        <w:rPr>
          <w:rFonts w:hint="eastAsia"/>
          <w:b/>
          <w:color w:val="auto"/>
          <w:sz w:val="32"/>
          <w:szCs w:val="32"/>
          <w:highlight w:val="none"/>
        </w:rPr>
        <w:t>项目管理机构配备情况表</w:t>
      </w:r>
    </w:p>
    <w:tbl>
      <w:tblPr>
        <w:tblStyle w:val="28"/>
        <w:tblW w:w="97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829"/>
        <w:gridCol w:w="816"/>
        <w:gridCol w:w="1148"/>
        <w:gridCol w:w="1148"/>
        <w:gridCol w:w="1148"/>
        <w:gridCol w:w="1148"/>
        <w:gridCol w:w="850"/>
        <w:gridCol w:w="1679"/>
      </w:tblGrid>
      <w:tr w14:paraId="20F2D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993" w:type="dxa"/>
            <w:vMerge w:val="restart"/>
            <w:noWrap w:val="0"/>
            <w:vAlign w:val="center"/>
          </w:tcPr>
          <w:p w14:paraId="44F89831">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岗位</w:t>
            </w:r>
          </w:p>
        </w:tc>
        <w:tc>
          <w:tcPr>
            <w:tcW w:w="829" w:type="dxa"/>
            <w:vMerge w:val="restart"/>
            <w:noWrap w:val="0"/>
            <w:vAlign w:val="center"/>
          </w:tcPr>
          <w:p w14:paraId="233659E1">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姓名</w:t>
            </w:r>
          </w:p>
        </w:tc>
        <w:tc>
          <w:tcPr>
            <w:tcW w:w="816" w:type="dxa"/>
            <w:vMerge w:val="restart"/>
            <w:noWrap w:val="0"/>
            <w:vAlign w:val="center"/>
          </w:tcPr>
          <w:p w14:paraId="7DFE17C1">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职称</w:t>
            </w:r>
          </w:p>
        </w:tc>
        <w:tc>
          <w:tcPr>
            <w:tcW w:w="4592" w:type="dxa"/>
            <w:gridSpan w:val="4"/>
            <w:noWrap w:val="0"/>
            <w:vAlign w:val="center"/>
          </w:tcPr>
          <w:p w14:paraId="51FE74E2">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执业或职业资格证明</w:t>
            </w:r>
          </w:p>
        </w:tc>
        <w:tc>
          <w:tcPr>
            <w:tcW w:w="2529" w:type="dxa"/>
            <w:gridSpan w:val="2"/>
            <w:noWrap w:val="0"/>
            <w:vAlign w:val="center"/>
          </w:tcPr>
          <w:p w14:paraId="5E60003D">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承担完工工程情况</w:t>
            </w:r>
          </w:p>
        </w:tc>
      </w:tr>
      <w:tr w14:paraId="0D4338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4" w:hRule="atLeast"/>
          <w:jc w:val="center"/>
        </w:trPr>
        <w:tc>
          <w:tcPr>
            <w:tcW w:w="993" w:type="dxa"/>
            <w:vMerge w:val="continue"/>
            <w:noWrap w:val="0"/>
            <w:vAlign w:val="center"/>
          </w:tcPr>
          <w:p w14:paraId="5DDC13E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29" w:type="dxa"/>
            <w:vMerge w:val="continue"/>
            <w:noWrap w:val="0"/>
            <w:vAlign w:val="center"/>
          </w:tcPr>
          <w:p w14:paraId="5419A724">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16" w:type="dxa"/>
            <w:vMerge w:val="continue"/>
            <w:noWrap w:val="0"/>
            <w:vAlign w:val="center"/>
          </w:tcPr>
          <w:p w14:paraId="15ECAE40">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6116DDC6">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证书名称</w:t>
            </w:r>
          </w:p>
        </w:tc>
        <w:tc>
          <w:tcPr>
            <w:tcW w:w="1148" w:type="dxa"/>
            <w:noWrap w:val="0"/>
            <w:vAlign w:val="center"/>
          </w:tcPr>
          <w:p w14:paraId="19991F04">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级别</w:t>
            </w:r>
          </w:p>
        </w:tc>
        <w:tc>
          <w:tcPr>
            <w:tcW w:w="1148" w:type="dxa"/>
            <w:noWrap w:val="0"/>
            <w:vAlign w:val="center"/>
          </w:tcPr>
          <w:p w14:paraId="3FC6EDAA">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证号</w:t>
            </w:r>
          </w:p>
        </w:tc>
        <w:tc>
          <w:tcPr>
            <w:tcW w:w="1148" w:type="dxa"/>
            <w:noWrap w:val="0"/>
            <w:vAlign w:val="center"/>
          </w:tcPr>
          <w:p w14:paraId="44181183">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专业</w:t>
            </w:r>
          </w:p>
        </w:tc>
        <w:tc>
          <w:tcPr>
            <w:tcW w:w="850" w:type="dxa"/>
            <w:noWrap w:val="0"/>
            <w:vAlign w:val="center"/>
          </w:tcPr>
          <w:p w14:paraId="7111C3FA">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项目数</w:t>
            </w:r>
          </w:p>
        </w:tc>
        <w:tc>
          <w:tcPr>
            <w:tcW w:w="1679" w:type="dxa"/>
            <w:noWrap w:val="0"/>
            <w:vAlign w:val="center"/>
          </w:tcPr>
          <w:p w14:paraId="03B4E9E5">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主要项目</w:t>
            </w:r>
          </w:p>
          <w:p w14:paraId="2500DDF8">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r>
              <w:rPr>
                <w:rFonts w:hint="eastAsia" w:cs="宋体"/>
                <w:color w:val="auto"/>
                <w:highlight w:val="none"/>
              </w:rPr>
              <w:t>名称</w:t>
            </w:r>
          </w:p>
        </w:tc>
      </w:tr>
      <w:tr w14:paraId="51432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noWrap w:val="0"/>
            <w:vAlign w:val="center"/>
          </w:tcPr>
          <w:p w14:paraId="6756A66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29" w:type="dxa"/>
            <w:noWrap w:val="0"/>
            <w:vAlign w:val="center"/>
          </w:tcPr>
          <w:p w14:paraId="7C8B5E52">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16" w:type="dxa"/>
            <w:noWrap w:val="0"/>
            <w:vAlign w:val="center"/>
          </w:tcPr>
          <w:p w14:paraId="651C086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4BE6B166">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32547C19">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608474E5">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15E8434D">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50" w:type="dxa"/>
            <w:noWrap w:val="0"/>
            <w:vAlign w:val="center"/>
          </w:tcPr>
          <w:p w14:paraId="0A22A1B8">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679" w:type="dxa"/>
            <w:noWrap w:val="0"/>
            <w:vAlign w:val="center"/>
          </w:tcPr>
          <w:p w14:paraId="25FD447F">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r>
      <w:tr w14:paraId="031AB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noWrap w:val="0"/>
            <w:vAlign w:val="center"/>
          </w:tcPr>
          <w:p w14:paraId="4A9DCCBC">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29" w:type="dxa"/>
            <w:noWrap w:val="0"/>
            <w:vAlign w:val="center"/>
          </w:tcPr>
          <w:p w14:paraId="3CCC8281">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16" w:type="dxa"/>
            <w:noWrap w:val="0"/>
            <w:vAlign w:val="center"/>
          </w:tcPr>
          <w:p w14:paraId="17FA137D">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122686B0">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52C506D2">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32E1B79A">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4077603F">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50" w:type="dxa"/>
            <w:noWrap w:val="0"/>
            <w:vAlign w:val="center"/>
          </w:tcPr>
          <w:p w14:paraId="189BF967">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679" w:type="dxa"/>
            <w:noWrap w:val="0"/>
            <w:vAlign w:val="center"/>
          </w:tcPr>
          <w:p w14:paraId="7571E9B5">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r>
      <w:tr w14:paraId="01411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noWrap w:val="0"/>
            <w:vAlign w:val="center"/>
          </w:tcPr>
          <w:p w14:paraId="682A9458">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29" w:type="dxa"/>
            <w:noWrap w:val="0"/>
            <w:vAlign w:val="center"/>
          </w:tcPr>
          <w:p w14:paraId="43AF2013">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16" w:type="dxa"/>
            <w:noWrap w:val="0"/>
            <w:vAlign w:val="center"/>
          </w:tcPr>
          <w:p w14:paraId="6C5C656F">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0594899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139D1746">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2BC83C62">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03A69CC1">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50" w:type="dxa"/>
            <w:noWrap w:val="0"/>
            <w:vAlign w:val="center"/>
          </w:tcPr>
          <w:p w14:paraId="15E57791">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679" w:type="dxa"/>
            <w:noWrap w:val="0"/>
            <w:vAlign w:val="center"/>
          </w:tcPr>
          <w:p w14:paraId="5DC0DF85">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r>
      <w:tr w14:paraId="659B4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noWrap w:val="0"/>
            <w:vAlign w:val="center"/>
          </w:tcPr>
          <w:p w14:paraId="7FEDC9B1">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29" w:type="dxa"/>
            <w:noWrap w:val="0"/>
            <w:vAlign w:val="center"/>
          </w:tcPr>
          <w:p w14:paraId="0C921913">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16" w:type="dxa"/>
            <w:noWrap w:val="0"/>
            <w:vAlign w:val="center"/>
          </w:tcPr>
          <w:p w14:paraId="1B88314F">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0A665104">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5C42537E">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78CA2194">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674747B9">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50" w:type="dxa"/>
            <w:noWrap w:val="0"/>
            <w:vAlign w:val="center"/>
          </w:tcPr>
          <w:p w14:paraId="31D0754C">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679" w:type="dxa"/>
            <w:noWrap w:val="0"/>
            <w:vAlign w:val="center"/>
          </w:tcPr>
          <w:p w14:paraId="62D0034D">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r>
      <w:tr w14:paraId="51CF8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noWrap w:val="0"/>
            <w:vAlign w:val="center"/>
          </w:tcPr>
          <w:p w14:paraId="57BDA5B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29" w:type="dxa"/>
            <w:noWrap w:val="0"/>
            <w:vAlign w:val="center"/>
          </w:tcPr>
          <w:p w14:paraId="6B94FD70">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16" w:type="dxa"/>
            <w:noWrap w:val="0"/>
            <w:vAlign w:val="center"/>
          </w:tcPr>
          <w:p w14:paraId="5AC4743C">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2634F75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222F36B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6295F037">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1269CEEB">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50" w:type="dxa"/>
            <w:noWrap w:val="0"/>
            <w:vAlign w:val="center"/>
          </w:tcPr>
          <w:p w14:paraId="1FD9DD44">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679" w:type="dxa"/>
            <w:noWrap w:val="0"/>
            <w:vAlign w:val="center"/>
          </w:tcPr>
          <w:p w14:paraId="61A20226">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r>
      <w:tr w14:paraId="2076D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noWrap w:val="0"/>
            <w:vAlign w:val="center"/>
          </w:tcPr>
          <w:p w14:paraId="62599706">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29" w:type="dxa"/>
            <w:noWrap w:val="0"/>
            <w:vAlign w:val="center"/>
          </w:tcPr>
          <w:p w14:paraId="38EB9902">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16" w:type="dxa"/>
            <w:noWrap w:val="0"/>
            <w:vAlign w:val="center"/>
          </w:tcPr>
          <w:p w14:paraId="6ADAE2E4">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34AA7593">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4B6CA107">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16EBA1F7">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148" w:type="dxa"/>
            <w:noWrap w:val="0"/>
            <w:vAlign w:val="center"/>
          </w:tcPr>
          <w:p w14:paraId="7F07B0A3">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850" w:type="dxa"/>
            <w:noWrap w:val="0"/>
            <w:vAlign w:val="center"/>
          </w:tcPr>
          <w:p w14:paraId="231A0EA4">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c>
          <w:tcPr>
            <w:tcW w:w="1679" w:type="dxa"/>
            <w:noWrap w:val="0"/>
            <w:vAlign w:val="center"/>
          </w:tcPr>
          <w:p w14:paraId="02A967B7">
            <w:pPr>
              <w:keepNext w:val="0"/>
              <w:keepLines w:val="0"/>
              <w:pageBreakBefore w:val="0"/>
              <w:widowControl w:val="0"/>
              <w:kinsoku/>
              <w:wordWrap/>
              <w:overflowPunct/>
              <w:topLinePunct w:val="0"/>
              <w:bidi w:val="0"/>
              <w:adjustRightInd/>
              <w:spacing w:line="360" w:lineRule="auto"/>
              <w:ind w:left="223" w:hanging="222" w:hangingChars="106"/>
              <w:jc w:val="center"/>
              <w:textAlignment w:val="auto"/>
              <w:rPr>
                <w:color w:val="auto"/>
                <w:highlight w:val="none"/>
              </w:rPr>
            </w:pPr>
          </w:p>
        </w:tc>
      </w:tr>
      <w:tr w14:paraId="103DE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79" w:hRule="atLeast"/>
          <w:jc w:val="center"/>
        </w:trPr>
        <w:tc>
          <w:tcPr>
            <w:tcW w:w="9759" w:type="dxa"/>
            <w:gridSpan w:val="9"/>
            <w:noWrap w:val="0"/>
            <w:vAlign w:val="top"/>
          </w:tcPr>
          <w:p w14:paraId="4C018162">
            <w:pPr>
              <w:keepNext w:val="0"/>
              <w:keepLines w:val="0"/>
              <w:pageBreakBefore w:val="0"/>
              <w:widowControl w:val="0"/>
              <w:kinsoku/>
              <w:wordWrap/>
              <w:overflowPunct/>
              <w:topLinePunct w:val="0"/>
              <w:bidi w:val="0"/>
              <w:adjustRightInd/>
              <w:spacing w:before="120" w:beforeLines="50" w:after="120" w:afterLines="50" w:line="360" w:lineRule="auto"/>
              <w:textAlignment w:val="auto"/>
              <w:rPr>
                <w:color w:val="auto"/>
                <w:highlight w:val="none"/>
              </w:rPr>
            </w:pPr>
            <w:r>
              <w:rPr>
                <w:rFonts w:hint="eastAsia" w:cs="宋体"/>
                <w:color w:val="auto"/>
                <w:highlight w:val="none"/>
              </w:rPr>
              <w:t>一旦我单位成交，将实行项目经理负责制，我方保证并配备上述项目管理机构。上述填报内容真实，若不真实，愿按有关规定接受处理。项目管理班子机构设置、职责分工等情况另附资料说明。</w:t>
            </w:r>
          </w:p>
        </w:tc>
      </w:tr>
    </w:tbl>
    <w:p w14:paraId="34444C08">
      <w:pPr>
        <w:keepNext w:val="0"/>
        <w:keepLines w:val="0"/>
        <w:pageBreakBefore w:val="0"/>
        <w:widowControl w:val="0"/>
        <w:kinsoku/>
        <w:wordWrap/>
        <w:overflowPunct/>
        <w:topLinePunct w:val="0"/>
        <w:bidi w:val="0"/>
        <w:adjustRightInd/>
        <w:snapToGrid w:val="0"/>
        <w:spacing w:line="360" w:lineRule="auto"/>
        <w:ind w:firstLine="422" w:firstLineChars="200"/>
        <w:textAlignment w:val="auto"/>
        <w:rPr>
          <w:b/>
          <w:color w:val="auto"/>
          <w:szCs w:val="21"/>
          <w:highlight w:val="none"/>
        </w:rPr>
      </w:pPr>
    </w:p>
    <w:p w14:paraId="3A660854">
      <w:pPr>
        <w:keepNext w:val="0"/>
        <w:keepLines w:val="0"/>
        <w:pageBreakBefore w:val="0"/>
        <w:widowControl w:val="0"/>
        <w:kinsoku/>
        <w:wordWrap/>
        <w:overflowPunct/>
        <w:topLinePunct w:val="0"/>
        <w:autoSpaceDE w:val="0"/>
        <w:autoSpaceDN w:val="0"/>
        <w:bidi w:val="0"/>
        <w:adjustRightInd/>
        <w:spacing w:line="360" w:lineRule="auto"/>
        <w:jc w:val="left"/>
        <w:textAlignment w:val="auto"/>
        <w:rPr>
          <w:rFonts w:hint="eastAsia" w:eastAsia="楷体_GB2312" w:cs="楷体_GB2312"/>
          <w:color w:val="auto"/>
          <w:highlight w:val="none"/>
        </w:rPr>
      </w:pPr>
      <w:r>
        <w:rPr>
          <w:rFonts w:hint="eastAsia" w:eastAsia="楷体_GB2312" w:cs="楷体_GB2312"/>
          <w:color w:val="auto"/>
          <w:highlight w:val="none"/>
        </w:rPr>
        <w:t>【</w:t>
      </w:r>
      <w:r>
        <w:rPr>
          <w:rFonts w:hint="eastAsia" w:ascii="楷体" w:hAnsi="楷体" w:eastAsia="楷体"/>
          <w:color w:val="auto"/>
          <w:highlight w:val="none"/>
        </w:rPr>
        <w:t>备注：附上述人员的身份证</w:t>
      </w:r>
      <w:r>
        <w:rPr>
          <w:rFonts w:hint="eastAsia" w:eastAsia="楷体"/>
          <w:color w:val="auto"/>
          <w:highlight w:val="none"/>
        </w:rPr>
        <w:t>、</w:t>
      </w:r>
      <w:r>
        <w:rPr>
          <w:rFonts w:hint="eastAsia" w:ascii="楷体" w:hAnsi="楷体" w:eastAsia="楷体"/>
          <w:color w:val="auto"/>
          <w:highlight w:val="none"/>
        </w:rPr>
        <w:t>各岗位人员资格证件（如有）扫描件</w:t>
      </w:r>
      <w:r>
        <w:rPr>
          <w:rFonts w:hint="eastAsia" w:eastAsia="楷体_GB2312" w:cs="楷体_GB2312"/>
          <w:color w:val="auto"/>
          <w:highlight w:val="none"/>
        </w:rPr>
        <w:t>】</w:t>
      </w:r>
    </w:p>
    <w:p w14:paraId="3D16ECA7">
      <w:pPr>
        <w:pStyle w:val="10"/>
        <w:keepNext w:val="0"/>
        <w:keepLines w:val="0"/>
        <w:pageBreakBefore w:val="0"/>
        <w:widowControl w:val="0"/>
        <w:kinsoku/>
        <w:wordWrap/>
        <w:overflowPunct/>
        <w:topLinePunct w:val="0"/>
        <w:bidi w:val="0"/>
        <w:adjustRightInd/>
        <w:spacing w:line="360" w:lineRule="auto"/>
        <w:textAlignment w:val="auto"/>
        <w:rPr>
          <w:rFonts w:hint="eastAsia" w:eastAsia="楷体_GB2312" w:cs="楷体_GB2312"/>
          <w:color w:val="auto"/>
          <w:highlight w:val="none"/>
        </w:rPr>
      </w:pPr>
    </w:p>
    <w:p w14:paraId="076A5207">
      <w:pPr>
        <w:pStyle w:val="10"/>
        <w:keepNext w:val="0"/>
        <w:keepLines w:val="0"/>
        <w:pageBreakBefore w:val="0"/>
        <w:widowControl w:val="0"/>
        <w:kinsoku/>
        <w:wordWrap/>
        <w:overflowPunct/>
        <w:topLinePunct w:val="0"/>
        <w:bidi w:val="0"/>
        <w:adjustRightInd/>
        <w:spacing w:line="360" w:lineRule="auto"/>
        <w:textAlignment w:val="auto"/>
        <w:rPr>
          <w:rFonts w:eastAsia="楷体_GB2312" w:cs="楷体_GB2312"/>
          <w:color w:val="auto"/>
          <w:highlight w:val="none"/>
        </w:rPr>
      </w:pPr>
    </w:p>
    <w:p w14:paraId="6775B03B">
      <w:pPr>
        <w:keepNext w:val="0"/>
        <w:keepLines w:val="0"/>
        <w:pageBreakBefore w:val="0"/>
        <w:widowControl w:val="0"/>
        <w:kinsoku/>
        <w:wordWrap/>
        <w:overflowPunct/>
        <w:topLinePunct w:val="0"/>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6387C0BF">
      <w:pPr>
        <w:keepNext w:val="0"/>
        <w:keepLines w:val="0"/>
        <w:pageBreakBefore w:val="0"/>
        <w:widowControl w:val="0"/>
        <w:kinsoku/>
        <w:wordWrap/>
        <w:overflowPunct/>
        <w:topLinePunct w:val="0"/>
        <w:bidi w:val="0"/>
        <w:adjustRightInd/>
        <w:snapToGrid w:val="0"/>
        <w:spacing w:line="360" w:lineRule="auto"/>
        <w:ind w:firstLine="420" w:firstLineChars="200"/>
        <w:textAlignment w:val="auto"/>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5795B82B">
      <w:pPr>
        <w:autoSpaceDE w:val="0"/>
        <w:autoSpaceDN w:val="0"/>
        <w:spacing w:line="360" w:lineRule="auto"/>
        <w:ind w:firstLine="5670" w:firstLineChars="2700"/>
        <w:rPr>
          <w:rFonts w:eastAsia="仿宋_GB2312"/>
          <w:color w:val="auto"/>
          <w:kern w:val="0"/>
          <w:szCs w:val="21"/>
          <w:highlight w:val="none"/>
          <w:lang w:val="zh-CN"/>
        </w:rPr>
      </w:pPr>
    </w:p>
    <w:p w14:paraId="216F22E8">
      <w:pPr>
        <w:autoSpaceDE w:val="0"/>
        <w:autoSpaceDN w:val="0"/>
        <w:spacing w:line="360" w:lineRule="auto"/>
        <w:ind w:firstLine="8132" w:firstLineChars="2700"/>
        <w:rPr>
          <w:rFonts w:ascii="仿宋_GB2312" w:hAnsi="仿宋" w:eastAsia="仿宋_GB2312" w:cs="仿宋_GB2312"/>
          <w:b/>
          <w:bCs/>
          <w:color w:val="auto"/>
          <w:sz w:val="24"/>
          <w:highlight w:val="none"/>
        </w:rPr>
      </w:pPr>
      <w:r>
        <w:rPr>
          <w:rFonts w:hint="eastAsia" w:ascii="仿宋" w:hAnsi="仿宋" w:eastAsia="仿宋" w:cs="仿宋_GB2312"/>
          <w:b/>
          <w:color w:val="auto"/>
          <w:sz w:val="30"/>
          <w:szCs w:val="30"/>
          <w:highlight w:val="none"/>
        </w:rPr>
        <w:br w:type="page"/>
      </w:r>
    </w:p>
    <w:p w14:paraId="4A133E53">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宋体" w:hAnsi="宋体" w:eastAsia="宋体" w:cs="宋体"/>
          <w:b/>
          <w:bCs/>
          <w:color w:val="auto"/>
          <w:sz w:val="30"/>
          <w:szCs w:val="30"/>
          <w:highlight w:val="none"/>
        </w:rPr>
      </w:pPr>
      <w:bookmarkStart w:id="220" w:name="_Toc12611"/>
      <w:bookmarkStart w:id="221" w:name="_Toc80886945"/>
      <w:bookmarkStart w:id="222" w:name="_Toc31035"/>
      <w:bookmarkStart w:id="223" w:name="_Toc80205941"/>
      <w:bookmarkStart w:id="224" w:name="_Toc21514"/>
      <w:r>
        <w:rPr>
          <w:rFonts w:hint="eastAsia" w:ascii="宋体" w:hAnsi="宋体" w:eastAsia="宋体" w:cs="宋体"/>
          <w:b/>
          <w:bCs/>
          <w:color w:val="auto"/>
          <w:sz w:val="30"/>
          <w:szCs w:val="30"/>
          <w:highlight w:val="none"/>
        </w:rPr>
        <w:t>第</w:t>
      </w:r>
      <w:r>
        <w:rPr>
          <w:rFonts w:hint="eastAsia" w:ascii="宋体" w:hAnsi="宋体" w:eastAsia="宋体" w:cs="宋体"/>
          <w:b/>
          <w:bCs/>
          <w:color w:val="auto"/>
          <w:sz w:val="30"/>
          <w:szCs w:val="30"/>
          <w:highlight w:val="none"/>
          <w:lang w:eastAsia="zh-CN"/>
        </w:rPr>
        <w:t>三</w:t>
      </w:r>
      <w:r>
        <w:rPr>
          <w:rFonts w:hint="eastAsia" w:ascii="宋体" w:hAnsi="宋体" w:eastAsia="宋体" w:cs="宋体"/>
          <w:b/>
          <w:bCs/>
          <w:color w:val="auto"/>
          <w:sz w:val="30"/>
          <w:szCs w:val="30"/>
          <w:highlight w:val="none"/>
        </w:rPr>
        <w:t>节 报价文件格式</w:t>
      </w:r>
      <w:bookmarkEnd w:id="220"/>
      <w:bookmarkEnd w:id="221"/>
      <w:bookmarkEnd w:id="222"/>
      <w:bookmarkEnd w:id="223"/>
      <w:bookmarkEnd w:id="224"/>
    </w:p>
    <w:p w14:paraId="5AF4E1CF">
      <w:pPr>
        <w:snapToGrid w:val="0"/>
        <w:spacing w:before="120" w:beforeLines="50" w:after="50" w:line="360" w:lineRule="auto"/>
        <w:jc w:val="left"/>
        <w:outlineLvl w:val="2"/>
        <w:rPr>
          <w:color w:val="auto"/>
          <w:highlight w:val="none"/>
          <w:lang w:val="zh-CN" w:eastAsia="zh-CN"/>
        </w:rPr>
      </w:pPr>
      <w:bookmarkStart w:id="225" w:name="_Toc18563"/>
      <w:r>
        <w:rPr>
          <w:b/>
          <w:bCs/>
          <w:color w:val="auto"/>
          <w:sz w:val="28"/>
          <w:szCs w:val="28"/>
          <w:highlight w:val="none"/>
          <w:lang w:val="en-US" w:eastAsia="zh-CN"/>
        </w:rPr>
        <w:t>1.</w:t>
      </w:r>
      <w:r>
        <w:rPr>
          <w:b/>
          <w:bCs/>
          <w:color w:val="auto"/>
          <w:sz w:val="28"/>
          <w:szCs w:val="28"/>
          <w:highlight w:val="none"/>
        </w:rPr>
        <w:t>报价文件</w:t>
      </w:r>
      <w:r>
        <w:rPr>
          <w:b/>
          <w:bCs/>
          <w:color w:val="auto"/>
          <w:sz w:val="28"/>
          <w:szCs w:val="28"/>
          <w:highlight w:val="none"/>
          <w:lang w:eastAsia="zh-CN"/>
        </w:rPr>
        <w:t>封面的格式：</w:t>
      </w:r>
      <w:bookmarkEnd w:id="225"/>
    </w:p>
    <w:p w14:paraId="78A0357A">
      <w:pPr>
        <w:pageBreakBefore w:val="0"/>
        <w:widowControl w:val="0"/>
        <w:kinsoku/>
        <w:wordWrap/>
        <w:overflowPunct/>
        <w:topLinePunct w:val="0"/>
        <w:autoSpaceDE/>
        <w:autoSpaceDN/>
        <w:bidi w:val="0"/>
        <w:adjustRightInd/>
        <w:snapToGrid w:val="0"/>
        <w:spacing w:before="120" w:beforeLines="50" w:after="50" w:line="360" w:lineRule="auto"/>
        <w:textAlignment w:val="auto"/>
        <w:rPr>
          <w:color w:val="auto"/>
          <w:sz w:val="24"/>
          <w:highlight w:val="none"/>
        </w:rPr>
      </w:pPr>
      <w:r>
        <w:rPr>
          <w:color w:val="auto"/>
          <w:sz w:val="24"/>
          <w:highlight w:val="none"/>
        </w:rPr>
        <w:t xml:space="preserve">                                             </w:t>
      </w:r>
    </w:p>
    <w:p w14:paraId="64389446">
      <w:pPr>
        <w:pageBreakBefore w:val="0"/>
        <w:widowControl w:val="0"/>
        <w:kinsoku/>
        <w:wordWrap/>
        <w:overflowPunct/>
        <w:topLinePunct w:val="0"/>
        <w:autoSpaceDE/>
        <w:autoSpaceDN/>
        <w:bidi w:val="0"/>
        <w:adjustRightInd/>
        <w:snapToGrid w:val="0"/>
        <w:spacing w:before="120" w:beforeLines="50" w:after="50" w:line="360" w:lineRule="auto"/>
        <w:ind w:firstLine="6720" w:firstLineChars="3200"/>
        <w:textAlignment w:val="auto"/>
        <w:rPr>
          <w:bCs/>
          <w:color w:val="auto"/>
          <w:sz w:val="32"/>
          <w:szCs w:val="20"/>
          <w:highlight w:val="none"/>
        </w:rPr>
      </w:pPr>
      <w:r>
        <w:rPr>
          <w:bCs/>
          <w:color w:val="auto"/>
          <w:highlight w:val="none"/>
        </w:rPr>
        <w:t>全流程电子文件</w:t>
      </w:r>
    </w:p>
    <w:p w14:paraId="25752196">
      <w:pPr>
        <w:pageBreakBefore w:val="0"/>
        <w:widowControl w:val="0"/>
        <w:kinsoku/>
        <w:wordWrap/>
        <w:overflowPunct/>
        <w:topLinePunct w:val="0"/>
        <w:autoSpaceDE/>
        <w:autoSpaceDN/>
        <w:bidi w:val="0"/>
        <w:adjustRightInd/>
        <w:snapToGrid w:val="0"/>
        <w:spacing w:before="120" w:beforeLines="50" w:after="50" w:line="360" w:lineRule="auto"/>
        <w:textAlignment w:val="auto"/>
        <w:rPr>
          <w:color w:val="auto"/>
          <w:sz w:val="24"/>
          <w:szCs w:val="20"/>
          <w:highlight w:val="none"/>
        </w:rPr>
      </w:pPr>
    </w:p>
    <w:p w14:paraId="0B3CFA94">
      <w:pPr>
        <w:pageBreakBefore w:val="0"/>
        <w:widowControl w:val="0"/>
        <w:kinsoku/>
        <w:wordWrap/>
        <w:overflowPunct/>
        <w:topLinePunct w:val="0"/>
        <w:autoSpaceDE/>
        <w:autoSpaceDN/>
        <w:bidi w:val="0"/>
        <w:adjustRightInd/>
        <w:snapToGrid w:val="0"/>
        <w:spacing w:before="120" w:beforeLines="50" w:after="50" w:line="360" w:lineRule="auto"/>
        <w:textAlignment w:val="auto"/>
        <w:rPr>
          <w:color w:val="auto"/>
          <w:sz w:val="24"/>
          <w:szCs w:val="20"/>
          <w:highlight w:val="none"/>
        </w:rPr>
      </w:pPr>
    </w:p>
    <w:p w14:paraId="7F81A998">
      <w:pPr>
        <w:pageBreakBefore w:val="0"/>
        <w:widowControl w:val="0"/>
        <w:kinsoku/>
        <w:wordWrap/>
        <w:overflowPunct/>
        <w:topLinePunct w:val="0"/>
        <w:autoSpaceDE/>
        <w:autoSpaceDN/>
        <w:bidi w:val="0"/>
        <w:adjustRightInd/>
        <w:snapToGrid w:val="0"/>
        <w:spacing w:before="120" w:beforeLines="50" w:after="50" w:line="360" w:lineRule="auto"/>
        <w:textAlignment w:val="auto"/>
        <w:rPr>
          <w:color w:val="auto"/>
          <w:sz w:val="24"/>
          <w:szCs w:val="20"/>
          <w:highlight w:val="none"/>
        </w:rPr>
      </w:pPr>
    </w:p>
    <w:p w14:paraId="719956D5">
      <w:pPr>
        <w:pageBreakBefore w:val="0"/>
        <w:widowControl w:val="0"/>
        <w:kinsoku/>
        <w:wordWrap/>
        <w:overflowPunct/>
        <w:topLinePunct w:val="0"/>
        <w:autoSpaceDE/>
        <w:autoSpaceDN/>
        <w:bidi w:val="0"/>
        <w:adjustRightInd/>
        <w:snapToGrid w:val="0"/>
        <w:spacing w:before="120" w:beforeLines="50" w:after="50" w:line="360" w:lineRule="auto"/>
        <w:jc w:val="center"/>
        <w:textAlignment w:val="auto"/>
        <w:rPr>
          <w:rFonts w:hint="eastAsia" w:ascii="宋体" w:hAnsi="宋体" w:cs="宋体"/>
          <w:b/>
          <w:color w:val="auto"/>
          <w:sz w:val="44"/>
          <w:szCs w:val="44"/>
          <w:highlight w:val="none"/>
        </w:rPr>
      </w:pPr>
      <w:r>
        <w:rPr>
          <w:rFonts w:hint="eastAsia" w:ascii="宋体" w:hAnsi="宋体" w:cs="宋体"/>
          <w:b/>
          <w:color w:val="auto"/>
          <w:sz w:val="44"/>
          <w:szCs w:val="44"/>
          <w:highlight w:val="none"/>
        </w:rPr>
        <w:t>报  价  文  件</w:t>
      </w:r>
    </w:p>
    <w:p w14:paraId="4D3DA7B2">
      <w:pPr>
        <w:pageBreakBefore w:val="0"/>
        <w:widowControl w:val="0"/>
        <w:kinsoku/>
        <w:wordWrap/>
        <w:overflowPunct/>
        <w:topLinePunct w:val="0"/>
        <w:autoSpaceDE/>
        <w:autoSpaceDN/>
        <w:bidi w:val="0"/>
        <w:adjustRightInd/>
        <w:snapToGrid w:val="0"/>
        <w:spacing w:before="120" w:beforeLines="50" w:after="50" w:line="360" w:lineRule="auto"/>
        <w:textAlignment w:val="auto"/>
        <w:rPr>
          <w:bCs/>
          <w:color w:val="auto"/>
          <w:sz w:val="24"/>
          <w:szCs w:val="20"/>
          <w:highlight w:val="none"/>
        </w:rPr>
      </w:pPr>
    </w:p>
    <w:p w14:paraId="7F38751C">
      <w:pPr>
        <w:pageBreakBefore w:val="0"/>
        <w:widowControl w:val="0"/>
        <w:kinsoku/>
        <w:wordWrap/>
        <w:overflowPunct/>
        <w:topLinePunct w:val="0"/>
        <w:autoSpaceDE/>
        <w:autoSpaceDN/>
        <w:bidi w:val="0"/>
        <w:adjustRightInd/>
        <w:snapToGrid w:val="0"/>
        <w:spacing w:before="120" w:beforeLines="50" w:after="50" w:line="360" w:lineRule="auto"/>
        <w:textAlignment w:val="auto"/>
        <w:rPr>
          <w:bCs/>
          <w:color w:val="auto"/>
          <w:sz w:val="24"/>
          <w:szCs w:val="20"/>
          <w:highlight w:val="none"/>
        </w:rPr>
      </w:pPr>
    </w:p>
    <w:p w14:paraId="336F5685">
      <w:pPr>
        <w:pageBreakBefore w:val="0"/>
        <w:widowControl w:val="0"/>
        <w:kinsoku/>
        <w:wordWrap/>
        <w:overflowPunct/>
        <w:topLinePunct w:val="0"/>
        <w:autoSpaceDE/>
        <w:autoSpaceDN/>
        <w:bidi w:val="0"/>
        <w:adjustRightInd/>
        <w:snapToGrid w:val="0"/>
        <w:spacing w:before="120" w:beforeLines="50" w:after="50" w:line="360" w:lineRule="auto"/>
        <w:textAlignment w:val="auto"/>
        <w:rPr>
          <w:bCs/>
          <w:color w:val="auto"/>
          <w:sz w:val="24"/>
          <w:szCs w:val="20"/>
          <w:highlight w:val="none"/>
        </w:rPr>
      </w:pPr>
    </w:p>
    <w:p w14:paraId="6227F042">
      <w:pPr>
        <w:pageBreakBefore w:val="0"/>
        <w:widowControl w:val="0"/>
        <w:kinsoku/>
        <w:wordWrap/>
        <w:overflowPunct/>
        <w:topLinePunct w:val="0"/>
        <w:autoSpaceDE/>
        <w:autoSpaceDN/>
        <w:bidi w:val="0"/>
        <w:adjustRightInd/>
        <w:snapToGrid w:val="0"/>
        <w:spacing w:before="120" w:beforeLines="50" w:after="50" w:line="360" w:lineRule="auto"/>
        <w:ind w:firstLine="640" w:firstLineChars="200"/>
        <w:textAlignment w:val="auto"/>
        <w:rPr>
          <w:bCs/>
          <w:color w:val="auto"/>
          <w:sz w:val="32"/>
          <w:szCs w:val="32"/>
          <w:highlight w:val="none"/>
        </w:rPr>
      </w:pPr>
      <w:r>
        <w:rPr>
          <w:bCs/>
          <w:color w:val="auto"/>
          <w:sz w:val="32"/>
          <w:szCs w:val="32"/>
          <w:highlight w:val="none"/>
        </w:rPr>
        <w:t>项目名称：</w:t>
      </w:r>
    </w:p>
    <w:p w14:paraId="4133294E">
      <w:pPr>
        <w:pageBreakBefore w:val="0"/>
        <w:widowControl w:val="0"/>
        <w:kinsoku/>
        <w:wordWrap/>
        <w:overflowPunct/>
        <w:topLinePunct w:val="0"/>
        <w:autoSpaceDE/>
        <w:autoSpaceDN/>
        <w:bidi w:val="0"/>
        <w:adjustRightInd/>
        <w:snapToGrid w:val="0"/>
        <w:spacing w:before="120" w:beforeLines="50" w:after="50" w:line="360" w:lineRule="auto"/>
        <w:ind w:firstLine="720" w:firstLineChars="225"/>
        <w:textAlignment w:val="auto"/>
        <w:rPr>
          <w:bCs/>
          <w:color w:val="auto"/>
          <w:sz w:val="32"/>
          <w:szCs w:val="32"/>
          <w:highlight w:val="none"/>
        </w:rPr>
      </w:pPr>
    </w:p>
    <w:p w14:paraId="2336CB0B">
      <w:pPr>
        <w:pageBreakBefore w:val="0"/>
        <w:widowControl w:val="0"/>
        <w:kinsoku/>
        <w:wordWrap/>
        <w:overflowPunct/>
        <w:topLinePunct w:val="0"/>
        <w:autoSpaceDE/>
        <w:autoSpaceDN/>
        <w:bidi w:val="0"/>
        <w:adjustRightInd/>
        <w:snapToGrid w:val="0"/>
        <w:spacing w:before="120" w:beforeLines="50" w:after="50" w:line="360" w:lineRule="auto"/>
        <w:ind w:firstLine="640" w:firstLineChars="200"/>
        <w:textAlignment w:val="auto"/>
        <w:rPr>
          <w:bCs/>
          <w:color w:val="auto"/>
          <w:sz w:val="32"/>
          <w:szCs w:val="32"/>
          <w:highlight w:val="none"/>
        </w:rPr>
      </w:pPr>
      <w:r>
        <w:rPr>
          <w:bCs/>
          <w:color w:val="auto"/>
          <w:sz w:val="32"/>
          <w:szCs w:val="32"/>
          <w:highlight w:val="none"/>
        </w:rPr>
        <w:t>项目编号：</w:t>
      </w:r>
    </w:p>
    <w:p w14:paraId="2ADB4DD3">
      <w:pPr>
        <w:pageBreakBefore w:val="0"/>
        <w:widowControl w:val="0"/>
        <w:kinsoku/>
        <w:wordWrap/>
        <w:overflowPunct/>
        <w:topLinePunct w:val="0"/>
        <w:autoSpaceDE/>
        <w:autoSpaceDN/>
        <w:bidi w:val="0"/>
        <w:adjustRightInd/>
        <w:snapToGrid w:val="0"/>
        <w:spacing w:before="120" w:beforeLines="50" w:after="50" w:line="360" w:lineRule="auto"/>
        <w:ind w:firstLine="720" w:firstLineChars="225"/>
        <w:textAlignment w:val="auto"/>
        <w:rPr>
          <w:bCs/>
          <w:color w:val="auto"/>
          <w:sz w:val="32"/>
          <w:szCs w:val="32"/>
          <w:highlight w:val="none"/>
        </w:rPr>
      </w:pPr>
      <w:r>
        <w:rPr>
          <w:bCs/>
          <w:color w:val="auto"/>
          <w:sz w:val="32"/>
          <w:szCs w:val="32"/>
          <w:highlight w:val="none"/>
        </w:rPr>
        <w:t xml:space="preserve"> </w:t>
      </w:r>
    </w:p>
    <w:p w14:paraId="1141995E">
      <w:pPr>
        <w:pageBreakBefore w:val="0"/>
        <w:widowControl w:val="0"/>
        <w:kinsoku/>
        <w:wordWrap/>
        <w:overflowPunct/>
        <w:topLinePunct w:val="0"/>
        <w:autoSpaceDE/>
        <w:autoSpaceDN/>
        <w:bidi w:val="0"/>
        <w:adjustRightInd/>
        <w:snapToGrid w:val="0"/>
        <w:spacing w:before="120" w:beforeLines="50" w:after="50" w:line="360" w:lineRule="auto"/>
        <w:ind w:firstLine="640" w:firstLineChars="200"/>
        <w:textAlignment w:val="auto"/>
        <w:rPr>
          <w:bCs/>
          <w:color w:val="auto"/>
          <w:sz w:val="32"/>
          <w:szCs w:val="32"/>
          <w:highlight w:val="none"/>
        </w:rPr>
      </w:pPr>
      <w:r>
        <w:rPr>
          <w:bCs/>
          <w:color w:val="auto"/>
          <w:sz w:val="32"/>
          <w:szCs w:val="32"/>
          <w:highlight w:val="none"/>
        </w:rPr>
        <w:t>所竞分标（如有则填写，无分标时填写</w:t>
      </w:r>
      <w:r>
        <w:rPr>
          <w:rFonts w:hint="eastAsia"/>
          <w:bCs/>
          <w:color w:val="auto"/>
          <w:sz w:val="32"/>
          <w:szCs w:val="32"/>
          <w:highlight w:val="none"/>
          <w:lang w:eastAsia="zh-CN"/>
        </w:rPr>
        <w:t>“</w:t>
      </w:r>
      <w:r>
        <w:rPr>
          <w:bCs/>
          <w:color w:val="auto"/>
          <w:sz w:val="32"/>
          <w:szCs w:val="32"/>
          <w:highlight w:val="none"/>
        </w:rPr>
        <w:t>无</w:t>
      </w:r>
      <w:r>
        <w:rPr>
          <w:rFonts w:hint="eastAsia"/>
          <w:bCs/>
          <w:color w:val="auto"/>
          <w:sz w:val="32"/>
          <w:szCs w:val="32"/>
          <w:highlight w:val="none"/>
          <w:lang w:eastAsia="zh-CN"/>
        </w:rPr>
        <w:t>”</w:t>
      </w:r>
      <w:r>
        <w:rPr>
          <w:bCs/>
          <w:color w:val="auto"/>
          <w:sz w:val="32"/>
          <w:szCs w:val="32"/>
          <w:highlight w:val="none"/>
        </w:rPr>
        <w:t>或者留空）：</w:t>
      </w:r>
    </w:p>
    <w:p w14:paraId="75FEC7AB">
      <w:pPr>
        <w:pageBreakBefore w:val="0"/>
        <w:widowControl w:val="0"/>
        <w:kinsoku/>
        <w:wordWrap/>
        <w:overflowPunct/>
        <w:topLinePunct w:val="0"/>
        <w:autoSpaceDE/>
        <w:autoSpaceDN/>
        <w:bidi w:val="0"/>
        <w:adjustRightInd/>
        <w:snapToGrid w:val="0"/>
        <w:spacing w:before="120" w:beforeLines="50" w:after="50" w:line="360" w:lineRule="auto"/>
        <w:ind w:firstLine="720" w:firstLineChars="225"/>
        <w:textAlignment w:val="auto"/>
        <w:rPr>
          <w:bCs/>
          <w:color w:val="auto"/>
          <w:sz w:val="32"/>
          <w:szCs w:val="32"/>
          <w:highlight w:val="none"/>
        </w:rPr>
      </w:pPr>
    </w:p>
    <w:p w14:paraId="740D2641">
      <w:pPr>
        <w:pStyle w:val="10"/>
        <w:pageBreakBefore w:val="0"/>
        <w:widowControl w:val="0"/>
        <w:kinsoku/>
        <w:wordWrap/>
        <w:overflowPunct/>
        <w:topLinePunct w:val="0"/>
        <w:autoSpaceDE/>
        <w:autoSpaceDN/>
        <w:bidi w:val="0"/>
        <w:adjustRightInd/>
        <w:snapToGrid w:val="0"/>
        <w:spacing w:before="50" w:after="50" w:line="360" w:lineRule="auto"/>
        <w:ind w:firstLine="640" w:firstLineChars="200"/>
        <w:textAlignment w:val="auto"/>
        <w:rPr>
          <w:bCs/>
          <w:color w:val="auto"/>
          <w:sz w:val="32"/>
          <w:szCs w:val="32"/>
          <w:highlight w:val="none"/>
        </w:rPr>
      </w:pPr>
      <w:r>
        <w:rPr>
          <w:bCs/>
          <w:color w:val="auto"/>
          <w:sz w:val="32"/>
          <w:szCs w:val="32"/>
          <w:highlight w:val="none"/>
        </w:rPr>
        <w:t>供应商名称：</w:t>
      </w:r>
    </w:p>
    <w:p w14:paraId="7657C20A">
      <w:pPr>
        <w:pStyle w:val="10"/>
        <w:pageBreakBefore w:val="0"/>
        <w:widowControl w:val="0"/>
        <w:kinsoku/>
        <w:wordWrap/>
        <w:overflowPunct/>
        <w:topLinePunct w:val="0"/>
        <w:autoSpaceDE/>
        <w:autoSpaceDN/>
        <w:bidi w:val="0"/>
        <w:adjustRightInd/>
        <w:snapToGrid w:val="0"/>
        <w:spacing w:before="50" w:after="50" w:line="360" w:lineRule="auto"/>
        <w:ind w:firstLine="720" w:firstLineChars="225"/>
        <w:textAlignment w:val="auto"/>
        <w:rPr>
          <w:bCs/>
          <w:color w:val="auto"/>
          <w:sz w:val="32"/>
          <w:szCs w:val="32"/>
          <w:highlight w:val="none"/>
        </w:rPr>
      </w:pPr>
    </w:p>
    <w:p w14:paraId="6B60008E">
      <w:pPr>
        <w:pageBreakBefore w:val="0"/>
        <w:widowControl w:val="0"/>
        <w:kinsoku/>
        <w:wordWrap/>
        <w:overflowPunct/>
        <w:topLinePunct w:val="0"/>
        <w:autoSpaceDE/>
        <w:autoSpaceDN/>
        <w:bidi w:val="0"/>
        <w:adjustRightInd/>
        <w:snapToGrid w:val="0"/>
        <w:spacing w:before="120" w:beforeLines="50" w:after="50" w:line="360" w:lineRule="auto"/>
        <w:jc w:val="center"/>
        <w:textAlignment w:val="auto"/>
        <w:rPr>
          <w:color w:val="auto"/>
          <w:sz w:val="32"/>
          <w:szCs w:val="32"/>
          <w:highlight w:val="none"/>
        </w:rPr>
      </w:pPr>
      <w:r>
        <w:rPr>
          <w:color w:val="auto"/>
          <w:sz w:val="32"/>
          <w:szCs w:val="32"/>
          <w:highlight w:val="none"/>
        </w:rPr>
        <w:t>年    月    日</w:t>
      </w:r>
    </w:p>
    <w:p w14:paraId="1FE9A3DB">
      <w:pPr>
        <w:snapToGrid w:val="0"/>
        <w:spacing w:before="120" w:beforeLines="50" w:after="50" w:line="360" w:lineRule="auto"/>
        <w:jc w:val="left"/>
        <w:outlineLvl w:val="2"/>
        <w:rPr>
          <w:color w:val="auto"/>
          <w:sz w:val="28"/>
          <w:szCs w:val="28"/>
          <w:highlight w:val="none"/>
        </w:rPr>
      </w:pPr>
      <w:r>
        <w:rPr>
          <w:color w:val="auto"/>
          <w:sz w:val="24"/>
          <w:highlight w:val="none"/>
        </w:rPr>
        <w:br w:type="page"/>
      </w:r>
      <w:bookmarkStart w:id="226" w:name="_Toc9148"/>
      <w:r>
        <w:rPr>
          <w:b/>
          <w:color w:val="auto"/>
          <w:sz w:val="28"/>
          <w:szCs w:val="28"/>
          <w:highlight w:val="none"/>
        </w:rPr>
        <w:t>2.</w:t>
      </w:r>
      <w:r>
        <w:rPr>
          <w:b/>
          <w:bCs/>
          <w:color w:val="auto"/>
          <w:sz w:val="28"/>
          <w:szCs w:val="28"/>
          <w:highlight w:val="none"/>
        </w:rPr>
        <w:t>报价</w:t>
      </w:r>
      <w:r>
        <w:rPr>
          <w:rFonts w:ascii="Times New Roman" w:hAnsi="Times New Roman" w:eastAsia="宋体" w:cs="Times New Roman"/>
          <w:b/>
          <w:bCs/>
          <w:color w:val="auto"/>
          <w:sz w:val="28"/>
          <w:szCs w:val="28"/>
          <w:highlight w:val="none"/>
        </w:rPr>
        <w:t>文件</w:t>
      </w:r>
      <w:r>
        <w:rPr>
          <w:b/>
          <w:bCs/>
          <w:color w:val="auto"/>
          <w:sz w:val="28"/>
          <w:szCs w:val="28"/>
          <w:highlight w:val="none"/>
        </w:rPr>
        <w:t>目录</w:t>
      </w:r>
      <w:bookmarkEnd w:id="226"/>
    </w:p>
    <w:p w14:paraId="42C3EC9E">
      <w:pPr>
        <w:snapToGrid w:val="0"/>
        <w:spacing w:before="50" w:after="120" w:afterLines="50" w:line="360" w:lineRule="auto"/>
        <w:ind w:firstLine="560" w:firstLineChars="200"/>
        <w:jc w:val="left"/>
        <w:rPr>
          <w:b/>
          <w:color w:val="auto"/>
          <w:sz w:val="28"/>
          <w:szCs w:val="28"/>
          <w:highlight w:val="none"/>
        </w:rPr>
      </w:pPr>
      <w:r>
        <w:rPr>
          <w:color w:val="auto"/>
          <w:sz w:val="28"/>
          <w:szCs w:val="28"/>
          <w:highlight w:val="none"/>
        </w:rPr>
        <w:t>根据竞争性磋商文件规定及供应商提供的材料自行编写目录</w:t>
      </w:r>
      <w:r>
        <w:rPr>
          <w:color w:val="auto"/>
          <w:kern w:val="0"/>
          <w:sz w:val="28"/>
          <w:szCs w:val="28"/>
          <w:highlight w:val="none"/>
        </w:rPr>
        <w:t>（部分格式后附）</w:t>
      </w:r>
      <w:r>
        <w:rPr>
          <w:color w:val="auto"/>
          <w:sz w:val="28"/>
          <w:szCs w:val="28"/>
          <w:highlight w:val="none"/>
        </w:rPr>
        <w:t>。</w:t>
      </w:r>
    </w:p>
    <w:p w14:paraId="21C13A59">
      <w:pPr>
        <w:spacing w:line="360" w:lineRule="auto"/>
        <w:rPr>
          <w:rFonts w:eastAsia="仿宋_GB2312"/>
          <w:color w:val="auto"/>
          <w:sz w:val="24"/>
          <w:highlight w:val="none"/>
        </w:rPr>
      </w:pPr>
    </w:p>
    <w:p w14:paraId="2AA5EED0">
      <w:pPr>
        <w:snapToGrid w:val="0"/>
        <w:spacing w:before="120" w:beforeLines="50" w:after="50" w:line="360" w:lineRule="auto"/>
        <w:ind w:left="142" w:firstLine="640" w:firstLineChars="200"/>
        <w:jc w:val="left"/>
        <w:rPr>
          <w:rFonts w:hint="eastAsia" w:ascii="仿宋_GB2312" w:hAnsi="仿宋_GB2312" w:eastAsia="仿宋_GB2312" w:cs="仿宋_GB2312"/>
          <w:color w:val="auto"/>
          <w:sz w:val="32"/>
          <w:szCs w:val="32"/>
          <w:highlight w:val="none"/>
        </w:rPr>
      </w:pPr>
    </w:p>
    <w:p w14:paraId="63016C29">
      <w:pPr>
        <w:snapToGrid w:val="0"/>
        <w:spacing w:before="120" w:beforeLines="50" w:after="50" w:line="360" w:lineRule="auto"/>
        <w:jc w:val="left"/>
        <w:outlineLvl w:val="2"/>
        <w:rPr>
          <w:color w:val="auto"/>
          <w:szCs w:val="21"/>
          <w:highlight w:val="none"/>
        </w:rPr>
      </w:pPr>
      <w:r>
        <w:rPr>
          <w:rFonts w:ascii="Calibri" w:cs="仿宋_GB2312"/>
          <w:color w:val="auto"/>
          <w:sz w:val="24"/>
          <w:highlight w:val="none"/>
        </w:rPr>
        <w:br w:type="page"/>
      </w:r>
      <w:bookmarkStart w:id="227" w:name="_Toc8665"/>
      <w:r>
        <w:rPr>
          <w:b/>
          <w:color w:val="auto"/>
          <w:sz w:val="28"/>
          <w:szCs w:val="28"/>
          <w:highlight w:val="none"/>
        </w:rPr>
        <w:t>3.</w:t>
      </w:r>
      <w:r>
        <w:rPr>
          <w:b/>
          <w:color w:val="auto"/>
          <w:sz w:val="28"/>
          <w:szCs w:val="28"/>
          <w:highlight w:val="none"/>
          <w:lang w:val="zh-CN"/>
        </w:rPr>
        <w:t>响应函的格式：</w:t>
      </w:r>
      <w:bookmarkEnd w:id="227"/>
    </w:p>
    <w:p w14:paraId="63DF5A98">
      <w:pPr>
        <w:keepNext w:val="0"/>
        <w:keepLines w:val="0"/>
        <w:pageBreakBefore w:val="0"/>
        <w:widowControl w:val="0"/>
        <w:kinsoku/>
        <w:wordWrap/>
        <w:overflowPunct/>
        <w:topLinePunct w:val="0"/>
        <w:autoSpaceDE/>
        <w:autoSpaceDN/>
        <w:bidi w:val="0"/>
        <w:adjustRightInd/>
        <w:spacing w:line="360" w:lineRule="auto"/>
        <w:jc w:val="center"/>
        <w:textAlignment w:val="auto"/>
        <w:rPr>
          <w:b/>
          <w:bCs/>
          <w:color w:val="auto"/>
          <w:kern w:val="0"/>
          <w:sz w:val="28"/>
          <w:szCs w:val="28"/>
          <w:highlight w:val="none"/>
        </w:rPr>
      </w:pPr>
      <w:r>
        <w:rPr>
          <w:b/>
          <w:bCs/>
          <w:color w:val="auto"/>
          <w:kern w:val="0"/>
          <w:sz w:val="28"/>
          <w:szCs w:val="28"/>
          <w:highlight w:val="none"/>
        </w:rPr>
        <w:t>响应函</w:t>
      </w:r>
    </w:p>
    <w:p w14:paraId="71CBF7CA">
      <w:pPr>
        <w:keepNext w:val="0"/>
        <w:keepLines w:val="0"/>
        <w:pageBreakBefore w:val="0"/>
        <w:widowControl w:val="0"/>
        <w:kinsoku/>
        <w:wordWrap/>
        <w:overflowPunct/>
        <w:topLinePunct w:val="0"/>
        <w:autoSpaceDE/>
        <w:autoSpaceDN/>
        <w:bidi w:val="0"/>
        <w:adjustRightInd/>
        <w:spacing w:line="360" w:lineRule="auto"/>
        <w:textAlignment w:val="auto"/>
        <w:rPr>
          <w:color w:val="auto"/>
          <w:kern w:val="0"/>
          <w:szCs w:val="21"/>
          <w:highlight w:val="none"/>
        </w:rPr>
      </w:pPr>
    </w:p>
    <w:p w14:paraId="6EE29237">
      <w:pPr>
        <w:keepNext w:val="0"/>
        <w:keepLines w:val="0"/>
        <w:pageBreakBefore w:val="0"/>
        <w:widowControl w:val="0"/>
        <w:kinsoku/>
        <w:wordWrap/>
        <w:overflowPunct/>
        <w:topLinePunct w:val="0"/>
        <w:autoSpaceDE/>
        <w:autoSpaceDN/>
        <w:bidi w:val="0"/>
        <w:adjustRightInd/>
        <w:spacing w:line="360" w:lineRule="auto"/>
        <w:textAlignment w:val="auto"/>
        <w:rPr>
          <w:color w:val="auto"/>
          <w:kern w:val="0"/>
          <w:szCs w:val="21"/>
          <w:highlight w:val="none"/>
        </w:rPr>
      </w:pPr>
      <w:r>
        <w:rPr>
          <w:color w:val="auto"/>
          <w:kern w:val="0"/>
          <w:szCs w:val="21"/>
          <w:highlight w:val="none"/>
        </w:rPr>
        <w:t>致：</w:t>
      </w:r>
      <w:r>
        <w:rPr>
          <w:color w:val="auto"/>
          <w:kern w:val="0"/>
          <w:szCs w:val="21"/>
          <w:highlight w:val="none"/>
          <w:u w:val="single"/>
        </w:rPr>
        <w:t xml:space="preserve">                      </w:t>
      </w:r>
      <w:r>
        <w:rPr>
          <w:color w:val="auto"/>
          <w:kern w:val="0"/>
          <w:szCs w:val="21"/>
          <w:highlight w:val="none"/>
        </w:rPr>
        <w:t>（采购代理机构名称）</w:t>
      </w:r>
    </w:p>
    <w:p w14:paraId="4685E2D1">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我方已仔细阅读了贵方组织的</w:t>
      </w:r>
      <w:r>
        <w:rPr>
          <w:color w:val="auto"/>
          <w:kern w:val="0"/>
          <w:szCs w:val="21"/>
          <w:highlight w:val="none"/>
          <w:u w:val="single"/>
        </w:rPr>
        <w:t xml:space="preserve">                </w:t>
      </w:r>
      <w:r>
        <w:rPr>
          <w:color w:val="auto"/>
          <w:kern w:val="0"/>
          <w:szCs w:val="21"/>
          <w:highlight w:val="none"/>
        </w:rPr>
        <w:t>项目（项目编号：</w:t>
      </w:r>
      <w:r>
        <w:rPr>
          <w:color w:val="auto"/>
          <w:kern w:val="0"/>
          <w:szCs w:val="21"/>
          <w:highlight w:val="none"/>
          <w:u w:val="single"/>
        </w:rPr>
        <w:t xml:space="preserve">             </w:t>
      </w:r>
      <w:r>
        <w:rPr>
          <w:color w:val="auto"/>
          <w:kern w:val="0"/>
          <w:szCs w:val="21"/>
          <w:highlight w:val="none"/>
        </w:rPr>
        <w:t xml:space="preserve">）的竞争性磋商文件的全部内容，现正式递交下述文件参加贵方组织的本次政府采购活动： </w:t>
      </w:r>
    </w:p>
    <w:p w14:paraId="3E8E9190">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一、首次报价文件电子版（包含按</w:t>
      </w:r>
      <w:r>
        <w:rPr>
          <w:rFonts w:hint="eastAsia"/>
          <w:color w:val="auto"/>
          <w:kern w:val="0"/>
          <w:szCs w:val="21"/>
          <w:highlight w:val="none"/>
          <w:lang w:eastAsia="zh-CN"/>
        </w:rPr>
        <w:t>“</w:t>
      </w:r>
      <w:r>
        <w:rPr>
          <w:color w:val="auto"/>
          <w:kern w:val="0"/>
          <w:szCs w:val="21"/>
          <w:highlight w:val="none"/>
        </w:rPr>
        <w:t>第三章 供应商须知</w:t>
      </w:r>
      <w:r>
        <w:rPr>
          <w:rFonts w:hint="eastAsia"/>
          <w:color w:val="auto"/>
          <w:kern w:val="0"/>
          <w:szCs w:val="21"/>
          <w:highlight w:val="none"/>
          <w:lang w:eastAsia="zh-CN"/>
        </w:rPr>
        <w:t>”</w:t>
      </w:r>
      <w:r>
        <w:rPr>
          <w:color w:val="auto"/>
          <w:kern w:val="0"/>
          <w:szCs w:val="21"/>
          <w:highlight w:val="none"/>
        </w:rPr>
        <w:t>提交的全部文件）；</w:t>
      </w:r>
    </w:p>
    <w:p w14:paraId="1EB5CC2D">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二、技术文件电子版（包含按</w:t>
      </w:r>
      <w:r>
        <w:rPr>
          <w:rFonts w:hint="eastAsia"/>
          <w:color w:val="auto"/>
          <w:kern w:val="0"/>
          <w:szCs w:val="21"/>
          <w:highlight w:val="none"/>
          <w:lang w:eastAsia="zh-CN"/>
        </w:rPr>
        <w:t>“</w:t>
      </w:r>
      <w:r>
        <w:rPr>
          <w:color w:val="auto"/>
          <w:kern w:val="0"/>
          <w:szCs w:val="21"/>
          <w:highlight w:val="none"/>
        </w:rPr>
        <w:t>第三章 供应商须知</w:t>
      </w:r>
      <w:r>
        <w:rPr>
          <w:rFonts w:hint="eastAsia"/>
          <w:color w:val="auto"/>
          <w:kern w:val="0"/>
          <w:szCs w:val="21"/>
          <w:highlight w:val="none"/>
          <w:lang w:eastAsia="zh-CN"/>
        </w:rPr>
        <w:t>”</w:t>
      </w:r>
      <w:r>
        <w:rPr>
          <w:color w:val="auto"/>
          <w:kern w:val="0"/>
          <w:szCs w:val="21"/>
          <w:highlight w:val="none"/>
        </w:rPr>
        <w:t>提交的全部文件）；商务文件电子版（包含按</w:t>
      </w:r>
      <w:r>
        <w:rPr>
          <w:rFonts w:hint="eastAsia"/>
          <w:color w:val="auto"/>
          <w:kern w:val="0"/>
          <w:szCs w:val="21"/>
          <w:highlight w:val="none"/>
          <w:lang w:eastAsia="zh-CN"/>
        </w:rPr>
        <w:t>“</w:t>
      </w:r>
      <w:r>
        <w:rPr>
          <w:color w:val="auto"/>
          <w:kern w:val="0"/>
          <w:szCs w:val="21"/>
          <w:highlight w:val="none"/>
        </w:rPr>
        <w:t>第三章 供应商须知</w:t>
      </w:r>
      <w:r>
        <w:rPr>
          <w:rFonts w:hint="eastAsia"/>
          <w:color w:val="auto"/>
          <w:kern w:val="0"/>
          <w:szCs w:val="21"/>
          <w:highlight w:val="none"/>
          <w:lang w:eastAsia="zh-CN"/>
        </w:rPr>
        <w:t>”</w:t>
      </w:r>
      <w:r>
        <w:rPr>
          <w:color w:val="auto"/>
          <w:kern w:val="0"/>
          <w:szCs w:val="21"/>
          <w:highlight w:val="none"/>
        </w:rPr>
        <w:t>提交的全部文件）；</w:t>
      </w:r>
    </w:p>
    <w:p w14:paraId="07CF637B">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三、资格证明文件电子版（包含按</w:t>
      </w:r>
      <w:r>
        <w:rPr>
          <w:rFonts w:hint="eastAsia"/>
          <w:color w:val="auto"/>
          <w:kern w:val="0"/>
          <w:szCs w:val="21"/>
          <w:highlight w:val="none"/>
          <w:lang w:eastAsia="zh-CN"/>
        </w:rPr>
        <w:t>“</w:t>
      </w:r>
      <w:r>
        <w:rPr>
          <w:color w:val="auto"/>
          <w:kern w:val="0"/>
          <w:szCs w:val="21"/>
          <w:highlight w:val="none"/>
        </w:rPr>
        <w:t>第三章供应商须知</w:t>
      </w:r>
      <w:r>
        <w:rPr>
          <w:rFonts w:hint="eastAsia"/>
          <w:color w:val="auto"/>
          <w:kern w:val="0"/>
          <w:szCs w:val="21"/>
          <w:highlight w:val="none"/>
          <w:lang w:eastAsia="zh-CN"/>
        </w:rPr>
        <w:t>”</w:t>
      </w:r>
      <w:r>
        <w:rPr>
          <w:color w:val="auto"/>
          <w:kern w:val="0"/>
          <w:szCs w:val="21"/>
          <w:highlight w:val="none"/>
        </w:rPr>
        <w:t>提交的全部文件）。</w:t>
      </w:r>
    </w:p>
    <w:p w14:paraId="526EC09F">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据此函，</w:t>
      </w:r>
      <w:r>
        <w:rPr>
          <w:rFonts w:hint="eastAsia"/>
          <w:color w:val="auto"/>
          <w:kern w:val="0"/>
          <w:szCs w:val="21"/>
          <w:highlight w:val="none"/>
          <w:lang w:eastAsia="zh-CN"/>
        </w:rPr>
        <w:t>我方</w:t>
      </w:r>
      <w:r>
        <w:rPr>
          <w:color w:val="auto"/>
          <w:kern w:val="0"/>
          <w:szCs w:val="21"/>
          <w:highlight w:val="none"/>
        </w:rPr>
        <w:t>兹宣布：</w:t>
      </w:r>
    </w:p>
    <w:p w14:paraId="04E7C91C">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1、我方愿意以磋商时提交的最后报价表中的</w:t>
      </w:r>
      <w:r>
        <w:rPr>
          <w:rFonts w:hint="eastAsia"/>
          <w:color w:val="auto"/>
          <w:kern w:val="0"/>
          <w:szCs w:val="21"/>
          <w:highlight w:val="none"/>
        </w:rPr>
        <w:t>磋商</w:t>
      </w:r>
      <w:r>
        <w:rPr>
          <w:color w:val="auto"/>
          <w:kern w:val="0"/>
          <w:szCs w:val="21"/>
          <w:highlight w:val="none"/>
        </w:rPr>
        <w:t>总报价，在承诺的</w:t>
      </w:r>
      <w:r>
        <w:rPr>
          <w:rFonts w:hint="eastAsia"/>
          <w:color w:val="auto"/>
          <w:kern w:val="0"/>
          <w:szCs w:val="21"/>
          <w:highlight w:val="none"/>
        </w:rPr>
        <w:t>工期内</w:t>
      </w:r>
      <w:r>
        <w:rPr>
          <w:color w:val="auto"/>
          <w:kern w:val="0"/>
          <w:szCs w:val="21"/>
          <w:highlight w:val="none"/>
        </w:rPr>
        <w:t>提供本项目竞争性磋商文件第二章</w:t>
      </w:r>
      <w:r>
        <w:rPr>
          <w:rFonts w:hint="eastAsia"/>
          <w:color w:val="auto"/>
          <w:kern w:val="0"/>
          <w:szCs w:val="21"/>
          <w:highlight w:val="none"/>
          <w:lang w:eastAsia="zh-CN"/>
        </w:rPr>
        <w:t>“</w:t>
      </w:r>
      <w:r>
        <w:rPr>
          <w:color w:val="auto"/>
          <w:kern w:val="0"/>
          <w:szCs w:val="21"/>
          <w:highlight w:val="none"/>
        </w:rPr>
        <w:t>采购需求</w:t>
      </w:r>
      <w:r>
        <w:rPr>
          <w:rFonts w:hint="eastAsia"/>
          <w:color w:val="auto"/>
          <w:kern w:val="0"/>
          <w:szCs w:val="21"/>
          <w:highlight w:val="none"/>
          <w:lang w:eastAsia="zh-CN"/>
        </w:rPr>
        <w:t>”</w:t>
      </w:r>
      <w:r>
        <w:rPr>
          <w:color w:val="auto"/>
          <w:kern w:val="0"/>
          <w:szCs w:val="21"/>
          <w:highlight w:val="none"/>
        </w:rPr>
        <w:t>中相应的采购内容，具体详见最后报价表。</w:t>
      </w:r>
    </w:p>
    <w:p w14:paraId="39B90F5F">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2、</w:t>
      </w:r>
      <w:r>
        <w:rPr>
          <w:rFonts w:hint="eastAsia"/>
          <w:color w:val="auto"/>
          <w:kern w:val="0"/>
          <w:szCs w:val="21"/>
          <w:highlight w:val="none"/>
        </w:rPr>
        <w:t>我方同意自本项目竞争性磋商文件采购公告规定的</w:t>
      </w:r>
      <w:r>
        <w:rPr>
          <w:rFonts w:hint="eastAsia"/>
          <w:color w:val="auto"/>
          <w:kern w:val="0"/>
          <w:szCs w:val="21"/>
          <w:highlight w:val="none"/>
          <w:lang w:eastAsia="zh-CN"/>
        </w:rPr>
        <w:t>提</w:t>
      </w:r>
      <w:r>
        <w:rPr>
          <w:rFonts w:hint="eastAsia"/>
          <w:color w:val="auto"/>
          <w:kern w:val="0"/>
          <w:szCs w:val="21"/>
          <w:highlight w:val="none"/>
        </w:rPr>
        <w:t>交响应文件截止时间起遵循本响应函，并承诺在“第三章 供应商须知”规定的</w:t>
      </w:r>
      <w:r>
        <w:rPr>
          <w:rFonts w:hint="eastAsia"/>
          <w:color w:val="auto"/>
          <w:kern w:val="0"/>
          <w:szCs w:val="21"/>
          <w:highlight w:val="none"/>
          <w:lang w:val="en-US" w:eastAsia="zh-CN"/>
        </w:rPr>
        <w:t>竞标</w:t>
      </w:r>
      <w:r>
        <w:rPr>
          <w:rFonts w:hint="eastAsia"/>
          <w:color w:val="auto"/>
          <w:kern w:val="0"/>
          <w:szCs w:val="21"/>
          <w:highlight w:val="none"/>
        </w:rPr>
        <w:t>有效期内不修改、撤销响应文件</w:t>
      </w:r>
      <w:r>
        <w:rPr>
          <w:color w:val="auto"/>
          <w:kern w:val="0"/>
          <w:szCs w:val="21"/>
          <w:highlight w:val="none"/>
        </w:rPr>
        <w:t>。</w:t>
      </w:r>
    </w:p>
    <w:p w14:paraId="7870A399">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3、我方在此声明，所递交的响应文件及有关资料内容完整、真实和准确。</w:t>
      </w:r>
    </w:p>
    <w:p w14:paraId="3407FE28">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auto"/>
          <w:kern w:val="0"/>
          <w:szCs w:val="21"/>
          <w:highlight w:val="none"/>
        </w:rPr>
      </w:pPr>
      <w:r>
        <w:rPr>
          <w:color w:val="auto"/>
          <w:kern w:val="0"/>
          <w:szCs w:val="21"/>
          <w:highlight w:val="none"/>
        </w:rPr>
        <w:t>4、如本项目采购内容涉及须符合国家强制规定的，我方承诺我方本次竞标均符合国家有关强制规定。</w:t>
      </w:r>
    </w:p>
    <w:p w14:paraId="16A139C1">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color w:val="auto"/>
          <w:kern w:val="0"/>
          <w:szCs w:val="21"/>
          <w:highlight w:val="none"/>
        </w:rPr>
      </w:pPr>
      <w:r>
        <w:rPr>
          <w:rFonts w:hint="eastAsia"/>
          <w:color w:val="auto"/>
          <w:kern w:val="0"/>
          <w:szCs w:val="21"/>
          <w:highlight w:val="none"/>
        </w:rPr>
        <w:t>5、如我方成交，我方承诺在收到成交通知书后，在成交通知书规定的期限内，根据竞争性磋商文件、我方的响应文件及有关澄清承诺书的要求按第六章“合同文本”与采购人订立书面合同，并按照合同约定承担完成合同的责任和义务。</w:t>
      </w:r>
    </w:p>
    <w:p w14:paraId="023E902B">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color w:val="auto"/>
          <w:kern w:val="0"/>
          <w:szCs w:val="21"/>
          <w:highlight w:val="none"/>
        </w:rPr>
      </w:pPr>
      <w:r>
        <w:rPr>
          <w:rFonts w:hint="eastAsia"/>
          <w:color w:val="auto"/>
          <w:kern w:val="0"/>
          <w:szCs w:val="21"/>
          <w:highlight w:val="none"/>
          <w:lang w:val="en-US" w:eastAsia="zh-CN"/>
        </w:rPr>
        <w:t>6</w:t>
      </w:r>
      <w:r>
        <w:rPr>
          <w:rFonts w:hint="eastAsia"/>
          <w:color w:val="auto"/>
          <w:kern w:val="0"/>
          <w:szCs w:val="21"/>
          <w:highlight w:val="none"/>
        </w:rPr>
        <w:t>、我方已详细审核竞争性磋商文件，我方知道必须放弃提出含糊不清或误解问题的权利。</w:t>
      </w:r>
    </w:p>
    <w:p w14:paraId="518A4978">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color w:val="auto"/>
          <w:kern w:val="0"/>
          <w:szCs w:val="21"/>
          <w:highlight w:val="none"/>
        </w:rPr>
      </w:pPr>
      <w:r>
        <w:rPr>
          <w:rFonts w:hint="eastAsia"/>
          <w:color w:val="auto"/>
          <w:kern w:val="0"/>
          <w:szCs w:val="21"/>
          <w:highlight w:val="none"/>
          <w:lang w:val="en-US" w:eastAsia="zh-CN"/>
        </w:rPr>
        <w:t>7</w:t>
      </w:r>
      <w:r>
        <w:rPr>
          <w:rFonts w:hint="eastAsia"/>
          <w:color w:val="auto"/>
          <w:kern w:val="0"/>
          <w:szCs w:val="21"/>
          <w:highlight w:val="none"/>
        </w:rPr>
        <w:t>、我方承诺满足竞争性磋商文件第六章“合同文本”的条款，承担完成合同的责任和义务。</w:t>
      </w:r>
    </w:p>
    <w:p w14:paraId="2DB053D3">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color w:val="auto"/>
          <w:kern w:val="0"/>
          <w:szCs w:val="21"/>
          <w:highlight w:val="none"/>
        </w:rPr>
      </w:pPr>
      <w:r>
        <w:rPr>
          <w:rFonts w:hint="eastAsia"/>
          <w:color w:val="auto"/>
          <w:kern w:val="0"/>
          <w:szCs w:val="21"/>
          <w:highlight w:val="none"/>
          <w:lang w:val="en-US" w:eastAsia="zh-CN"/>
        </w:rPr>
        <w:t>8</w:t>
      </w:r>
      <w:r>
        <w:rPr>
          <w:rFonts w:hint="eastAsia"/>
          <w:color w:val="auto"/>
          <w:kern w:val="0"/>
          <w:szCs w:val="21"/>
          <w:highlight w:val="none"/>
        </w:rPr>
        <w:t>、我方同意应贵方要求提供与本竞标有关的任何数据或资料。若贵方需要，我方愿意提供我方作出的一切承诺的证明材料。</w:t>
      </w:r>
    </w:p>
    <w:p w14:paraId="2FC34088">
      <w:pPr>
        <w:keepNext w:val="0"/>
        <w:keepLines w:val="0"/>
        <w:pageBreakBefore w:val="0"/>
        <w:widowControl w:val="0"/>
        <w:kinsoku/>
        <w:wordWrap/>
        <w:overflowPunct/>
        <w:topLinePunct w:val="0"/>
        <w:autoSpaceDE/>
        <w:autoSpaceDN/>
        <w:bidi w:val="0"/>
        <w:adjustRightInd/>
        <w:spacing w:line="360" w:lineRule="auto"/>
        <w:ind w:firstLine="482"/>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9</w:t>
      </w:r>
      <w:r>
        <w:rPr>
          <w:rFonts w:hint="eastAsia" w:ascii="宋体" w:hAnsi="宋体" w:eastAsia="宋体" w:cs="宋体"/>
          <w:color w:val="auto"/>
          <w:kern w:val="0"/>
          <w:sz w:val="21"/>
          <w:szCs w:val="21"/>
          <w:highlight w:val="none"/>
        </w:rPr>
        <w:t>、我方完全理解贵方不一定接受响应报价最低的</w:t>
      </w:r>
      <w:r>
        <w:rPr>
          <w:rFonts w:hint="eastAsia" w:ascii="宋体" w:hAnsi="宋体" w:eastAsia="宋体" w:cs="宋体"/>
          <w:color w:val="auto"/>
          <w:kern w:val="0"/>
          <w:sz w:val="21"/>
          <w:szCs w:val="21"/>
          <w:highlight w:val="none"/>
          <w:lang w:eastAsia="zh-CN"/>
        </w:rPr>
        <w:t>供应商</w:t>
      </w:r>
      <w:r>
        <w:rPr>
          <w:rFonts w:hint="eastAsia" w:ascii="宋体" w:hAnsi="宋体" w:eastAsia="宋体" w:cs="宋体"/>
          <w:color w:val="auto"/>
          <w:kern w:val="0"/>
          <w:sz w:val="21"/>
          <w:szCs w:val="21"/>
          <w:highlight w:val="none"/>
        </w:rPr>
        <w:t>为成交供应商的行为。</w:t>
      </w:r>
    </w:p>
    <w:p w14:paraId="7AAF2C92">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1</w:t>
      </w:r>
      <w:r>
        <w:rPr>
          <w:rFonts w:hint="eastAsia" w:ascii="宋体" w:hAnsi="宋体" w:eastAsia="宋体" w:cs="宋体"/>
          <w:color w:val="auto"/>
          <w:kern w:val="0"/>
          <w:sz w:val="21"/>
          <w:szCs w:val="21"/>
          <w:highlight w:val="none"/>
          <w:lang w:val="en-US" w:eastAsia="zh-CN"/>
        </w:rPr>
        <w:t>0</w:t>
      </w:r>
      <w:r>
        <w:rPr>
          <w:rFonts w:hint="eastAsia" w:ascii="宋体" w:hAnsi="宋体" w:eastAsia="宋体" w:cs="宋体"/>
          <w:color w:val="auto"/>
          <w:kern w:val="0"/>
          <w:sz w:val="21"/>
          <w:szCs w:val="21"/>
          <w:highlight w:val="none"/>
        </w:rPr>
        <w:t>、我方将严格遵守《中华人民共和国政府采购法》第七十七条的规定，即供应商有下列情形之一的，处以采购金额千分之五以上千分之十以下的罚款，列入不良行为记录名单，在一至三年内禁止参加政府采购活动，有违法所得的，并处没收违法所得，情节严重的，由工商行政管理机关吊销营业执照；构成犯罪的，依法追究刑事责任：</w:t>
      </w:r>
    </w:p>
    <w:p w14:paraId="5A4609D6">
      <w:pPr>
        <w:keepNext w:val="0"/>
        <w:keepLines w:val="0"/>
        <w:pageBreakBefore w:val="0"/>
        <w:widowControl w:val="0"/>
        <w:numPr>
          <w:ilvl w:val="0"/>
          <w:numId w:val="3"/>
        </w:numPr>
        <w:tabs>
          <w:tab w:val="left" w:pos="945"/>
        </w:tabs>
        <w:kinsoku/>
        <w:wordWrap/>
        <w:overflowPunct/>
        <w:topLinePunct w:val="0"/>
        <w:autoSpaceDE/>
        <w:autoSpaceDN/>
        <w:bidi w:val="0"/>
        <w:adjustRightInd/>
        <w:snapToGrid/>
        <w:spacing w:line="360" w:lineRule="auto"/>
        <w:ind w:left="114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提供虚假材料谋取中标、成交的；</w:t>
      </w:r>
    </w:p>
    <w:p w14:paraId="295C3500">
      <w:pPr>
        <w:keepNext w:val="0"/>
        <w:keepLines w:val="0"/>
        <w:pageBreakBefore w:val="0"/>
        <w:widowControl w:val="0"/>
        <w:numPr>
          <w:ilvl w:val="0"/>
          <w:numId w:val="3"/>
        </w:numPr>
        <w:tabs>
          <w:tab w:val="left" w:pos="945"/>
        </w:tabs>
        <w:kinsoku/>
        <w:wordWrap/>
        <w:overflowPunct/>
        <w:topLinePunct w:val="0"/>
        <w:autoSpaceDE/>
        <w:autoSpaceDN/>
        <w:bidi w:val="0"/>
        <w:adjustRightInd/>
        <w:snapToGrid/>
        <w:spacing w:line="360" w:lineRule="auto"/>
        <w:ind w:left="114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采取不正当手段诋毁、排挤其他供应商的；</w:t>
      </w:r>
    </w:p>
    <w:p w14:paraId="61C4A5DC">
      <w:pPr>
        <w:keepNext w:val="0"/>
        <w:keepLines w:val="0"/>
        <w:pageBreakBefore w:val="0"/>
        <w:widowControl w:val="0"/>
        <w:numPr>
          <w:ilvl w:val="0"/>
          <w:numId w:val="3"/>
        </w:numPr>
        <w:tabs>
          <w:tab w:val="left" w:pos="945"/>
        </w:tabs>
        <w:kinsoku/>
        <w:wordWrap/>
        <w:overflowPunct/>
        <w:topLinePunct w:val="0"/>
        <w:autoSpaceDE/>
        <w:autoSpaceDN/>
        <w:bidi w:val="0"/>
        <w:adjustRightInd/>
        <w:snapToGrid/>
        <w:spacing w:line="360" w:lineRule="auto"/>
        <w:ind w:left="114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与采购人、其他供应商或者采购代理机构恶意串通的；</w:t>
      </w:r>
    </w:p>
    <w:p w14:paraId="0F769D95">
      <w:pPr>
        <w:keepNext w:val="0"/>
        <w:keepLines w:val="0"/>
        <w:pageBreakBefore w:val="0"/>
        <w:widowControl w:val="0"/>
        <w:numPr>
          <w:ilvl w:val="0"/>
          <w:numId w:val="3"/>
        </w:numPr>
        <w:tabs>
          <w:tab w:val="left" w:pos="945"/>
        </w:tabs>
        <w:kinsoku/>
        <w:wordWrap/>
        <w:overflowPunct/>
        <w:topLinePunct w:val="0"/>
        <w:autoSpaceDE/>
        <w:autoSpaceDN/>
        <w:bidi w:val="0"/>
        <w:adjustRightInd/>
        <w:snapToGrid/>
        <w:spacing w:line="360" w:lineRule="auto"/>
        <w:ind w:left="114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向采购人、采购代理机构行贿或者提供其他不正当利益的；</w:t>
      </w:r>
    </w:p>
    <w:p w14:paraId="139374FB">
      <w:pPr>
        <w:keepNext w:val="0"/>
        <w:keepLines w:val="0"/>
        <w:pageBreakBefore w:val="0"/>
        <w:widowControl w:val="0"/>
        <w:numPr>
          <w:ilvl w:val="0"/>
          <w:numId w:val="3"/>
        </w:numPr>
        <w:tabs>
          <w:tab w:val="left" w:pos="945"/>
        </w:tabs>
        <w:kinsoku/>
        <w:wordWrap/>
        <w:overflowPunct/>
        <w:topLinePunct w:val="0"/>
        <w:autoSpaceDE/>
        <w:autoSpaceDN/>
        <w:bidi w:val="0"/>
        <w:adjustRightInd/>
        <w:snapToGrid/>
        <w:spacing w:line="360" w:lineRule="auto"/>
        <w:ind w:left="114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在采购过程中与采购人进行协商</w:t>
      </w:r>
      <w:r>
        <w:rPr>
          <w:rFonts w:hint="eastAsia" w:ascii="宋体" w:hAnsi="宋体" w:eastAsia="宋体" w:cs="宋体"/>
          <w:color w:val="auto"/>
          <w:kern w:val="0"/>
          <w:sz w:val="21"/>
          <w:szCs w:val="21"/>
          <w:highlight w:val="none"/>
          <w:lang w:eastAsia="zh-CN"/>
        </w:rPr>
        <w:t>磋商</w:t>
      </w:r>
      <w:r>
        <w:rPr>
          <w:rFonts w:hint="eastAsia" w:ascii="宋体" w:hAnsi="宋体" w:eastAsia="宋体" w:cs="宋体"/>
          <w:color w:val="auto"/>
          <w:kern w:val="0"/>
          <w:sz w:val="21"/>
          <w:szCs w:val="21"/>
          <w:highlight w:val="none"/>
        </w:rPr>
        <w:t>的；</w:t>
      </w:r>
    </w:p>
    <w:p w14:paraId="579E2696">
      <w:pPr>
        <w:keepNext w:val="0"/>
        <w:keepLines w:val="0"/>
        <w:pageBreakBefore w:val="0"/>
        <w:widowControl w:val="0"/>
        <w:numPr>
          <w:ilvl w:val="0"/>
          <w:numId w:val="3"/>
        </w:numPr>
        <w:tabs>
          <w:tab w:val="left" w:pos="945"/>
        </w:tabs>
        <w:kinsoku/>
        <w:wordWrap/>
        <w:overflowPunct/>
        <w:topLinePunct w:val="0"/>
        <w:autoSpaceDE/>
        <w:autoSpaceDN/>
        <w:bidi w:val="0"/>
        <w:adjustRightInd/>
        <w:snapToGrid/>
        <w:spacing w:line="360" w:lineRule="auto"/>
        <w:ind w:left="114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拒绝有关部门监督检查或提供虚假情况的。</w:t>
      </w:r>
    </w:p>
    <w:p w14:paraId="7DCB411A">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color w:val="auto"/>
          <w:kern w:val="0"/>
          <w:sz w:val="21"/>
          <w:szCs w:val="21"/>
          <w:highlight w:val="none"/>
        </w:rPr>
      </w:pPr>
      <w:r>
        <w:rPr>
          <w:rFonts w:hint="eastAsia" w:ascii="宋体" w:hAnsi="宋体" w:eastAsia="宋体" w:cs="宋体"/>
          <w:color w:val="auto"/>
          <w:kern w:val="0"/>
          <w:sz w:val="21"/>
          <w:szCs w:val="21"/>
          <w:highlight w:val="none"/>
          <w:lang w:val="en-US" w:eastAsia="zh-CN"/>
        </w:rPr>
        <w:t>11、</w:t>
      </w:r>
      <w:r>
        <w:rPr>
          <w:rFonts w:hint="eastAsia" w:eastAsia="宋体" w:cs="Times New Roman"/>
          <w:color w:val="auto"/>
          <w:sz w:val="21"/>
          <w:szCs w:val="21"/>
          <w:highlight w:val="none"/>
        </w:rPr>
        <w:t>以上事项如有虚假或</w:t>
      </w:r>
      <w:r>
        <w:rPr>
          <w:rFonts w:hint="eastAsia" w:cs="Times New Roman"/>
          <w:color w:val="auto"/>
          <w:sz w:val="21"/>
          <w:szCs w:val="21"/>
          <w:highlight w:val="none"/>
          <w:lang w:val="en-US" w:eastAsia="zh-CN"/>
        </w:rPr>
        <w:t>者</w:t>
      </w:r>
      <w:r>
        <w:rPr>
          <w:rFonts w:hint="eastAsia" w:eastAsia="宋体" w:cs="Times New Roman"/>
          <w:color w:val="auto"/>
          <w:sz w:val="21"/>
          <w:szCs w:val="21"/>
          <w:highlight w:val="none"/>
        </w:rPr>
        <w:t>隐瞒，我方愿意承担一切后果，并不再寻求任何旨在减轻或</w:t>
      </w:r>
      <w:r>
        <w:rPr>
          <w:rFonts w:hint="eastAsia" w:cs="Times New Roman"/>
          <w:color w:val="auto"/>
          <w:sz w:val="21"/>
          <w:szCs w:val="21"/>
          <w:highlight w:val="none"/>
          <w:lang w:val="en-US" w:eastAsia="zh-CN"/>
        </w:rPr>
        <w:t>者</w:t>
      </w:r>
      <w:r>
        <w:rPr>
          <w:rFonts w:hint="eastAsia" w:eastAsia="宋体" w:cs="Times New Roman"/>
          <w:color w:val="auto"/>
          <w:sz w:val="21"/>
          <w:szCs w:val="21"/>
          <w:highlight w:val="none"/>
        </w:rPr>
        <w:t>免除法律责任的辩解</w:t>
      </w:r>
      <w:r>
        <w:rPr>
          <w:rFonts w:hint="eastAsia" w:eastAsia="宋体" w:cs="Times New Roman"/>
          <w:color w:val="auto"/>
          <w:sz w:val="21"/>
          <w:szCs w:val="21"/>
          <w:highlight w:val="none"/>
          <w:lang w:eastAsia="zh-CN"/>
        </w:rPr>
        <w:t>。</w:t>
      </w:r>
    </w:p>
    <w:p w14:paraId="78CD40BE">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b/>
          <w:bCs/>
          <w:color w:val="auto"/>
          <w:kern w:val="0"/>
          <w:szCs w:val="21"/>
          <w:highlight w:val="none"/>
        </w:rPr>
      </w:pPr>
      <w:r>
        <w:rPr>
          <w:b/>
          <w:bCs/>
          <w:color w:val="auto"/>
          <w:kern w:val="0"/>
          <w:szCs w:val="21"/>
          <w:highlight w:val="none"/>
        </w:rPr>
        <w:t>12</w:t>
      </w:r>
      <w:r>
        <w:rPr>
          <w:rFonts w:hint="eastAsia"/>
          <w:b/>
          <w:bCs/>
          <w:color w:val="auto"/>
          <w:kern w:val="0"/>
          <w:szCs w:val="21"/>
          <w:highlight w:val="none"/>
          <w:lang w:eastAsia="zh-CN"/>
        </w:rPr>
        <w:t>、</w:t>
      </w:r>
      <w:r>
        <w:rPr>
          <w:b/>
          <w:bCs/>
          <w:color w:val="auto"/>
          <w:kern w:val="0"/>
          <w:szCs w:val="21"/>
          <w:highlight w:val="none"/>
        </w:rPr>
        <w:t xml:space="preserve">与本磋商有关的一切正式往来信函请寄： </w:t>
      </w:r>
    </w:p>
    <w:p w14:paraId="36C76486">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kern w:val="0"/>
          <w:szCs w:val="21"/>
          <w:highlight w:val="none"/>
        </w:rPr>
      </w:pPr>
      <w:r>
        <w:rPr>
          <w:color w:val="auto"/>
          <w:kern w:val="0"/>
          <w:szCs w:val="21"/>
          <w:highlight w:val="none"/>
        </w:rPr>
        <w:t>地址：</w:t>
      </w:r>
      <w:r>
        <w:rPr>
          <w:color w:val="auto"/>
          <w:kern w:val="0"/>
          <w:szCs w:val="21"/>
          <w:highlight w:val="none"/>
          <w:u w:val="single"/>
        </w:rPr>
        <w:t xml:space="preserve">                                                        </w:t>
      </w:r>
      <w:r>
        <w:rPr>
          <w:color w:val="auto"/>
          <w:kern w:val="0"/>
          <w:szCs w:val="21"/>
          <w:highlight w:val="none"/>
        </w:rPr>
        <w:t xml:space="preserve"> </w:t>
      </w:r>
    </w:p>
    <w:p w14:paraId="33521B49">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kern w:val="0"/>
          <w:szCs w:val="21"/>
          <w:highlight w:val="none"/>
          <w:u w:val="single"/>
        </w:rPr>
      </w:pPr>
      <w:r>
        <w:rPr>
          <w:color w:val="auto"/>
          <w:kern w:val="0"/>
          <w:szCs w:val="21"/>
          <w:highlight w:val="none"/>
        </w:rPr>
        <w:t>电话：</w:t>
      </w:r>
      <w:r>
        <w:rPr>
          <w:color w:val="auto"/>
          <w:kern w:val="0"/>
          <w:szCs w:val="21"/>
          <w:highlight w:val="none"/>
          <w:u w:val="single"/>
        </w:rPr>
        <w:t xml:space="preserve">                                      　　　　　　　　　</w:t>
      </w:r>
    </w:p>
    <w:p w14:paraId="68190772">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kern w:val="0"/>
          <w:szCs w:val="21"/>
          <w:highlight w:val="none"/>
          <w:u w:val="single"/>
        </w:rPr>
      </w:pPr>
      <w:r>
        <w:rPr>
          <w:color w:val="auto"/>
          <w:kern w:val="0"/>
          <w:szCs w:val="21"/>
          <w:highlight w:val="none"/>
        </w:rPr>
        <w:t>传真：</w:t>
      </w:r>
      <w:r>
        <w:rPr>
          <w:color w:val="auto"/>
          <w:kern w:val="0"/>
          <w:szCs w:val="21"/>
          <w:highlight w:val="none"/>
          <w:u w:val="single"/>
        </w:rPr>
        <w:t>　　　　　　　　　　　　　　　　　　　　　　　　　　　　</w:t>
      </w:r>
    </w:p>
    <w:p w14:paraId="742E6CF9">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szCs w:val="21"/>
          <w:highlight w:val="none"/>
        </w:rPr>
      </w:pPr>
      <w:r>
        <w:rPr>
          <w:color w:val="auto"/>
          <w:kern w:val="0"/>
          <w:szCs w:val="21"/>
          <w:highlight w:val="none"/>
        </w:rPr>
        <w:t>电子邮箱：</w:t>
      </w:r>
      <w:r>
        <w:rPr>
          <w:color w:val="auto"/>
          <w:kern w:val="0"/>
          <w:szCs w:val="21"/>
          <w:highlight w:val="none"/>
          <w:u w:val="single"/>
        </w:rPr>
        <w:t>　　　　　　　　　　　　　　　　　　　　　　　　　　</w:t>
      </w:r>
    </w:p>
    <w:p w14:paraId="224CACDD">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kern w:val="0"/>
          <w:szCs w:val="21"/>
          <w:highlight w:val="none"/>
          <w:u w:val="single"/>
        </w:rPr>
      </w:pPr>
      <w:r>
        <w:rPr>
          <w:color w:val="auto"/>
          <w:kern w:val="0"/>
          <w:szCs w:val="21"/>
          <w:highlight w:val="none"/>
        </w:rPr>
        <w:t>邮政编码：</w:t>
      </w:r>
      <w:r>
        <w:rPr>
          <w:color w:val="auto"/>
          <w:kern w:val="0"/>
          <w:szCs w:val="21"/>
          <w:highlight w:val="none"/>
          <w:u w:val="single"/>
        </w:rPr>
        <w:t xml:space="preserve">                                                    </w:t>
      </w:r>
    </w:p>
    <w:p w14:paraId="07A3291A">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kern w:val="0"/>
          <w:szCs w:val="21"/>
          <w:highlight w:val="none"/>
          <w:u w:val="single"/>
        </w:rPr>
      </w:pPr>
      <w:r>
        <w:rPr>
          <w:color w:val="auto"/>
          <w:kern w:val="0"/>
          <w:szCs w:val="21"/>
          <w:highlight w:val="none"/>
        </w:rPr>
        <w:t>开户名称：</w:t>
      </w:r>
      <w:r>
        <w:rPr>
          <w:color w:val="auto"/>
          <w:kern w:val="0"/>
          <w:szCs w:val="21"/>
          <w:highlight w:val="none"/>
          <w:u w:val="single"/>
        </w:rPr>
        <w:t xml:space="preserve">                                                    </w:t>
      </w:r>
    </w:p>
    <w:p w14:paraId="4A1163BC">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kern w:val="0"/>
          <w:szCs w:val="21"/>
          <w:highlight w:val="none"/>
          <w:u w:val="single"/>
        </w:rPr>
      </w:pPr>
      <w:r>
        <w:rPr>
          <w:color w:val="auto"/>
          <w:kern w:val="0"/>
          <w:szCs w:val="21"/>
          <w:highlight w:val="none"/>
        </w:rPr>
        <w:t>开户银行：</w:t>
      </w:r>
      <w:r>
        <w:rPr>
          <w:color w:val="auto"/>
          <w:kern w:val="0"/>
          <w:szCs w:val="21"/>
          <w:highlight w:val="none"/>
          <w:u w:val="single"/>
        </w:rPr>
        <w:t xml:space="preserve">                                                    </w:t>
      </w:r>
    </w:p>
    <w:p w14:paraId="7A97CE9D">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color w:val="auto"/>
          <w:kern w:val="0"/>
          <w:szCs w:val="21"/>
          <w:highlight w:val="none"/>
          <w:u w:val="single"/>
        </w:rPr>
      </w:pPr>
      <w:r>
        <w:rPr>
          <w:color w:val="auto"/>
          <w:kern w:val="0"/>
          <w:szCs w:val="21"/>
          <w:highlight w:val="none"/>
        </w:rPr>
        <w:t>银行账号：</w:t>
      </w:r>
      <w:r>
        <w:rPr>
          <w:color w:val="auto"/>
          <w:kern w:val="0"/>
          <w:szCs w:val="21"/>
          <w:highlight w:val="none"/>
          <w:u w:val="single"/>
        </w:rPr>
        <w:t xml:space="preserve">                                                    </w:t>
      </w:r>
    </w:p>
    <w:p w14:paraId="7339BFE4">
      <w:pPr>
        <w:pStyle w:val="16"/>
        <w:keepNext w:val="0"/>
        <w:keepLines w:val="0"/>
        <w:pageBreakBefore w:val="0"/>
        <w:widowControl w:val="0"/>
        <w:tabs>
          <w:tab w:val="left" w:pos="939"/>
        </w:tabs>
        <w:kinsoku/>
        <w:wordWrap/>
        <w:overflowPunct/>
        <w:topLinePunct w:val="0"/>
        <w:autoSpaceDE/>
        <w:autoSpaceDN/>
        <w:bidi w:val="0"/>
        <w:adjustRightInd/>
        <w:snapToGrid/>
        <w:spacing w:line="360" w:lineRule="auto"/>
        <w:ind w:left="141" w:leftChars="67" w:firstLine="315" w:firstLineChars="150"/>
        <w:textAlignment w:val="auto"/>
        <w:rPr>
          <w:color w:val="auto"/>
          <w:szCs w:val="21"/>
          <w:highlight w:val="none"/>
        </w:rPr>
      </w:pPr>
      <w:r>
        <w:rPr>
          <w:color w:val="auto"/>
          <w:szCs w:val="21"/>
          <w:highlight w:val="none"/>
        </w:rPr>
        <w:t>特此承诺。</w:t>
      </w:r>
    </w:p>
    <w:p w14:paraId="2C83AB7B">
      <w:pPr>
        <w:keepNext w:val="0"/>
        <w:keepLines w:val="0"/>
        <w:pageBreakBefore w:val="0"/>
        <w:widowControl w:val="0"/>
        <w:kinsoku/>
        <w:wordWrap/>
        <w:overflowPunct/>
        <w:topLinePunct w:val="0"/>
        <w:autoSpaceDE/>
        <w:autoSpaceDN/>
        <w:bidi w:val="0"/>
        <w:adjustRightInd/>
        <w:spacing w:line="360" w:lineRule="auto"/>
        <w:contextualSpacing/>
        <w:jc w:val="left"/>
        <w:textAlignment w:val="auto"/>
        <w:rPr>
          <w:color w:val="auto"/>
          <w:szCs w:val="21"/>
          <w:highlight w:val="none"/>
        </w:rPr>
      </w:pPr>
    </w:p>
    <w:p w14:paraId="634B1EC6">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71777038">
      <w:pPr>
        <w:keepNext w:val="0"/>
        <w:keepLines w:val="0"/>
        <w:pageBreakBefore w:val="0"/>
        <w:widowControl w:val="0"/>
        <w:kinsoku/>
        <w:wordWrap/>
        <w:overflowPunct/>
        <w:topLinePunct w:val="0"/>
        <w:autoSpaceDE/>
        <w:autoSpaceDN/>
        <w:bidi w:val="0"/>
        <w:adjustRightInd/>
        <w:snapToGrid w:val="0"/>
        <w:spacing w:line="360" w:lineRule="auto"/>
        <w:ind w:firstLine="420" w:firstLineChars="200"/>
        <w:textAlignment w:val="auto"/>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1111D4BE">
      <w:pPr>
        <w:spacing w:line="500" w:lineRule="exact"/>
        <w:rPr>
          <w:b/>
          <w:color w:val="auto"/>
          <w:szCs w:val="21"/>
          <w:highlight w:val="none"/>
        </w:rPr>
      </w:pPr>
    </w:p>
    <w:p w14:paraId="6D9BBC21">
      <w:pPr>
        <w:snapToGrid w:val="0"/>
        <w:spacing w:before="120" w:beforeLines="50" w:after="50" w:line="360" w:lineRule="auto"/>
        <w:jc w:val="left"/>
        <w:outlineLvl w:val="2"/>
        <w:rPr>
          <w:color w:val="auto"/>
          <w:highlight w:val="none"/>
        </w:rPr>
      </w:pPr>
      <w:r>
        <w:rPr>
          <w:rFonts w:hint="eastAsia" w:ascii="宋体" w:hAnsi="宋体" w:cs="宋体"/>
          <w:b/>
          <w:color w:val="auto"/>
          <w:sz w:val="28"/>
          <w:szCs w:val="28"/>
          <w:highlight w:val="none"/>
        </w:rPr>
        <w:br w:type="page"/>
      </w:r>
      <w:bookmarkStart w:id="228" w:name="_Toc2842"/>
      <w:r>
        <w:rPr>
          <w:b/>
          <w:color w:val="auto"/>
          <w:sz w:val="28"/>
          <w:szCs w:val="28"/>
          <w:highlight w:val="none"/>
        </w:rPr>
        <w:t>4.</w:t>
      </w:r>
      <w:r>
        <w:rPr>
          <w:b/>
          <w:color w:val="auto"/>
          <w:sz w:val="28"/>
          <w:szCs w:val="28"/>
          <w:highlight w:val="none"/>
          <w:lang w:val="zh-CN"/>
        </w:rPr>
        <w:t>响应报价表的格式：</w:t>
      </w:r>
      <w:bookmarkEnd w:id="228"/>
    </w:p>
    <w:p w14:paraId="7770A1C4">
      <w:pPr>
        <w:keepNext w:val="0"/>
        <w:keepLines w:val="0"/>
        <w:pageBreakBefore w:val="0"/>
        <w:widowControl w:val="0"/>
        <w:kinsoku/>
        <w:wordWrap/>
        <w:overflowPunct/>
        <w:topLinePunct w:val="0"/>
        <w:bidi w:val="0"/>
        <w:adjustRightInd/>
        <w:spacing w:line="360" w:lineRule="auto"/>
        <w:jc w:val="center"/>
        <w:textAlignment w:val="auto"/>
        <w:rPr>
          <w:b/>
          <w:bCs/>
          <w:color w:val="auto"/>
          <w:sz w:val="32"/>
          <w:szCs w:val="32"/>
          <w:highlight w:val="none"/>
        </w:rPr>
      </w:pPr>
      <w:r>
        <w:rPr>
          <w:b/>
          <w:bCs/>
          <w:color w:val="auto"/>
          <w:sz w:val="32"/>
          <w:szCs w:val="32"/>
          <w:highlight w:val="none"/>
        </w:rPr>
        <w:t>响应报价表</w:t>
      </w:r>
    </w:p>
    <w:p w14:paraId="6DF3531F">
      <w:pPr>
        <w:keepNext w:val="0"/>
        <w:keepLines w:val="0"/>
        <w:pageBreakBefore w:val="0"/>
        <w:widowControl w:val="0"/>
        <w:kinsoku/>
        <w:wordWrap/>
        <w:overflowPunct/>
        <w:topLinePunct w:val="0"/>
        <w:autoSpaceDE/>
        <w:autoSpaceDN/>
        <w:bidi w:val="0"/>
        <w:adjustRightInd/>
        <w:snapToGrid w:val="0"/>
        <w:spacing w:before="50" w:after="50" w:line="360" w:lineRule="auto"/>
        <w:textAlignment w:val="auto"/>
        <w:rPr>
          <w:b/>
          <w:bCs/>
          <w:color w:val="auto"/>
          <w:szCs w:val="21"/>
          <w:highlight w:val="none"/>
        </w:rPr>
      </w:pPr>
      <w:r>
        <w:rPr>
          <w:rFonts w:hint="eastAsia" w:ascii="宋体" w:hAnsi="宋体" w:cs="宋体"/>
          <w:b/>
          <w:bCs/>
          <w:color w:val="auto"/>
          <w:szCs w:val="21"/>
          <w:highlight w:val="none"/>
        </w:rPr>
        <w:t>项</w:t>
      </w:r>
      <w:r>
        <w:rPr>
          <w:b/>
          <w:bCs/>
          <w:color w:val="auto"/>
          <w:szCs w:val="21"/>
          <w:highlight w:val="none"/>
        </w:rPr>
        <w:t>目名称：</w:t>
      </w:r>
      <w:r>
        <w:rPr>
          <w:b/>
          <w:bCs/>
          <w:color w:val="auto"/>
          <w:szCs w:val="21"/>
          <w:highlight w:val="none"/>
          <w:u w:val="single"/>
        </w:rPr>
        <w:t xml:space="preserve">                     </w:t>
      </w:r>
    </w:p>
    <w:p w14:paraId="638C7A04">
      <w:pPr>
        <w:keepNext w:val="0"/>
        <w:keepLines w:val="0"/>
        <w:pageBreakBefore w:val="0"/>
        <w:widowControl w:val="0"/>
        <w:kinsoku/>
        <w:wordWrap/>
        <w:overflowPunct/>
        <w:topLinePunct w:val="0"/>
        <w:autoSpaceDE/>
        <w:autoSpaceDN/>
        <w:bidi w:val="0"/>
        <w:adjustRightInd/>
        <w:snapToGrid w:val="0"/>
        <w:spacing w:before="50" w:after="50" w:line="360" w:lineRule="auto"/>
        <w:textAlignment w:val="auto"/>
        <w:rPr>
          <w:b/>
          <w:bCs/>
          <w:color w:val="auto"/>
          <w:szCs w:val="21"/>
          <w:highlight w:val="none"/>
        </w:rPr>
      </w:pPr>
      <w:r>
        <w:rPr>
          <w:b/>
          <w:bCs/>
          <w:color w:val="auto"/>
          <w:szCs w:val="21"/>
          <w:highlight w:val="none"/>
        </w:rPr>
        <w:t>项目编号：</w:t>
      </w:r>
      <w:r>
        <w:rPr>
          <w:b/>
          <w:bCs/>
          <w:color w:val="auto"/>
          <w:szCs w:val="21"/>
          <w:highlight w:val="none"/>
          <w:u w:val="single"/>
        </w:rPr>
        <w:t xml:space="preserve">                     </w:t>
      </w:r>
    </w:p>
    <w:p w14:paraId="4F324BF2">
      <w:pPr>
        <w:keepNext w:val="0"/>
        <w:keepLines w:val="0"/>
        <w:pageBreakBefore w:val="0"/>
        <w:widowControl w:val="0"/>
        <w:kinsoku/>
        <w:wordWrap/>
        <w:overflowPunct/>
        <w:topLinePunct w:val="0"/>
        <w:autoSpaceDE/>
        <w:autoSpaceDN/>
        <w:bidi w:val="0"/>
        <w:adjustRightInd/>
        <w:snapToGrid w:val="0"/>
        <w:spacing w:line="400" w:lineRule="exact"/>
        <w:textAlignment w:val="auto"/>
        <w:rPr>
          <w:color w:val="auto"/>
          <w:szCs w:val="21"/>
          <w:highlight w:val="none"/>
        </w:rPr>
      </w:pPr>
      <w:r>
        <w:rPr>
          <w:rFonts w:hint="eastAsia" w:cs="宋体"/>
          <w:b/>
          <w:bCs/>
          <w:color w:val="auto"/>
          <w:szCs w:val="21"/>
        </w:rPr>
        <w:t>所竞分标（如有则填写，无分标时填写“无”或者留空）：</w:t>
      </w:r>
      <w:r>
        <w:rPr>
          <w:rFonts w:hint="eastAsia" w:cs="宋体"/>
          <w:b/>
          <w:bCs/>
          <w:color w:val="auto"/>
          <w:szCs w:val="21"/>
          <w:u w:val="single"/>
        </w:rPr>
        <w:t xml:space="preserve">                  </w:t>
      </w:r>
    </w:p>
    <w:tbl>
      <w:tblPr>
        <w:tblStyle w:val="28"/>
        <w:tblW w:w="9705" w:type="dxa"/>
        <w:tblInd w:w="13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4"/>
        <w:gridCol w:w="3461"/>
        <w:gridCol w:w="2090"/>
        <w:gridCol w:w="2160"/>
        <w:gridCol w:w="1170"/>
      </w:tblGrid>
      <w:tr w14:paraId="0C062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97" w:hRule="atLeast"/>
        </w:trPr>
        <w:tc>
          <w:tcPr>
            <w:tcW w:w="824"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788DA609">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bookmarkStart w:id="229" w:name="OLE_LINK46"/>
            <w:r>
              <w:rPr>
                <w:rFonts w:ascii="宋体" w:hAnsi="宋体" w:cs="仿宋_GB2312"/>
                <w:b/>
                <w:bCs/>
                <w:color w:val="auto"/>
                <w:sz w:val="21"/>
                <w:szCs w:val="21"/>
                <w:highlight w:val="none"/>
              </w:rPr>
              <w:t>序号</w:t>
            </w:r>
          </w:p>
        </w:tc>
        <w:tc>
          <w:tcPr>
            <w:tcW w:w="3461"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77E2FC1E">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r>
              <w:rPr>
                <w:rFonts w:hint="eastAsia" w:ascii="宋体" w:hAnsi="宋体" w:cs="仿宋_GB2312"/>
                <w:b/>
                <w:bCs/>
                <w:color w:val="auto"/>
                <w:sz w:val="21"/>
                <w:szCs w:val="21"/>
                <w:highlight w:val="none"/>
              </w:rPr>
              <w:t>标的名称</w:t>
            </w:r>
          </w:p>
        </w:tc>
        <w:tc>
          <w:tcPr>
            <w:tcW w:w="2090"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6BF4F659">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r>
              <w:rPr>
                <w:rFonts w:hint="eastAsia" w:ascii="宋体" w:hAnsi="宋体" w:cs="仿宋_GB2312"/>
                <w:b/>
                <w:bCs/>
                <w:color w:val="auto"/>
                <w:sz w:val="21"/>
                <w:szCs w:val="21"/>
                <w:highlight w:val="none"/>
              </w:rPr>
              <w:t>数量</w:t>
            </w:r>
          </w:p>
        </w:tc>
        <w:tc>
          <w:tcPr>
            <w:tcW w:w="2160"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548C20A8">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hint="eastAsia" w:ascii="宋体" w:hAnsi="宋体" w:cs="仿宋_GB2312"/>
                <w:b/>
                <w:bCs/>
                <w:color w:val="auto"/>
                <w:sz w:val="21"/>
                <w:szCs w:val="21"/>
                <w:highlight w:val="none"/>
              </w:rPr>
            </w:pPr>
            <w:r>
              <w:rPr>
                <w:rFonts w:hint="eastAsia" w:ascii="宋体" w:hAnsi="宋体" w:cs="仿宋_GB2312"/>
                <w:b/>
                <w:bCs/>
                <w:color w:val="auto"/>
                <w:sz w:val="21"/>
                <w:szCs w:val="21"/>
                <w:highlight w:val="none"/>
                <w:lang w:eastAsia="zh-CN"/>
              </w:rPr>
              <w:t>响应</w:t>
            </w:r>
            <w:r>
              <w:rPr>
                <w:rFonts w:hint="eastAsia" w:ascii="宋体" w:hAnsi="宋体" w:cs="仿宋_GB2312"/>
                <w:b/>
                <w:bCs/>
                <w:color w:val="auto"/>
                <w:sz w:val="21"/>
                <w:szCs w:val="21"/>
                <w:highlight w:val="none"/>
              </w:rPr>
              <w:t>报价(元)</w:t>
            </w:r>
          </w:p>
        </w:tc>
        <w:tc>
          <w:tcPr>
            <w:tcW w:w="1170"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1A4A8181">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r>
              <w:rPr>
                <w:rFonts w:ascii="宋体" w:hAnsi="宋体" w:cs="仿宋_GB2312"/>
                <w:b/>
                <w:bCs/>
                <w:color w:val="auto"/>
                <w:sz w:val="21"/>
                <w:szCs w:val="21"/>
                <w:highlight w:val="none"/>
              </w:rPr>
              <w:t>备注</w:t>
            </w:r>
          </w:p>
        </w:tc>
      </w:tr>
      <w:tr w14:paraId="4E2BD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824" w:type="dxa"/>
            <w:tcBorders>
              <w:top w:val="single" w:color="auto" w:sz="4" w:space="0"/>
              <w:left w:val="single" w:color="auto" w:sz="4" w:space="0"/>
              <w:bottom w:val="single" w:color="auto" w:sz="4" w:space="0"/>
              <w:right w:val="single" w:color="auto" w:sz="4" w:space="0"/>
            </w:tcBorders>
            <w:noWrap w:val="0"/>
            <w:vAlign w:val="center"/>
          </w:tcPr>
          <w:p w14:paraId="0E1BB722">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color w:val="auto"/>
                <w:sz w:val="21"/>
                <w:szCs w:val="21"/>
                <w:highlight w:val="none"/>
              </w:rPr>
            </w:pPr>
            <w:r>
              <w:rPr>
                <w:rFonts w:ascii="宋体" w:hAnsi="宋体" w:cs="仿宋_GB2312"/>
                <w:color w:val="auto"/>
                <w:sz w:val="21"/>
                <w:szCs w:val="21"/>
                <w:highlight w:val="none"/>
              </w:rPr>
              <w:t>1</w:t>
            </w:r>
          </w:p>
        </w:tc>
        <w:tc>
          <w:tcPr>
            <w:tcW w:w="3461" w:type="dxa"/>
            <w:tcBorders>
              <w:top w:val="single" w:color="auto" w:sz="4" w:space="0"/>
              <w:left w:val="single" w:color="auto" w:sz="4" w:space="0"/>
              <w:bottom w:val="single" w:color="auto" w:sz="4" w:space="0"/>
              <w:right w:val="single" w:color="auto" w:sz="4" w:space="0"/>
            </w:tcBorders>
            <w:noWrap w:val="0"/>
            <w:vAlign w:val="center"/>
          </w:tcPr>
          <w:p w14:paraId="459BDE56">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hint="default" w:ascii="宋体" w:hAnsi="宋体" w:cs="仿宋_GB2312"/>
                <w:color w:val="auto"/>
                <w:sz w:val="21"/>
                <w:szCs w:val="21"/>
                <w:highlight w:val="none"/>
                <w:lang w:val="en-US"/>
              </w:rPr>
            </w:pPr>
            <w:r>
              <w:rPr>
                <w:rFonts w:hint="default" w:ascii="宋体" w:hAnsi="宋体" w:cs="仿宋_GB2312"/>
                <w:color w:val="auto"/>
                <w:sz w:val="21"/>
                <w:szCs w:val="21"/>
                <w:highlight w:val="none"/>
                <w:lang w:val="en-US"/>
              </w:rPr>
              <w:t>桂林航天工业学院新校区扩建项目科技活动中心附属工程</w:t>
            </w:r>
          </w:p>
        </w:tc>
        <w:tc>
          <w:tcPr>
            <w:tcW w:w="2090" w:type="dxa"/>
            <w:tcBorders>
              <w:top w:val="single" w:color="auto" w:sz="4" w:space="0"/>
              <w:left w:val="single" w:color="auto" w:sz="4" w:space="0"/>
              <w:bottom w:val="single" w:color="auto" w:sz="4" w:space="0"/>
              <w:right w:val="single" w:color="auto" w:sz="4" w:space="0"/>
            </w:tcBorders>
            <w:noWrap w:val="0"/>
            <w:vAlign w:val="center"/>
          </w:tcPr>
          <w:p w14:paraId="6A35028D">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hint="eastAsia" w:ascii="宋体" w:hAnsi="宋体" w:eastAsia="宋体" w:cs="仿宋_GB2312"/>
                <w:color w:val="auto"/>
                <w:sz w:val="21"/>
                <w:szCs w:val="21"/>
                <w:highlight w:val="none"/>
                <w:lang w:val="en-US" w:eastAsia="zh-CN"/>
              </w:rPr>
            </w:pPr>
            <w:r>
              <w:rPr>
                <w:rFonts w:hint="eastAsia" w:ascii="宋体" w:hAnsi="宋体" w:cs="仿宋_GB2312"/>
                <w:color w:val="auto"/>
                <w:sz w:val="21"/>
                <w:szCs w:val="21"/>
                <w:highlight w:val="none"/>
                <w:lang w:val="en-US" w:eastAsia="zh-CN"/>
              </w:rPr>
              <w:t>1项</w:t>
            </w:r>
          </w:p>
        </w:tc>
        <w:tc>
          <w:tcPr>
            <w:tcW w:w="2160" w:type="dxa"/>
            <w:tcBorders>
              <w:top w:val="single" w:color="auto" w:sz="4" w:space="0"/>
              <w:left w:val="single" w:color="auto" w:sz="4" w:space="0"/>
              <w:bottom w:val="single" w:color="auto" w:sz="4" w:space="0"/>
              <w:right w:val="single" w:color="auto" w:sz="4" w:space="0"/>
            </w:tcBorders>
            <w:noWrap w:val="0"/>
            <w:vAlign w:val="center"/>
          </w:tcPr>
          <w:p w14:paraId="70D268C0">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color w:val="auto"/>
                <w:sz w:val="21"/>
                <w:szCs w:val="21"/>
                <w:highlight w:val="none"/>
              </w:rPr>
            </w:pPr>
          </w:p>
        </w:tc>
        <w:tc>
          <w:tcPr>
            <w:tcW w:w="1170" w:type="dxa"/>
            <w:tcBorders>
              <w:top w:val="single" w:color="auto" w:sz="4" w:space="0"/>
              <w:left w:val="single" w:color="auto" w:sz="4" w:space="0"/>
              <w:bottom w:val="single" w:color="auto" w:sz="4" w:space="0"/>
              <w:right w:val="single" w:color="auto" w:sz="4" w:space="0"/>
            </w:tcBorders>
            <w:noWrap w:val="0"/>
            <w:vAlign w:val="center"/>
          </w:tcPr>
          <w:p w14:paraId="032546A5">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hint="eastAsia" w:ascii="宋体" w:hAnsi="宋体" w:eastAsia="宋体" w:cs="仿宋_GB2312"/>
                <w:color w:val="auto"/>
                <w:sz w:val="21"/>
                <w:szCs w:val="21"/>
                <w:highlight w:val="none"/>
                <w:lang w:eastAsia="zh-CN"/>
              </w:rPr>
            </w:pPr>
            <w:r>
              <w:rPr>
                <w:rFonts w:hint="eastAsia" w:ascii="宋体" w:hAnsi="宋体" w:cs="仿宋_GB2312"/>
                <w:color w:val="auto"/>
                <w:sz w:val="21"/>
                <w:szCs w:val="21"/>
                <w:highlight w:val="none"/>
                <w:lang w:eastAsia="zh-CN"/>
              </w:rPr>
              <w:t>具体详见“已标价工程量清单”。</w:t>
            </w:r>
          </w:p>
        </w:tc>
      </w:tr>
      <w:tr w14:paraId="1A44F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5" w:hRule="atLeast"/>
        </w:trPr>
        <w:tc>
          <w:tcPr>
            <w:tcW w:w="9705" w:type="dxa"/>
            <w:gridSpan w:val="5"/>
            <w:tcBorders>
              <w:top w:val="single" w:color="auto" w:sz="4" w:space="0"/>
              <w:left w:val="single" w:color="auto" w:sz="4" w:space="0"/>
              <w:bottom w:val="single" w:color="auto" w:sz="4" w:space="0"/>
              <w:right w:val="single" w:color="auto" w:sz="4" w:space="0"/>
            </w:tcBorders>
            <w:noWrap w:val="0"/>
            <w:vAlign w:val="center"/>
          </w:tcPr>
          <w:p w14:paraId="383F015D">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ascii="宋体" w:hAnsi="宋体" w:cs="仿宋_GB2312"/>
                <w:color w:val="auto"/>
                <w:sz w:val="21"/>
                <w:szCs w:val="21"/>
                <w:highlight w:val="none"/>
              </w:rPr>
            </w:pPr>
            <w:r>
              <w:rPr>
                <w:rFonts w:hint="eastAsia" w:ascii="宋体" w:hAnsi="宋体" w:cs="仿宋_GB2312"/>
                <w:color w:val="auto"/>
                <w:sz w:val="21"/>
                <w:szCs w:val="21"/>
                <w:highlight w:val="none"/>
              </w:rPr>
              <w:t>竞标总报价</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rPr>
              <w:t>大写</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rPr>
              <w:t>人民币</w:t>
            </w:r>
            <w:r>
              <w:rPr>
                <w:rFonts w:hint="eastAsia" w:ascii="宋体" w:hAnsi="宋体" w:cs="仿宋_GB2312"/>
                <w:color w:val="auto"/>
                <w:sz w:val="21"/>
                <w:szCs w:val="21"/>
                <w:highlight w:val="none"/>
                <w:u w:val="single"/>
              </w:rPr>
              <w:t xml:space="preserve">   </w:t>
            </w:r>
            <w:r>
              <w:rPr>
                <w:rFonts w:ascii="宋体" w:hAnsi="宋体" w:cs="仿宋_GB2312"/>
                <w:color w:val="auto"/>
                <w:sz w:val="21"/>
                <w:szCs w:val="21"/>
                <w:highlight w:val="none"/>
                <w:u w:val="single"/>
              </w:rPr>
              <w:t xml:space="preserve">             </w:t>
            </w:r>
            <w:r>
              <w:rPr>
                <w:rFonts w:hint="eastAsia" w:ascii="宋体" w:hAnsi="宋体" w:cs="仿宋_GB2312"/>
                <w:color w:val="auto"/>
                <w:sz w:val="21"/>
                <w:szCs w:val="21"/>
                <w:highlight w:val="none"/>
                <w:u w:val="single"/>
              </w:rPr>
              <w:t xml:space="preserve">        </w:t>
            </w:r>
            <w:r>
              <w:rPr>
                <w:rFonts w:ascii="宋体" w:hAnsi="宋体" w:cs="仿宋_GB2312"/>
                <w:color w:val="auto"/>
                <w:sz w:val="21"/>
                <w:szCs w:val="21"/>
                <w:highlight w:val="none"/>
                <w:u w:val="single"/>
              </w:rPr>
              <w:t xml:space="preserve">  </w:t>
            </w:r>
            <w:r>
              <w:rPr>
                <w:rFonts w:ascii="宋体" w:hAnsi="宋体" w:cs="仿宋_GB2312"/>
                <w:color w:val="auto"/>
                <w:sz w:val="21"/>
                <w:szCs w:val="21"/>
                <w:highlight w:val="none"/>
              </w:rPr>
              <w:t xml:space="preserve"> </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u w:val="none"/>
                <w:lang w:val="en-US" w:eastAsia="zh-CN"/>
              </w:rPr>
              <w:t>小写</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rPr>
              <w:t>（¥</w:t>
            </w:r>
            <w:r>
              <w:rPr>
                <w:rFonts w:hint="eastAsia" w:ascii="宋体" w:hAnsi="宋体" w:cs="仿宋_GB2312"/>
                <w:color w:val="auto"/>
                <w:sz w:val="21"/>
                <w:szCs w:val="21"/>
                <w:highlight w:val="none"/>
                <w:u w:val="single"/>
              </w:rPr>
              <w:t xml:space="preserve">     </w:t>
            </w:r>
            <w:r>
              <w:rPr>
                <w:rFonts w:hint="eastAsia" w:ascii="宋体" w:hAnsi="宋体" w:cs="仿宋_GB2312"/>
                <w:color w:val="auto"/>
                <w:sz w:val="21"/>
                <w:szCs w:val="21"/>
                <w:highlight w:val="none"/>
                <w:u w:val="none"/>
                <w:lang w:eastAsia="zh-CN"/>
              </w:rPr>
              <w:t>元</w:t>
            </w:r>
            <w:r>
              <w:rPr>
                <w:rFonts w:hint="eastAsia" w:ascii="宋体" w:hAnsi="宋体" w:cs="仿宋_GB2312"/>
                <w:color w:val="auto"/>
                <w:sz w:val="21"/>
                <w:szCs w:val="21"/>
                <w:highlight w:val="none"/>
              </w:rPr>
              <w:t>）</w:t>
            </w:r>
          </w:p>
        </w:tc>
      </w:tr>
      <w:tr w14:paraId="32C5B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9" w:hRule="atLeast"/>
        </w:trPr>
        <w:tc>
          <w:tcPr>
            <w:tcW w:w="9705" w:type="dxa"/>
            <w:gridSpan w:val="5"/>
            <w:tcBorders>
              <w:top w:val="single" w:color="auto" w:sz="4" w:space="0"/>
              <w:left w:val="single" w:color="auto" w:sz="4" w:space="0"/>
              <w:bottom w:val="single" w:color="auto" w:sz="4" w:space="0"/>
              <w:right w:val="single" w:color="auto" w:sz="4" w:space="0"/>
            </w:tcBorders>
            <w:noWrap w:val="0"/>
            <w:vAlign w:val="center"/>
          </w:tcPr>
          <w:p w14:paraId="3C721A57">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hint="default" w:ascii="宋体" w:hAnsi="宋体" w:cs="仿宋_GB2312"/>
                <w:color w:val="auto"/>
                <w:sz w:val="21"/>
                <w:szCs w:val="21"/>
                <w:highlight w:val="none"/>
                <w:lang w:val="en-US"/>
              </w:rPr>
            </w:pPr>
            <w:r>
              <w:rPr>
                <w:rFonts w:hint="default" w:ascii="宋体" w:hAnsi="宋体" w:eastAsia="宋体" w:cs="宋体"/>
                <w:color w:val="auto"/>
                <w:sz w:val="21"/>
                <w:szCs w:val="21"/>
                <w:highlight w:val="none"/>
                <w:lang w:val="en-US" w:eastAsia="zh-CN"/>
              </w:rPr>
              <w:t>合同履行期限（工期要求）：</w:t>
            </w:r>
            <w:r>
              <w:rPr>
                <w:rFonts w:hint="eastAsia" w:ascii="宋体" w:hAnsi="宋体" w:eastAsia="宋体" w:cs="宋体"/>
                <w:color w:val="auto"/>
                <w:sz w:val="21"/>
                <w:szCs w:val="21"/>
                <w:highlight w:val="none"/>
                <w:u w:val="single"/>
                <w:lang w:val="en-US" w:eastAsia="zh-CN"/>
              </w:rPr>
              <w:t xml:space="preserve">                </w:t>
            </w:r>
          </w:p>
        </w:tc>
      </w:tr>
      <w:tr w14:paraId="27EB2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3" w:hRule="atLeast"/>
        </w:trPr>
        <w:tc>
          <w:tcPr>
            <w:tcW w:w="9705" w:type="dxa"/>
            <w:gridSpan w:val="5"/>
            <w:tcBorders>
              <w:top w:val="single" w:color="auto" w:sz="4" w:space="0"/>
              <w:left w:val="single" w:color="auto" w:sz="4" w:space="0"/>
              <w:bottom w:val="single" w:color="auto" w:sz="4" w:space="0"/>
              <w:right w:val="single" w:color="auto" w:sz="4" w:space="0"/>
            </w:tcBorders>
            <w:noWrap w:val="0"/>
            <w:vAlign w:val="center"/>
          </w:tcPr>
          <w:p w14:paraId="3EE5DCD5">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hint="eastAsia" w:hAnsi="宋体"/>
                <w:color w:val="auto"/>
                <w:kern w:val="56"/>
                <w:sz w:val="21"/>
                <w:szCs w:val="21"/>
                <w:highlight w:val="none"/>
              </w:rPr>
            </w:pPr>
            <w:r>
              <w:rPr>
                <w:rFonts w:hint="eastAsia"/>
                <w:color w:val="auto"/>
                <w:sz w:val="21"/>
                <w:szCs w:val="21"/>
                <w:highlight w:val="none"/>
              </w:rPr>
              <w:t>质量</w:t>
            </w:r>
            <w:r>
              <w:rPr>
                <w:rFonts w:hint="eastAsia"/>
                <w:color w:val="auto"/>
                <w:sz w:val="21"/>
                <w:szCs w:val="21"/>
                <w:highlight w:val="none"/>
                <w:lang w:eastAsia="zh-CN"/>
              </w:rPr>
              <w:t>要求</w:t>
            </w:r>
            <w:r>
              <w:rPr>
                <w:rFonts w:hint="eastAsia"/>
                <w:color w:val="auto"/>
                <w:sz w:val="21"/>
                <w:szCs w:val="21"/>
                <w:highlight w:val="none"/>
              </w:rPr>
              <w:t>：</w:t>
            </w:r>
            <w:r>
              <w:rPr>
                <w:rFonts w:hint="eastAsia" w:hAnsi="宋体"/>
                <w:color w:val="auto"/>
                <w:kern w:val="56"/>
                <w:sz w:val="21"/>
                <w:szCs w:val="21"/>
                <w:highlight w:val="none"/>
                <w:u w:val="single"/>
              </w:rPr>
              <w:t xml:space="preserve">                       </w:t>
            </w:r>
          </w:p>
        </w:tc>
      </w:tr>
      <w:bookmarkEnd w:id="229"/>
    </w:tbl>
    <w:p w14:paraId="40712903">
      <w:pPr>
        <w:keepNext w:val="0"/>
        <w:keepLines w:val="0"/>
        <w:pageBreakBefore w:val="0"/>
        <w:widowControl w:val="0"/>
        <w:kinsoku/>
        <w:wordWrap/>
        <w:overflowPunct/>
        <w:topLinePunct w:val="0"/>
        <w:autoSpaceDE/>
        <w:autoSpaceDN/>
        <w:bidi w:val="0"/>
        <w:adjustRightInd/>
        <w:snapToGrid w:val="0"/>
        <w:spacing w:line="400" w:lineRule="exact"/>
        <w:jc w:val="left"/>
        <w:textAlignment w:val="auto"/>
        <w:rPr>
          <w:color w:val="auto"/>
          <w:kern w:val="0"/>
          <w:szCs w:val="21"/>
          <w:highlight w:val="none"/>
          <w:lang w:val="zh-CN"/>
        </w:rPr>
      </w:pPr>
      <w:r>
        <w:rPr>
          <w:color w:val="auto"/>
          <w:kern w:val="0"/>
          <w:szCs w:val="21"/>
          <w:highlight w:val="none"/>
          <w:lang w:val="zh-CN"/>
        </w:rPr>
        <w:t>注：</w:t>
      </w:r>
    </w:p>
    <w:p w14:paraId="074E558A">
      <w:pPr>
        <w:keepNext w:val="0"/>
        <w:keepLines w:val="0"/>
        <w:pageBreakBefore w:val="0"/>
        <w:widowControl w:val="0"/>
        <w:kinsoku/>
        <w:wordWrap/>
        <w:overflowPunct/>
        <w:topLinePunct w:val="0"/>
        <w:autoSpaceDE/>
        <w:autoSpaceDN/>
        <w:bidi w:val="0"/>
        <w:adjustRightInd/>
        <w:snapToGrid w:val="0"/>
        <w:spacing w:line="400" w:lineRule="exact"/>
        <w:ind w:firstLine="420" w:firstLineChars="200"/>
        <w:jc w:val="left"/>
        <w:textAlignment w:val="auto"/>
        <w:rPr>
          <w:color w:val="auto"/>
          <w:kern w:val="0"/>
          <w:szCs w:val="21"/>
          <w:highlight w:val="none"/>
          <w:lang w:val="zh-CN"/>
        </w:rPr>
      </w:pPr>
      <w:r>
        <w:rPr>
          <w:color w:val="auto"/>
          <w:kern w:val="0"/>
          <w:szCs w:val="21"/>
          <w:highlight w:val="none"/>
          <w:lang w:val="zh-CN"/>
        </w:rPr>
        <w:t>1、供应商需按本表格式填写，不得自行更改，也不得留空（</w:t>
      </w:r>
      <w:r>
        <w:rPr>
          <w:color w:val="auto"/>
          <w:szCs w:val="21"/>
          <w:highlight w:val="none"/>
        </w:rPr>
        <w:t>备注除外</w:t>
      </w:r>
      <w:r>
        <w:rPr>
          <w:color w:val="auto"/>
          <w:kern w:val="0"/>
          <w:szCs w:val="21"/>
          <w:highlight w:val="none"/>
          <w:lang w:val="zh-CN"/>
        </w:rPr>
        <w:t>）</w:t>
      </w:r>
      <w:r>
        <w:rPr>
          <w:rFonts w:hint="eastAsia"/>
          <w:color w:val="auto"/>
          <w:kern w:val="0"/>
          <w:szCs w:val="21"/>
          <w:highlight w:val="none"/>
          <w:lang w:val="zh-CN"/>
        </w:rPr>
        <w:t>，</w:t>
      </w:r>
      <w:r>
        <w:rPr>
          <w:color w:val="auto"/>
          <w:kern w:val="0"/>
          <w:szCs w:val="21"/>
          <w:highlight w:val="none"/>
          <w:lang w:val="zh-CN"/>
        </w:rPr>
        <w:t>如有多分标，按分标分别提供响应报价表，</w:t>
      </w:r>
      <w:r>
        <w:rPr>
          <w:b/>
          <w:color w:val="auto"/>
          <w:kern w:val="0"/>
          <w:szCs w:val="21"/>
          <w:highlight w:val="none"/>
          <w:lang w:val="zh-CN"/>
        </w:rPr>
        <w:t>否则其响应按无效响应处理。</w:t>
      </w:r>
    </w:p>
    <w:p w14:paraId="2093C33E">
      <w:pPr>
        <w:keepNext w:val="0"/>
        <w:keepLines w:val="0"/>
        <w:pageBreakBefore w:val="0"/>
        <w:widowControl w:val="0"/>
        <w:kinsoku/>
        <w:wordWrap/>
        <w:overflowPunct/>
        <w:topLinePunct w:val="0"/>
        <w:autoSpaceDE/>
        <w:autoSpaceDN/>
        <w:bidi w:val="0"/>
        <w:adjustRightInd/>
        <w:snapToGrid w:val="0"/>
        <w:spacing w:line="400" w:lineRule="exact"/>
        <w:ind w:firstLine="420" w:firstLineChars="200"/>
        <w:jc w:val="left"/>
        <w:textAlignment w:val="auto"/>
        <w:rPr>
          <w:b/>
          <w:color w:val="auto"/>
          <w:kern w:val="0"/>
          <w:szCs w:val="21"/>
          <w:highlight w:val="none"/>
          <w:lang w:val="zh-CN"/>
        </w:rPr>
      </w:pPr>
      <w:r>
        <w:rPr>
          <w:color w:val="auto"/>
          <w:kern w:val="0"/>
          <w:szCs w:val="21"/>
          <w:highlight w:val="none"/>
          <w:lang w:val="zh-CN"/>
        </w:rPr>
        <w:t>2、如为联合体响应的，“供应商名称”处必须列明联合体各方名称，并标注联合体牵头人名称，且盖章处须加盖联合体各方公章，</w:t>
      </w:r>
      <w:r>
        <w:rPr>
          <w:b/>
          <w:color w:val="auto"/>
          <w:kern w:val="0"/>
          <w:szCs w:val="21"/>
          <w:highlight w:val="none"/>
          <w:lang w:val="zh-CN"/>
        </w:rPr>
        <w:t>否则其响应按无效响应处理。</w:t>
      </w:r>
    </w:p>
    <w:p w14:paraId="516C261C">
      <w:pPr>
        <w:keepNext w:val="0"/>
        <w:keepLines w:val="0"/>
        <w:pageBreakBefore w:val="0"/>
        <w:widowControl w:val="0"/>
        <w:kinsoku/>
        <w:wordWrap/>
        <w:overflowPunct/>
        <w:topLinePunct w:val="0"/>
        <w:autoSpaceDE/>
        <w:autoSpaceDN/>
        <w:bidi w:val="0"/>
        <w:adjustRightInd/>
        <w:snapToGrid w:val="0"/>
        <w:spacing w:line="400" w:lineRule="exact"/>
        <w:ind w:firstLine="420" w:firstLineChars="200"/>
        <w:jc w:val="left"/>
        <w:textAlignment w:val="auto"/>
        <w:rPr>
          <w:color w:val="auto"/>
          <w:kern w:val="0"/>
          <w:szCs w:val="21"/>
          <w:highlight w:val="none"/>
          <w:lang w:val="zh-CN"/>
        </w:rPr>
      </w:pPr>
      <w:r>
        <w:rPr>
          <w:rFonts w:hint="eastAsia"/>
          <w:color w:val="auto"/>
          <w:kern w:val="0"/>
          <w:szCs w:val="21"/>
          <w:highlight w:val="none"/>
        </w:rPr>
        <w:t>3</w:t>
      </w:r>
      <w:r>
        <w:rPr>
          <w:color w:val="auto"/>
          <w:kern w:val="0"/>
          <w:szCs w:val="21"/>
          <w:highlight w:val="none"/>
          <w:lang w:val="zh-CN"/>
        </w:rPr>
        <w:t>、特别提示：采购代理机构将对项目名称和项目编号，成交供应商名称</w:t>
      </w:r>
      <w:r>
        <w:rPr>
          <w:rFonts w:hint="eastAsia"/>
          <w:color w:val="auto"/>
          <w:kern w:val="0"/>
          <w:szCs w:val="21"/>
          <w:highlight w:val="none"/>
          <w:lang w:val="zh-CN"/>
        </w:rPr>
        <w:t>、</w:t>
      </w:r>
      <w:r>
        <w:rPr>
          <w:color w:val="auto"/>
          <w:kern w:val="0"/>
          <w:szCs w:val="21"/>
          <w:highlight w:val="none"/>
          <w:lang w:val="zh-CN"/>
        </w:rPr>
        <w:t>成交金额，</w:t>
      </w:r>
      <w:r>
        <w:rPr>
          <w:rFonts w:hint="eastAsia" w:cs="宋体"/>
          <w:color w:val="auto"/>
          <w:highlight w:val="none"/>
        </w:rPr>
        <w:t>工期</w:t>
      </w:r>
      <w:r>
        <w:rPr>
          <w:color w:val="auto"/>
          <w:kern w:val="0"/>
          <w:szCs w:val="21"/>
          <w:highlight w:val="none"/>
          <w:lang w:val="zh-CN"/>
        </w:rPr>
        <w:t>、</w:t>
      </w:r>
      <w:r>
        <w:rPr>
          <w:rFonts w:hint="eastAsia" w:cs="宋体"/>
          <w:color w:val="auto"/>
          <w:highlight w:val="none"/>
          <w:lang w:eastAsia="zh-CN"/>
        </w:rPr>
        <w:t>质量要求</w:t>
      </w:r>
      <w:r>
        <w:rPr>
          <w:color w:val="auto"/>
          <w:kern w:val="0"/>
          <w:szCs w:val="21"/>
          <w:highlight w:val="none"/>
          <w:lang w:val="zh-CN"/>
        </w:rPr>
        <w:t>等予以公示。</w:t>
      </w:r>
    </w:p>
    <w:p w14:paraId="1EACBC9C">
      <w:pPr>
        <w:keepNext w:val="0"/>
        <w:keepLines w:val="0"/>
        <w:pageBreakBefore w:val="0"/>
        <w:widowControl w:val="0"/>
        <w:kinsoku/>
        <w:wordWrap/>
        <w:overflowPunct/>
        <w:topLinePunct w:val="0"/>
        <w:autoSpaceDE/>
        <w:autoSpaceDN/>
        <w:bidi w:val="0"/>
        <w:adjustRightInd/>
        <w:snapToGrid w:val="0"/>
        <w:spacing w:line="400" w:lineRule="exact"/>
        <w:ind w:firstLine="420" w:firstLineChars="200"/>
        <w:jc w:val="left"/>
        <w:textAlignment w:val="auto"/>
        <w:rPr>
          <w:color w:val="auto"/>
          <w:kern w:val="0"/>
          <w:szCs w:val="21"/>
          <w:highlight w:val="none"/>
          <w:lang w:val="zh-CN"/>
        </w:rPr>
      </w:pPr>
      <w:r>
        <w:rPr>
          <w:rFonts w:hint="eastAsia"/>
          <w:color w:val="auto"/>
          <w:kern w:val="0"/>
          <w:szCs w:val="21"/>
          <w:highlight w:val="none"/>
        </w:rPr>
        <w:t>4</w:t>
      </w:r>
      <w:r>
        <w:rPr>
          <w:color w:val="auto"/>
          <w:kern w:val="0"/>
          <w:szCs w:val="21"/>
          <w:highlight w:val="none"/>
          <w:lang w:val="zh-CN"/>
        </w:rPr>
        <w:t>、符合采购文件中列明的可享受中小企业扶持政策的供应商，请填写中小企业声明函。</w:t>
      </w:r>
    </w:p>
    <w:p w14:paraId="3F3414E9">
      <w:pPr>
        <w:keepNext w:val="0"/>
        <w:keepLines w:val="0"/>
        <w:pageBreakBefore w:val="0"/>
        <w:widowControl w:val="0"/>
        <w:kinsoku/>
        <w:wordWrap/>
        <w:overflowPunct/>
        <w:topLinePunct w:val="0"/>
        <w:autoSpaceDE/>
        <w:autoSpaceDN/>
        <w:bidi w:val="0"/>
        <w:adjustRightInd/>
        <w:snapToGrid w:val="0"/>
        <w:spacing w:line="400" w:lineRule="exact"/>
        <w:ind w:firstLine="420" w:firstLineChars="200"/>
        <w:jc w:val="left"/>
        <w:textAlignment w:val="auto"/>
        <w:rPr>
          <w:color w:val="auto"/>
          <w:kern w:val="0"/>
          <w:szCs w:val="21"/>
          <w:highlight w:val="none"/>
          <w:lang w:val="zh-CN"/>
        </w:rPr>
      </w:pPr>
      <w:r>
        <w:rPr>
          <w:rFonts w:hint="eastAsia"/>
          <w:color w:val="auto"/>
          <w:kern w:val="0"/>
          <w:szCs w:val="21"/>
          <w:highlight w:val="none"/>
        </w:rPr>
        <w:t>5</w:t>
      </w:r>
      <w:r>
        <w:rPr>
          <w:color w:val="auto"/>
          <w:kern w:val="0"/>
          <w:szCs w:val="21"/>
          <w:highlight w:val="none"/>
        </w:rPr>
        <w:t>、</w:t>
      </w:r>
      <w:r>
        <w:rPr>
          <w:color w:val="auto"/>
          <w:kern w:val="0"/>
          <w:szCs w:val="21"/>
          <w:highlight w:val="none"/>
          <w:lang w:val="zh-CN"/>
        </w:rPr>
        <w:t>供应商提供的中小企业声明函内容不实的，属于提供虚假材料谋取中标、成交，依照《中华人民共和国政府采购法》等国家有关规定追究相应责任。</w:t>
      </w:r>
    </w:p>
    <w:p w14:paraId="587EB708">
      <w:pPr>
        <w:keepNext w:val="0"/>
        <w:keepLines w:val="0"/>
        <w:pageBreakBefore w:val="0"/>
        <w:widowControl w:val="0"/>
        <w:kinsoku/>
        <w:wordWrap/>
        <w:overflowPunct/>
        <w:topLinePunct w:val="0"/>
        <w:autoSpaceDE w:val="0"/>
        <w:autoSpaceDN w:val="0"/>
        <w:bidi w:val="0"/>
        <w:adjustRightInd/>
        <w:spacing w:line="360" w:lineRule="auto"/>
        <w:ind w:left="4305" w:leftChars="1950" w:hanging="210" w:hangingChars="100"/>
        <w:textAlignment w:val="auto"/>
        <w:rPr>
          <w:color w:val="auto"/>
          <w:kern w:val="0"/>
          <w:szCs w:val="21"/>
          <w:highlight w:val="none"/>
        </w:rPr>
      </w:pPr>
    </w:p>
    <w:p w14:paraId="149FF131">
      <w:pPr>
        <w:pStyle w:val="13"/>
        <w:keepNext w:val="0"/>
        <w:keepLines w:val="0"/>
        <w:pageBreakBefore w:val="0"/>
        <w:widowControl w:val="0"/>
        <w:kinsoku/>
        <w:wordWrap/>
        <w:overflowPunct/>
        <w:topLinePunct w:val="0"/>
        <w:bidi w:val="0"/>
        <w:adjustRightInd/>
        <w:spacing w:line="360" w:lineRule="auto"/>
        <w:textAlignment w:val="auto"/>
        <w:rPr>
          <w:color w:val="auto"/>
          <w:szCs w:val="21"/>
          <w:highlight w:val="none"/>
        </w:rPr>
      </w:pPr>
    </w:p>
    <w:p w14:paraId="6E41F567">
      <w:pPr>
        <w:keepNext w:val="0"/>
        <w:keepLines w:val="0"/>
        <w:pageBreakBefore w:val="0"/>
        <w:widowControl w:val="0"/>
        <w:kinsoku/>
        <w:wordWrap/>
        <w:overflowPunct/>
        <w:topLinePunct w:val="0"/>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7516BF57">
      <w:pPr>
        <w:keepNext w:val="0"/>
        <w:keepLines w:val="0"/>
        <w:pageBreakBefore w:val="0"/>
        <w:widowControl w:val="0"/>
        <w:kinsoku/>
        <w:wordWrap/>
        <w:overflowPunct/>
        <w:topLinePunct w:val="0"/>
        <w:bidi w:val="0"/>
        <w:adjustRightInd/>
        <w:snapToGrid w:val="0"/>
        <w:spacing w:line="360" w:lineRule="auto"/>
        <w:ind w:firstLine="420" w:firstLineChars="200"/>
        <w:textAlignment w:val="auto"/>
        <w:rPr>
          <w:rFonts w:hint="eastAsia" w:ascii="仿宋" w:hAnsi="仿宋" w:eastAsia="仿宋" w:cs="仿宋_GB2312"/>
          <w:b/>
          <w:color w:val="auto"/>
          <w:sz w:val="30"/>
          <w:szCs w:val="30"/>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3E8281EC">
      <w:pPr>
        <w:snapToGrid w:val="0"/>
        <w:spacing w:before="120" w:beforeLines="50" w:after="50" w:line="360" w:lineRule="auto"/>
        <w:jc w:val="left"/>
        <w:outlineLvl w:val="2"/>
        <w:rPr>
          <w:rFonts w:hint="eastAsia"/>
          <w:b/>
          <w:color w:val="auto"/>
          <w:sz w:val="28"/>
          <w:szCs w:val="28"/>
          <w:highlight w:val="none"/>
        </w:rPr>
      </w:pPr>
      <w:r>
        <w:rPr>
          <w:rFonts w:hint="eastAsia" w:ascii="宋体" w:hAnsi="宋体" w:cs="宋体"/>
          <w:color w:val="auto"/>
          <w:kern w:val="0"/>
          <w:sz w:val="24"/>
          <w:szCs w:val="21"/>
          <w:highlight w:val="none"/>
          <w:lang w:val="zh-CN"/>
        </w:rPr>
        <w:br w:type="page"/>
      </w:r>
      <w:bookmarkStart w:id="230" w:name="_Toc11199"/>
      <w:r>
        <w:rPr>
          <w:rFonts w:hint="eastAsia" w:ascii="Times New Roman" w:hAnsi="Times New Roman" w:cs="Times New Roman"/>
          <w:b/>
          <w:color w:val="auto"/>
          <w:sz w:val="28"/>
          <w:szCs w:val="28"/>
          <w:highlight w:val="none"/>
          <w:lang w:val="en-US" w:eastAsia="zh-CN"/>
        </w:rPr>
        <w:t>5.</w:t>
      </w:r>
      <w:r>
        <w:rPr>
          <w:rFonts w:hint="eastAsia" w:ascii="Times New Roman" w:hAnsi="Times New Roman" w:cs="Times New Roman"/>
          <w:b/>
          <w:color w:val="auto"/>
          <w:sz w:val="28"/>
          <w:szCs w:val="28"/>
          <w:highlight w:val="none"/>
        </w:rPr>
        <w:t>已标价工程量清单</w:t>
      </w:r>
      <w:bookmarkEnd w:id="230"/>
    </w:p>
    <w:p w14:paraId="1E9DFF2F">
      <w:pPr>
        <w:pStyle w:val="10"/>
        <w:ind w:firstLine="0"/>
        <w:rPr>
          <w:color w:val="auto"/>
          <w:highlight w:val="none"/>
        </w:rPr>
      </w:pPr>
    </w:p>
    <w:p w14:paraId="7B2044DD">
      <w:pPr>
        <w:spacing w:line="360" w:lineRule="auto"/>
        <w:ind w:firstLine="420" w:firstLineChars="200"/>
        <w:rPr>
          <w:color w:val="auto"/>
          <w:highlight w:val="none"/>
        </w:rPr>
      </w:pPr>
      <w:r>
        <w:rPr>
          <w:rFonts w:hint="eastAsia" w:cs="宋体"/>
          <w:color w:val="auto"/>
          <w:highlight w:val="none"/>
        </w:rPr>
        <w:t>已标价工程量清单应按第七章</w:t>
      </w:r>
      <w:r>
        <w:rPr>
          <w:rFonts w:hint="eastAsia"/>
          <w:color w:val="auto"/>
          <w:highlight w:val="none"/>
          <w:lang w:eastAsia="zh-CN"/>
        </w:rPr>
        <w:t>“</w:t>
      </w:r>
      <w:r>
        <w:rPr>
          <w:rFonts w:hint="eastAsia" w:cs="宋体"/>
          <w:color w:val="auto"/>
          <w:highlight w:val="none"/>
        </w:rPr>
        <w:t>工程量清单</w:t>
      </w:r>
      <w:r>
        <w:rPr>
          <w:rFonts w:hint="eastAsia"/>
          <w:color w:val="auto"/>
          <w:highlight w:val="none"/>
          <w:lang w:eastAsia="zh-CN"/>
        </w:rPr>
        <w:t>”</w:t>
      </w:r>
      <w:r>
        <w:rPr>
          <w:rFonts w:hint="eastAsia" w:cs="宋体"/>
          <w:color w:val="auto"/>
          <w:highlight w:val="none"/>
        </w:rPr>
        <w:t>中的相关表格及报价说明填写。构成合同文件的已标价工程量清单包括第七章</w:t>
      </w:r>
      <w:r>
        <w:rPr>
          <w:rFonts w:hint="eastAsia"/>
          <w:color w:val="auto"/>
          <w:highlight w:val="none"/>
          <w:lang w:eastAsia="zh-CN"/>
        </w:rPr>
        <w:t>“</w:t>
      </w:r>
      <w:r>
        <w:rPr>
          <w:rFonts w:hint="eastAsia" w:cs="宋体"/>
          <w:color w:val="auto"/>
          <w:highlight w:val="none"/>
        </w:rPr>
        <w:t>工程量清单</w:t>
      </w:r>
      <w:r>
        <w:rPr>
          <w:rFonts w:hint="eastAsia"/>
          <w:color w:val="auto"/>
          <w:highlight w:val="none"/>
          <w:lang w:eastAsia="zh-CN"/>
        </w:rPr>
        <w:t>”</w:t>
      </w:r>
      <w:r>
        <w:rPr>
          <w:rFonts w:hint="eastAsia" w:cs="宋体"/>
          <w:color w:val="auto"/>
          <w:highlight w:val="none"/>
        </w:rPr>
        <w:t>有关工程量清单、报价以及其他说明的内容。</w:t>
      </w:r>
    </w:p>
    <w:p w14:paraId="2D8E781B">
      <w:pPr>
        <w:spacing w:line="360" w:lineRule="auto"/>
        <w:ind w:firstLine="630" w:firstLineChars="300"/>
        <w:rPr>
          <w:color w:val="auto"/>
          <w:highlight w:val="none"/>
        </w:rPr>
      </w:pPr>
    </w:p>
    <w:p w14:paraId="40D30161">
      <w:pPr>
        <w:spacing w:line="360" w:lineRule="auto"/>
        <w:rPr>
          <w:b/>
          <w:bCs/>
          <w:color w:val="auto"/>
          <w:highlight w:val="none"/>
        </w:rPr>
      </w:pPr>
      <w:r>
        <w:rPr>
          <w:rFonts w:hint="eastAsia" w:cs="宋体"/>
          <w:b/>
          <w:bCs/>
          <w:color w:val="auto"/>
          <w:highlight w:val="none"/>
        </w:rPr>
        <w:t>备注：</w:t>
      </w:r>
    </w:p>
    <w:p w14:paraId="12AA96AB">
      <w:pPr>
        <w:spacing w:line="360" w:lineRule="auto"/>
        <w:ind w:firstLine="422" w:firstLineChars="200"/>
        <w:rPr>
          <w:b/>
          <w:bCs/>
          <w:color w:val="auto"/>
          <w:highlight w:val="none"/>
        </w:rPr>
      </w:pPr>
      <w:r>
        <w:rPr>
          <w:rFonts w:hint="eastAsia" w:cs="宋体"/>
          <w:b/>
          <w:bCs/>
          <w:color w:val="auto"/>
          <w:highlight w:val="none"/>
        </w:rPr>
        <w:t>（</w:t>
      </w:r>
      <w:r>
        <w:rPr>
          <w:b/>
          <w:bCs/>
          <w:color w:val="auto"/>
          <w:highlight w:val="none"/>
        </w:rPr>
        <w:t>1</w:t>
      </w:r>
      <w:r>
        <w:rPr>
          <w:rFonts w:hint="eastAsia" w:cs="宋体"/>
          <w:b/>
          <w:bCs/>
          <w:color w:val="auto"/>
          <w:highlight w:val="none"/>
        </w:rPr>
        <w:t>）总价封面必须经供应商盖章，并由法定代表人（或其授权人）签字（或盖章），同时由编制人签字</w:t>
      </w:r>
      <w:r>
        <w:rPr>
          <w:rFonts w:hint="eastAsia" w:cs="宋体"/>
          <w:b/>
          <w:bCs/>
          <w:color w:val="auto"/>
          <w:highlight w:val="none"/>
          <w:lang w:eastAsia="zh-CN"/>
        </w:rPr>
        <w:t>或</w:t>
      </w:r>
      <w:r>
        <w:rPr>
          <w:rFonts w:hint="eastAsia" w:cs="宋体"/>
          <w:b/>
          <w:bCs/>
          <w:color w:val="auto"/>
          <w:highlight w:val="none"/>
        </w:rPr>
        <w:t>盖专用章</w:t>
      </w:r>
      <w:r>
        <w:rPr>
          <w:rFonts w:hint="eastAsia" w:cs="宋体"/>
          <w:b/>
          <w:bCs/>
          <w:color w:val="auto"/>
          <w:highlight w:val="none"/>
          <w:lang w:eastAsia="zh-CN"/>
        </w:rPr>
        <w:t>，否则作无效响应处理。</w:t>
      </w:r>
    </w:p>
    <w:p w14:paraId="62FC5138">
      <w:pPr>
        <w:spacing w:line="360" w:lineRule="auto"/>
        <w:ind w:firstLine="422" w:firstLineChars="200"/>
        <w:rPr>
          <w:rFonts w:hint="eastAsia" w:eastAsia="宋体" w:cs="宋体"/>
          <w:b/>
          <w:bCs/>
          <w:color w:val="auto"/>
          <w:highlight w:val="none"/>
          <w:lang w:eastAsia="zh-CN"/>
        </w:rPr>
      </w:pPr>
      <w:r>
        <w:rPr>
          <w:rFonts w:hint="eastAsia" w:cs="宋体"/>
          <w:b/>
          <w:bCs/>
          <w:color w:val="auto"/>
          <w:highlight w:val="none"/>
        </w:rPr>
        <w:t>（</w:t>
      </w:r>
      <w:r>
        <w:rPr>
          <w:rFonts w:hint="eastAsia"/>
          <w:b/>
          <w:bCs/>
          <w:color w:val="auto"/>
          <w:highlight w:val="none"/>
          <w:lang w:val="en-US" w:eastAsia="zh-CN"/>
        </w:rPr>
        <w:t>2</w:t>
      </w:r>
      <w:r>
        <w:rPr>
          <w:rFonts w:hint="eastAsia" w:cs="宋体"/>
          <w:b/>
          <w:bCs/>
          <w:color w:val="auto"/>
          <w:highlight w:val="none"/>
        </w:rPr>
        <w:t>）已标价工程量清单表格要严格按照工程量清单给出的表格要求和内容填报</w:t>
      </w:r>
      <w:r>
        <w:rPr>
          <w:rFonts w:hint="eastAsia" w:cs="宋体"/>
          <w:b/>
          <w:bCs/>
          <w:color w:val="auto"/>
          <w:highlight w:val="none"/>
          <w:lang w:eastAsia="zh-CN"/>
        </w:rPr>
        <w:t>，符合</w:t>
      </w:r>
      <w:r>
        <w:rPr>
          <w:rFonts w:hint="eastAsia" w:cs="宋体"/>
          <w:b/>
          <w:bCs/>
          <w:color w:val="auto"/>
          <w:highlight w:val="none"/>
        </w:rPr>
        <w:t>现行《计价规范》等有关规定</w:t>
      </w:r>
      <w:r>
        <w:rPr>
          <w:rFonts w:hint="eastAsia" w:cs="宋体"/>
          <w:b/>
          <w:bCs/>
          <w:color w:val="auto"/>
          <w:highlight w:val="none"/>
          <w:lang w:eastAsia="zh-CN"/>
        </w:rPr>
        <w:t>。</w:t>
      </w:r>
    </w:p>
    <w:p w14:paraId="769D7D7E">
      <w:pPr>
        <w:rPr>
          <w:rFonts w:hint="eastAsia"/>
          <w:b/>
          <w:color w:val="auto"/>
          <w:sz w:val="28"/>
          <w:szCs w:val="28"/>
          <w:highlight w:val="none"/>
        </w:rPr>
      </w:pPr>
      <w:r>
        <w:rPr>
          <w:rFonts w:hint="eastAsia"/>
          <w:b/>
          <w:color w:val="auto"/>
          <w:sz w:val="28"/>
          <w:szCs w:val="28"/>
          <w:highlight w:val="none"/>
        </w:rPr>
        <w:br w:type="page"/>
      </w:r>
    </w:p>
    <w:p w14:paraId="1D3F111C">
      <w:pPr>
        <w:snapToGrid w:val="0"/>
        <w:spacing w:before="120" w:beforeLines="50" w:after="50" w:line="360" w:lineRule="auto"/>
        <w:jc w:val="left"/>
        <w:outlineLvl w:val="2"/>
        <w:rPr>
          <w:rFonts w:eastAsia="仿宋"/>
          <w:b/>
          <w:color w:val="auto"/>
          <w:sz w:val="30"/>
          <w:szCs w:val="30"/>
          <w:highlight w:val="none"/>
          <w:lang w:val="zh-CN"/>
        </w:rPr>
      </w:pPr>
      <w:bookmarkStart w:id="231" w:name="_Toc24328"/>
      <w:r>
        <w:rPr>
          <w:rFonts w:hint="eastAsia"/>
          <w:b/>
          <w:color w:val="auto"/>
          <w:sz w:val="28"/>
          <w:szCs w:val="28"/>
          <w:highlight w:val="none"/>
        </w:rPr>
        <w:t>6</w:t>
      </w:r>
      <w:r>
        <w:rPr>
          <w:b/>
          <w:color w:val="auto"/>
          <w:sz w:val="28"/>
          <w:szCs w:val="28"/>
          <w:highlight w:val="none"/>
        </w:rPr>
        <w:t>.</w:t>
      </w:r>
      <w:r>
        <w:rPr>
          <w:b/>
          <w:color w:val="auto"/>
          <w:sz w:val="28"/>
          <w:szCs w:val="28"/>
          <w:highlight w:val="none"/>
          <w:lang w:val="zh-CN"/>
        </w:rPr>
        <w:t>最后报价表的格式：</w:t>
      </w:r>
      <w:bookmarkEnd w:id="231"/>
    </w:p>
    <w:p w14:paraId="514B3610">
      <w:pPr>
        <w:keepNext w:val="0"/>
        <w:keepLines w:val="0"/>
        <w:pageBreakBefore w:val="0"/>
        <w:widowControl w:val="0"/>
        <w:kinsoku/>
        <w:wordWrap/>
        <w:overflowPunct/>
        <w:topLinePunct w:val="0"/>
        <w:autoSpaceDE/>
        <w:autoSpaceDN/>
        <w:bidi w:val="0"/>
        <w:adjustRightInd/>
        <w:spacing w:line="360" w:lineRule="auto"/>
        <w:textAlignment w:val="auto"/>
        <w:rPr>
          <w:color w:val="auto"/>
          <w:highlight w:val="none"/>
        </w:rPr>
      </w:pPr>
    </w:p>
    <w:p w14:paraId="52C24023">
      <w:pPr>
        <w:keepNext w:val="0"/>
        <w:keepLines w:val="0"/>
        <w:pageBreakBefore w:val="0"/>
        <w:widowControl w:val="0"/>
        <w:kinsoku/>
        <w:wordWrap/>
        <w:overflowPunct/>
        <w:topLinePunct w:val="0"/>
        <w:autoSpaceDE/>
        <w:autoSpaceDN/>
        <w:bidi w:val="0"/>
        <w:adjustRightInd/>
        <w:spacing w:line="360" w:lineRule="auto"/>
        <w:jc w:val="center"/>
        <w:textAlignment w:val="auto"/>
        <w:rPr>
          <w:color w:val="auto"/>
          <w:sz w:val="24"/>
          <w:highlight w:val="none"/>
        </w:rPr>
      </w:pPr>
      <w:r>
        <w:rPr>
          <w:b/>
          <w:bCs/>
          <w:color w:val="auto"/>
          <w:sz w:val="32"/>
          <w:szCs w:val="32"/>
          <w:highlight w:val="none"/>
        </w:rPr>
        <w:t>最后报价表</w:t>
      </w:r>
    </w:p>
    <w:p w14:paraId="182D17DE">
      <w:pPr>
        <w:keepNext w:val="0"/>
        <w:keepLines w:val="0"/>
        <w:pageBreakBefore w:val="0"/>
        <w:widowControl w:val="0"/>
        <w:kinsoku/>
        <w:wordWrap/>
        <w:overflowPunct/>
        <w:topLinePunct w:val="0"/>
        <w:autoSpaceDE/>
        <w:autoSpaceDN/>
        <w:bidi w:val="0"/>
        <w:adjustRightInd/>
        <w:snapToGrid w:val="0"/>
        <w:spacing w:before="50" w:after="50" w:line="360" w:lineRule="auto"/>
        <w:textAlignment w:val="auto"/>
        <w:rPr>
          <w:b/>
          <w:bCs/>
          <w:color w:val="auto"/>
          <w:szCs w:val="21"/>
          <w:highlight w:val="none"/>
        </w:rPr>
      </w:pPr>
      <w:r>
        <w:rPr>
          <w:rFonts w:hint="eastAsia" w:ascii="宋体" w:hAnsi="宋体" w:cs="宋体"/>
          <w:b/>
          <w:bCs/>
          <w:color w:val="auto"/>
          <w:szCs w:val="21"/>
          <w:highlight w:val="none"/>
        </w:rPr>
        <w:t>项</w:t>
      </w:r>
      <w:r>
        <w:rPr>
          <w:b/>
          <w:bCs/>
          <w:color w:val="auto"/>
          <w:szCs w:val="21"/>
          <w:highlight w:val="none"/>
        </w:rPr>
        <w:t>目名称：</w:t>
      </w:r>
      <w:r>
        <w:rPr>
          <w:b/>
          <w:bCs/>
          <w:color w:val="auto"/>
          <w:szCs w:val="21"/>
          <w:highlight w:val="none"/>
          <w:u w:val="single"/>
        </w:rPr>
        <w:t xml:space="preserve">                     </w:t>
      </w:r>
    </w:p>
    <w:p w14:paraId="2808E22E">
      <w:pPr>
        <w:keepNext w:val="0"/>
        <w:keepLines w:val="0"/>
        <w:pageBreakBefore w:val="0"/>
        <w:widowControl w:val="0"/>
        <w:kinsoku/>
        <w:wordWrap/>
        <w:overflowPunct/>
        <w:topLinePunct w:val="0"/>
        <w:autoSpaceDE/>
        <w:autoSpaceDN/>
        <w:bidi w:val="0"/>
        <w:adjustRightInd/>
        <w:snapToGrid w:val="0"/>
        <w:spacing w:before="50" w:after="50" w:line="360" w:lineRule="auto"/>
        <w:textAlignment w:val="auto"/>
        <w:rPr>
          <w:b/>
          <w:bCs/>
          <w:color w:val="auto"/>
          <w:szCs w:val="21"/>
          <w:highlight w:val="none"/>
        </w:rPr>
      </w:pPr>
      <w:r>
        <w:rPr>
          <w:b/>
          <w:bCs/>
          <w:color w:val="auto"/>
          <w:szCs w:val="21"/>
          <w:highlight w:val="none"/>
        </w:rPr>
        <w:t>项目编号：</w:t>
      </w:r>
      <w:r>
        <w:rPr>
          <w:b/>
          <w:bCs/>
          <w:color w:val="auto"/>
          <w:szCs w:val="21"/>
          <w:highlight w:val="none"/>
          <w:u w:val="single"/>
        </w:rPr>
        <w:t xml:space="preserve">                     </w:t>
      </w:r>
    </w:p>
    <w:p w14:paraId="6E1877AC">
      <w:pPr>
        <w:spacing w:line="360" w:lineRule="auto"/>
        <w:contextualSpacing/>
        <w:rPr>
          <w:rFonts w:hint="eastAsia" w:cs="宋体"/>
          <w:b/>
          <w:bCs/>
          <w:color w:val="auto"/>
          <w:szCs w:val="21"/>
          <w:u w:val="single"/>
        </w:rPr>
      </w:pPr>
      <w:r>
        <w:rPr>
          <w:rFonts w:hint="eastAsia" w:cs="宋体"/>
          <w:b/>
          <w:bCs/>
          <w:color w:val="auto"/>
          <w:szCs w:val="21"/>
        </w:rPr>
        <w:t>所竞分标（如有则填写，无分标时填写“无”或者留空）：</w:t>
      </w:r>
      <w:r>
        <w:rPr>
          <w:rFonts w:hint="eastAsia" w:cs="宋体"/>
          <w:b/>
          <w:bCs/>
          <w:color w:val="auto"/>
          <w:szCs w:val="21"/>
          <w:u w:val="single"/>
        </w:rPr>
        <w:t xml:space="preserve">                  </w:t>
      </w:r>
    </w:p>
    <w:tbl>
      <w:tblPr>
        <w:tblStyle w:val="28"/>
        <w:tblW w:w="9705" w:type="dxa"/>
        <w:tblInd w:w="13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4"/>
        <w:gridCol w:w="3461"/>
        <w:gridCol w:w="2090"/>
        <w:gridCol w:w="1808"/>
        <w:gridCol w:w="1522"/>
      </w:tblGrid>
      <w:tr w14:paraId="7C27C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97" w:hRule="atLeast"/>
        </w:trPr>
        <w:tc>
          <w:tcPr>
            <w:tcW w:w="824"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43A5CA06">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r>
              <w:rPr>
                <w:rFonts w:ascii="宋体" w:hAnsi="宋体" w:cs="仿宋_GB2312"/>
                <w:b/>
                <w:bCs/>
                <w:color w:val="auto"/>
                <w:sz w:val="21"/>
                <w:szCs w:val="21"/>
                <w:highlight w:val="none"/>
              </w:rPr>
              <w:t>序号</w:t>
            </w:r>
          </w:p>
        </w:tc>
        <w:tc>
          <w:tcPr>
            <w:tcW w:w="3461"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6BC8E489">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r>
              <w:rPr>
                <w:rFonts w:hint="eastAsia" w:ascii="宋体" w:hAnsi="宋体" w:cs="仿宋_GB2312"/>
                <w:b/>
                <w:bCs/>
                <w:color w:val="auto"/>
                <w:sz w:val="21"/>
                <w:szCs w:val="21"/>
                <w:highlight w:val="none"/>
              </w:rPr>
              <w:t>标的名称</w:t>
            </w:r>
          </w:p>
        </w:tc>
        <w:tc>
          <w:tcPr>
            <w:tcW w:w="2090"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55622865">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r>
              <w:rPr>
                <w:rFonts w:hint="eastAsia" w:ascii="宋体" w:hAnsi="宋体" w:cs="仿宋_GB2312"/>
                <w:b/>
                <w:bCs/>
                <w:color w:val="auto"/>
                <w:sz w:val="21"/>
                <w:szCs w:val="21"/>
                <w:highlight w:val="none"/>
              </w:rPr>
              <w:t>数量</w:t>
            </w:r>
          </w:p>
        </w:tc>
        <w:tc>
          <w:tcPr>
            <w:tcW w:w="1808"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0BA48D82">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hint="eastAsia" w:ascii="宋体" w:hAnsi="宋体" w:cs="仿宋_GB2312"/>
                <w:b/>
                <w:bCs/>
                <w:color w:val="auto"/>
                <w:sz w:val="21"/>
                <w:szCs w:val="21"/>
                <w:highlight w:val="none"/>
              </w:rPr>
            </w:pPr>
            <w:r>
              <w:rPr>
                <w:rFonts w:hint="eastAsia" w:ascii="宋体" w:hAnsi="宋体" w:cs="仿宋_GB2312"/>
                <w:b/>
                <w:bCs/>
                <w:color w:val="auto"/>
                <w:sz w:val="21"/>
                <w:szCs w:val="21"/>
                <w:highlight w:val="none"/>
              </w:rPr>
              <w:t>报价(元)</w:t>
            </w:r>
          </w:p>
        </w:tc>
        <w:tc>
          <w:tcPr>
            <w:tcW w:w="1522" w:type="dxa"/>
            <w:tcBorders>
              <w:top w:val="single" w:color="auto" w:sz="4" w:space="0"/>
              <w:left w:val="single" w:color="auto" w:sz="4" w:space="0"/>
              <w:bottom w:val="single" w:color="auto" w:sz="4" w:space="0"/>
              <w:right w:val="single" w:color="auto" w:sz="4" w:space="0"/>
            </w:tcBorders>
            <w:shd w:val="clear" w:color="auto" w:fill="8DB3E2" w:themeFill="text2" w:themeFillTint="66"/>
            <w:noWrap w:val="0"/>
            <w:vAlign w:val="center"/>
          </w:tcPr>
          <w:p w14:paraId="05F13516">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b/>
                <w:bCs/>
                <w:color w:val="auto"/>
                <w:sz w:val="21"/>
                <w:szCs w:val="21"/>
                <w:highlight w:val="none"/>
              </w:rPr>
            </w:pPr>
            <w:r>
              <w:rPr>
                <w:rFonts w:ascii="宋体" w:hAnsi="宋体" w:cs="仿宋_GB2312"/>
                <w:b/>
                <w:bCs/>
                <w:color w:val="auto"/>
                <w:sz w:val="21"/>
                <w:szCs w:val="21"/>
                <w:highlight w:val="none"/>
              </w:rPr>
              <w:t>备注</w:t>
            </w:r>
          </w:p>
        </w:tc>
      </w:tr>
      <w:tr w14:paraId="50D1D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824" w:type="dxa"/>
            <w:tcBorders>
              <w:top w:val="single" w:color="auto" w:sz="4" w:space="0"/>
              <w:left w:val="single" w:color="auto" w:sz="4" w:space="0"/>
              <w:bottom w:val="single" w:color="auto" w:sz="4" w:space="0"/>
              <w:right w:val="single" w:color="auto" w:sz="4" w:space="0"/>
            </w:tcBorders>
            <w:noWrap w:val="0"/>
            <w:vAlign w:val="center"/>
          </w:tcPr>
          <w:p w14:paraId="32AF9D8F">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color w:val="auto"/>
                <w:sz w:val="21"/>
                <w:szCs w:val="21"/>
                <w:highlight w:val="none"/>
              </w:rPr>
            </w:pPr>
            <w:r>
              <w:rPr>
                <w:rFonts w:ascii="宋体" w:hAnsi="宋体" w:cs="仿宋_GB2312"/>
                <w:color w:val="auto"/>
                <w:sz w:val="21"/>
                <w:szCs w:val="21"/>
                <w:highlight w:val="none"/>
              </w:rPr>
              <w:t>1</w:t>
            </w:r>
          </w:p>
        </w:tc>
        <w:tc>
          <w:tcPr>
            <w:tcW w:w="3461" w:type="dxa"/>
            <w:tcBorders>
              <w:top w:val="single" w:color="auto" w:sz="4" w:space="0"/>
              <w:left w:val="single" w:color="auto" w:sz="4" w:space="0"/>
              <w:bottom w:val="single" w:color="auto" w:sz="4" w:space="0"/>
              <w:right w:val="single" w:color="auto" w:sz="4" w:space="0"/>
            </w:tcBorders>
            <w:noWrap w:val="0"/>
            <w:vAlign w:val="center"/>
          </w:tcPr>
          <w:p w14:paraId="6AE57D8D">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hint="default" w:ascii="宋体" w:hAnsi="宋体" w:cs="仿宋_GB2312"/>
                <w:color w:val="auto"/>
                <w:sz w:val="21"/>
                <w:szCs w:val="21"/>
                <w:highlight w:val="none"/>
                <w:lang w:val="en-US"/>
              </w:rPr>
            </w:pPr>
            <w:r>
              <w:rPr>
                <w:rFonts w:hint="default" w:ascii="宋体" w:hAnsi="宋体" w:cs="仿宋_GB2312"/>
                <w:color w:val="auto"/>
                <w:sz w:val="21"/>
                <w:szCs w:val="21"/>
                <w:highlight w:val="none"/>
                <w:lang w:val="en-US"/>
              </w:rPr>
              <w:t>桂林航天工业学院新校区扩建项目科技活动中心附属工程</w:t>
            </w:r>
          </w:p>
        </w:tc>
        <w:tc>
          <w:tcPr>
            <w:tcW w:w="2090" w:type="dxa"/>
            <w:tcBorders>
              <w:top w:val="single" w:color="auto" w:sz="4" w:space="0"/>
              <w:left w:val="single" w:color="auto" w:sz="4" w:space="0"/>
              <w:bottom w:val="single" w:color="auto" w:sz="4" w:space="0"/>
              <w:right w:val="single" w:color="auto" w:sz="4" w:space="0"/>
            </w:tcBorders>
            <w:noWrap w:val="0"/>
            <w:vAlign w:val="center"/>
          </w:tcPr>
          <w:p w14:paraId="295A9F5A">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hint="eastAsia" w:ascii="宋体" w:hAnsi="宋体" w:eastAsia="宋体" w:cs="仿宋_GB2312"/>
                <w:color w:val="auto"/>
                <w:sz w:val="21"/>
                <w:szCs w:val="21"/>
                <w:highlight w:val="none"/>
                <w:lang w:val="en-US" w:eastAsia="zh-CN"/>
              </w:rPr>
            </w:pPr>
            <w:r>
              <w:rPr>
                <w:rFonts w:hint="eastAsia" w:ascii="宋体" w:hAnsi="宋体" w:cs="仿宋_GB2312"/>
                <w:color w:val="auto"/>
                <w:sz w:val="21"/>
                <w:szCs w:val="21"/>
                <w:highlight w:val="none"/>
                <w:lang w:val="en-US" w:eastAsia="zh-CN"/>
              </w:rPr>
              <w:t>1项</w:t>
            </w:r>
          </w:p>
        </w:tc>
        <w:tc>
          <w:tcPr>
            <w:tcW w:w="1808" w:type="dxa"/>
            <w:tcBorders>
              <w:top w:val="single" w:color="auto" w:sz="4" w:space="0"/>
              <w:left w:val="single" w:color="auto" w:sz="4" w:space="0"/>
              <w:bottom w:val="single" w:color="auto" w:sz="4" w:space="0"/>
              <w:right w:val="single" w:color="auto" w:sz="4" w:space="0"/>
            </w:tcBorders>
            <w:noWrap w:val="0"/>
            <w:vAlign w:val="center"/>
          </w:tcPr>
          <w:p w14:paraId="0B0D0EB7">
            <w:pPr>
              <w:keepNext w:val="0"/>
              <w:keepLines w:val="0"/>
              <w:pageBreakBefore w:val="0"/>
              <w:widowControl w:val="0"/>
              <w:kinsoku/>
              <w:wordWrap/>
              <w:overflowPunct/>
              <w:topLinePunct w:val="0"/>
              <w:autoSpaceDE/>
              <w:autoSpaceDN/>
              <w:bidi w:val="0"/>
              <w:adjustRightInd/>
              <w:spacing w:line="400" w:lineRule="exact"/>
              <w:contextualSpacing/>
              <w:jc w:val="center"/>
              <w:textAlignment w:val="auto"/>
              <w:rPr>
                <w:rFonts w:ascii="宋体" w:hAnsi="宋体" w:cs="仿宋_GB2312"/>
                <w:color w:val="auto"/>
                <w:sz w:val="21"/>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0B1716D9">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ascii="宋体" w:hAnsi="宋体" w:cs="仿宋_GB2312"/>
                <w:color w:val="auto"/>
                <w:sz w:val="21"/>
                <w:szCs w:val="21"/>
                <w:highlight w:val="none"/>
              </w:rPr>
            </w:pPr>
          </w:p>
        </w:tc>
      </w:tr>
      <w:tr w14:paraId="38186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5" w:hRule="atLeast"/>
        </w:trPr>
        <w:tc>
          <w:tcPr>
            <w:tcW w:w="9705" w:type="dxa"/>
            <w:gridSpan w:val="5"/>
            <w:tcBorders>
              <w:top w:val="single" w:color="auto" w:sz="4" w:space="0"/>
              <w:left w:val="single" w:color="auto" w:sz="4" w:space="0"/>
              <w:bottom w:val="single" w:color="auto" w:sz="4" w:space="0"/>
              <w:right w:val="single" w:color="auto" w:sz="4" w:space="0"/>
            </w:tcBorders>
            <w:noWrap w:val="0"/>
            <w:vAlign w:val="center"/>
          </w:tcPr>
          <w:p w14:paraId="4A449089">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ascii="宋体" w:hAnsi="宋体" w:cs="仿宋_GB2312"/>
                <w:color w:val="auto"/>
                <w:sz w:val="21"/>
                <w:szCs w:val="21"/>
                <w:highlight w:val="none"/>
              </w:rPr>
            </w:pPr>
            <w:r>
              <w:rPr>
                <w:rFonts w:hint="eastAsia" w:ascii="宋体" w:hAnsi="宋体" w:cs="仿宋_GB2312"/>
                <w:color w:val="auto"/>
                <w:sz w:val="21"/>
                <w:szCs w:val="21"/>
                <w:highlight w:val="none"/>
              </w:rPr>
              <w:t>竞标总报价</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rPr>
              <w:t>大写</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rPr>
              <w:t>人民币</w:t>
            </w:r>
            <w:r>
              <w:rPr>
                <w:rFonts w:hint="eastAsia" w:ascii="宋体" w:hAnsi="宋体" w:cs="仿宋_GB2312"/>
                <w:color w:val="auto"/>
                <w:sz w:val="21"/>
                <w:szCs w:val="21"/>
                <w:highlight w:val="none"/>
                <w:u w:val="single"/>
              </w:rPr>
              <w:t xml:space="preserve">   </w:t>
            </w:r>
            <w:r>
              <w:rPr>
                <w:rFonts w:ascii="宋体" w:hAnsi="宋体" w:cs="仿宋_GB2312"/>
                <w:color w:val="auto"/>
                <w:sz w:val="21"/>
                <w:szCs w:val="21"/>
                <w:highlight w:val="none"/>
                <w:u w:val="single"/>
              </w:rPr>
              <w:t xml:space="preserve">             </w:t>
            </w:r>
            <w:r>
              <w:rPr>
                <w:rFonts w:hint="eastAsia" w:ascii="宋体" w:hAnsi="宋体" w:cs="仿宋_GB2312"/>
                <w:color w:val="auto"/>
                <w:sz w:val="21"/>
                <w:szCs w:val="21"/>
                <w:highlight w:val="none"/>
                <w:u w:val="single"/>
              </w:rPr>
              <w:t xml:space="preserve">        </w:t>
            </w:r>
            <w:r>
              <w:rPr>
                <w:rFonts w:ascii="宋体" w:hAnsi="宋体" w:cs="仿宋_GB2312"/>
                <w:color w:val="auto"/>
                <w:sz w:val="21"/>
                <w:szCs w:val="21"/>
                <w:highlight w:val="none"/>
                <w:u w:val="single"/>
              </w:rPr>
              <w:t xml:space="preserve">  </w:t>
            </w:r>
            <w:r>
              <w:rPr>
                <w:rFonts w:ascii="宋体" w:hAnsi="宋体" w:cs="仿宋_GB2312"/>
                <w:color w:val="auto"/>
                <w:sz w:val="21"/>
                <w:szCs w:val="21"/>
                <w:highlight w:val="none"/>
              </w:rPr>
              <w:t xml:space="preserve"> </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u w:val="none"/>
                <w:lang w:val="en-US" w:eastAsia="zh-CN"/>
              </w:rPr>
              <w:t>小写</w:t>
            </w:r>
            <w:r>
              <w:rPr>
                <w:rFonts w:hint="eastAsia" w:ascii="宋体" w:hAnsi="宋体" w:cs="仿宋_GB2312"/>
                <w:color w:val="auto"/>
                <w:sz w:val="21"/>
                <w:szCs w:val="21"/>
                <w:highlight w:val="none"/>
                <w:lang w:eastAsia="zh-CN"/>
              </w:rPr>
              <w:t>）</w:t>
            </w:r>
            <w:r>
              <w:rPr>
                <w:rFonts w:hint="eastAsia" w:ascii="宋体" w:hAnsi="宋体" w:cs="仿宋_GB2312"/>
                <w:color w:val="auto"/>
                <w:sz w:val="21"/>
                <w:szCs w:val="21"/>
                <w:highlight w:val="none"/>
              </w:rPr>
              <w:t>（¥</w:t>
            </w:r>
            <w:r>
              <w:rPr>
                <w:rFonts w:hint="eastAsia" w:ascii="宋体" w:hAnsi="宋体" w:cs="仿宋_GB2312"/>
                <w:color w:val="auto"/>
                <w:sz w:val="21"/>
                <w:szCs w:val="21"/>
                <w:highlight w:val="none"/>
                <w:u w:val="single"/>
              </w:rPr>
              <w:t xml:space="preserve">     </w:t>
            </w:r>
            <w:r>
              <w:rPr>
                <w:rFonts w:hint="eastAsia" w:ascii="宋体" w:hAnsi="宋体" w:cs="仿宋_GB2312"/>
                <w:color w:val="auto"/>
                <w:sz w:val="21"/>
                <w:szCs w:val="21"/>
                <w:highlight w:val="none"/>
                <w:u w:val="none"/>
                <w:lang w:eastAsia="zh-CN"/>
              </w:rPr>
              <w:t>元</w:t>
            </w:r>
            <w:r>
              <w:rPr>
                <w:rFonts w:hint="eastAsia" w:ascii="宋体" w:hAnsi="宋体" w:cs="仿宋_GB2312"/>
                <w:color w:val="auto"/>
                <w:sz w:val="21"/>
                <w:szCs w:val="21"/>
                <w:highlight w:val="none"/>
              </w:rPr>
              <w:t>）</w:t>
            </w:r>
          </w:p>
        </w:tc>
      </w:tr>
      <w:tr w14:paraId="309CB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9" w:hRule="atLeast"/>
        </w:trPr>
        <w:tc>
          <w:tcPr>
            <w:tcW w:w="9705" w:type="dxa"/>
            <w:gridSpan w:val="5"/>
            <w:tcBorders>
              <w:top w:val="single" w:color="auto" w:sz="4" w:space="0"/>
              <w:left w:val="single" w:color="auto" w:sz="4" w:space="0"/>
              <w:bottom w:val="single" w:color="auto" w:sz="4" w:space="0"/>
              <w:right w:val="single" w:color="auto" w:sz="4" w:space="0"/>
            </w:tcBorders>
            <w:noWrap w:val="0"/>
            <w:vAlign w:val="center"/>
          </w:tcPr>
          <w:p w14:paraId="525282DF">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hint="default" w:ascii="宋体" w:hAnsi="宋体" w:cs="仿宋_GB2312"/>
                <w:color w:val="auto"/>
                <w:sz w:val="21"/>
                <w:szCs w:val="21"/>
                <w:highlight w:val="none"/>
                <w:lang w:val="en-US"/>
              </w:rPr>
            </w:pPr>
            <w:r>
              <w:rPr>
                <w:rFonts w:hint="default" w:ascii="宋体" w:hAnsi="宋体" w:eastAsia="宋体" w:cs="宋体"/>
                <w:color w:val="auto"/>
                <w:sz w:val="21"/>
                <w:szCs w:val="21"/>
                <w:highlight w:val="none"/>
                <w:lang w:val="en-US" w:eastAsia="zh-CN"/>
              </w:rPr>
              <w:t>合同履行期限（工期要求）：</w:t>
            </w:r>
            <w:r>
              <w:rPr>
                <w:rFonts w:hint="eastAsia" w:ascii="宋体" w:hAnsi="宋体" w:eastAsia="宋体" w:cs="宋体"/>
                <w:color w:val="auto"/>
                <w:sz w:val="21"/>
                <w:szCs w:val="21"/>
                <w:highlight w:val="none"/>
                <w:u w:val="single"/>
                <w:lang w:val="en-US" w:eastAsia="zh-CN"/>
              </w:rPr>
              <w:t xml:space="preserve">                </w:t>
            </w:r>
          </w:p>
        </w:tc>
      </w:tr>
      <w:tr w14:paraId="09207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3" w:hRule="atLeast"/>
        </w:trPr>
        <w:tc>
          <w:tcPr>
            <w:tcW w:w="9705" w:type="dxa"/>
            <w:gridSpan w:val="5"/>
            <w:tcBorders>
              <w:top w:val="single" w:color="auto" w:sz="4" w:space="0"/>
              <w:left w:val="single" w:color="auto" w:sz="4" w:space="0"/>
              <w:bottom w:val="single" w:color="auto" w:sz="4" w:space="0"/>
              <w:right w:val="single" w:color="auto" w:sz="4" w:space="0"/>
            </w:tcBorders>
            <w:noWrap w:val="0"/>
            <w:vAlign w:val="center"/>
          </w:tcPr>
          <w:p w14:paraId="3A430F64">
            <w:pPr>
              <w:keepNext w:val="0"/>
              <w:keepLines w:val="0"/>
              <w:pageBreakBefore w:val="0"/>
              <w:widowControl w:val="0"/>
              <w:kinsoku/>
              <w:wordWrap/>
              <w:overflowPunct/>
              <w:topLinePunct w:val="0"/>
              <w:autoSpaceDE/>
              <w:autoSpaceDN/>
              <w:bidi w:val="0"/>
              <w:adjustRightInd/>
              <w:spacing w:line="400" w:lineRule="exact"/>
              <w:contextualSpacing/>
              <w:textAlignment w:val="auto"/>
              <w:rPr>
                <w:rFonts w:hint="eastAsia" w:hAnsi="宋体"/>
                <w:color w:val="auto"/>
                <w:kern w:val="56"/>
                <w:sz w:val="21"/>
                <w:szCs w:val="21"/>
                <w:highlight w:val="none"/>
              </w:rPr>
            </w:pPr>
            <w:r>
              <w:rPr>
                <w:rFonts w:hint="eastAsia"/>
                <w:color w:val="auto"/>
                <w:sz w:val="21"/>
                <w:szCs w:val="21"/>
                <w:highlight w:val="none"/>
              </w:rPr>
              <w:t>质量</w:t>
            </w:r>
            <w:r>
              <w:rPr>
                <w:rFonts w:hint="eastAsia"/>
                <w:color w:val="auto"/>
                <w:sz w:val="21"/>
                <w:szCs w:val="21"/>
                <w:highlight w:val="none"/>
                <w:lang w:eastAsia="zh-CN"/>
              </w:rPr>
              <w:t>要求</w:t>
            </w:r>
            <w:r>
              <w:rPr>
                <w:rFonts w:hint="eastAsia"/>
                <w:color w:val="auto"/>
                <w:sz w:val="21"/>
                <w:szCs w:val="21"/>
                <w:highlight w:val="none"/>
              </w:rPr>
              <w:t>：</w:t>
            </w:r>
            <w:r>
              <w:rPr>
                <w:rFonts w:hint="eastAsia" w:hAnsi="宋体"/>
                <w:color w:val="auto"/>
                <w:kern w:val="56"/>
                <w:sz w:val="21"/>
                <w:szCs w:val="21"/>
                <w:highlight w:val="none"/>
                <w:u w:val="single"/>
              </w:rPr>
              <w:t xml:space="preserve">                       </w:t>
            </w:r>
          </w:p>
        </w:tc>
      </w:tr>
    </w:tbl>
    <w:p w14:paraId="01F94B60">
      <w:pPr>
        <w:keepNext w:val="0"/>
        <w:keepLines w:val="0"/>
        <w:pageBreakBefore w:val="0"/>
        <w:widowControl w:val="0"/>
        <w:kinsoku/>
        <w:wordWrap/>
        <w:overflowPunct/>
        <w:topLinePunct w:val="0"/>
        <w:autoSpaceDE/>
        <w:autoSpaceDN/>
        <w:bidi w:val="0"/>
        <w:adjustRightInd/>
        <w:snapToGrid w:val="0"/>
        <w:spacing w:before="50" w:after="50" w:line="360" w:lineRule="auto"/>
        <w:jc w:val="left"/>
        <w:textAlignment w:val="auto"/>
        <w:rPr>
          <w:color w:val="auto"/>
          <w:kern w:val="0"/>
          <w:szCs w:val="21"/>
          <w:highlight w:val="none"/>
          <w:lang w:val="zh-CN"/>
        </w:rPr>
      </w:pPr>
      <w:r>
        <w:rPr>
          <w:color w:val="auto"/>
          <w:kern w:val="0"/>
          <w:szCs w:val="21"/>
          <w:highlight w:val="none"/>
          <w:lang w:val="zh-CN"/>
        </w:rPr>
        <w:t>注：</w:t>
      </w:r>
    </w:p>
    <w:p w14:paraId="56939EBD">
      <w:pPr>
        <w:keepNext w:val="0"/>
        <w:keepLines w:val="0"/>
        <w:pageBreakBefore w:val="0"/>
        <w:widowControl w:val="0"/>
        <w:kinsoku/>
        <w:wordWrap/>
        <w:overflowPunct/>
        <w:topLinePunct w:val="0"/>
        <w:autoSpaceDE/>
        <w:autoSpaceDN/>
        <w:bidi w:val="0"/>
        <w:adjustRightInd/>
        <w:snapToGrid w:val="0"/>
        <w:spacing w:before="50" w:after="50" w:line="360" w:lineRule="auto"/>
        <w:ind w:firstLine="422" w:firstLineChars="200"/>
        <w:jc w:val="left"/>
        <w:textAlignment w:val="auto"/>
        <w:rPr>
          <w:rFonts w:hint="eastAsia" w:eastAsia="宋体"/>
          <w:color w:val="auto"/>
          <w:kern w:val="0"/>
          <w:szCs w:val="21"/>
          <w:highlight w:val="none"/>
          <w:lang w:val="zh-CN" w:eastAsia="zh-CN"/>
        </w:rPr>
      </w:pPr>
      <w:r>
        <w:rPr>
          <w:rFonts w:hint="eastAsia" w:cs="宋体"/>
          <w:b/>
          <w:bCs/>
          <w:color w:val="auto"/>
          <w:sz w:val="21"/>
          <w:szCs w:val="21"/>
          <w:highlight w:val="none"/>
          <w:lang w:val="en-US" w:eastAsia="zh-CN"/>
        </w:rPr>
        <w:t>1、</w:t>
      </w:r>
      <w:r>
        <w:rPr>
          <w:rFonts w:hint="eastAsia" w:ascii="Times New Roman" w:hAnsi="Times New Roman" w:eastAsia="宋体" w:cs="宋体"/>
          <w:b/>
          <w:bCs/>
          <w:color w:val="auto"/>
          <w:sz w:val="21"/>
          <w:szCs w:val="21"/>
          <w:highlight w:val="none"/>
        </w:rPr>
        <w:t>如</w:t>
      </w:r>
      <w:r>
        <w:rPr>
          <w:rFonts w:hint="eastAsia" w:cs="宋体"/>
          <w:b/>
          <w:bCs/>
          <w:color w:val="auto"/>
          <w:sz w:val="21"/>
          <w:szCs w:val="21"/>
          <w:highlight w:val="none"/>
          <w:lang w:eastAsia="zh-CN"/>
        </w:rPr>
        <w:t>供应商</w:t>
      </w:r>
      <w:r>
        <w:rPr>
          <w:rFonts w:hint="eastAsia" w:ascii="Times New Roman" w:hAnsi="Times New Roman" w:eastAsia="宋体" w:cs="宋体"/>
          <w:b/>
          <w:bCs/>
          <w:color w:val="auto"/>
          <w:sz w:val="21"/>
          <w:szCs w:val="21"/>
          <w:highlight w:val="none"/>
        </w:rPr>
        <w:t>最后报价与首次报价不一致的，</w:t>
      </w:r>
      <w:r>
        <w:rPr>
          <w:rFonts w:hint="eastAsia" w:cs="宋体"/>
          <w:b/>
          <w:bCs/>
          <w:color w:val="auto"/>
          <w:sz w:val="21"/>
          <w:szCs w:val="21"/>
          <w:highlight w:val="none"/>
          <w:lang w:eastAsia="zh-CN"/>
        </w:rPr>
        <w:t>须附与最后报价相对应的“</w:t>
      </w:r>
      <w:r>
        <w:rPr>
          <w:rFonts w:hint="eastAsia" w:ascii="Times New Roman" w:hAnsi="Times New Roman" w:eastAsia="宋体" w:cs="宋体"/>
          <w:b/>
          <w:bCs/>
          <w:color w:val="auto"/>
          <w:sz w:val="21"/>
          <w:szCs w:val="21"/>
          <w:highlight w:val="none"/>
        </w:rPr>
        <w:t>已标价工程量清单</w:t>
      </w:r>
      <w:r>
        <w:rPr>
          <w:rFonts w:hint="eastAsia" w:cs="宋体"/>
          <w:b/>
          <w:bCs/>
          <w:color w:val="auto"/>
          <w:sz w:val="21"/>
          <w:szCs w:val="21"/>
          <w:highlight w:val="none"/>
          <w:lang w:eastAsia="zh-CN"/>
        </w:rPr>
        <w:t>”，否则其响应按无效响应处理。</w:t>
      </w:r>
    </w:p>
    <w:p w14:paraId="53356318">
      <w:pPr>
        <w:keepNext w:val="0"/>
        <w:keepLines w:val="0"/>
        <w:pageBreakBefore w:val="0"/>
        <w:widowControl w:val="0"/>
        <w:kinsoku/>
        <w:wordWrap/>
        <w:overflowPunct/>
        <w:topLinePunct w:val="0"/>
        <w:autoSpaceDE/>
        <w:autoSpaceDN/>
        <w:bidi w:val="0"/>
        <w:adjustRightInd/>
        <w:snapToGrid w:val="0"/>
        <w:spacing w:before="50" w:after="50" w:line="360" w:lineRule="auto"/>
        <w:ind w:firstLine="420" w:firstLineChars="200"/>
        <w:jc w:val="left"/>
        <w:textAlignment w:val="auto"/>
        <w:rPr>
          <w:color w:val="auto"/>
          <w:kern w:val="0"/>
          <w:szCs w:val="21"/>
          <w:highlight w:val="none"/>
          <w:lang w:val="zh-CN"/>
        </w:rPr>
      </w:pPr>
      <w:r>
        <w:rPr>
          <w:rFonts w:hint="eastAsia"/>
          <w:color w:val="auto"/>
          <w:kern w:val="0"/>
          <w:szCs w:val="21"/>
          <w:highlight w:val="none"/>
          <w:lang w:val="en-US" w:eastAsia="zh-CN"/>
        </w:rPr>
        <w:t>2</w:t>
      </w:r>
      <w:r>
        <w:rPr>
          <w:color w:val="auto"/>
          <w:kern w:val="0"/>
          <w:szCs w:val="21"/>
          <w:highlight w:val="none"/>
          <w:lang w:val="zh-CN"/>
        </w:rPr>
        <w:t>、供应商需按本表格式填写，不得自行更改，也不得留空（</w:t>
      </w:r>
      <w:r>
        <w:rPr>
          <w:color w:val="auto"/>
          <w:szCs w:val="21"/>
          <w:highlight w:val="none"/>
        </w:rPr>
        <w:t>备注除外</w:t>
      </w:r>
      <w:r>
        <w:rPr>
          <w:color w:val="auto"/>
          <w:kern w:val="0"/>
          <w:szCs w:val="21"/>
          <w:highlight w:val="none"/>
          <w:lang w:val="zh-CN"/>
        </w:rPr>
        <w:t>）</w:t>
      </w:r>
      <w:r>
        <w:rPr>
          <w:rFonts w:hint="eastAsia"/>
          <w:color w:val="auto"/>
          <w:kern w:val="0"/>
          <w:szCs w:val="21"/>
          <w:highlight w:val="none"/>
          <w:lang w:val="zh-CN"/>
        </w:rPr>
        <w:t>，</w:t>
      </w:r>
      <w:r>
        <w:rPr>
          <w:color w:val="auto"/>
          <w:kern w:val="0"/>
          <w:szCs w:val="21"/>
          <w:highlight w:val="none"/>
          <w:lang w:val="zh-CN"/>
        </w:rPr>
        <w:t>如有多分标，按分标分别提供响应报价表，</w:t>
      </w:r>
      <w:r>
        <w:rPr>
          <w:b/>
          <w:color w:val="auto"/>
          <w:kern w:val="0"/>
          <w:szCs w:val="21"/>
          <w:highlight w:val="none"/>
          <w:lang w:val="zh-CN"/>
        </w:rPr>
        <w:t>否则其响应按无效响应处理。</w:t>
      </w:r>
    </w:p>
    <w:p w14:paraId="13B82079">
      <w:pPr>
        <w:keepNext w:val="0"/>
        <w:keepLines w:val="0"/>
        <w:pageBreakBefore w:val="0"/>
        <w:widowControl w:val="0"/>
        <w:kinsoku/>
        <w:wordWrap/>
        <w:overflowPunct/>
        <w:topLinePunct w:val="0"/>
        <w:autoSpaceDE/>
        <w:autoSpaceDN/>
        <w:bidi w:val="0"/>
        <w:adjustRightInd/>
        <w:snapToGrid w:val="0"/>
        <w:spacing w:before="50" w:after="50" w:line="360" w:lineRule="auto"/>
        <w:ind w:firstLine="420" w:firstLineChars="200"/>
        <w:jc w:val="left"/>
        <w:textAlignment w:val="auto"/>
        <w:rPr>
          <w:b/>
          <w:color w:val="auto"/>
          <w:kern w:val="0"/>
          <w:szCs w:val="21"/>
          <w:highlight w:val="none"/>
          <w:lang w:val="zh-CN"/>
        </w:rPr>
      </w:pPr>
      <w:r>
        <w:rPr>
          <w:rFonts w:hint="eastAsia"/>
          <w:color w:val="auto"/>
          <w:kern w:val="0"/>
          <w:szCs w:val="21"/>
          <w:highlight w:val="none"/>
          <w:lang w:val="en-US" w:eastAsia="zh-CN"/>
        </w:rPr>
        <w:t>3</w:t>
      </w:r>
      <w:r>
        <w:rPr>
          <w:color w:val="auto"/>
          <w:kern w:val="0"/>
          <w:szCs w:val="21"/>
          <w:highlight w:val="none"/>
          <w:lang w:val="zh-CN"/>
        </w:rPr>
        <w:t>、如为联合体响应的，</w:t>
      </w:r>
      <w:r>
        <w:rPr>
          <w:rFonts w:hint="eastAsia"/>
          <w:color w:val="auto"/>
          <w:kern w:val="0"/>
          <w:szCs w:val="21"/>
          <w:highlight w:val="none"/>
          <w:lang w:val="zh-CN"/>
        </w:rPr>
        <w:t>“</w:t>
      </w:r>
      <w:r>
        <w:rPr>
          <w:color w:val="auto"/>
          <w:kern w:val="0"/>
          <w:szCs w:val="21"/>
          <w:highlight w:val="none"/>
          <w:lang w:val="zh-CN"/>
        </w:rPr>
        <w:t>供应商名称</w:t>
      </w:r>
      <w:r>
        <w:rPr>
          <w:rFonts w:hint="eastAsia"/>
          <w:color w:val="auto"/>
          <w:kern w:val="0"/>
          <w:szCs w:val="21"/>
          <w:highlight w:val="none"/>
          <w:lang w:val="zh-CN"/>
        </w:rPr>
        <w:t>”</w:t>
      </w:r>
      <w:r>
        <w:rPr>
          <w:color w:val="auto"/>
          <w:kern w:val="0"/>
          <w:szCs w:val="21"/>
          <w:highlight w:val="none"/>
          <w:lang w:val="zh-CN"/>
        </w:rPr>
        <w:t>处必须列明联合体各方名称，并标注联合体牵头人名称，且盖章处须加盖联合体各方公章，</w:t>
      </w:r>
      <w:r>
        <w:rPr>
          <w:b/>
          <w:color w:val="auto"/>
          <w:kern w:val="0"/>
          <w:szCs w:val="21"/>
          <w:highlight w:val="none"/>
          <w:lang w:val="zh-CN"/>
        </w:rPr>
        <w:t>否则其响应按无效响应处理。</w:t>
      </w:r>
    </w:p>
    <w:p w14:paraId="3536EC74">
      <w:pPr>
        <w:keepNext w:val="0"/>
        <w:keepLines w:val="0"/>
        <w:pageBreakBefore w:val="0"/>
        <w:widowControl w:val="0"/>
        <w:kinsoku/>
        <w:wordWrap/>
        <w:overflowPunct/>
        <w:topLinePunct w:val="0"/>
        <w:autoSpaceDE/>
        <w:autoSpaceDN/>
        <w:bidi w:val="0"/>
        <w:adjustRightInd/>
        <w:snapToGrid w:val="0"/>
        <w:spacing w:line="360" w:lineRule="auto"/>
        <w:ind w:firstLine="420" w:firstLineChars="200"/>
        <w:jc w:val="left"/>
        <w:textAlignment w:val="auto"/>
        <w:rPr>
          <w:color w:val="auto"/>
          <w:kern w:val="0"/>
          <w:szCs w:val="21"/>
          <w:highlight w:val="none"/>
          <w:lang w:val="zh-CN"/>
        </w:rPr>
      </w:pPr>
      <w:r>
        <w:rPr>
          <w:rFonts w:hint="eastAsia"/>
          <w:color w:val="auto"/>
          <w:kern w:val="0"/>
          <w:szCs w:val="21"/>
          <w:highlight w:val="none"/>
          <w:lang w:val="en-US" w:eastAsia="zh-CN"/>
        </w:rPr>
        <w:t>4</w:t>
      </w:r>
      <w:r>
        <w:rPr>
          <w:color w:val="auto"/>
          <w:kern w:val="0"/>
          <w:szCs w:val="21"/>
          <w:highlight w:val="none"/>
          <w:lang w:val="zh-CN"/>
        </w:rPr>
        <w:t>、特别提示：采购代理机构将对项目名称和项目编号，成交供应商名称</w:t>
      </w:r>
      <w:r>
        <w:rPr>
          <w:rFonts w:hint="eastAsia"/>
          <w:color w:val="auto"/>
          <w:kern w:val="0"/>
          <w:szCs w:val="21"/>
          <w:highlight w:val="none"/>
          <w:lang w:val="zh-CN"/>
        </w:rPr>
        <w:t>、</w:t>
      </w:r>
      <w:r>
        <w:rPr>
          <w:color w:val="auto"/>
          <w:kern w:val="0"/>
          <w:szCs w:val="21"/>
          <w:highlight w:val="none"/>
          <w:lang w:val="zh-CN"/>
        </w:rPr>
        <w:t>成交金额，</w:t>
      </w:r>
      <w:r>
        <w:rPr>
          <w:rFonts w:hint="eastAsia" w:cs="宋体"/>
          <w:color w:val="auto"/>
          <w:highlight w:val="none"/>
        </w:rPr>
        <w:t>工期</w:t>
      </w:r>
      <w:r>
        <w:rPr>
          <w:color w:val="auto"/>
          <w:kern w:val="0"/>
          <w:szCs w:val="21"/>
          <w:highlight w:val="none"/>
          <w:lang w:val="zh-CN"/>
        </w:rPr>
        <w:t>、</w:t>
      </w:r>
      <w:r>
        <w:rPr>
          <w:rFonts w:hint="eastAsia" w:cs="宋体"/>
          <w:color w:val="auto"/>
          <w:highlight w:val="none"/>
          <w:lang w:eastAsia="zh-CN"/>
        </w:rPr>
        <w:t>质量要求</w:t>
      </w:r>
      <w:r>
        <w:rPr>
          <w:color w:val="auto"/>
          <w:kern w:val="0"/>
          <w:szCs w:val="21"/>
          <w:highlight w:val="none"/>
          <w:lang w:val="zh-CN"/>
        </w:rPr>
        <w:t>等予以公示。</w:t>
      </w:r>
    </w:p>
    <w:p w14:paraId="0F3425C4">
      <w:pPr>
        <w:keepNext w:val="0"/>
        <w:keepLines w:val="0"/>
        <w:pageBreakBefore w:val="0"/>
        <w:widowControl w:val="0"/>
        <w:kinsoku/>
        <w:wordWrap/>
        <w:overflowPunct/>
        <w:topLinePunct w:val="0"/>
        <w:autoSpaceDE/>
        <w:autoSpaceDN/>
        <w:bidi w:val="0"/>
        <w:adjustRightInd/>
        <w:snapToGrid w:val="0"/>
        <w:spacing w:line="360" w:lineRule="auto"/>
        <w:ind w:firstLine="420" w:firstLineChars="200"/>
        <w:jc w:val="left"/>
        <w:textAlignment w:val="auto"/>
        <w:rPr>
          <w:color w:val="auto"/>
          <w:kern w:val="0"/>
          <w:szCs w:val="21"/>
          <w:highlight w:val="none"/>
          <w:lang w:val="zh-CN"/>
        </w:rPr>
      </w:pPr>
      <w:r>
        <w:rPr>
          <w:rFonts w:hint="eastAsia"/>
          <w:color w:val="auto"/>
          <w:kern w:val="0"/>
          <w:szCs w:val="21"/>
          <w:highlight w:val="none"/>
          <w:lang w:val="en-US" w:eastAsia="zh-CN"/>
        </w:rPr>
        <w:t>5</w:t>
      </w:r>
      <w:r>
        <w:rPr>
          <w:color w:val="auto"/>
          <w:kern w:val="0"/>
          <w:szCs w:val="21"/>
          <w:highlight w:val="none"/>
          <w:lang w:val="zh-CN"/>
        </w:rPr>
        <w:t>、符合采购文件中列明的可享受中小企业扶持政策的供应商，请填写中小企业声明函。</w:t>
      </w:r>
    </w:p>
    <w:p w14:paraId="5C09A950">
      <w:pPr>
        <w:keepNext w:val="0"/>
        <w:keepLines w:val="0"/>
        <w:pageBreakBefore w:val="0"/>
        <w:widowControl w:val="0"/>
        <w:kinsoku/>
        <w:wordWrap/>
        <w:overflowPunct/>
        <w:topLinePunct w:val="0"/>
        <w:autoSpaceDE/>
        <w:autoSpaceDN/>
        <w:bidi w:val="0"/>
        <w:adjustRightInd/>
        <w:snapToGrid w:val="0"/>
        <w:spacing w:line="360" w:lineRule="auto"/>
        <w:ind w:firstLine="420" w:firstLineChars="200"/>
        <w:jc w:val="left"/>
        <w:textAlignment w:val="auto"/>
        <w:rPr>
          <w:color w:val="auto"/>
          <w:kern w:val="0"/>
          <w:szCs w:val="21"/>
          <w:highlight w:val="none"/>
          <w:lang w:val="zh-CN"/>
        </w:rPr>
      </w:pPr>
      <w:r>
        <w:rPr>
          <w:rFonts w:hint="eastAsia"/>
          <w:color w:val="auto"/>
          <w:kern w:val="0"/>
          <w:szCs w:val="21"/>
          <w:highlight w:val="none"/>
          <w:lang w:val="en-US" w:eastAsia="zh-CN"/>
        </w:rPr>
        <w:t>6</w:t>
      </w:r>
      <w:r>
        <w:rPr>
          <w:color w:val="auto"/>
          <w:kern w:val="0"/>
          <w:szCs w:val="21"/>
          <w:highlight w:val="none"/>
        </w:rPr>
        <w:t>、</w:t>
      </w:r>
      <w:r>
        <w:rPr>
          <w:color w:val="auto"/>
          <w:kern w:val="0"/>
          <w:szCs w:val="21"/>
          <w:highlight w:val="none"/>
          <w:lang w:val="zh-CN"/>
        </w:rPr>
        <w:t>供应商提供的中小企业声明函内容不实的，属于提供虚假材料谋取中标、成交，依照《中华人民共和国政府采购法》等国家有关规定追究相应责任。</w:t>
      </w:r>
    </w:p>
    <w:p w14:paraId="00313C36">
      <w:pPr>
        <w:keepNext w:val="0"/>
        <w:keepLines w:val="0"/>
        <w:pageBreakBefore w:val="0"/>
        <w:widowControl w:val="0"/>
        <w:kinsoku/>
        <w:wordWrap/>
        <w:overflowPunct/>
        <w:topLinePunct w:val="0"/>
        <w:autoSpaceDE/>
        <w:autoSpaceDN/>
        <w:bidi w:val="0"/>
        <w:adjustRightInd/>
        <w:snapToGrid w:val="0"/>
        <w:spacing w:line="360" w:lineRule="auto"/>
        <w:ind w:firstLine="420" w:firstLineChars="200"/>
        <w:jc w:val="left"/>
        <w:textAlignment w:val="auto"/>
        <w:rPr>
          <w:color w:val="auto"/>
          <w:kern w:val="0"/>
          <w:szCs w:val="21"/>
          <w:highlight w:val="none"/>
          <w:lang w:val="zh-CN"/>
        </w:rPr>
      </w:pPr>
    </w:p>
    <w:p w14:paraId="6F2BA728">
      <w:pPr>
        <w:pStyle w:val="13"/>
        <w:keepNext w:val="0"/>
        <w:keepLines w:val="0"/>
        <w:pageBreakBefore w:val="0"/>
        <w:widowControl w:val="0"/>
        <w:kinsoku/>
        <w:wordWrap/>
        <w:overflowPunct/>
        <w:topLinePunct w:val="0"/>
        <w:autoSpaceDE/>
        <w:autoSpaceDN/>
        <w:bidi w:val="0"/>
        <w:adjustRightInd/>
        <w:spacing w:line="360" w:lineRule="auto"/>
        <w:textAlignment w:val="auto"/>
        <w:rPr>
          <w:color w:val="auto"/>
          <w:szCs w:val="21"/>
          <w:highlight w:val="none"/>
        </w:rPr>
      </w:pPr>
    </w:p>
    <w:p w14:paraId="29B0E9ED">
      <w:pPr>
        <w:keepNext w:val="0"/>
        <w:keepLines w:val="0"/>
        <w:pageBreakBefore w:val="0"/>
        <w:widowControl w:val="0"/>
        <w:kinsoku/>
        <w:wordWrap/>
        <w:overflowPunct/>
        <w:topLinePunct w:val="0"/>
        <w:autoSpaceDE/>
        <w:autoSpaceDN/>
        <w:bidi w:val="0"/>
        <w:adjustRightInd/>
        <w:spacing w:line="360" w:lineRule="auto"/>
        <w:ind w:firstLine="4410" w:firstLineChars="2100"/>
        <w:textAlignment w:val="auto"/>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34622B11">
      <w:pPr>
        <w:keepNext w:val="0"/>
        <w:keepLines w:val="0"/>
        <w:pageBreakBefore w:val="0"/>
        <w:widowControl w:val="0"/>
        <w:kinsoku/>
        <w:wordWrap/>
        <w:overflowPunct/>
        <w:topLinePunct w:val="0"/>
        <w:autoSpaceDE/>
        <w:autoSpaceDN/>
        <w:bidi w:val="0"/>
        <w:adjustRightInd/>
        <w:spacing w:line="360" w:lineRule="auto"/>
        <w:textAlignment w:val="auto"/>
        <w:rPr>
          <w:color w:val="auto"/>
          <w:szCs w:val="21"/>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0999D39F">
      <w:pPr>
        <w:rPr>
          <w:rFonts w:hint="eastAsia" w:ascii="宋体" w:hAnsi="宋体" w:eastAsia="宋体" w:cs="宋体"/>
          <w:b/>
          <w:bCs/>
          <w:color w:val="auto"/>
          <w:sz w:val="30"/>
          <w:szCs w:val="30"/>
          <w:highlight w:val="none"/>
        </w:rPr>
      </w:pPr>
      <w:bookmarkStart w:id="232" w:name="_Toc80886946"/>
      <w:bookmarkStart w:id="233" w:name="_Toc18482"/>
      <w:bookmarkStart w:id="234" w:name="_Toc80205942"/>
      <w:bookmarkStart w:id="235" w:name="_Toc13936"/>
      <w:r>
        <w:rPr>
          <w:rFonts w:hint="eastAsia" w:ascii="宋体" w:hAnsi="宋体" w:eastAsia="宋体" w:cs="宋体"/>
          <w:b/>
          <w:bCs/>
          <w:color w:val="auto"/>
          <w:sz w:val="30"/>
          <w:szCs w:val="30"/>
          <w:highlight w:val="none"/>
        </w:rPr>
        <w:br w:type="page"/>
      </w:r>
    </w:p>
    <w:p w14:paraId="21A31E51">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1"/>
        <w:rPr>
          <w:rFonts w:hint="eastAsia" w:ascii="宋体" w:hAnsi="宋体" w:eastAsia="宋体" w:cs="宋体"/>
          <w:b/>
          <w:bCs/>
          <w:color w:val="auto"/>
          <w:sz w:val="30"/>
          <w:szCs w:val="30"/>
          <w:highlight w:val="none"/>
        </w:rPr>
      </w:pPr>
      <w:bookmarkStart w:id="236" w:name="_Toc17972"/>
      <w:r>
        <w:rPr>
          <w:rFonts w:hint="eastAsia" w:ascii="宋体" w:hAnsi="宋体" w:eastAsia="宋体" w:cs="宋体"/>
          <w:b/>
          <w:bCs/>
          <w:color w:val="auto"/>
          <w:sz w:val="30"/>
          <w:szCs w:val="30"/>
          <w:highlight w:val="none"/>
        </w:rPr>
        <w:t>第</w:t>
      </w:r>
      <w:r>
        <w:rPr>
          <w:rFonts w:hint="eastAsia" w:ascii="宋体" w:hAnsi="宋体" w:eastAsia="宋体" w:cs="宋体"/>
          <w:b/>
          <w:bCs/>
          <w:color w:val="auto"/>
          <w:sz w:val="30"/>
          <w:szCs w:val="30"/>
          <w:highlight w:val="none"/>
          <w:lang w:eastAsia="zh-CN"/>
        </w:rPr>
        <w:t>四</w:t>
      </w:r>
      <w:r>
        <w:rPr>
          <w:rFonts w:hint="eastAsia" w:ascii="宋体" w:hAnsi="宋体" w:eastAsia="宋体" w:cs="宋体"/>
          <w:b/>
          <w:bCs/>
          <w:color w:val="auto"/>
          <w:sz w:val="30"/>
          <w:szCs w:val="30"/>
          <w:highlight w:val="none"/>
        </w:rPr>
        <w:t>节 其他文书、文件格式</w:t>
      </w:r>
      <w:bookmarkEnd w:id="232"/>
      <w:bookmarkEnd w:id="233"/>
      <w:bookmarkEnd w:id="234"/>
      <w:bookmarkEnd w:id="235"/>
      <w:bookmarkEnd w:id="236"/>
    </w:p>
    <w:p w14:paraId="01B8E5DB">
      <w:pPr>
        <w:snapToGrid w:val="0"/>
        <w:spacing w:before="120" w:beforeLines="50" w:after="50" w:line="360" w:lineRule="auto"/>
        <w:jc w:val="left"/>
        <w:outlineLvl w:val="2"/>
        <w:rPr>
          <w:b/>
          <w:color w:val="auto"/>
          <w:sz w:val="30"/>
          <w:szCs w:val="30"/>
          <w:highlight w:val="none"/>
          <w:lang w:val="zh-CN"/>
        </w:rPr>
      </w:pPr>
      <w:bookmarkStart w:id="237" w:name="_Toc2954"/>
      <w:r>
        <w:rPr>
          <w:b/>
          <w:color w:val="auto"/>
          <w:sz w:val="30"/>
          <w:szCs w:val="30"/>
          <w:highlight w:val="none"/>
        </w:rPr>
        <w:t>1.</w:t>
      </w:r>
      <w:r>
        <w:rPr>
          <w:b/>
          <w:color w:val="auto"/>
          <w:sz w:val="30"/>
          <w:szCs w:val="30"/>
          <w:highlight w:val="none"/>
          <w:lang w:val="zh-CN"/>
        </w:rPr>
        <w:t>中小企业声明函的格式：</w:t>
      </w:r>
      <w:bookmarkEnd w:id="237"/>
    </w:p>
    <w:p w14:paraId="5892E58B">
      <w:pPr>
        <w:pStyle w:val="21"/>
        <w:rPr>
          <w:color w:val="auto"/>
          <w:highlight w:val="none"/>
          <w:lang w:eastAsia="zh-CN"/>
        </w:rPr>
      </w:pPr>
    </w:p>
    <w:p w14:paraId="2AE31617">
      <w:pPr>
        <w:spacing w:line="300" w:lineRule="auto"/>
        <w:ind w:firstLine="3520" w:firstLineChars="800"/>
        <w:rPr>
          <w:color w:val="auto"/>
          <w:sz w:val="44"/>
          <w:szCs w:val="44"/>
          <w:highlight w:val="none"/>
        </w:rPr>
      </w:pPr>
      <w:r>
        <w:rPr>
          <w:color w:val="auto"/>
          <w:sz w:val="44"/>
          <w:szCs w:val="44"/>
          <w:highlight w:val="none"/>
        </w:rPr>
        <w:t>中小企业声明函</w:t>
      </w:r>
    </w:p>
    <w:p w14:paraId="75371A4F">
      <w:pPr>
        <w:pStyle w:val="13"/>
        <w:spacing w:after="0" w:line="360" w:lineRule="auto"/>
        <w:ind w:left="-426" w:right="142" w:firstLine="640"/>
        <w:contextualSpacing/>
        <w:rPr>
          <w:color w:val="auto"/>
          <w:sz w:val="24"/>
          <w:highlight w:val="none"/>
        </w:rPr>
      </w:pPr>
    </w:p>
    <w:p w14:paraId="2FA3E2CA">
      <w:pPr>
        <w:pStyle w:val="13"/>
        <w:keepNext w:val="0"/>
        <w:keepLines w:val="0"/>
        <w:pageBreakBefore w:val="0"/>
        <w:widowControl w:val="0"/>
        <w:kinsoku/>
        <w:wordWrap/>
        <w:overflowPunct/>
        <w:topLinePunct w:val="0"/>
        <w:bidi w:val="0"/>
        <w:adjustRightInd/>
        <w:snapToGrid/>
        <w:spacing w:after="0" w:line="360" w:lineRule="auto"/>
        <w:ind w:right="142" w:firstLine="420" w:firstLineChars="200"/>
        <w:contextualSpacing/>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本公司（联合体）郑重声明，根据《政府采购促进中小企业发展管理办法》（财库﹝2020﹞46号）的规定，本公司（联合体）参加</w:t>
      </w:r>
      <w:r>
        <w:rPr>
          <w:rFonts w:hint="eastAsia" w:ascii="宋体" w:hAnsi="宋体" w:eastAsia="宋体" w:cs="宋体"/>
          <w:i w:val="0"/>
          <w:iCs w:val="0"/>
          <w:color w:val="auto"/>
          <w:szCs w:val="21"/>
          <w:highlight w:val="none"/>
          <w:u w:val="single"/>
        </w:rPr>
        <w:t>（单位名称）</w:t>
      </w:r>
      <w:r>
        <w:rPr>
          <w:rFonts w:hint="eastAsia" w:ascii="宋体" w:hAnsi="宋体" w:eastAsia="宋体" w:cs="宋体"/>
          <w:i w:val="0"/>
          <w:iCs w:val="0"/>
          <w:color w:val="auto"/>
          <w:szCs w:val="21"/>
          <w:highlight w:val="none"/>
        </w:rPr>
        <w:t>的</w:t>
      </w:r>
      <w:r>
        <w:rPr>
          <w:rFonts w:hint="eastAsia" w:ascii="宋体" w:hAnsi="宋体" w:eastAsia="宋体" w:cs="宋体"/>
          <w:i w:val="0"/>
          <w:iCs w:val="0"/>
          <w:color w:val="auto"/>
          <w:szCs w:val="21"/>
          <w:highlight w:val="none"/>
          <w:u w:val="single"/>
        </w:rPr>
        <w:t>（项目名称）</w:t>
      </w:r>
      <w:r>
        <w:rPr>
          <w:rFonts w:hint="eastAsia" w:ascii="宋体" w:hAnsi="宋体" w:eastAsia="宋体" w:cs="宋体"/>
          <w:i w:val="0"/>
          <w:iCs w:val="0"/>
          <w:color w:val="auto"/>
          <w:szCs w:val="21"/>
          <w:highlight w:val="none"/>
        </w:rPr>
        <w:t>采购活动，</w:t>
      </w:r>
      <w:r>
        <w:rPr>
          <w:rFonts w:hint="eastAsia" w:ascii="宋体" w:hAnsi="宋体" w:eastAsia="宋体" w:cs="宋体"/>
          <w:i w:val="0"/>
          <w:iCs w:val="0"/>
          <w:color w:val="auto"/>
          <w:kern w:val="0"/>
          <w:szCs w:val="21"/>
          <w:highlight w:val="none"/>
          <w:lang w:eastAsia="zh-CN"/>
        </w:rPr>
        <w:t>工程</w:t>
      </w:r>
      <w:r>
        <w:rPr>
          <w:rFonts w:hint="eastAsia" w:ascii="宋体" w:hAnsi="宋体" w:eastAsia="宋体" w:cs="宋体"/>
          <w:i w:val="0"/>
          <w:iCs w:val="0"/>
          <w:color w:val="auto"/>
          <w:kern w:val="0"/>
          <w:szCs w:val="21"/>
          <w:highlight w:val="none"/>
        </w:rPr>
        <w:t>全部由符合政策要求的中小企业承接</w:t>
      </w:r>
      <w:r>
        <w:rPr>
          <w:rFonts w:hint="eastAsia" w:ascii="宋体" w:hAnsi="宋体" w:eastAsia="宋体" w:cs="宋体"/>
          <w:i w:val="0"/>
          <w:iCs w:val="0"/>
          <w:color w:val="auto"/>
          <w:szCs w:val="21"/>
          <w:highlight w:val="none"/>
        </w:rPr>
        <w:t>。相关企业（含联合体中的中小企业、签订分包意向协议的中小企业）的具体情况如下：</w:t>
      </w:r>
    </w:p>
    <w:p w14:paraId="12E361B6">
      <w:pPr>
        <w:keepNext w:val="0"/>
        <w:keepLines w:val="0"/>
        <w:pageBreakBefore w:val="0"/>
        <w:widowControl w:val="0"/>
        <w:tabs>
          <w:tab w:val="left" w:pos="1384"/>
          <w:tab w:val="left" w:pos="4562"/>
          <w:tab w:val="left" w:pos="6803"/>
        </w:tabs>
        <w:kinsoku/>
        <w:wordWrap/>
        <w:overflowPunct/>
        <w:topLinePunct w:val="0"/>
        <w:bidi w:val="0"/>
        <w:adjustRightInd/>
        <w:snapToGrid/>
        <w:spacing w:line="360" w:lineRule="auto"/>
        <w:ind w:right="-58" w:firstLine="420" w:firstLineChars="200"/>
        <w:contextualSpacing/>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1.</w:t>
      </w:r>
      <w:r>
        <w:rPr>
          <w:rFonts w:hint="eastAsia" w:ascii="宋体" w:hAnsi="宋体" w:eastAsia="宋体" w:cs="宋体"/>
          <w:i w:val="0"/>
          <w:iCs w:val="0"/>
          <w:color w:val="auto"/>
          <w:szCs w:val="21"/>
          <w:highlight w:val="none"/>
          <w:u w:val="single"/>
        </w:rPr>
        <w:t>（标的名称）</w:t>
      </w:r>
      <w:r>
        <w:rPr>
          <w:rFonts w:hint="eastAsia" w:ascii="宋体" w:hAnsi="宋体" w:eastAsia="宋体" w:cs="宋体"/>
          <w:i w:val="0"/>
          <w:iCs w:val="0"/>
          <w:color w:val="auto"/>
          <w:szCs w:val="21"/>
          <w:highlight w:val="none"/>
        </w:rPr>
        <w:t>，属于</w:t>
      </w:r>
      <w:r>
        <w:rPr>
          <w:rFonts w:hint="eastAsia" w:ascii="宋体" w:hAnsi="宋体" w:eastAsia="宋体" w:cs="宋体"/>
          <w:i w:val="0"/>
          <w:iCs w:val="0"/>
          <w:color w:val="auto"/>
          <w:szCs w:val="21"/>
          <w:highlight w:val="none"/>
          <w:u w:val="single"/>
        </w:rPr>
        <w:t>（采购文件中明确的所属行业）</w:t>
      </w:r>
      <w:r>
        <w:rPr>
          <w:rFonts w:hint="eastAsia" w:ascii="宋体" w:hAnsi="宋体" w:eastAsia="宋体" w:cs="宋体"/>
          <w:i w:val="0"/>
          <w:iCs w:val="0"/>
          <w:color w:val="auto"/>
          <w:szCs w:val="21"/>
          <w:highlight w:val="none"/>
        </w:rPr>
        <w:t>；</w:t>
      </w:r>
      <w:r>
        <w:rPr>
          <w:rFonts w:hint="eastAsia" w:ascii="宋体" w:hAnsi="宋体" w:eastAsia="宋体" w:cs="宋体"/>
          <w:i w:val="0"/>
          <w:iCs w:val="0"/>
          <w:color w:val="auto"/>
          <w:kern w:val="0"/>
          <w:szCs w:val="21"/>
          <w:highlight w:val="none"/>
        </w:rPr>
        <w:t>承建（承接）企业</w:t>
      </w:r>
      <w:r>
        <w:rPr>
          <w:rFonts w:hint="eastAsia" w:ascii="宋体" w:hAnsi="宋体" w:eastAsia="宋体" w:cs="宋体"/>
          <w:i w:val="0"/>
          <w:iCs w:val="0"/>
          <w:color w:val="auto"/>
          <w:szCs w:val="21"/>
          <w:highlight w:val="none"/>
        </w:rPr>
        <w:t>为</w:t>
      </w:r>
      <w:r>
        <w:rPr>
          <w:rFonts w:hint="eastAsia" w:ascii="宋体" w:hAnsi="宋体" w:cs="宋体"/>
          <w:i w:val="0"/>
          <w:iCs w:val="0"/>
          <w:color w:val="auto"/>
          <w:szCs w:val="21"/>
          <w:highlight w:val="none"/>
          <w:lang w:val="en-US" w:eastAsia="zh-CN"/>
        </w:rPr>
        <w:t xml:space="preserve"> </w:t>
      </w:r>
      <w:r>
        <w:rPr>
          <w:rFonts w:hint="eastAsia" w:ascii="宋体" w:hAnsi="宋体" w:eastAsia="宋体" w:cs="宋体"/>
          <w:i w:val="0"/>
          <w:iCs w:val="0"/>
          <w:color w:val="auto"/>
          <w:szCs w:val="21"/>
          <w:highlight w:val="none"/>
          <w:u w:val="single"/>
        </w:rPr>
        <w:t>（企业名称）</w:t>
      </w:r>
      <w:r>
        <w:rPr>
          <w:rFonts w:hint="eastAsia" w:ascii="宋体" w:hAnsi="宋体" w:eastAsia="宋体" w:cs="宋体"/>
          <w:i w:val="0"/>
          <w:iCs w:val="0"/>
          <w:color w:val="auto"/>
          <w:szCs w:val="21"/>
          <w:highlight w:val="none"/>
        </w:rPr>
        <w:t>，从业人员</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人，营业收入为</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万元，资产总额为</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万元，属于</w:t>
      </w:r>
      <w:r>
        <w:rPr>
          <w:rFonts w:hint="eastAsia" w:ascii="宋体" w:hAnsi="宋体" w:eastAsia="宋体" w:cs="宋体"/>
          <w:i w:val="0"/>
          <w:iCs w:val="0"/>
          <w:color w:val="auto"/>
          <w:szCs w:val="21"/>
          <w:highlight w:val="none"/>
          <w:u w:val="single"/>
        </w:rPr>
        <w:t>（中型企业、小型企业、微型企业）</w:t>
      </w:r>
      <w:r>
        <w:rPr>
          <w:rFonts w:hint="eastAsia" w:ascii="宋体" w:hAnsi="宋体" w:eastAsia="宋体" w:cs="宋体"/>
          <w:i w:val="0"/>
          <w:iCs w:val="0"/>
          <w:color w:val="auto"/>
          <w:szCs w:val="21"/>
          <w:highlight w:val="none"/>
        </w:rPr>
        <w:t>；</w:t>
      </w:r>
    </w:p>
    <w:p w14:paraId="06DFFFE9">
      <w:pPr>
        <w:keepNext w:val="0"/>
        <w:keepLines w:val="0"/>
        <w:pageBreakBefore w:val="0"/>
        <w:widowControl w:val="0"/>
        <w:tabs>
          <w:tab w:val="left" w:pos="1065"/>
          <w:tab w:val="left" w:pos="6477"/>
        </w:tabs>
        <w:kinsoku/>
        <w:wordWrap/>
        <w:overflowPunct/>
        <w:topLinePunct w:val="0"/>
        <w:bidi w:val="0"/>
        <w:adjustRightInd/>
        <w:snapToGrid/>
        <w:spacing w:line="360" w:lineRule="auto"/>
        <w:ind w:right="-58" w:firstLine="420" w:firstLineChars="200"/>
        <w:contextualSpacing/>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2.</w:t>
      </w:r>
      <w:r>
        <w:rPr>
          <w:rFonts w:hint="eastAsia" w:ascii="宋体" w:hAnsi="宋体" w:eastAsia="宋体" w:cs="宋体"/>
          <w:i w:val="0"/>
          <w:iCs w:val="0"/>
          <w:color w:val="auto"/>
          <w:szCs w:val="21"/>
          <w:highlight w:val="none"/>
          <w:u w:val="single"/>
        </w:rPr>
        <w:t>（标的名称）</w:t>
      </w:r>
      <w:r>
        <w:rPr>
          <w:rFonts w:hint="eastAsia" w:ascii="宋体" w:hAnsi="宋体" w:eastAsia="宋体" w:cs="宋体"/>
          <w:i w:val="0"/>
          <w:iCs w:val="0"/>
          <w:color w:val="auto"/>
          <w:szCs w:val="21"/>
          <w:highlight w:val="none"/>
        </w:rPr>
        <w:t>，属于</w:t>
      </w:r>
      <w:r>
        <w:rPr>
          <w:rFonts w:hint="eastAsia" w:ascii="宋体" w:hAnsi="宋体" w:eastAsia="宋体" w:cs="宋体"/>
          <w:i w:val="0"/>
          <w:iCs w:val="0"/>
          <w:color w:val="auto"/>
          <w:szCs w:val="21"/>
          <w:highlight w:val="none"/>
          <w:u w:val="single"/>
        </w:rPr>
        <w:t>（采购文件中明确的所属行业）</w:t>
      </w:r>
      <w:r>
        <w:rPr>
          <w:rFonts w:hint="eastAsia" w:ascii="宋体" w:hAnsi="宋体" w:eastAsia="宋体" w:cs="宋体"/>
          <w:i w:val="0"/>
          <w:iCs w:val="0"/>
          <w:color w:val="auto"/>
          <w:szCs w:val="21"/>
          <w:highlight w:val="none"/>
        </w:rPr>
        <w:t>；</w:t>
      </w:r>
      <w:r>
        <w:rPr>
          <w:rFonts w:hint="eastAsia" w:ascii="宋体" w:hAnsi="宋体" w:eastAsia="宋体" w:cs="宋体"/>
          <w:i w:val="0"/>
          <w:iCs w:val="0"/>
          <w:color w:val="auto"/>
          <w:kern w:val="0"/>
          <w:szCs w:val="21"/>
          <w:highlight w:val="none"/>
        </w:rPr>
        <w:t>承建（承接）企业</w:t>
      </w:r>
      <w:r>
        <w:rPr>
          <w:rFonts w:hint="eastAsia" w:ascii="宋体" w:hAnsi="宋体" w:eastAsia="宋体" w:cs="宋体"/>
          <w:i w:val="0"/>
          <w:iCs w:val="0"/>
          <w:color w:val="auto"/>
          <w:szCs w:val="21"/>
          <w:highlight w:val="none"/>
        </w:rPr>
        <w:t>为</w:t>
      </w:r>
      <w:r>
        <w:rPr>
          <w:rFonts w:hint="eastAsia" w:ascii="宋体" w:hAnsi="宋体" w:cs="宋体"/>
          <w:i w:val="0"/>
          <w:iCs w:val="0"/>
          <w:color w:val="auto"/>
          <w:szCs w:val="21"/>
          <w:highlight w:val="none"/>
          <w:lang w:val="en-US" w:eastAsia="zh-CN"/>
        </w:rPr>
        <w:t xml:space="preserve"> </w:t>
      </w:r>
      <w:r>
        <w:rPr>
          <w:rFonts w:hint="eastAsia" w:ascii="宋体" w:hAnsi="宋体" w:eastAsia="宋体" w:cs="宋体"/>
          <w:i w:val="0"/>
          <w:iCs w:val="0"/>
          <w:color w:val="auto"/>
          <w:szCs w:val="21"/>
          <w:highlight w:val="none"/>
          <w:u w:val="single"/>
        </w:rPr>
        <w:t>（企业名称）</w:t>
      </w:r>
      <w:r>
        <w:rPr>
          <w:rFonts w:hint="eastAsia" w:ascii="宋体" w:hAnsi="宋体" w:eastAsia="宋体" w:cs="宋体"/>
          <w:i w:val="0"/>
          <w:iCs w:val="0"/>
          <w:color w:val="auto"/>
          <w:szCs w:val="21"/>
          <w:highlight w:val="none"/>
        </w:rPr>
        <w:t>，从业人员</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人，营业收入为</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万元，资产总额为</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万元，属于</w:t>
      </w:r>
      <w:r>
        <w:rPr>
          <w:rFonts w:hint="eastAsia" w:ascii="宋体" w:hAnsi="宋体" w:eastAsia="宋体" w:cs="宋体"/>
          <w:i w:val="0"/>
          <w:iCs w:val="0"/>
          <w:color w:val="auto"/>
          <w:szCs w:val="21"/>
          <w:highlight w:val="none"/>
          <w:u w:val="single"/>
        </w:rPr>
        <w:t>（中型企业、小型企业、微型企业）</w:t>
      </w:r>
      <w:r>
        <w:rPr>
          <w:rFonts w:hint="eastAsia" w:ascii="宋体" w:hAnsi="宋体" w:eastAsia="宋体" w:cs="宋体"/>
          <w:i w:val="0"/>
          <w:iCs w:val="0"/>
          <w:color w:val="auto"/>
          <w:szCs w:val="21"/>
          <w:highlight w:val="none"/>
        </w:rPr>
        <w:t>；</w:t>
      </w:r>
    </w:p>
    <w:p w14:paraId="237B8076">
      <w:pPr>
        <w:pStyle w:val="13"/>
        <w:keepNext w:val="0"/>
        <w:keepLines w:val="0"/>
        <w:pageBreakBefore w:val="0"/>
        <w:widowControl w:val="0"/>
        <w:kinsoku/>
        <w:wordWrap/>
        <w:overflowPunct/>
        <w:topLinePunct w:val="0"/>
        <w:bidi w:val="0"/>
        <w:adjustRightInd/>
        <w:snapToGrid/>
        <w:spacing w:after="0" w:line="360" w:lineRule="auto"/>
        <w:ind w:right="142" w:firstLine="420" w:firstLineChars="200"/>
        <w:contextualSpacing/>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 xml:space="preserve">…… </w:t>
      </w:r>
    </w:p>
    <w:p w14:paraId="6D309243">
      <w:pPr>
        <w:pStyle w:val="13"/>
        <w:keepNext w:val="0"/>
        <w:keepLines w:val="0"/>
        <w:pageBreakBefore w:val="0"/>
        <w:widowControl w:val="0"/>
        <w:kinsoku/>
        <w:wordWrap/>
        <w:overflowPunct/>
        <w:topLinePunct w:val="0"/>
        <w:bidi w:val="0"/>
        <w:adjustRightInd/>
        <w:snapToGrid/>
        <w:spacing w:after="0" w:line="360" w:lineRule="auto"/>
        <w:ind w:left="15" w:leftChars="7" w:right="142" w:firstLine="594" w:firstLineChars="283"/>
        <w:contextualSpacing/>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以上企业，不属于大企业的分支机构，不存在控股股东为大企业的情形，也不存在与大企业的负责人为同一人的情形。</w:t>
      </w:r>
    </w:p>
    <w:p w14:paraId="58110CBB">
      <w:pPr>
        <w:pStyle w:val="13"/>
        <w:keepNext w:val="0"/>
        <w:keepLines w:val="0"/>
        <w:pageBreakBefore w:val="0"/>
        <w:widowControl w:val="0"/>
        <w:kinsoku/>
        <w:wordWrap/>
        <w:overflowPunct/>
        <w:topLinePunct w:val="0"/>
        <w:bidi w:val="0"/>
        <w:adjustRightInd/>
        <w:snapToGrid/>
        <w:spacing w:after="0" w:line="360" w:lineRule="auto"/>
        <w:ind w:right="142" w:firstLine="420" w:firstLineChars="200"/>
        <w:contextualSpacing/>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本企业对上述声明内容的真实性负责。如有虚假，将依法承担相应责任。</w:t>
      </w:r>
    </w:p>
    <w:p w14:paraId="395B68BA">
      <w:pPr>
        <w:pStyle w:val="13"/>
        <w:keepNext w:val="0"/>
        <w:keepLines w:val="0"/>
        <w:pageBreakBefore w:val="0"/>
        <w:widowControl w:val="0"/>
        <w:kinsoku/>
        <w:wordWrap/>
        <w:overflowPunct/>
        <w:topLinePunct w:val="0"/>
        <w:bidi w:val="0"/>
        <w:adjustRightInd/>
        <w:snapToGrid/>
        <w:spacing w:after="0" w:line="360" w:lineRule="auto"/>
        <w:ind w:left="3960" w:right="1808"/>
        <w:contextualSpacing/>
        <w:textAlignment w:val="auto"/>
        <w:rPr>
          <w:rFonts w:hint="eastAsia" w:ascii="宋体" w:hAnsi="宋体" w:eastAsia="宋体" w:cs="宋体"/>
          <w:i w:val="0"/>
          <w:iCs w:val="0"/>
          <w:color w:val="auto"/>
          <w:szCs w:val="21"/>
          <w:highlight w:val="none"/>
        </w:rPr>
      </w:pPr>
    </w:p>
    <w:p w14:paraId="6FA3152E">
      <w:pPr>
        <w:keepNext w:val="0"/>
        <w:keepLines w:val="0"/>
        <w:pageBreakBefore w:val="0"/>
        <w:widowControl w:val="0"/>
        <w:kinsoku/>
        <w:wordWrap/>
        <w:overflowPunct/>
        <w:topLinePunct w:val="0"/>
        <w:bidi w:val="0"/>
        <w:adjustRightInd/>
        <w:snapToGrid/>
        <w:spacing w:line="360" w:lineRule="auto"/>
        <w:ind w:firstLine="4410" w:firstLineChars="2100"/>
        <w:textAlignment w:val="auto"/>
        <w:rPr>
          <w:rFonts w:hint="eastAsia" w:ascii="宋体" w:hAnsi="宋体" w:eastAsia="宋体" w:cs="宋体"/>
          <w:i w:val="0"/>
          <w:iCs w:val="0"/>
          <w:color w:val="auto"/>
          <w:szCs w:val="21"/>
          <w:highlight w:val="none"/>
          <w:u w:val="single"/>
        </w:rPr>
      </w:pPr>
      <w:r>
        <w:rPr>
          <w:rFonts w:hint="eastAsia" w:ascii="宋体" w:hAnsi="宋体" w:eastAsia="宋体" w:cs="宋体"/>
          <w:i w:val="0"/>
          <w:iCs w:val="0"/>
          <w:color w:val="auto"/>
          <w:szCs w:val="21"/>
          <w:highlight w:val="none"/>
        </w:rPr>
        <w:t>供应商</w:t>
      </w:r>
      <w:r>
        <w:rPr>
          <w:rFonts w:hint="eastAsia" w:ascii="宋体" w:hAnsi="宋体" w:eastAsia="宋体" w:cs="宋体"/>
          <w:i w:val="0"/>
          <w:iCs w:val="0"/>
          <w:color w:val="auto"/>
          <w:kern w:val="0"/>
          <w:szCs w:val="21"/>
          <w:highlight w:val="none"/>
        </w:rPr>
        <w:t>名称</w:t>
      </w:r>
      <w:r>
        <w:rPr>
          <w:rFonts w:hint="eastAsia" w:ascii="宋体" w:hAnsi="宋体" w:eastAsia="宋体" w:cs="宋体"/>
          <w:i w:val="0"/>
          <w:iCs w:val="0"/>
          <w:color w:val="auto"/>
          <w:szCs w:val="21"/>
          <w:highlight w:val="none"/>
        </w:rPr>
        <w:t>（盖公章）：</w:t>
      </w:r>
      <w:r>
        <w:rPr>
          <w:rFonts w:hint="eastAsia" w:ascii="宋体" w:hAnsi="宋体" w:eastAsia="宋体" w:cs="宋体"/>
          <w:i w:val="0"/>
          <w:iCs w:val="0"/>
          <w:color w:val="auto"/>
          <w:szCs w:val="21"/>
          <w:highlight w:val="none"/>
          <w:u w:val="single"/>
        </w:rPr>
        <w:t xml:space="preserve">                   </w:t>
      </w:r>
    </w:p>
    <w:p w14:paraId="7FDF4B6B">
      <w:pPr>
        <w:keepNext w:val="0"/>
        <w:keepLines w:val="0"/>
        <w:pageBreakBefore w:val="0"/>
        <w:widowControl w:val="0"/>
        <w:kinsoku/>
        <w:wordWrap/>
        <w:overflowPunct/>
        <w:topLinePunct w:val="0"/>
        <w:autoSpaceDE w:val="0"/>
        <w:autoSpaceDN w:val="0"/>
        <w:bidi w:val="0"/>
        <w:adjustRightInd/>
        <w:snapToGrid/>
        <w:spacing w:line="360" w:lineRule="auto"/>
        <w:ind w:left="4410" w:leftChars="2100" w:firstLine="1260" w:firstLineChars="600"/>
        <w:textAlignment w:val="auto"/>
        <w:rPr>
          <w:rFonts w:hint="eastAsia" w:ascii="宋体" w:hAnsi="宋体" w:eastAsia="宋体" w:cs="宋体"/>
          <w:i w:val="0"/>
          <w:iCs w:val="0"/>
          <w:color w:val="auto"/>
          <w:kern w:val="0"/>
          <w:szCs w:val="21"/>
          <w:highlight w:val="none"/>
          <w:lang w:val="zh-CN"/>
        </w:rPr>
      </w:pPr>
      <w:r>
        <w:rPr>
          <w:rFonts w:hint="eastAsia" w:ascii="宋体" w:hAnsi="宋体" w:eastAsia="宋体" w:cs="宋体"/>
          <w:i w:val="0"/>
          <w:iCs w:val="0"/>
          <w:color w:val="auto"/>
          <w:szCs w:val="21"/>
          <w:highlight w:val="none"/>
        </w:rPr>
        <w:t xml:space="preserve">                                          日期：</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年</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月</w:t>
      </w:r>
      <w:r>
        <w:rPr>
          <w:rFonts w:hint="eastAsia" w:ascii="宋体" w:hAnsi="宋体" w:eastAsia="宋体" w:cs="宋体"/>
          <w:i w:val="0"/>
          <w:iCs w:val="0"/>
          <w:color w:val="auto"/>
          <w:szCs w:val="21"/>
          <w:highlight w:val="none"/>
          <w:u w:val="single"/>
        </w:rPr>
        <w:t xml:space="preserve">        </w:t>
      </w:r>
      <w:r>
        <w:rPr>
          <w:rFonts w:hint="eastAsia" w:ascii="宋体" w:hAnsi="宋体" w:eastAsia="宋体" w:cs="宋体"/>
          <w:i w:val="0"/>
          <w:iCs w:val="0"/>
          <w:color w:val="auto"/>
          <w:szCs w:val="21"/>
          <w:highlight w:val="none"/>
        </w:rPr>
        <w:t>日</w:t>
      </w:r>
    </w:p>
    <w:p w14:paraId="0FCFFBEB">
      <w:pPr>
        <w:pStyle w:val="13"/>
        <w:keepNext w:val="0"/>
        <w:keepLines w:val="0"/>
        <w:pageBreakBefore w:val="0"/>
        <w:widowControl w:val="0"/>
        <w:kinsoku/>
        <w:wordWrap/>
        <w:overflowPunct/>
        <w:topLinePunct w:val="0"/>
        <w:bidi w:val="0"/>
        <w:adjustRightInd/>
        <w:snapToGrid/>
        <w:spacing w:after="0" w:line="360" w:lineRule="auto"/>
        <w:ind w:left="3960" w:right="1808"/>
        <w:contextualSpacing/>
        <w:textAlignment w:val="auto"/>
        <w:rPr>
          <w:rFonts w:hint="eastAsia" w:ascii="宋体" w:hAnsi="宋体" w:eastAsia="宋体" w:cs="宋体"/>
          <w:i w:val="0"/>
          <w:iCs w:val="0"/>
          <w:color w:val="auto"/>
          <w:szCs w:val="21"/>
          <w:highlight w:val="none"/>
        </w:rPr>
      </w:pPr>
    </w:p>
    <w:p w14:paraId="74771C37">
      <w:pPr>
        <w:keepNext w:val="0"/>
        <w:keepLines w:val="0"/>
        <w:pageBreakBefore w:val="0"/>
        <w:widowControl w:val="0"/>
        <w:kinsoku/>
        <w:wordWrap/>
        <w:overflowPunct/>
        <w:topLinePunct w:val="0"/>
        <w:bidi w:val="0"/>
        <w:adjustRightInd/>
        <w:snapToGrid/>
        <w:spacing w:line="360" w:lineRule="auto"/>
        <w:ind w:firstLine="420" w:firstLineChars="200"/>
        <w:contextualSpacing/>
        <w:jc w:val="left"/>
        <w:textAlignment w:val="auto"/>
        <w:rPr>
          <w:rFonts w:hint="eastAsia" w:ascii="宋体" w:hAnsi="宋体" w:eastAsia="宋体" w:cs="宋体"/>
          <w:i w:val="0"/>
          <w:iCs w:val="0"/>
          <w:color w:val="auto"/>
          <w:szCs w:val="21"/>
          <w:highlight w:val="none"/>
        </w:rPr>
      </w:pPr>
      <w:r>
        <w:rPr>
          <w:rFonts w:hint="eastAsia" w:ascii="宋体" w:hAnsi="宋体" w:eastAsia="宋体" w:cs="宋体"/>
          <w:i w:val="0"/>
          <w:iCs w:val="0"/>
          <w:color w:val="auto"/>
          <w:szCs w:val="21"/>
          <w:highlight w:val="none"/>
        </w:rPr>
        <w:t>注：享受《政府采购促进中小企业发展管理办法》（财库〔2020〕46号）规定的中小企业扶持政策的，采购人或者采购代理机构应当随成交结果公开成交供应商的《中小企业声明函》，接受社会监督。从业人员、营业收入、资产总额填报上一年度数据，无上一年度数据的新成立企业可不填报。</w:t>
      </w:r>
    </w:p>
    <w:p w14:paraId="17932093">
      <w:pPr>
        <w:rPr>
          <w:b/>
          <w:color w:val="auto"/>
          <w:sz w:val="28"/>
          <w:szCs w:val="28"/>
          <w:highlight w:val="none"/>
        </w:rPr>
      </w:pPr>
      <w:r>
        <w:rPr>
          <w:b/>
          <w:color w:val="auto"/>
          <w:sz w:val="28"/>
          <w:szCs w:val="28"/>
          <w:highlight w:val="none"/>
        </w:rPr>
        <w:br w:type="page"/>
      </w:r>
    </w:p>
    <w:p w14:paraId="7ECF5405">
      <w:pPr>
        <w:snapToGrid w:val="0"/>
        <w:spacing w:before="120" w:beforeLines="50" w:after="50" w:line="360" w:lineRule="auto"/>
        <w:jc w:val="left"/>
        <w:outlineLvl w:val="2"/>
        <w:rPr>
          <w:b/>
          <w:color w:val="auto"/>
          <w:sz w:val="28"/>
          <w:szCs w:val="28"/>
          <w:highlight w:val="none"/>
        </w:rPr>
      </w:pPr>
      <w:bookmarkStart w:id="238" w:name="_Toc4388"/>
      <w:r>
        <w:rPr>
          <w:b/>
          <w:color w:val="auto"/>
          <w:sz w:val="28"/>
          <w:szCs w:val="28"/>
          <w:highlight w:val="none"/>
        </w:rPr>
        <w:t>2.残疾人福利性单位声明函的格式：</w:t>
      </w:r>
      <w:bookmarkEnd w:id="238"/>
    </w:p>
    <w:p w14:paraId="6E624BCD">
      <w:pPr>
        <w:pStyle w:val="21"/>
        <w:rPr>
          <w:color w:val="auto"/>
          <w:highlight w:val="none"/>
        </w:rPr>
      </w:pPr>
    </w:p>
    <w:p w14:paraId="0CBDABB3">
      <w:pPr>
        <w:spacing w:line="520" w:lineRule="exact"/>
        <w:jc w:val="center"/>
        <w:rPr>
          <w:rFonts w:eastAsia="方正小标宋简体"/>
          <w:color w:val="auto"/>
          <w:sz w:val="44"/>
          <w:szCs w:val="44"/>
          <w:highlight w:val="none"/>
        </w:rPr>
      </w:pPr>
    </w:p>
    <w:p w14:paraId="28BA638E">
      <w:pPr>
        <w:spacing w:line="520" w:lineRule="exact"/>
        <w:jc w:val="center"/>
        <w:rPr>
          <w:rFonts w:eastAsia="方正小标宋简体"/>
          <w:color w:val="auto"/>
          <w:sz w:val="44"/>
          <w:szCs w:val="44"/>
          <w:highlight w:val="none"/>
        </w:rPr>
      </w:pPr>
    </w:p>
    <w:p w14:paraId="30294831">
      <w:pPr>
        <w:spacing w:line="520" w:lineRule="exact"/>
        <w:jc w:val="center"/>
        <w:rPr>
          <w:b/>
          <w:bCs/>
          <w:color w:val="auto"/>
          <w:sz w:val="36"/>
          <w:szCs w:val="36"/>
          <w:highlight w:val="none"/>
        </w:rPr>
      </w:pPr>
      <w:r>
        <w:rPr>
          <w:b/>
          <w:bCs/>
          <w:color w:val="auto"/>
          <w:sz w:val="36"/>
          <w:szCs w:val="36"/>
          <w:highlight w:val="none"/>
        </w:rPr>
        <w:t>残疾人福利性单位声明函</w:t>
      </w:r>
    </w:p>
    <w:p w14:paraId="5710AE34">
      <w:pPr>
        <w:spacing w:line="520" w:lineRule="exact"/>
        <w:rPr>
          <w:color w:val="auto"/>
          <w:sz w:val="32"/>
          <w:szCs w:val="32"/>
          <w:highlight w:val="none"/>
        </w:rPr>
      </w:pPr>
    </w:p>
    <w:p w14:paraId="03E43E19">
      <w:pPr>
        <w:spacing w:line="360" w:lineRule="auto"/>
        <w:ind w:firstLine="420" w:firstLineChars="200"/>
        <w:contextualSpacing/>
        <w:rPr>
          <w:color w:val="auto"/>
          <w:szCs w:val="21"/>
          <w:highlight w:val="none"/>
        </w:rPr>
      </w:pPr>
    </w:p>
    <w:p w14:paraId="6BB6F75E">
      <w:pPr>
        <w:spacing w:line="360" w:lineRule="auto"/>
        <w:ind w:firstLine="420" w:firstLineChars="200"/>
        <w:contextualSpacing/>
        <w:rPr>
          <w:color w:val="auto"/>
          <w:szCs w:val="21"/>
          <w:highlight w:val="none"/>
        </w:rPr>
      </w:pPr>
      <w:r>
        <w:rPr>
          <w:color w:val="auto"/>
          <w:szCs w:val="21"/>
          <w:highlight w:val="none"/>
        </w:rPr>
        <w:t>本单位郑重声明，根据《财政部 民政部 中国残疾人联合会关于促进残疾人就业政府采购政策的通知》（财库〔2017〕141号）的规定，本单位为符合条件的残疾人福利性单位，且本单位参加</w:t>
      </w:r>
      <w:r>
        <w:rPr>
          <w:color w:val="auto"/>
          <w:szCs w:val="21"/>
          <w:highlight w:val="none"/>
          <w:u w:val="single"/>
        </w:rPr>
        <w:t xml:space="preserve">    </w:t>
      </w:r>
      <w:r>
        <w:rPr>
          <w:rFonts w:hint="eastAsia"/>
          <w:color w:val="auto"/>
          <w:szCs w:val="21"/>
          <w:highlight w:val="none"/>
          <w:u w:val="single"/>
          <w:lang w:val="en-US" w:eastAsia="zh-CN"/>
        </w:rPr>
        <w:t xml:space="preserve">     </w:t>
      </w:r>
      <w:r>
        <w:rPr>
          <w:color w:val="auto"/>
          <w:szCs w:val="21"/>
          <w:highlight w:val="none"/>
          <w:u w:val="single"/>
        </w:rPr>
        <w:t xml:space="preserve">    </w:t>
      </w:r>
      <w:r>
        <w:rPr>
          <w:color w:val="auto"/>
          <w:szCs w:val="21"/>
          <w:highlight w:val="none"/>
        </w:rPr>
        <w:t>单位的</w:t>
      </w:r>
      <w:r>
        <w:rPr>
          <w:color w:val="auto"/>
          <w:szCs w:val="21"/>
          <w:highlight w:val="none"/>
          <w:u w:val="single"/>
        </w:rPr>
        <w:t xml:space="preserve">           </w:t>
      </w:r>
      <w:r>
        <w:rPr>
          <w:color w:val="auto"/>
          <w:szCs w:val="21"/>
          <w:highlight w:val="none"/>
        </w:rPr>
        <w:t>项目采购活动提供本单位制造的货物（由本单位承担工程/提供服务），或者提供其他残疾人福利性单位制造的货物（不包括使用非残疾人福利性单位注册商标的货物）。</w:t>
      </w:r>
    </w:p>
    <w:p w14:paraId="476838E2">
      <w:pPr>
        <w:spacing w:line="360" w:lineRule="auto"/>
        <w:ind w:firstLine="420" w:firstLineChars="200"/>
        <w:contextualSpacing/>
        <w:rPr>
          <w:color w:val="auto"/>
          <w:szCs w:val="21"/>
          <w:highlight w:val="none"/>
        </w:rPr>
      </w:pPr>
      <w:r>
        <w:rPr>
          <w:color w:val="auto"/>
          <w:szCs w:val="21"/>
          <w:highlight w:val="none"/>
        </w:rPr>
        <w:t>本单位对上述声明的真实性负责。如有虚假，将依法承担相应责任。</w:t>
      </w:r>
    </w:p>
    <w:p w14:paraId="4E37DA8E">
      <w:pPr>
        <w:spacing w:line="360" w:lineRule="auto"/>
        <w:contextualSpacing/>
        <w:rPr>
          <w:color w:val="auto"/>
          <w:szCs w:val="21"/>
          <w:highlight w:val="none"/>
        </w:rPr>
      </w:pPr>
    </w:p>
    <w:p w14:paraId="4BA33B1F">
      <w:pPr>
        <w:spacing w:line="360" w:lineRule="auto"/>
        <w:contextualSpacing/>
        <w:rPr>
          <w:color w:val="auto"/>
          <w:szCs w:val="21"/>
          <w:highlight w:val="none"/>
        </w:rPr>
      </w:pPr>
    </w:p>
    <w:p w14:paraId="016C79F2">
      <w:pPr>
        <w:spacing w:line="360" w:lineRule="auto"/>
        <w:contextualSpacing/>
        <w:rPr>
          <w:color w:val="auto"/>
          <w:szCs w:val="21"/>
          <w:highlight w:val="none"/>
        </w:rPr>
      </w:pPr>
    </w:p>
    <w:p w14:paraId="6970060C">
      <w:pPr>
        <w:spacing w:line="400" w:lineRule="exact"/>
        <w:ind w:firstLine="4410" w:firstLineChars="2100"/>
        <w:rPr>
          <w:color w:val="auto"/>
          <w:szCs w:val="21"/>
          <w:highlight w:val="none"/>
          <w:u w:val="single"/>
        </w:rPr>
      </w:pPr>
      <w:r>
        <w:rPr>
          <w:color w:val="auto"/>
          <w:szCs w:val="21"/>
          <w:highlight w:val="none"/>
        </w:rPr>
        <w:t>供应商</w:t>
      </w:r>
      <w:r>
        <w:rPr>
          <w:color w:val="auto"/>
          <w:kern w:val="0"/>
          <w:szCs w:val="21"/>
          <w:highlight w:val="none"/>
        </w:rPr>
        <w:t>名称</w:t>
      </w:r>
      <w:r>
        <w:rPr>
          <w:color w:val="auto"/>
          <w:szCs w:val="21"/>
          <w:highlight w:val="none"/>
        </w:rPr>
        <w:t>（盖公章）：</w:t>
      </w:r>
      <w:r>
        <w:rPr>
          <w:color w:val="auto"/>
          <w:szCs w:val="21"/>
          <w:highlight w:val="none"/>
          <w:u w:val="single"/>
        </w:rPr>
        <w:t xml:space="preserve">                   </w:t>
      </w:r>
    </w:p>
    <w:p w14:paraId="60BBD7C6">
      <w:pPr>
        <w:spacing w:line="360" w:lineRule="auto"/>
        <w:contextualSpacing/>
        <w:rPr>
          <w:color w:val="auto"/>
          <w:szCs w:val="21"/>
          <w:highlight w:val="none"/>
        </w:rPr>
      </w:pPr>
      <w:r>
        <w:rPr>
          <w:rFonts w:hint="eastAsia"/>
          <w:color w:val="auto"/>
          <w:szCs w:val="21"/>
          <w:highlight w:val="none"/>
        </w:rPr>
        <w:t xml:space="preserve">                                          </w:t>
      </w:r>
      <w:r>
        <w:rPr>
          <w:color w:val="auto"/>
          <w:szCs w:val="21"/>
          <w:highlight w:val="none"/>
        </w:rPr>
        <w:t>日期：</w:t>
      </w:r>
      <w:r>
        <w:rPr>
          <w:color w:val="auto"/>
          <w:szCs w:val="21"/>
          <w:highlight w:val="none"/>
          <w:u w:val="single"/>
        </w:rPr>
        <w:t xml:space="preserve">         </w:t>
      </w:r>
      <w:r>
        <w:rPr>
          <w:color w:val="auto"/>
          <w:szCs w:val="21"/>
          <w:highlight w:val="none"/>
        </w:rPr>
        <w:t>年</w:t>
      </w:r>
      <w:r>
        <w:rPr>
          <w:color w:val="auto"/>
          <w:szCs w:val="21"/>
          <w:highlight w:val="none"/>
          <w:u w:val="single"/>
        </w:rPr>
        <w:t xml:space="preserve">        </w:t>
      </w:r>
      <w:r>
        <w:rPr>
          <w:color w:val="auto"/>
          <w:szCs w:val="21"/>
          <w:highlight w:val="none"/>
        </w:rPr>
        <w:t>月</w:t>
      </w:r>
      <w:r>
        <w:rPr>
          <w:color w:val="auto"/>
          <w:szCs w:val="21"/>
          <w:highlight w:val="none"/>
          <w:u w:val="single"/>
        </w:rPr>
        <w:t xml:space="preserve">        </w:t>
      </w:r>
      <w:r>
        <w:rPr>
          <w:color w:val="auto"/>
          <w:szCs w:val="21"/>
          <w:highlight w:val="none"/>
        </w:rPr>
        <w:t>日</w:t>
      </w:r>
    </w:p>
    <w:p w14:paraId="13C54986">
      <w:pPr>
        <w:spacing w:line="360" w:lineRule="auto"/>
        <w:contextualSpacing/>
        <w:rPr>
          <w:color w:val="auto"/>
          <w:szCs w:val="21"/>
          <w:highlight w:val="none"/>
        </w:rPr>
      </w:pPr>
    </w:p>
    <w:p w14:paraId="7F889EE2">
      <w:pPr>
        <w:spacing w:line="360" w:lineRule="auto"/>
        <w:contextualSpacing/>
        <w:rPr>
          <w:color w:val="auto"/>
          <w:szCs w:val="21"/>
          <w:highlight w:val="none"/>
        </w:rPr>
      </w:pPr>
    </w:p>
    <w:p w14:paraId="5AF65C6F">
      <w:pPr>
        <w:spacing w:line="360" w:lineRule="auto"/>
        <w:ind w:firstLine="420" w:firstLineChars="200"/>
        <w:contextualSpacing/>
        <w:rPr>
          <w:color w:val="auto"/>
          <w:szCs w:val="21"/>
          <w:highlight w:val="none"/>
        </w:rPr>
      </w:pPr>
      <w:r>
        <w:rPr>
          <w:color w:val="auto"/>
          <w:szCs w:val="21"/>
          <w:highlight w:val="none"/>
        </w:rPr>
        <w:t>注：请根据自己的真实情况出具《残疾人福利性单位声明函》。依法享受中小企业扶持政策的，采购人或者采购代理机构在公告成交结果时，同时公告其《残疾人福利性单位声明函》，接受社会监督。</w:t>
      </w:r>
    </w:p>
    <w:p w14:paraId="6AEC312F">
      <w:pPr>
        <w:pStyle w:val="13"/>
        <w:ind w:left="1" w:firstLine="2" w:firstLineChars="1"/>
        <w:rPr>
          <w:b/>
          <w:bCs/>
          <w:color w:val="auto"/>
          <w:sz w:val="18"/>
          <w:szCs w:val="18"/>
          <w:highlight w:val="none"/>
        </w:rPr>
      </w:pPr>
      <w:r>
        <w:rPr>
          <w:rFonts w:hint="eastAsia" w:ascii="宋体" w:hAnsi="宋体" w:cs="宋体"/>
          <w:color w:val="auto"/>
          <w:szCs w:val="21"/>
          <w:highlight w:val="none"/>
        </w:rPr>
        <w:br w:type="page"/>
      </w:r>
    </w:p>
    <w:p w14:paraId="1221871F">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华文中宋" w:hAnsi="华文中宋" w:eastAsia="华文中宋" w:cs="华文中宋"/>
          <w:color w:val="auto"/>
          <w:sz w:val="32"/>
          <w:szCs w:val="32"/>
        </w:rPr>
      </w:pPr>
      <w:bookmarkStart w:id="239" w:name="_Toc28369"/>
      <w:bookmarkStart w:id="240" w:name="_Toc27888"/>
      <w:bookmarkStart w:id="241" w:name="_Toc15154"/>
      <w:bookmarkStart w:id="242" w:name="_Toc32625"/>
      <w:bookmarkStart w:id="243" w:name="_Toc4005"/>
      <w:bookmarkStart w:id="244" w:name="_Toc80886947"/>
      <w:bookmarkStart w:id="245" w:name="_Toc31579"/>
      <w:bookmarkStart w:id="246" w:name="_Toc24786"/>
      <w:bookmarkStart w:id="247" w:name="_Toc9343"/>
      <w:bookmarkStart w:id="248" w:name="_Toc12748"/>
      <w:r>
        <w:rPr>
          <w:rFonts w:hint="eastAsia" w:ascii="华文中宋" w:hAnsi="华文中宋" w:eastAsia="华文中宋" w:cs="华文中宋"/>
          <w:color w:val="auto"/>
          <w:sz w:val="32"/>
          <w:szCs w:val="32"/>
        </w:rPr>
        <w:t>第六章  合同文本</w:t>
      </w:r>
      <w:bookmarkEnd w:id="239"/>
      <w:bookmarkEnd w:id="240"/>
      <w:bookmarkEnd w:id="241"/>
      <w:bookmarkEnd w:id="242"/>
      <w:bookmarkEnd w:id="243"/>
      <w:bookmarkEnd w:id="244"/>
      <w:bookmarkEnd w:id="245"/>
      <w:bookmarkEnd w:id="246"/>
      <w:bookmarkEnd w:id="247"/>
    </w:p>
    <w:bookmarkEnd w:id="248"/>
    <w:p w14:paraId="267D4B88">
      <w:pPr>
        <w:pageBreakBefore w:val="0"/>
        <w:kinsoku/>
        <w:overflowPunct/>
        <w:topLinePunct w:val="0"/>
        <w:bidi w:val="0"/>
        <w:snapToGrid/>
        <w:spacing w:line="360" w:lineRule="auto"/>
        <w:jc w:val="center"/>
        <w:textAlignment w:val="auto"/>
        <w:rPr>
          <w:rFonts w:ascii="宋体" w:hAnsi="宋体" w:cs="宋体"/>
          <w:b/>
          <w:bCs/>
          <w:color w:val="auto"/>
          <w:kern w:val="44"/>
          <w:sz w:val="72"/>
          <w:szCs w:val="72"/>
          <w:highlight w:val="none"/>
          <w:lang w:val="zh-CN"/>
        </w:rPr>
      </w:pPr>
      <w:bookmarkStart w:id="249" w:name="_Toc29015"/>
      <w:bookmarkStart w:id="250" w:name="_Toc407135283"/>
      <w:bookmarkStart w:id="251" w:name="_Toc14114"/>
    </w:p>
    <w:p w14:paraId="2F236FB0">
      <w:pPr>
        <w:pageBreakBefore w:val="0"/>
        <w:kinsoku/>
        <w:overflowPunct/>
        <w:topLinePunct w:val="0"/>
        <w:bidi w:val="0"/>
        <w:snapToGrid/>
        <w:spacing w:line="360" w:lineRule="auto"/>
        <w:jc w:val="center"/>
        <w:textAlignment w:val="auto"/>
        <w:rPr>
          <w:rFonts w:ascii="宋体" w:hAnsi="宋体" w:cs="宋体"/>
          <w:b/>
          <w:bCs/>
          <w:color w:val="auto"/>
          <w:kern w:val="44"/>
          <w:sz w:val="72"/>
          <w:szCs w:val="72"/>
          <w:highlight w:val="none"/>
          <w:lang w:val="zh-CN"/>
        </w:rPr>
      </w:pPr>
    </w:p>
    <w:p w14:paraId="0C1344C6">
      <w:pPr>
        <w:pageBreakBefore w:val="0"/>
        <w:kinsoku/>
        <w:overflowPunct/>
        <w:topLinePunct w:val="0"/>
        <w:bidi w:val="0"/>
        <w:snapToGrid/>
        <w:spacing w:line="360" w:lineRule="auto"/>
        <w:jc w:val="center"/>
        <w:textAlignment w:val="auto"/>
        <w:rPr>
          <w:rFonts w:ascii="宋体" w:hAnsi="宋体" w:cs="宋体"/>
          <w:b/>
          <w:bCs/>
          <w:color w:val="auto"/>
          <w:kern w:val="44"/>
          <w:sz w:val="44"/>
          <w:szCs w:val="44"/>
          <w:highlight w:val="none"/>
          <w:lang w:val="zh-CN"/>
        </w:rPr>
      </w:pPr>
      <w:r>
        <w:rPr>
          <w:rFonts w:hint="eastAsia" w:ascii="宋体" w:hAnsi="宋体" w:cs="宋体"/>
          <w:b/>
          <w:bCs/>
          <w:color w:val="auto"/>
          <w:kern w:val="44"/>
          <w:sz w:val="44"/>
          <w:szCs w:val="44"/>
          <w:highlight w:val="none"/>
          <w:lang w:val="zh-CN"/>
        </w:rPr>
        <w:t>建设工程施工合同</w:t>
      </w:r>
    </w:p>
    <w:p w14:paraId="3A684DBD">
      <w:pPr>
        <w:pageBreakBefore w:val="0"/>
        <w:kinsoku/>
        <w:overflowPunct/>
        <w:topLinePunct w:val="0"/>
        <w:bidi w:val="0"/>
        <w:snapToGrid/>
        <w:spacing w:line="360" w:lineRule="auto"/>
        <w:textAlignment w:val="auto"/>
        <w:rPr>
          <w:rFonts w:ascii="宋体" w:hAnsi="宋体" w:cs="宋体"/>
          <w:b/>
          <w:bCs/>
          <w:color w:val="auto"/>
          <w:kern w:val="44"/>
          <w:sz w:val="28"/>
          <w:szCs w:val="28"/>
          <w:highlight w:val="none"/>
          <w:lang w:val="zh-CN"/>
        </w:rPr>
      </w:pPr>
    </w:p>
    <w:p w14:paraId="5D3478E2">
      <w:pPr>
        <w:pageBreakBefore w:val="0"/>
        <w:kinsoku/>
        <w:overflowPunct/>
        <w:topLinePunct w:val="0"/>
        <w:bidi w:val="0"/>
        <w:snapToGrid/>
        <w:spacing w:line="360" w:lineRule="auto"/>
        <w:textAlignment w:val="auto"/>
        <w:rPr>
          <w:rFonts w:ascii="宋体" w:hAnsi="宋体" w:cs="宋体"/>
          <w:b/>
          <w:bCs/>
          <w:color w:val="auto"/>
          <w:kern w:val="44"/>
          <w:sz w:val="28"/>
          <w:szCs w:val="28"/>
          <w:highlight w:val="none"/>
          <w:lang w:val="zh-CN"/>
        </w:rPr>
      </w:pPr>
    </w:p>
    <w:p w14:paraId="27EFA198">
      <w:pPr>
        <w:pageBreakBefore w:val="0"/>
        <w:kinsoku/>
        <w:overflowPunct/>
        <w:topLinePunct w:val="0"/>
        <w:bidi w:val="0"/>
        <w:snapToGrid/>
        <w:spacing w:line="360" w:lineRule="auto"/>
        <w:textAlignment w:val="auto"/>
        <w:rPr>
          <w:rFonts w:ascii="宋体" w:hAnsi="宋体" w:cs="宋体"/>
          <w:b/>
          <w:bCs/>
          <w:color w:val="auto"/>
          <w:kern w:val="44"/>
          <w:sz w:val="28"/>
          <w:szCs w:val="28"/>
          <w:highlight w:val="none"/>
          <w:lang w:val="zh-CN"/>
        </w:rPr>
      </w:pPr>
    </w:p>
    <w:p w14:paraId="73038011">
      <w:pPr>
        <w:pageBreakBefore w:val="0"/>
        <w:kinsoku/>
        <w:overflowPunct/>
        <w:topLinePunct w:val="0"/>
        <w:bidi w:val="0"/>
        <w:snapToGrid/>
        <w:spacing w:line="360" w:lineRule="auto"/>
        <w:ind w:firstLine="843" w:firstLineChars="300"/>
        <w:textAlignment w:val="auto"/>
        <w:rPr>
          <w:rFonts w:ascii="宋体" w:hAnsi="宋体" w:cs="宋体"/>
          <w:b/>
          <w:bCs/>
          <w:color w:val="auto"/>
          <w:kern w:val="44"/>
          <w:sz w:val="28"/>
          <w:szCs w:val="28"/>
          <w:highlight w:val="none"/>
          <w:lang w:val="zh-CN"/>
        </w:rPr>
      </w:pPr>
      <w:r>
        <w:rPr>
          <w:rFonts w:hint="eastAsia" w:ascii="宋体" w:hAnsi="宋体" w:cs="宋体"/>
          <w:b/>
          <w:bCs/>
          <w:color w:val="auto"/>
          <w:kern w:val="44"/>
          <w:sz w:val="28"/>
          <w:szCs w:val="28"/>
          <w:highlight w:val="none"/>
          <w:u w:val="none"/>
          <w:lang w:val="zh-CN"/>
        </w:rPr>
        <w:t>工程名称：桂林航天工业学院新校区扩建项目科技活动中心附属工程</w:t>
      </w:r>
    </w:p>
    <w:p w14:paraId="398C791A">
      <w:pPr>
        <w:pageBreakBefore w:val="0"/>
        <w:kinsoku/>
        <w:overflowPunct/>
        <w:topLinePunct w:val="0"/>
        <w:bidi w:val="0"/>
        <w:snapToGrid/>
        <w:spacing w:line="360" w:lineRule="auto"/>
        <w:textAlignment w:val="auto"/>
        <w:rPr>
          <w:rFonts w:ascii="宋体" w:hAnsi="宋体" w:cs="宋体"/>
          <w:b/>
          <w:bCs/>
          <w:color w:val="auto"/>
          <w:kern w:val="44"/>
          <w:sz w:val="28"/>
          <w:szCs w:val="28"/>
          <w:highlight w:val="none"/>
          <w:lang w:val="zh-CN"/>
        </w:rPr>
      </w:pPr>
    </w:p>
    <w:p w14:paraId="767F934A">
      <w:pPr>
        <w:pageBreakBefore w:val="0"/>
        <w:kinsoku/>
        <w:overflowPunct/>
        <w:topLinePunct w:val="0"/>
        <w:bidi w:val="0"/>
        <w:snapToGrid/>
        <w:spacing w:line="360" w:lineRule="auto"/>
        <w:textAlignment w:val="auto"/>
        <w:rPr>
          <w:rFonts w:ascii="宋体" w:hAnsi="宋体" w:cs="宋体"/>
          <w:b/>
          <w:bCs/>
          <w:color w:val="auto"/>
          <w:kern w:val="44"/>
          <w:sz w:val="28"/>
          <w:szCs w:val="28"/>
          <w:highlight w:val="none"/>
          <w:lang w:val="zh-CN"/>
        </w:rPr>
      </w:pPr>
    </w:p>
    <w:p w14:paraId="0BD87C72">
      <w:pPr>
        <w:pageBreakBefore w:val="0"/>
        <w:kinsoku/>
        <w:overflowPunct/>
        <w:topLinePunct w:val="0"/>
        <w:bidi w:val="0"/>
        <w:snapToGrid/>
        <w:spacing w:line="360" w:lineRule="auto"/>
        <w:textAlignment w:val="auto"/>
        <w:rPr>
          <w:rFonts w:ascii="宋体" w:hAnsi="宋体" w:cs="宋体"/>
          <w:b/>
          <w:bCs/>
          <w:color w:val="auto"/>
          <w:kern w:val="44"/>
          <w:sz w:val="28"/>
          <w:szCs w:val="28"/>
          <w:highlight w:val="none"/>
          <w:lang w:val="zh-CN"/>
        </w:rPr>
      </w:pPr>
    </w:p>
    <w:p w14:paraId="4A4830E1">
      <w:pPr>
        <w:pageBreakBefore w:val="0"/>
        <w:kinsoku/>
        <w:overflowPunct/>
        <w:topLinePunct w:val="0"/>
        <w:bidi w:val="0"/>
        <w:snapToGrid/>
        <w:spacing w:line="360" w:lineRule="auto"/>
        <w:ind w:left="2317" w:leftChars="166" w:hanging="1968" w:hangingChars="700"/>
        <w:jc w:val="left"/>
        <w:textAlignment w:val="auto"/>
        <w:rPr>
          <w:rFonts w:ascii="宋体" w:hAnsi="宋体" w:cs="宋体"/>
          <w:b/>
          <w:bCs/>
          <w:color w:val="auto"/>
          <w:kern w:val="44"/>
          <w:sz w:val="28"/>
          <w:szCs w:val="28"/>
          <w:highlight w:val="none"/>
          <w:u w:val="none"/>
        </w:rPr>
      </w:pPr>
    </w:p>
    <w:p w14:paraId="4E1E827A">
      <w:pPr>
        <w:pageBreakBefore w:val="0"/>
        <w:kinsoku/>
        <w:overflowPunct/>
        <w:topLinePunct w:val="0"/>
        <w:bidi w:val="0"/>
        <w:snapToGrid/>
        <w:spacing w:line="360" w:lineRule="auto"/>
        <w:ind w:firstLine="1687" w:firstLineChars="600"/>
        <w:textAlignment w:val="auto"/>
        <w:rPr>
          <w:rFonts w:ascii="宋体" w:hAnsi="宋体" w:cs="宋体"/>
          <w:b/>
          <w:bCs/>
          <w:color w:val="auto"/>
          <w:kern w:val="44"/>
          <w:sz w:val="28"/>
          <w:szCs w:val="28"/>
          <w:highlight w:val="none"/>
          <w:u w:val="none"/>
        </w:rPr>
      </w:pPr>
      <w:r>
        <w:rPr>
          <w:rFonts w:hint="eastAsia" w:ascii="宋体" w:hAnsi="宋体" w:cs="宋体"/>
          <w:b/>
          <w:bCs/>
          <w:color w:val="auto"/>
          <w:kern w:val="44"/>
          <w:sz w:val="28"/>
          <w:szCs w:val="28"/>
          <w:highlight w:val="none"/>
          <w:u w:val="none"/>
          <w:lang w:val="zh-CN"/>
        </w:rPr>
        <w:t>发包人（采购人）：桂林航天工业学院</w:t>
      </w:r>
    </w:p>
    <w:p w14:paraId="510D735F">
      <w:pPr>
        <w:pageBreakBefore w:val="0"/>
        <w:kinsoku/>
        <w:overflowPunct/>
        <w:topLinePunct w:val="0"/>
        <w:bidi w:val="0"/>
        <w:snapToGrid/>
        <w:spacing w:line="360" w:lineRule="auto"/>
        <w:ind w:firstLine="1687" w:firstLineChars="600"/>
        <w:textAlignment w:val="auto"/>
        <w:rPr>
          <w:rFonts w:ascii="宋体" w:hAnsi="宋体" w:cs="宋体"/>
          <w:b/>
          <w:bCs/>
          <w:color w:val="auto"/>
          <w:kern w:val="44"/>
          <w:sz w:val="28"/>
          <w:szCs w:val="28"/>
          <w:highlight w:val="none"/>
          <w:u w:val="none"/>
        </w:rPr>
      </w:pPr>
      <w:r>
        <w:rPr>
          <w:rFonts w:hint="eastAsia" w:ascii="宋体" w:hAnsi="宋体" w:eastAsia="宋体" w:cs="宋体"/>
          <w:b/>
          <w:bCs/>
          <w:color w:val="auto"/>
          <w:kern w:val="44"/>
          <w:sz w:val="28"/>
          <w:szCs w:val="28"/>
          <w:highlight w:val="none"/>
          <w:u w:val="none"/>
          <w:lang w:val="zh-CN"/>
        </w:rPr>
        <w:t>承包人</w:t>
      </w:r>
      <w:r>
        <w:rPr>
          <w:rFonts w:hint="eastAsia" w:ascii="宋体" w:hAnsi="宋体" w:cs="宋体"/>
          <w:b/>
          <w:bCs/>
          <w:color w:val="auto"/>
          <w:kern w:val="44"/>
          <w:sz w:val="28"/>
          <w:szCs w:val="28"/>
          <w:highlight w:val="none"/>
          <w:u w:val="none"/>
          <w:lang w:val="zh-CN"/>
        </w:rPr>
        <w:t>（成交供应商）：</w:t>
      </w:r>
      <w:r>
        <w:rPr>
          <w:rFonts w:hint="eastAsia" w:ascii="宋体" w:hAnsi="宋体" w:cs="宋体"/>
          <w:b/>
          <w:bCs/>
          <w:color w:val="auto"/>
          <w:kern w:val="44"/>
          <w:sz w:val="28"/>
          <w:szCs w:val="28"/>
          <w:highlight w:val="none"/>
          <w:u w:val="single"/>
        </w:rPr>
        <w:t xml:space="preserve">                    </w:t>
      </w:r>
    </w:p>
    <w:p w14:paraId="64DB4394">
      <w:pPr>
        <w:pageBreakBefore w:val="0"/>
        <w:kinsoku/>
        <w:overflowPunct/>
        <w:topLinePunct w:val="0"/>
        <w:bidi w:val="0"/>
        <w:snapToGrid/>
        <w:spacing w:line="360" w:lineRule="auto"/>
        <w:ind w:firstLine="1687" w:firstLineChars="600"/>
        <w:textAlignment w:val="auto"/>
        <w:rPr>
          <w:rFonts w:hint="eastAsia" w:ascii="宋体" w:hAnsi="宋体" w:cs="宋体"/>
          <w:b/>
          <w:bCs/>
          <w:color w:val="auto"/>
          <w:kern w:val="44"/>
          <w:sz w:val="32"/>
          <w:szCs w:val="32"/>
          <w:highlight w:val="none"/>
        </w:rPr>
      </w:pPr>
      <w:r>
        <w:rPr>
          <w:rFonts w:hint="eastAsia" w:ascii="宋体" w:hAnsi="宋体" w:eastAsia="宋体" w:cs="宋体"/>
          <w:b/>
          <w:bCs/>
          <w:color w:val="auto"/>
          <w:kern w:val="44"/>
          <w:sz w:val="28"/>
          <w:szCs w:val="28"/>
          <w:highlight w:val="none"/>
          <w:u w:val="none"/>
          <w:lang w:val="zh-CN"/>
        </w:rPr>
        <w:t>签订</w:t>
      </w:r>
      <w:r>
        <w:rPr>
          <w:rFonts w:hint="eastAsia" w:ascii="宋体" w:hAnsi="宋体" w:cs="宋体"/>
          <w:b/>
          <w:bCs/>
          <w:color w:val="auto"/>
          <w:kern w:val="44"/>
          <w:sz w:val="32"/>
          <w:szCs w:val="32"/>
          <w:highlight w:val="none"/>
          <w:lang w:val="zh-CN"/>
        </w:rPr>
        <w:t>时间：</w:t>
      </w:r>
      <w:r>
        <w:rPr>
          <w:rFonts w:hint="eastAsia" w:ascii="宋体" w:hAnsi="宋体" w:cs="宋体"/>
          <w:b/>
          <w:bCs/>
          <w:color w:val="auto"/>
          <w:kern w:val="44"/>
          <w:sz w:val="32"/>
          <w:szCs w:val="32"/>
          <w:highlight w:val="none"/>
        </w:rPr>
        <w:t>202</w:t>
      </w:r>
      <w:r>
        <w:rPr>
          <w:rFonts w:hint="eastAsia" w:ascii="宋体" w:hAnsi="宋体" w:cs="宋体"/>
          <w:b/>
          <w:bCs/>
          <w:color w:val="auto"/>
          <w:kern w:val="44"/>
          <w:sz w:val="32"/>
          <w:szCs w:val="32"/>
          <w:highlight w:val="none"/>
          <w:lang w:val="en-US" w:eastAsia="zh-CN"/>
        </w:rPr>
        <w:t>5</w:t>
      </w:r>
      <w:r>
        <w:rPr>
          <w:rFonts w:hint="eastAsia" w:ascii="宋体" w:hAnsi="宋体" w:cs="宋体"/>
          <w:b/>
          <w:bCs/>
          <w:color w:val="auto"/>
          <w:kern w:val="44"/>
          <w:sz w:val="32"/>
          <w:szCs w:val="32"/>
          <w:highlight w:val="none"/>
        </w:rPr>
        <w:t>年  月  日</w:t>
      </w:r>
    </w:p>
    <w:p w14:paraId="02D2A963">
      <w:pPr>
        <w:rPr>
          <w:rFonts w:hint="eastAsia" w:ascii="Calibri" w:hAnsi="Calibri" w:eastAsia="宋体" w:cs="Times New Roman"/>
          <w:color w:val="auto"/>
          <w:sz w:val="32"/>
          <w:szCs w:val="32"/>
          <w:highlight w:val="none"/>
        </w:rPr>
      </w:pPr>
      <w:bookmarkStart w:id="252" w:name="_Toc407135191"/>
      <w:bookmarkStart w:id="253" w:name="_Toc78449777"/>
      <w:bookmarkStart w:id="254" w:name="_Toc16707"/>
      <w:bookmarkStart w:id="255" w:name="_Toc296503025"/>
      <w:bookmarkStart w:id="256" w:name="_Toc27919"/>
      <w:bookmarkStart w:id="257" w:name="_Toc373478199"/>
      <w:bookmarkStart w:id="258" w:name="_Toc724920571"/>
      <w:bookmarkStart w:id="259" w:name="_Toc296890982"/>
      <w:bookmarkStart w:id="260" w:name="_Toc351203480"/>
      <w:bookmarkStart w:id="261" w:name="_Toc373227552"/>
      <w:bookmarkStart w:id="262" w:name="_Toc1756478213"/>
      <w:bookmarkStart w:id="263" w:name="_Toc389065255"/>
      <w:r>
        <w:rPr>
          <w:rFonts w:hint="eastAsia" w:ascii="Calibri" w:hAnsi="Calibri" w:eastAsia="宋体" w:cs="Times New Roman"/>
          <w:color w:val="auto"/>
          <w:sz w:val="32"/>
          <w:szCs w:val="32"/>
          <w:highlight w:val="none"/>
        </w:rPr>
        <w:br w:type="page"/>
      </w:r>
    </w:p>
    <w:bookmarkEnd w:id="252"/>
    <w:bookmarkEnd w:id="253"/>
    <w:bookmarkEnd w:id="254"/>
    <w:bookmarkEnd w:id="255"/>
    <w:bookmarkEnd w:id="256"/>
    <w:bookmarkEnd w:id="257"/>
    <w:bookmarkEnd w:id="258"/>
    <w:bookmarkEnd w:id="259"/>
    <w:bookmarkEnd w:id="260"/>
    <w:bookmarkEnd w:id="261"/>
    <w:bookmarkEnd w:id="262"/>
    <w:bookmarkEnd w:id="263"/>
    <w:p w14:paraId="4C0300BB">
      <w:pPr>
        <w:keepNext w:val="0"/>
        <w:keepLines w:val="0"/>
        <w:pageBreakBefore w:val="0"/>
        <w:widowControl/>
        <w:kinsoku/>
        <w:wordWrap/>
        <w:overflowPunct/>
        <w:topLinePunct w:val="0"/>
        <w:autoSpaceDE/>
        <w:autoSpaceDN/>
        <w:bidi w:val="0"/>
        <w:adjustRightInd/>
        <w:snapToGrid/>
        <w:spacing w:line="360" w:lineRule="auto"/>
        <w:jc w:val="center"/>
        <w:textAlignment w:val="auto"/>
        <w:outlineLvl w:val="1"/>
        <w:rPr>
          <w:rFonts w:ascii="Times New Roman" w:hAnsi="Times New Roman" w:eastAsia="宋体" w:cs="宋体"/>
          <w:color w:val="auto"/>
          <w:kern w:val="0"/>
          <w:sz w:val="32"/>
          <w:szCs w:val="32"/>
          <w:highlight w:val="none"/>
        </w:rPr>
      </w:pPr>
      <w:bookmarkStart w:id="264" w:name="_Toc29710"/>
      <w:bookmarkStart w:id="265" w:name="_Toc537"/>
      <w:bookmarkStart w:id="266" w:name="_Toc2927"/>
      <w:r>
        <w:rPr>
          <w:rFonts w:hint="eastAsia" w:ascii="Times New Roman" w:hAnsi="Times New Roman" w:eastAsia="宋体" w:cs="宋体"/>
          <w:b/>
          <w:bCs/>
          <w:color w:val="auto"/>
          <w:kern w:val="0"/>
          <w:sz w:val="32"/>
          <w:szCs w:val="32"/>
          <w:highlight w:val="none"/>
        </w:rPr>
        <w:t>第一部分 合同协议书</w:t>
      </w:r>
      <w:bookmarkEnd w:id="264"/>
      <w:bookmarkEnd w:id="265"/>
      <w:bookmarkEnd w:id="266"/>
    </w:p>
    <w:p w14:paraId="6798A683">
      <w:pPr>
        <w:keepNext w:val="0"/>
        <w:keepLines w:val="0"/>
        <w:pageBreakBefore w:val="0"/>
        <w:widowControl w:val="0"/>
        <w:kinsoku/>
        <w:wordWrap/>
        <w:overflowPunct/>
        <w:topLinePunct w:val="0"/>
        <w:autoSpaceDE/>
        <w:autoSpaceDN/>
        <w:bidi w:val="0"/>
        <w:adjustRightInd/>
        <w:snapToGrid/>
        <w:spacing w:line="360" w:lineRule="auto"/>
        <w:ind w:left="424"/>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8"/>
          <w:szCs w:val="21"/>
          <w:highlight w:val="none"/>
        </w:rPr>
        <w:t>发包人（</w:t>
      </w:r>
      <w:r>
        <w:rPr>
          <w:rFonts w:hint="eastAsia" w:ascii="新宋体" w:hAnsi="新宋体" w:eastAsia="新宋体" w:cs="新宋体"/>
          <w:color w:val="auto"/>
          <w:spacing w:val="8"/>
          <w:szCs w:val="21"/>
          <w:highlight w:val="none"/>
          <w:lang w:val="en-US" w:eastAsia="zh-CN"/>
        </w:rPr>
        <w:t>采购人</w:t>
      </w:r>
      <w:r>
        <w:rPr>
          <w:rFonts w:hint="eastAsia" w:ascii="新宋体" w:hAnsi="新宋体" w:eastAsia="新宋体" w:cs="新宋体"/>
          <w:color w:val="auto"/>
          <w:spacing w:val="8"/>
          <w:szCs w:val="21"/>
          <w:highlight w:val="none"/>
        </w:rPr>
        <w:t>全称</w:t>
      </w:r>
      <w:r>
        <w:rPr>
          <w:rFonts w:hint="eastAsia" w:ascii="新宋体" w:hAnsi="新宋体" w:eastAsia="新宋体" w:cs="新宋体"/>
          <w:color w:val="auto"/>
          <w:spacing w:val="20"/>
          <w:szCs w:val="21"/>
          <w:highlight w:val="none"/>
        </w:rPr>
        <w:t>）：</w:t>
      </w:r>
      <w:r>
        <w:rPr>
          <w:rFonts w:hint="eastAsia" w:ascii="新宋体" w:hAnsi="新宋体" w:eastAsia="新宋体" w:cs="新宋体"/>
          <w:color w:val="auto"/>
          <w:spacing w:val="8"/>
          <w:szCs w:val="21"/>
          <w:highlight w:val="none"/>
          <w:u w:val="single"/>
        </w:rPr>
        <w:t>桂林航天工业学院</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p>
    <w:p w14:paraId="78E1E1CF">
      <w:pPr>
        <w:keepNext w:val="0"/>
        <w:keepLines w:val="0"/>
        <w:pageBreakBefore w:val="0"/>
        <w:widowControl w:val="0"/>
        <w:kinsoku/>
        <w:wordWrap/>
        <w:overflowPunct/>
        <w:topLinePunct w:val="0"/>
        <w:autoSpaceDE/>
        <w:autoSpaceDN/>
        <w:bidi w:val="0"/>
        <w:adjustRightInd/>
        <w:snapToGrid/>
        <w:spacing w:line="360" w:lineRule="auto"/>
        <w:ind w:left="420"/>
        <w:jc w:val="left"/>
        <w:textAlignment w:val="auto"/>
        <w:rPr>
          <w:rFonts w:hint="eastAsia" w:ascii="新宋体" w:hAnsi="新宋体" w:eastAsia="新宋体" w:cs="新宋体"/>
          <w:color w:val="auto"/>
          <w:szCs w:val="21"/>
          <w:highlight w:val="none"/>
          <w:lang w:val="en-US" w:eastAsia="zh-CN"/>
        </w:rPr>
      </w:pPr>
      <w:r>
        <w:rPr>
          <w:rFonts w:hint="eastAsia" w:ascii="新宋体" w:hAnsi="新宋体" w:eastAsia="新宋体" w:cs="新宋体"/>
          <w:color w:val="auto"/>
          <w:spacing w:val="9"/>
          <w:szCs w:val="21"/>
          <w:highlight w:val="none"/>
        </w:rPr>
        <w:t>承包人（</w:t>
      </w:r>
      <w:r>
        <w:rPr>
          <w:rFonts w:hint="eastAsia" w:ascii="新宋体" w:hAnsi="新宋体" w:eastAsia="新宋体" w:cs="新宋体"/>
          <w:color w:val="auto"/>
          <w:spacing w:val="9"/>
          <w:szCs w:val="21"/>
          <w:highlight w:val="none"/>
          <w:lang w:val="en-US" w:eastAsia="zh-CN"/>
        </w:rPr>
        <w:t>成交供应商</w:t>
      </w:r>
      <w:r>
        <w:rPr>
          <w:rFonts w:hint="eastAsia" w:ascii="新宋体" w:hAnsi="新宋体" w:eastAsia="新宋体" w:cs="新宋体"/>
          <w:color w:val="auto"/>
          <w:spacing w:val="9"/>
          <w:szCs w:val="21"/>
          <w:highlight w:val="none"/>
        </w:rPr>
        <w:t>全称</w:t>
      </w:r>
      <w:r>
        <w:rPr>
          <w:rFonts w:hint="eastAsia" w:ascii="新宋体" w:hAnsi="新宋体" w:eastAsia="新宋体" w:cs="新宋体"/>
          <w:color w:val="auto"/>
          <w:spacing w:val="12"/>
          <w:szCs w:val="21"/>
          <w:highlight w:val="none"/>
        </w:rPr>
        <w:t>）：</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u w:val="single"/>
          <w:lang w:val="en-US" w:eastAsia="zh-CN"/>
        </w:rPr>
        <w:t xml:space="preserve"> </w:t>
      </w:r>
    </w:p>
    <w:p w14:paraId="513A1883">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8"/>
          <w:szCs w:val="21"/>
          <w:highlight w:val="none"/>
        </w:rPr>
        <w:t>根据《中华人民共和国民法典》、《中华人民共和国建筑法》及有关法律规定，遵循平等、自愿、公</w:t>
      </w:r>
      <w:r>
        <w:rPr>
          <w:rFonts w:hint="eastAsia" w:ascii="新宋体" w:hAnsi="新宋体" w:eastAsia="新宋体" w:cs="新宋体"/>
          <w:color w:val="auto"/>
          <w:spacing w:val="7"/>
          <w:szCs w:val="21"/>
          <w:highlight w:val="none"/>
        </w:rPr>
        <w:t>平和诚实信用的原则，双方就</w:t>
      </w:r>
      <w:r>
        <w:rPr>
          <w:rFonts w:hint="eastAsia" w:ascii="新宋体" w:hAnsi="新宋体" w:eastAsia="新宋体" w:cs="新宋体"/>
          <w:color w:val="auto"/>
          <w:spacing w:val="7"/>
          <w:szCs w:val="21"/>
          <w:highlight w:val="none"/>
          <w:u w:val="single"/>
        </w:rPr>
        <w:t xml:space="preserve"> </w:t>
      </w:r>
      <w:r>
        <w:rPr>
          <w:rFonts w:hint="default" w:ascii="新宋体" w:hAnsi="新宋体" w:eastAsia="新宋体" w:cs="新宋体"/>
          <w:color w:val="auto"/>
          <w:szCs w:val="21"/>
          <w:highlight w:val="none"/>
          <w:u w:val="single"/>
          <w:lang w:val="en-US" w:eastAsia="zh-CN"/>
        </w:rPr>
        <w:t>桂林航天工业学院新校区扩建项目科技活动中心附属工程</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pacing w:val="7"/>
          <w:szCs w:val="21"/>
          <w:highlight w:val="none"/>
        </w:rPr>
        <w:t>施工及有关</w:t>
      </w:r>
      <w:r>
        <w:rPr>
          <w:rFonts w:hint="eastAsia" w:ascii="新宋体" w:hAnsi="新宋体" w:eastAsia="新宋体" w:cs="新宋体"/>
          <w:color w:val="auto"/>
          <w:spacing w:val="8"/>
          <w:szCs w:val="21"/>
          <w:highlight w:val="none"/>
        </w:rPr>
        <w:t>事项协商一致，共同达成如下协议：</w:t>
      </w:r>
    </w:p>
    <w:p w14:paraId="5AE34CDC">
      <w:pPr>
        <w:keepNext w:val="0"/>
        <w:keepLines w:val="0"/>
        <w:pageBreakBefore w:val="0"/>
        <w:widowControl w:val="0"/>
        <w:kinsoku/>
        <w:wordWrap/>
        <w:overflowPunct/>
        <w:topLinePunct w:val="0"/>
        <w:autoSpaceDE/>
        <w:autoSpaceDN/>
        <w:bidi w:val="0"/>
        <w:adjustRightInd/>
        <w:spacing w:line="360" w:lineRule="auto"/>
        <w:ind w:left="4"/>
        <w:jc w:val="left"/>
        <w:textAlignment w:val="auto"/>
        <w:outlineLvl w:val="1"/>
        <w:rPr>
          <w:rFonts w:hint="eastAsia" w:ascii="新宋体" w:hAnsi="新宋体" w:eastAsia="新宋体" w:cs="新宋体"/>
          <w:b/>
          <w:bCs/>
          <w:color w:val="auto"/>
          <w:szCs w:val="21"/>
          <w:highlight w:val="none"/>
        </w:rPr>
      </w:pPr>
      <w:bookmarkStart w:id="267" w:name="_Toc4182"/>
      <w:bookmarkStart w:id="268" w:name="_Toc29503"/>
      <w:bookmarkStart w:id="269" w:name="_Toc24577"/>
      <w:r>
        <w:rPr>
          <w:rFonts w:hint="eastAsia" w:ascii="新宋体" w:hAnsi="新宋体" w:eastAsia="新宋体" w:cs="新宋体"/>
          <w:b/>
          <w:bCs/>
          <w:color w:val="auto"/>
          <w:spacing w:val="7"/>
          <w:szCs w:val="21"/>
          <w:highlight w:val="none"/>
        </w:rPr>
        <w:t>一、工程概况</w:t>
      </w:r>
      <w:bookmarkEnd w:id="267"/>
      <w:bookmarkEnd w:id="268"/>
      <w:bookmarkEnd w:id="269"/>
    </w:p>
    <w:p w14:paraId="40230F24">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default" w:ascii="新宋体" w:hAnsi="新宋体" w:eastAsia="新宋体" w:cs="新宋体"/>
          <w:color w:val="auto"/>
          <w:szCs w:val="21"/>
          <w:highlight w:val="none"/>
          <w:lang w:val="en-US" w:eastAsia="zh-CN"/>
        </w:rPr>
      </w:pPr>
      <w:r>
        <w:rPr>
          <w:rFonts w:hint="eastAsia" w:ascii="新宋体" w:hAnsi="新宋体" w:eastAsia="新宋体" w:cs="新宋体"/>
          <w:color w:val="auto"/>
          <w:spacing w:val="7"/>
          <w:szCs w:val="21"/>
          <w:highlight w:val="none"/>
        </w:rPr>
        <w:t>1.工程名称：</w:t>
      </w:r>
      <w:r>
        <w:rPr>
          <w:rFonts w:hint="default" w:ascii="新宋体" w:hAnsi="新宋体" w:eastAsia="新宋体" w:cs="新宋体"/>
          <w:color w:val="auto"/>
          <w:szCs w:val="21"/>
          <w:highlight w:val="none"/>
          <w:u w:val="single"/>
          <w:lang w:val="en-US" w:eastAsia="zh-CN"/>
        </w:rPr>
        <w:t>桂林航天工业学院新校区扩建项目科技活动中心附属工程</w:t>
      </w:r>
    </w:p>
    <w:p w14:paraId="7353F7B2">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8"/>
          <w:szCs w:val="21"/>
          <w:highlight w:val="none"/>
        </w:rPr>
        <w:t>2.工程地点：</w:t>
      </w:r>
      <w:r>
        <w:rPr>
          <w:rFonts w:hint="eastAsia"/>
          <w:color w:val="auto"/>
          <w:highlight w:val="none"/>
          <w:u w:val="single"/>
          <w:lang w:eastAsia="zh-CN"/>
        </w:rPr>
        <w:t>桂林市金鸡路2 号</w:t>
      </w:r>
      <w:r>
        <w:rPr>
          <w:rFonts w:hint="eastAsia" w:ascii="新宋体" w:hAnsi="新宋体" w:eastAsia="新宋体" w:cs="新宋体"/>
          <w:color w:val="auto"/>
          <w:spacing w:val="8"/>
          <w:szCs w:val="21"/>
          <w:highlight w:val="none"/>
        </w:rPr>
        <w:t>。</w:t>
      </w:r>
    </w:p>
    <w:p w14:paraId="1767CE1D">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5"/>
          <w:szCs w:val="21"/>
          <w:highlight w:val="none"/>
        </w:rPr>
        <w:t>3.资金来源：</w:t>
      </w:r>
      <w:r>
        <w:rPr>
          <w:rFonts w:hint="eastAsia" w:ascii="新宋体" w:hAnsi="新宋体" w:eastAsia="新宋体" w:cs="新宋体"/>
          <w:color w:val="auto"/>
          <w:spacing w:val="16"/>
          <w:szCs w:val="21"/>
          <w:highlight w:val="none"/>
          <w:u w:val="single"/>
        </w:rPr>
        <w:t xml:space="preserve">  </w:t>
      </w:r>
      <w:r>
        <w:rPr>
          <w:rFonts w:hint="eastAsia" w:ascii="新宋体" w:hAnsi="新宋体" w:eastAsia="新宋体" w:cs="新宋体"/>
          <w:color w:val="auto"/>
          <w:spacing w:val="16"/>
          <w:szCs w:val="21"/>
          <w:highlight w:val="none"/>
          <w:u w:val="single"/>
          <w:lang w:eastAsia="zh-CN"/>
        </w:rPr>
        <w:t>财政资金</w:t>
      </w:r>
      <w:r>
        <w:rPr>
          <w:rFonts w:hint="eastAsia" w:ascii="新宋体" w:hAnsi="新宋体" w:eastAsia="新宋体" w:cs="新宋体"/>
          <w:color w:val="auto"/>
          <w:spacing w:val="7"/>
          <w:szCs w:val="21"/>
          <w:highlight w:val="none"/>
          <w:u w:val="single"/>
        </w:rPr>
        <w:t xml:space="preserve">    </w:t>
      </w:r>
      <w:r>
        <w:rPr>
          <w:rFonts w:hint="eastAsia" w:ascii="新宋体" w:hAnsi="新宋体" w:eastAsia="新宋体" w:cs="新宋体"/>
          <w:color w:val="auto"/>
          <w:spacing w:val="5"/>
          <w:szCs w:val="21"/>
          <w:highlight w:val="none"/>
        </w:rPr>
        <w:t>。</w:t>
      </w:r>
    </w:p>
    <w:p w14:paraId="2328EBAE">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8"/>
          <w:szCs w:val="21"/>
          <w:highlight w:val="none"/>
        </w:rPr>
        <w:t>4.工程内容：</w:t>
      </w:r>
      <w:r>
        <w:rPr>
          <w:rFonts w:ascii="Times New Roman" w:hAnsi="Times New Roman" w:eastAsia="宋体" w:cs="宋体"/>
          <w:color w:val="auto"/>
          <w:kern w:val="0"/>
          <w:szCs w:val="21"/>
          <w:highlight w:val="none"/>
          <w:u w:val="single"/>
        </w:rPr>
        <w:t>本工程施工图纸范围内包含的工程施工内容，详见评审后的招标控制价工程量清单。</w:t>
      </w:r>
    </w:p>
    <w:p w14:paraId="48563FB9">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8"/>
          <w:szCs w:val="21"/>
          <w:highlight w:val="none"/>
        </w:rPr>
        <w:t>5.工程承包范围：</w:t>
      </w:r>
      <w:r>
        <w:rPr>
          <w:rFonts w:hint="eastAsia" w:ascii="新宋体" w:hAnsi="新宋体" w:eastAsia="新宋体" w:cs="新宋体"/>
          <w:color w:val="auto"/>
          <w:spacing w:val="8"/>
          <w:szCs w:val="21"/>
          <w:highlight w:val="none"/>
          <w:u w:val="single"/>
        </w:rPr>
        <w:t>本工程为</w:t>
      </w:r>
      <w:r>
        <w:rPr>
          <w:rFonts w:hint="default" w:ascii="新宋体" w:hAnsi="新宋体" w:eastAsia="新宋体" w:cs="新宋体"/>
          <w:color w:val="auto"/>
          <w:spacing w:val="8"/>
          <w:szCs w:val="21"/>
          <w:highlight w:val="none"/>
          <w:u w:val="single"/>
          <w:lang w:val="en-US" w:eastAsia="zh-CN"/>
        </w:rPr>
        <w:t>桂林航天工业学院新校区扩建项目科技活动中心附属工程</w:t>
      </w:r>
      <w:r>
        <w:rPr>
          <w:rFonts w:hint="eastAsia" w:ascii="新宋体" w:hAnsi="新宋体" w:eastAsia="新宋体" w:cs="新宋体"/>
          <w:color w:val="auto"/>
          <w:spacing w:val="8"/>
          <w:szCs w:val="21"/>
          <w:highlight w:val="none"/>
          <w:u w:val="single"/>
        </w:rPr>
        <w:t>，</w:t>
      </w:r>
      <w:r>
        <w:rPr>
          <w:rFonts w:hint="eastAsia" w:ascii="新宋体" w:hAnsi="新宋体" w:eastAsia="新宋体" w:cs="新宋体"/>
          <w:color w:val="auto"/>
          <w:spacing w:val="7"/>
          <w:szCs w:val="21"/>
          <w:highlight w:val="none"/>
          <w:u w:val="single"/>
        </w:rPr>
        <w:t>详见工</w:t>
      </w:r>
      <w:r>
        <w:rPr>
          <w:rFonts w:hint="eastAsia" w:ascii="新宋体" w:hAnsi="新宋体" w:eastAsia="新宋体" w:cs="新宋体"/>
          <w:color w:val="auto"/>
          <w:spacing w:val="6"/>
          <w:szCs w:val="21"/>
          <w:highlight w:val="none"/>
          <w:u w:val="single"/>
        </w:rPr>
        <w:t>程量清单及图纸。</w:t>
      </w:r>
    </w:p>
    <w:p w14:paraId="6FB907AA">
      <w:pPr>
        <w:keepNext w:val="0"/>
        <w:keepLines w:val="0"/>
        <w:pageBreakBefore w:val="0"/>
        <w:widowControl w:val="0"/>
        <w:kinsoku/>
        <w:wordWrap/>
        <w:overflowPunct/>
        <w:topLinePunct w:val="0"/>
        <w:autoSpaceDE/>
        <w:autoSpaceDN/>
        <w:bidi w:val="0"/>
        <w:adjustRightInd/>
        <w:spacing w:line="360" w:lineRule="auto"/>
        <w:ind w:left="4"/>
        <w:jc w:val="left"/>
        <w:textAlignment w:val="auto"/>
        <w:outlineLvl w:val="1"/>
        <w:rPr>
          <w:rFonts w:hint="eastAsia" w:ascii="新宋体" w:hAnsi="新宋体" w:eastAsia="新宋体" w:cs="新宋体"/>
          <w:b/>
          <w:bCs/>
          <w:color w:val="auto"/>
          <w:spacing w:val="7"/>
          <w:szCs w:val="21"/>
          <w:highlight w:val="none"/>
        </w:rPr>
      </w:pPr>
      <w:bookmarkStart w:id="270" w:name="_Toc2913"/>
      <w:bookmarkStart w:id="271" w:name="_Toc22425"/>
      <w:bookmarkStart w:id="272" w:name="_Toc10011"/>
      <w:r>
        <w:rPr>
          <w:rFonts w:hint="eastAsia" w:ascii="新宋体" w:hAnsi="新宋体" w:eastAsia="新宋体" w:cs="新宋体"/>
          <w:b/>
          <w:bCs/>
          <w:color w:val="auto"/>
          <w:spacing w:val="7"/>
          <w:szCs w:val="21"/>
          <w:highlight w:val="none"/>
        </w:rPr>
        <w:t>二、合同工期</w:t>
      </w:r>
      <w:bookmarkEnd w:id="270"/>
      <w:bookmarkEnd w:id="271"/>
      <w:bookmarkEnd w:id="272"/>
    </w:p>
    <w:p w14:paraId="05FEE730">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3"/>
          <w:szCs w:val="21"/>
          <w:highlight w:val="none"/>
        </w:rPr>
        <w:t>计划开工日期：</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85"/>
          <w:szCs w:val="21"/>
          <w:highlight w:val="none"/>
        </w:rPr>
        <w:t xml:space="preserve"> </w:t>
      </w:r>
      <w:r>
        <w:rPr>
          <w:rFonts w:hint="eastAsia" w:ascii="新宋体" w:hAnsi="新宋体" w:eastAsia="新宋体" w:cs="新宋体"/>
          <w:color w:val="auto"/>
          <w:spacing w:val="3"/>
          <w:szCs w:val="21"/>
          <w:highlight w:val="none"/>
        </w:rPr>
        <w:t>年</w:t>
      </w:r>
      <w:r>
        <w:rPr>
          <w:rFonts w:hint="eastAsia" w:ascii="新宋体" w:hAnsi="新宋体" w:eastAsia="新宋体" w:cs="新宋体"/>
          <w:color w:val="auto"/>
          <w:spacing w:val="-99"/>
          <w:szCs w:val="21"/>
          <w:highlight w:val="none"/>
        </w:rPr>
        <w:t xml:space="preserve"> </w:t>
      </w:r>
      <w:r>
        <w:rPr>
          <w:rFonts w:hint="eastAsia" w:ascii="新宋体" w:hAnsi="新宋体" w:eastAsia="新宋体" w:cs="新宋体"/>
          <w:color w:val="auto"/>
          <w:spacing w:val="5"/>
          <w:szCs w:val="21"/>
          <w:highlight w:val="none"/>
          <w:u w:val="single"/>
        </w:rPr>
        <w:t xml:space="preserve">       </w:t>
      </w:r>
      <w:r>
        <w:rPr>
          <w:rFonts w:hint="eastAsia" w:ascii="新宋体" w:hAnsi="新宋体" w:eastAsia="新宋体" w:cs="新宋体"/>
          <w:color w:val="auto"/>
          <w:spacing w:val="-87"/>
          <w:szCs w:val="21"/>
          <w:highlight w:val="none"/>
        </w:rPr>
        <w:t xml:space="preserve"> </w:t>
      </w:r>
      <w:r>
        <w:rPr>
          <w:rFonts w:hint="eastAsia" w:ascii="新宋体" w:hAnsi="新宋体" w:eastAsia="新宋体" w:cs="新宋体"/>
          <w:color w:val="auto"/>
          <w:spacing w:val="3"/>
          <w:szCs w:val="21"/>
          <w:highlight w:val="none"/>
        </w:rPr>
        <w:t>月</w:t>
      </w:r>
      <w:r>
        <w:rPr>
          <w:rFonts w:hint="eastAsia" w:ascii="新宋体" w:hAnsi="新宋体" w:eastAsia="新宋体" w:cs="新宋体"/>
          <w:color w:val="auto"/>
          <w:spacing w:val="3"/>
          <w:szCs w:val="21"/>
          <w:highlight w:val="none"/>
          <w:u w:val="single"/>
        </w:rPr>
        <w:t xml:space="preserve">     </w:t>
      </w:r>
      <w:r>
        <w:rPr>
          <w:rFonts w:hint="eastAsia" w:ascii="新宋体" w:hAnsi="新宋体" w:eastAsia="新宋体" w:cs="新宋体"/>
          <w:color w:val="auto"/>
          <w:spacing w:val="-55"/>
          <w:szCs w:val="21"/>
          <w:highlight w:val="none"/>
        </w:rPr>
        <w:t xml:space="preserve"> </w:t>
      </w:r>
      <w:r>
        <w:rPr>
          <w:rFonts w:hint="eastAsia" w:ascii="新宋体" w:hAnsi="新宋体" w:eastAsia="新宋体" w:cs="新宋体"/>
          <w:color w:val="auto"/>
          <w:spacing w:val="3"/>
          <w:szCs w:val="21"/>
          <w:highlight w:val="none"/>
        </w:rPr>
        <w:t>日。</w:t>
      </w:r>
      <w:r>
        <w:rPr>
          <w:rFonts w:hint="eastAsia" w:ascii="新宋体" w:hAnsi="新宋体" w:eastAsia="新宋体" w:cs="新宋体"/>
          <w:color w:val="auto"/>
          <w:spacing w:val="3"/>
          <w:szCs w:val="21"/>
          <w:highlight w:val="none"/>
          <w:lang w:eastAsia="zh-CN"/>
        </w:rPr>
        <w:t>（实际开工日期以监理工程师下达的开工指令为准）</w:t>
      </w:r>
    </w:p>
    <w:p w14:paraId="529630E5">
      <w:pPr>
        <w:pStyle w:val="13"/>
        <w:keepNext w:val="0"/>
        <w:keepLines w:val="0"/>
        <w:pageBreakBefore w:val="0"/>
        <w:widowControl w:val="0"/>
        <w:kinsoku/>
        <w:wordWrap/>
        <w:overflowPunct/>
        <w:topLinePunct w:val="0"/>
        <w:autoSpaceDE/>
        <w:autoSpaceDN/>
        <w:bidi w:val="0"/>
        <w:adjustRightInd/>
        <w:spacing w:after="0" w:line="360" w:lineRule="auto"/>
        <w:ind w:firstLine="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2"/>
          <w:szCs w:val="21"/>
          <w:highlight w:val="none"/>
        </w:rPr>
        <w:t>计划竣工日期：</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84"/>
          <w:szCs w:val="21"/>
          <w:highlight w:val="none"/>
        </w:rPr>
        <w:t xml:space="preserve"> </w:t>
      </w:r>
      <w:r>
        <w:rPr>
          <w:rFonts w:hint="eastAsia" w:ascii="新宋体" w:hAnsi="新宋体" w:eastAsia="新宋体" w:cs="新宋体"/>
          <w:color w:val="auto"/>
          <w:spacing w:val="2"/>
          <w:szCs w:val="21"/>
          <w:highlight w:val="none"/>
        </w:rPr>
        <w:t>年</w:t>
      </w:r>
      <w:r>
        <w:rPr>
          <w:rFonts w:hint="eastAsia" w:ascii="新宋体" w:hAnsi="新宋体" w:eastAsia="新宋体" w:cs="新宋体"/>
          <w:color w:val="auto"/>
          <w:spacing w:val="-99"/>
          <w:szCs w:val="21"/>
          <w:highlight w:val="none"/>
        </w:rPr>
        <w:t xml:space="preserve"> </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u w:val="single"/>
          <w:lang w:val="en-US" w:eastAsia="zh-CN"/>
        </w:rPr>
        <w:t xml:space="preserve"> </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81"/>
          <w:szCs w:val="21"/>
          <w:highlight w:val="none"/>
        </w:rPr>
        <w:t xml:space="preserve"> </w:t>
      </w:r>
      <w:r>
        <w:rPr>
          <w:rFonts w:hint="eastAsia" w:ascii="新宋体" w:hAnsi="新宋体" w:eastAsia="新宋体" w:cs="新宋体"/>
          <w:color w:val="auto"/>
          <w:spacing w:val="2"/>
          <w:szCs w:val="21"/>
          <w:highlight w:val="none"/>
        </w:rPr>
        <w:t>月</w:t>
      </w:r>
      <w:r>
        <w:rPr>
          <w:rFonts w:hint="eastAsia" w:ascii="新宋体" w:hAnsi="新宋体" w:eastAsia="新宋体" w:cs="新宋体"/>
          <w:color w:val="auto"/>
          <w:spacing w:val="-99"/>
          <w:szCs w:val="21"/>
          <w:highlight w:val="none"/>
        </w:rPr>
        <w:t xml:space="preserve"> </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50"/>
          <w:szCs w:val="21"/>
          <w:highlight w:val="none"/>
        </w:rPr>
        <w:t xml:space="preserve"> </w:t>
      </w:r>
      <w:r>
        <w:rPr>
          <w:rFonts w:hint="eastAsia" w:ascii="新宋体" w:hAnsi="新宋体" w:eastAsia="新宋体" w:cs="新宋体"/>
          <w:color w:val="auto"/>
          <w:spacing w:val="2"/>
          <w:szCs w:val="21"/>
          <w:highlight w:val="none"/>
        </w:rPr>
        <w:t>日。</w:t>
      </w:r>
    </w:p>
    <w:p w14:paraId="0317BB9E">
      <w:pPr>
        <w:pStyle w:val="13"/>
        <w:keepNext w:val="0"/>
        <w:keepLines w:val="0"/>
        <w:pageBreakBefore w:val="0"/>
        <w:widowControl w:val="0"/>
        <w:kinsoku/>
        <w:wordWrap/>
        <w:overflowPunct/>
        <w:topLinePunct w:val="0"/>
        <w:autoSpaceDE/>
        <w:autoSpaceDN/>
        <w:bidi w:val="0"/>
        <w:adjustRightInd/>
        <w:spacing w:after="0" w:line="360" w:lineRule="auto"/>
        <w:ind w:right="2" w:firstLine="448" w:firstLineChars="20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7"/>
          <w:szCs w:val="21"/>
          <w:highlight w:val="none"/>
        </w:rPr>
        <w:t>工期总日历天数：</w:t>
      </w:r>
      <w:r>
        <w:rPr>
          <w:rFonts w:hint="eastAsia" w:ascii="新宋体" w:hAnsi="新宋体" w:eastAsia="新宋体" w:cs="新宋体"/>
          <w:color w:val="auto"/>
          <w:spacing w:val="7"/>
          <w:szCs w:val="21"/>
          <w:highlight w:val="none"/>
          <w:u w:val="single"/>
        </w:rPr>
        <w:t xml:space="preserve">   </w:t>
      </w:r>
      <w:r>
        <w:rPr>
          <w:rFonts w:hint="eastAsia" w:ascii="新宋体" w:hAnsi="新宋体" w:eastAsia="新宋体" w:cs="新宋体"/>
          <w:color w:val="auto"/>
          <w:spacing w:val="7"/>
          <w:szCs w:val="21"/>
          <w:highlight w:val="none"/>
          <w:u w:val="single"/>
          <w:lang w:val="en-US" w:eastAsia="zh-CN"/>
        </w:rPr>
        <w:t xml:space="preserve"> </w:t>
      </w:r>
      <w:r>
        <w:rPr>
          <w:rFonts w:hint="eastAsia" w:ascii="新宋体" w:hAnsi="新宋体" w:eastAsia="新宋体" w:cs="新宋体"/>
          <w:color w:val="auto"/>
          <w:spacing w:val="7"/>
          <w:szCs w:val="21"/>
          <w:highlight w:val="none"/>
          <w:u w:val="single"/>
        </w:rPr>
        <w:t xml:space="preserve"> </w:t>
      </w:r>
      <w:r>
        <w:rPr>
          <w:rFonts w:hint="eastAsia" w:ascii="新宋体" w:hAnsi="新宋体" w:eastAsia="新宋体" w:cs="新宋体"/>
          <w:color w:val="auto"/>
          <w:spacing w:val="7"/>
          <w:szCs w:val="21"/>
          <w:highlight w:val="none"/>
        </w:rPr>
        <w:t>天。工期总日历天数与根据前述计划开竣工日期计算的工期天数不一致的，以工期总日历天数为准。</w:t>
      </w:r>
    </w:p>
    <w:p w14:paraId="686D0C81">
      <w:pPr>
        <w:keepNext w:val="0"/>
        <w:keepLines w:val="0"/>
        <w:pageBreakBefore w:val="0"/>
        <w:widowControl w:val="0"/>
        <w:kinsoku/>
        <w:wordWrap/>
        <w:overflowPunct/>
        <w:topLinePunct w:val="0"/>
        <w:autoSpaceDE/>
        <w:autoSpaceDN/>
        <w:bidi w:val="0"/>
        <w:adjustRightInd/>
        <w:spacing w:line="360" w:lineRule="auto"/>
        <w:ind w:left="4"/>
        <w:jc w:val="left"/>
        <w:textAlignment w:val="auto"/>
        <w:outlineLvl w:val="1"/>
        <w:rPr>
          <w:rFonts w:hint="eastAsia" w:ascii="新宋体" w:hAnsi="新宋体" w:eastAsia="新宋体" w:cs="新宋体"/>
          <w:b/>
          <w:bCs/>
          <w:color w:val="auto"/>
          <w:spacing w:val="7"/>
          <w:szCs w:val="21"/>
          <w:highlight w:val="none"/>
        </w:rPr>
      </w:pPr>
      <w:bookmarkStart w:id="273" w:name="_Toc27150"/>
      <w:bookmarkStart w:id="274" w:name="_Toc10021"/>
      <w:bookmarkStart w:id="275" w:name="_Toc22783"/>
      <w:r>
        <w:rPr>
          <w:rFonts w:hint="eastAsia" w:ascii="新宋体" w:hAnsi="新宋体" w:eastAsia="新宋体" w:cs="新宋体"/>
          <w:b/>
          <w:bCs/>
          <w:color w:val="auto"/>
          <w:spacing w:val="7"/>
          <w:szCs w:val="21"/>
          <w:highlight w:val="none"/>
        </w:rPr>
        <w:t>三、质量标准</w:t>
      </w:r>
      <w:bookmarkEnd w:id="273"/>
      <w:bookmarkEnd w:id="274"/>
      <w:bookmarkEnd w:id="275"/>
    </w:p>
    <w:p w14:paraId="45848CEA">
      <w:pPr>
        <w:keepNext w:val="0"/>
        <w:keepLines w:val="0"/>
        <w:pageBreakBefore w:val="0"/>
        <w:widowControl w:val="0"/>
        <w:kinsoku/>
        <w:wordWrap/>
        <w:overflowPunct/>
        <w:topLinePunct w:val="0"/>
        <w:autoSpaceDE/>
        <w:autoSpaceDN/>
        <w:bidi w:val="0"/>
        <w:adjustRightInd/>
        <w:spacing w:line="360" w:lineRule="auto"/>
        <w:ind w:left="423"/>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6"/>
          <w:szCs w:val="21"/>
          <w:highlight w:val="none"/>
        </w:rPr>
        <w:t>工程质量符合</w:t>
      </w:r>
      <w:r>
        <w:rPr>
          <w:rFonts w:hint="eastAsia" w:ascii="新宋体" w:hAnsi="新宋体" w:eastAsia="新宋体" w:cs="新宋体"/>
          <w:color w:val="auto"/>
          <w:spacing w:val="6"/>
          <w:szCs w:val="21"/>
          <w:highlight w:val="none"/>
          <w:u w:val="single"/>
        </w:rPr>
        <w:t xml:space="preserve"> 国家施工验收规范合格 </w:t>
      </w:r>
      <w:r>
        <w:rPr>
          <w:rFonts w:hint="eastAsia" w:ascii="新宋体" w:hAnsi="新宋体" w:eastAsia="新宋体" w:cs="新宋体"/>
          <w:color w:val="auto"/>
          <w:spacing w:val="-85"/>
          <w:szCs w:val="21"/>
          <w:highlight w:val="none"/>
        </w:rPr>
        <w:t xml:space="preserve"> </w:t>
      </w:r>
      <w:r>
        <w:rPr>
          <w:rFonts w:hint="eastAsia" w:ascii="新宋体" w:hAnsi="新宋体" w:eastAsia="新宋体" w:cs="新宋体"/>
          <w:color w:val="auto"/>
          <w:spacing w:val="6"/>
          <w:szCs w:val="21"/>
          <w:highlight w:val="none"/>
        </w:rPr>
        <w:t>标准。</w:t>
      </w:r>
    </w:p>
    <w:p w14:paraId="0DAC9254">
      <w:pPr>
        <w:keepNext w:val="0"/>
        <w:keepLines w:val="0"/>
        <w:pageBreakBefore w:val="0"/>
        <w:widowControl w:val="0"/>
        <w:kinsoku/>
        <w:wordWrap/>
        <w:overflowPunct/>
        <w:topLinePunct w:val="0"/>
        <w:autoSpaceDE/>
        <w:autoSpaceDN/>
        <w:bidi w:val="0"/>
        <w:adjustRightInd/>
        <w:spacing w:line="360" w:lineRule="auto"/>
        <w:ind w:left="4"/>
        <w:jc w:val="left"/>
        <w:textAlignment w:val="auto"/>
        <w:outlineLvl w:val="1"/>
        <w:rPr>
          <w:rFonts w:hint="eastAsia" w:ascii="新宋体" w:hAnsi="新宋体" w:eastAsia="新宋体" w:cs="新宋体"/>
          <w:b/>
          <w:bCs/>
          <w:color w:val="auto"/>
          <w:spacing w:val="7"/>
          <w:szCs w:val="21"/>
          <w:highlight w:val="none"/>
        </w:rPr>
      </w:pPr>
      <w:bookmarkStart w:id="276" w:name="_Toc3888"/>
      <w:bookmarkStart w:id="277" w:name="_Toc29345"/>
      <w:bookmarkStart w:id="278" w:name="_Toc25677"/>
      <w:r>
        <w:rPr>
          <w:rFonts w:hint="eastAsia" w:ascii="新宋体" w:hAnsi="新宋体" w:eastAsia="新宋体" w:cs="新宋体"/>
          <w:b/>
          <w:bCs/>
          <w:color w:val="auto"/>
          <w:spacing w:val="7"/>
          <w:szCs w:val="21"/>
          <w:highlight w:val="none"/>
        </w:rPr>
        <w:t>四、签约合同价与合同价格形式</w:t>
      </w:r>
      <w:bookmarkEnd w:id="276"/>
      <w:bookmarkEnd w:id="277"/>
      <w:bookmarkEnd w:id="278"/>
    </w:p>
    <w:p w14:paraId="4FD34FF4">
      <w:pPr>
        <w:pStyle w:val="13"/>
        <w:keepNext w:val="0"/>
        <w:keepLines w:val="0"/>
        <w:pageBreakBefore w:val="0"/>
        <w:widowControl w:val="0"/>
        <w:kinsoku/>
        <w:wordWrap/>
        <w:overflowPunct/>
        <w:topLinePunct w:val="0"/>
        <w:autoSpaceDE/>
        <w:autoSpaceDN/>
        <w:bidi w:val="0"/>
        <w:adjustRightInd/>
        <w:spacing w:after="0" w:line="360" w:lineRule="auto"/>
        <w:ind w:left="435"/>
        <w:jc w:val="left"/>
        <w:textAlignment w:val="auto"/>
        <w:rPr>
          <w:rFonts w:hint="eastAsia" w:ascii="宋体" w:hAnsi="宋体" w:eastAsia="宋体" w:cs="宋体"/>
          <w:color w:val="auto"/>
          <w:szCs w:val="21"/>
          <w:highlight w:val="none"/>
        </w:rPr>
      </w:pPr>
      <w:r>
        <w:rPr>
          <w:rFonts w:hint="eastAsia" w:ascii="宋体" w:hAnsi="宋体" w:eastAsia="宋体" w:cs="宋体"/>
          <w:color w:val="auto"/>
          <w:spacing w:val="5"/>
          <w:szCs w:val="21"/>
          <w:highlight w:val="none"/>
        </w:rPr>
        <w:t>1.签约</w:t>
      </w:r>
      <w:r>
        <w:rPr>
          <w:rFonts w:hint="eastAsia" w:ascii="宋体" w:hAnsi="宋体" w:eastAsia="宋体" w:cs="宋体"/>
          <w:color w:val="auto"/>
          <w:spacing w:val="5"/>
          <w:szCs w:val="21"/>
          <w:highlight w:val="none"/>
          <w:lang w:val="en-US" w:eastAsia="zh-CN"/>
        </w:rPr>
        <w:t>暂定</w:t>
      </w:r>
      <w:r>
        <w:rPr>
          <w:rFonts w:hint="eastAsia" w:ascii="宋体" w:hAnsi="宋体" w:eastAsia="宋体" w:cs="宋体"/>
          <w:color w:val="auto"/>
          <w:spacing w:val="5"/>
          <w:szCs w:val="21"/>
          <w:highlight w:val="none"/>
        </w:rPr>
        <w:t>合同总价为：</w:t>
      </w:r>
      <w:r>
        <w:rPr>
          <w:rFonts w:hint="eastAsia" w:ascii="宋体" w:hAnsi="宋体" w:eastAsia="宋体" w:cs="宋体"/>
          <w:color w:val="auto"/>
          <w:spacing w:val="4"/>
          <w:szCs w:val="21"/>
          <w:highlight w:val="none"/>
        </w:rPr>
        <w:t>人民币（大写）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5"/>
          <w:szCs w:val="21"/>
          <w:highlight w:val="none"/>
          <w:u w:val="single"/>
          <w:lang w:val="en-US" w:eastAsia="zh-CN"/>
        </w:rPr>
        <w:t xml:space="preserve">               </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80"/>
          <w:szCs w:val="21"/>
          <w:highlight w:val="none"/>
        </w:rPr>
        <w:t xml:space="preserve"> </w:t>
      </w:r>
      <w:r>
        <w:rPr>
          <w:rFonts w:hint="eastAsia" w:ascii="宋体" w:hAnsi="宋体" w:eastAsia="宋体" w:cs="宋体"/>
          <w:color w:val="auto"/>
          <w:spacing w:val="4"/>
          <w:szCs w:val="21"/>
          <w:highlight w:val="none"/>
        </w:rPr>
        <w:t>(¥</w:t>
      </w:r>
      <w:r>
        <w:rPr>
          <w:rFonts w:hint="eastAsia" w:ascii="宋体" w:hAnsi="宋体" w:eastAsia="宋体" w:cs="宋体"/>
          <w:color w:val="auto"/>
          <w:spacing w:val="-54"/>
          <w:szCs w:val="21"/>
          <w:highlight w:val="none"/>
        </w:rPr>
        <w:t xml:space="preserve"> </w:t>
      </w:r>
      <w:r>
        <w:rPr>
          <w:rFonts w:hint="eastAsia" w:ascii="宋体" w:hAnsi="宋体" w:eastAsia="宋体" w:cs="宋体"/>
          <w:color w:val="auto"/>
          <w:spacing w:val="1"/>
          <w:szCs w:val="21"/>
          <w:highlight w:val="none"/>
          <w:u w:val="single"/>
        </w:rPr>
        <w:t xml:space="preserve"> </w:t>
      </w:r>
      <w:r>
        <w:rPr>
          <w:rFonts w:hint="eastAsia" w:ascii="宋体" w:hAnsi="宋体" w:eastAsia="宋体" w:cs="宋体"/>
          <w:color w:val="auto"/>
          <w:spacing w:val="1"/>
          <w:szCs w:val="21"/>
          <w:highlight w:val="none"/>
          <w:u w:val="single"/>
          <w:lang w:val="en-US" w:eastAsia="zh-CN"/>
        </w:rPr>
        <w:t xml:space="preserve">               </w:t>
      </w:r>
      <w:r>
        <w:rPr>
          <w:rFonts w:hint="eastAsia" w:ascii="宋体" w:hAnsi="宋体" w:eastAsia="宋体" w:cs="宋体"/>
          <w:color w:val="auto"/>
          <w:spacing w:val="1"/>
          <w:szCs w:val="21"/>
          <w:highlight w:val="none"/>
          <w:u w:val="single"/>
        </w:rPr>
        <w:t xml:space="preserve"> </w:t>
      </w:r>
      <w:r>
        <w:rPr>
          <w:rFonts w:hint="eastAsia" w:ascii="宋体" w:hAnsi="宋体" w:eastAsia="宋体" w:cs="宋体"/>
          <w:color w:val="auto"/>
          <w:spacing w:val="-30"/>
          <w:szCs w:val="21"/>
          <w:highlight w:val="none"/>
        </w:rPr>
        <w:t xml:space="preserve"> </w:t>
      </w:r>
      <w:r>
        <w:rPr>
          <w:rFonts w:hint="eastAsia" w:ascii="宋体" w:hAnsi="宋体" w:eastAsia="宋体" w:cs="宋体"/>
          <w:color w:val="auto"/>
          <w:spacing w:val="4"/>
          <w:szCs w:val="21"/>
          <w:highlight w:val="none"/>
        </w:rPr>
        <w:t>元)；</w:t>
      </w:r>
    </w:p>
    <w:p w14:paraId="1B21E825">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其中：</w:t>
      </w:r>
    </w:p>
    <w:p w14:paraId="080DEC55">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（1）安全文明施工费：</w:t>
      </w:r>
    </w:p>
    <w:p w14:paraId="060780F4">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人民币（大写）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13"/>
          <w:szCs w:val="21"/>
          <w:highlight w:val="none"/>
        </w:rPr>
        <w:t xml:space="preserve">  </w:t>
      </w:r>
      <w:r>
        <w:rPr>
          <w:rFonts w:hint="eastAsia" w:ascii="宋体" w:hAnsi="宋体" w:eastAsia="宋体" w:cs="宋体"/>
          <w:color w:val="auto"/>
          <w:spacing w:val="5"/>
          <w:szCs w:val="21"/>
          <w:highlight w:val="none"/>
        </w:rPr>
        <w:t>(¥</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7"/>
          <w:szCs w:val="21"/>
          <w:highlight w:val="none"/>
          <w:u w:val="single"/>
        </w:rPr>
        <w:t xml:space="preserve"> (成交后填写) </w:t>
      </w:r>
      <w:r>
        <w:rPr>
          <w:rFonts w:hint="eastAsia" w:ascii="宋体" w:hAnsi="宋体" w:eastAsia="宋体" w:cs="宋体"/>
          <w:color w:val="auto"/>
          <w:spacing w:val="2"/>
          <w:szCs w:val="21"/>
          <w:highlight w:val="none"/>
          <w:u w:val="single"/>
          <w:lang w:val="en-US" w:eastAsia="zh-CN"/>
        </w:rPr>
        <w:t xml:space="preserve">  </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32"/>
          <w:szCs w:val="21"/>
          <w:highlight w:val="none"/>
        </w:rPr>
        <w:t xml:space="preserve"> </w:t>
      </w:r>
      <w:r>
        <w:rPr>
          <w:rFonts w:hint="eastAsia" w:ascii="宋体" w:hAnsi="宋体" w:eastAsia="宋体" w:cs="宋体"/>
          <w:color w:val="auto"/>
          <w:spacing w:val="5"/>
          <w:szCs w:val="21"/>
          <w:highlight w:val="none"/>
        </w:rPr>
        <w:t>元</w:t>
      </w:r>
      <w:r>
        <w:rPr>
          <w:rFonts w:hint="eastAsia" w:ascii="宋体" w:hAnsi="宋体" w:eastAsia="宋体" w:cs="宋体"/>
          <w:color w:val="auto"/>
          <w:spacing w:val="2"/>
          <w:szCs w:val="21"/>
          <w:highlight w:val="none"/>
        </w:rPr>
        <w:t>）</w:t>
      </w:r>
      <w:r>
        <w:rPr>
          <w:rFonts w:hint="eastAsia" w:ascii="宋体" w:hAnsi="宋体" w:eastAsia="宋体" w:cs="宋体"/>
          <w:color w:val="auto"/>
          <w:spacing w:val="7"/>
          <w:szCs w:val="21"/>
          <w:highlight w:val="none"/>
          <w:lang w:val="en-US" w:eastAsia="zh-CN"/>
        </w:rPr>
        <w:t>；</w:t>
      </w:r>
    </w:p>
    <w:p w14:paraId="5230D7D3">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（2）材料和工程设备暂估价金额：</w:t>
      </w:r>
    </w:p>
    <w:p w14:paraId="7B7AFB63">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人民币（大写）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13"/>
          <w:szCs w:val="21"/>
          <w:highlight w:val="none"/>
        </w:rPr>
        <w:t xml:space="preserve">  </w:t>
      </w:r>
      <w:r>
        <w:rPr>
          <w:rFonts w:hint="eastAsia" w:ascii="宋体" w:hAnsi="宋体" w:eastAsia="宋体" w:cs="宋体"/>
          <w:color w:val="auto"/>
          <w:spacing w:val="5"/>
          <w:szCs w:val="21"/>
          <w:highlight w:val="none"/>
        </w:rPr>
        <w:t>(¥</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2"/>
          <w:szCs w:val="21"/>
          <w:highlight w:val="none"/>
          <w:u w:val="single"/>
          <w:lang w:val="en-US" w:eastAsia="zh-CN"/>
        </w:rPr>
        <w:t xml:space="preserve">  </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32"/>
          <w:szCs w:val="21"/>
          <w:highlight w:val="none"/>
        </w:rPr>
        <w:t xml:space="preserve"> </w:t>
      </w:r>
      <w:r>
        <w:rPr>
          <w:rFonts w:hint="eastAsia" w:ascii="宋体" w:hAnsi="宋体" w:eastAsia="宋体" w:cs="宋体"/>
          <w:color w:val="auto"/>
          <w:spacing w:val="5"/>
          <w:szCs w:val="21"/>
          <w:highlight w:val="none"/>
        </w:rPr>
        <w:t>元</w:t>
      </w:r>
      <w:r>
        <w:rPr>
          <w:rFonts w:hint="eastAsia" w:ascii="宋体" w:hAnsi="宋体" w:eastAsia="宋体" w:cs="宋体"/>
          <w:color w:val="auto"/>
          <w:spacing w:val="2"/>
          <w:szCs w:val="21"/>
          <w:highlight w:val="none"/>
        </w:rPr>
        <w:t>）</w:t>
      </w:r>
      <w:r>
        <w:rPr>
          <w:rFonts w:hint="eastAsia" w:ascii="宋体" w:hAnsi="宋体" w:eastAsia="宋体" w:cs="宋体"/>
          <w:color w:val="auto"/>
          <w:spacing w:val="7"/>
          <w:szCs w:val="21"/>
          <w:highlight w:val="none"/>
          <w:lang w:val="en-US" w:eastAsia="zh-CN"/>
        </w:rPr>
        <w:t>；</w:t>
      </w:r>
    </w:p>
    <w:p w14:paraId="71C8BCFE">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（3）专业工程暂估价金额：</w:t>
      </w:r>
    </w:p>
    <w:p w14:paraId="1AE65791">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人民币（大写）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13"/>
          <w:szCs w:val="21"/>
          <w:highlight w:val="none"/>
        </w:rPr>
        <w:t xml:space="preserve">  </w:t>
      </w:r>
      <w:r>
        <w:rPr>
          <w:rFonts w:hint="eastAsia" w:ascii="宋体" w:hAnsi="宋体" w:eastAsia="宋体" w:cs="宋体"/>
          <w:color w:val="auto"/>
          <w:spacing w:val="5"/>
          <w:szCs w:val="21"/>
          <w:highlight w:val="none"/>
        </w:rPr>
        <w:t>(¥</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2"/>
          <w:szCs w:val="21"/>
          <w:highlight w:val="none"/>
          <w:u w:val="single"/>
          <w:lang w:val="en-US" w:eastAsia="zh-CN"/>
        </w:rPr>
        <w:t xml:space="preserve">  </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32"/>
          <w:szCs w:val="21"/>
          <w:highlight w:val="none"/>
        </w:rPr>
        <w:t xml:space="preserve"> </w:t>
      </w:r>
      <w:r>
        <w:rPr>
          <w:rFonts w:hint="eastAsia" w:ascii="宋体" w:hAnsi="宋体" w:eastAsia="宋体" w:cs="宋体"/>
          <w:color w:val="auto"/>
          <w:spacing w:val="5"/>
          <w:szCs w:val="21"/>
          <w:highlight w:val="none"/>
        </w:rPr>
        <w:t>元</w:t>
      </w:r>
      <w:r>
        <w:rPr>
          <w:rFonts w:hint="eastAsia" w:ascii="宋体" w:hAnsi="宋体" w:eastAsia="宋体" w:cs="宋体"/>
          <w:color w:val="auto"/>
          <w:spacing w:val="2"/>
          <w:szCs w:val="21"/>
          <w:highlight w:val="none"/>
        </w:rPr>
        <w:t>）</w:t>
      </w:r>
      <w:r>
        <w:rPr>
          <w:rFonts w:hint="eastAsia" w:ascii="宋体" w:hAnsi="宋体" w:eastAsia="宋体" w:cs="宋体"/>
          <w:color w:val="auto"/>
          <w:spacing w:val="7"/>
          <w:szCs w:val="21"/>
          <w:highlight w:val="none"/>
          <w:lang w:val="en-US" w:eastAsia="zh-CN"/>
        </w:rPr>
        <w:t>；</w:t>
      </w:r>
    </w:p>
    <w:p w14:paraId="55859B1E">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（4）暂列金额：</w:t>
      </w:r>
    </w:p>
    <w:p w14:paraId="049CF0C6">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宋体" w:hAnsi="宋体" w:eastAsia="宋体" w:cs="宋体"/>
          <w:color w:val="auto"/>
          <w:spacing w:val="7"/>
          <w:szCs w:val="21"/>
          <w:highlight w:val="none"/>
          <w:lang w:val="en-US" w:eastAsia="zh-CN"/>
        </w:rPr>
      </w:pPr>
      <w:r>
        <w:rPr>
          <w:rFonts w:hint="eastAsia" w:ascii="宋体" w:hAnsi="宋体" w:eastAsia="宋体" w:cs="宋体"/>
          <w:color w:val="auto"/>
          <w:spacing w:val="7"/>
          <w:szCs w:val="21"/>
          <w:highlight w:val="none"/>
          <w:lang w:val="en-US" w:eastAsia="zh-CN"/>
        </w:rPr>
        <w:t>人民币（大写）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13"/>
          <w:szCs w:val="21"/>
          <w:highlight w:val="none"/>
        </w:rPr>
        <w:t xml:space="preserve">  </w:t>
      </w:r>
      <w:r>
        <w:rPr>
          <w:rFonts w:hint="eastAsia" w:ascii="宋体" w:hAnsi="宋体" w:eastAsia="宋体" w:cs="宋体"/>
          <w:color w:val="auto"/>
          <w:spacing w:val="5"/>
          <w:szCs w:val="21"/>
          <w:highlight w:val="none"/>
        </w:rPr>
        <w:t>(¥</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2"/>
          <w:szCs w:val="21"/>
          <w:highlight w:val="none"/>
          <w:u w:val="single"/>
          <w:lang w:val="en-US" w:eastAsia="zh-CN"/>
        </w:rPr>
        <w:t xml:space="preserve">  </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32"/>
          <w:szCs w:val="21"/>
          <w:highlight w:val="none"/>
        </w:rPr>
        <w:t xml:space="preserve"> </w:t>
      </w:r>
      <w:r>
        <w:rPr>
          <w:rFonts w:hint="eastAsia" w:ascii="宋体" w:hAnsi="宋体" w:eastAsia="宋体" w:cs="宋体"/>
          <w:color w:val="auto"/>
          <w:spacing w:val="5"/>
          <w:szCs w:val="21"/>
          <w:highlight w:val="none"/>
        </w:rPr>
        <w:t>元</w:t>
      </w:r>
      <w:r>
        <w:rPr>
          <w:rFonts w:hint="eastAsia" w:ascii="宋体" w:hAnsi="宋体" w:eastAsia="宋体" w:cs="宋体"/>
          <w:color w:val="auto"/>
          <w:spacing w:val="2"/>
          <w:szCs w:val="21"/>
          <w:highlight w:val="none"/>
        </w:rPr>
        <w:t>）</w:t>
      </w:r>
      <w:r>
        <w:rPr>
          <w:rFonts w:hint="eastAsia" w:ascii="宋体" w:hAnsi="宋体" w:eastAsia="宋体" w:cs="宋体"/>
          <w:color w:val="auto"/>
          <w:spacing w:val="2"/>
          <w:szCs w:val="21"/>
          <w:highlight w:val="none"/>
          <w:lang w:val="en-US" w:eastAsia="zh-CN"/>
        </w:rPr>
        <w:t>；</w:t>
      </w:r>
    </w:p>
    <w:p w14:paraId="18097839">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新宋体" w:hAnsi="新宋体" w:eastAsia="新宋体" w:cs="新宋体"/>
          <w:color w:val="auto"/>
          <w:spacing w:val="7"/>
          <w:szCs w:val="21"/>
          <w:highlight w:val="none"/>
          <w:lang w:val="en-US" w:eastAsia="zh-CN"/>
        </w:rPr>
      </w:pPr>
      <w:r>
        <w:rPr>
          <w:rFonts w:hint="eastAsia" w:ascii="新宋体" w:hAnsi="新宋体" w:eastAsia="新宋体" w:cs="新宋体"/>
          <w:color w:val="auto"/>
          <w:spacing w:val="7"/>
          <w:szCs w:val="21"/>
          <w:highlight w:val="none"/>
          <w:lang w:val="en-US" w:eastAsia="zh-CN"/>
        </w:rPr>
        <w:t>（5）安全生产责任保险费暂估价：</w:t>
      </w:r>
    </w:p>
    <w:p w14:paraId="7BFDD76A">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新宋体" w:hAnsi="新宋体" w:eastAsia="新宋体" w:cs="新宋体"/>
          <w:color w:val="auto"/>
          <w:spacing w:val="7"/>
          <w:szCs w:val="21"/>
          <w:highlight w:val="none"/>
          <w:lang w:val="en-US" w:eastAsia="zh-CN"/>
        </w:rPr>
      </w:pPr>
      <w:r>
        <w:rPr>
          <w:rFonts w:hint="eastAsia" w:ascii="新宋体" w:hAnsi="新宋体" w:eastAsia="新宋体" w:cs="新宋体"/>
          <w:color w:val="auto"/>
          <w:spacing w:val="7"/>
          <w:szCs w:val="21"/>
          <w:highlight w:val="none"/>
          <w:lang w:val="en-US" w:eastAsia="zh-CN"/>
        </w:rPr>
        <w:t>人民币（大写）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5"/>
          <w:szCs w:val="21"/>
          <w:highlight w:val="none"/>
          <w:u w:val="single"/>
        </w:rPr>
        <w:t xml:space="preserve">    </w:t>
      </w:r>
      <w:r>
        <w:rPr>
          <w:rFonts w:hint="eastAsia" w:ascii="宋体" w:hAnsi="宋体" w:eastAsia="宋体" w:cs="宋体"/>
          <w:color w:val="auto"/>
          <w:spacing w:val="13"/>
          <w:szCs w:val="21"/>
          <w:highlight w:val="none"/>
        </w:rPr>
        <w:t xml:space="preserve">  </w:t>
      </w:r>
      <w:r>
        <w:rPr>
          <w:rFonts w:hint="eastAsia" w:ascii="宋体" w:hAnsi="宋体" w:eastAsia="宋体" w:cs="宋体"/>
          <w:color w:val="auto"/>
          <w:spacing w:val="5"/>
          <w:szCs w:val="21"/>
          <w:highlight w:val="none"/>
        </w:rPr>
        <w:t>(¥</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7"/>
          <w:szCs w:val="21"/>
          <w:highlight w:val="none"/>
          <w:u w:val="single"/>
        </w:rPr>
        <w:t>(成交后填写)</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2"/>
          <w:szCs w:val="21"/>
          <w:highlight w:val="none"/>
          <w:u w:val="single"/>
          <w:lang w:val="en-US" w:eastAsia="zh-CN"/>
        </w:rPr>
        <w:t xml:space="preserve">  </w:t>
      </w:r>
      <w:r>
        <w:rPr>
          <w:rFonts w:hint="eastAsia" w:ascii="宋体" w:hAnsi="宋体" w:eastAsia="宋体" w:cs="宋体"/>
          <w:color w:val="auto"/>
          <w:spacing w:val="2"/>
          <w:szCs w:val="21"/>
          <w:highlight w:val="none"/>
          <w:u w:val="single"/>
        </w:rPr>
        <w:t xml:space="preserve"> </w:t>
      </w:r>
      <w:r>
        <w:rPr>
          <w:rFonts w:hint="eastAsia" w:ascii="宋体" w:hAnsi="宋体" w:eastAsia="宋体" w:cs="宋体"/>
          <w:color w:val="auto"/>
          <w:spacing w:val="-32"/>
          <w:szCs w:val="21"/>
          <w:highlight w:val="none"/>
        </w:rPr>
        <w:t xml:space="preserve"> </w:t>
      </w:r>
      <w:r>
        <w:rPr>
          <w:rFonts w:hint="eastAsia" w:ascii="宋体" w:hAnsi="宋体" w:eastAsia="宋体" w:cs="宋体"/>
          <w:color w:val="auto"/>
          <w:spacing w:val="5"/>
          <w:szCs w:val="21"/>
          <w:highlight w:val="none"/>
        </w:rPr>
        <w:t>元</w:t>
      </w:r>
      <w:r>
        <w:rPr>
          <w:rFonts w:hint="eastAsia" w:ascii="宋体" w:hAnsi="宋体" w:eastAsia="宋体" w:cs="宋体"/>
          <w:color w:val="auto"/>
          <w:spacing w:val="2"/>
          <w:szCs w:val="21"/>
          <w:highlight w:val="none"/>
        </w:rPr>
        <w:t>）</w:t>
      </w:r>
      <w:r>
        <w:rPr>
          <w:rFonts w:hint="eastAsia" w:ascii="新宋体" w:hAnsi="新宋体" w:eastAsia="新宋体" w:cs="新宋体"/>
          <w:color w:val="auto"/>
          <w:spacing w:val="2"/>
          <w:szCs w:val="21"/>
          <w:highlight w:val="none"/>
          <w:lang w:val="en-US" w:eastAsia="zh-CN"/>
        </w:rPr>
        <w:t>。</w:t>
      </w:r>
    </w:p>
    <w:p w14:paraId="17B25CFD">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新宋体" w:hAnsi="新宋体" w:eastAsia="新宋体" w:cs="新宋体"/>
          <w:color w:val="auto"/>
          <w:spacing w:val="11"/>
          <w:szCs w:val="21"/>
          <w:highlight w:val="none"/>
          <w:u w:val="single"/>
          <w:lang w:eastAsia="zh-CN"/>
        </w:rPr>
      </w:pPr>
      <w:r>
        <w:rPr>
          <w:rFonts w:hint="eastAsia" w:ascii="新宋体" w:hAnsi="新宋体" w:eastAsia="新宋体" w:cs="新宋体"/>
          <w:color w:val="auto"/>
          <w:spacing w:val="7"/>
          <w:szCs w:val="21"/>
          <w:highlight w:val="none"/>
          <w:lang w:val="en-US" w:eastAsia="zh-CN"/>
        </w:rPr>
        <w:t>2</w:t>
      </w:r>
      <w:r>
        <w:rPr>
          <w:rFonts w:hint="eastAsia" w:ascii="新宋体" w:hAnsi="新宋体" w:eastAsia="新宋体" w:cs="新宋体"/>
          <w:color w:val="auto"/>
          <w:spacing w:val="7"/>
          <w:szCs w:val="21"/>
          <w:highlight w:val="none"/>
        </w:rPr>
        <w:t>.合同价格形式：</w:t>
      </w:r>
      <w:r>
        <w:rPr>
          <w:rFonts w:hint="eastAsia" w:ascii="新宋体" w:hAnsi="新宋体" w:eastAsia="新宋体" w:cs="新宋体"/>
          <w:color w:val="auto"/>
          <w:spacing w:val="7"/>
          <w:szCs w:val="21"/>
          <w:highlight w:val="none"/>
          <w:u w:val="single"/>
        </w:rPr>
        <w:t>固定综合单价</w:t>
      </w:r>
      <w:r>
        <w:rPr>
          <w:rFonts w:hint="eastAsia" w:ascii="新宋体" w:hAnsi="新宋体" w:eastAsia="新宋体" w:cs="新宋体"/>
          <w:color w:val="auto"/>
          <w:spacing w:val="7"/>
          <w:szCs w:val="21"/>
          <w:highlight w:val="none"/>
          <w:u w:val="single"/>
          <w:lang w:eastAsia="zh-CN"/>
        </w:rPr>
        <w:t>。</w:t>
      </w:r>
    </w:p>
    <w:p w14:paraId="3C272DB8">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新宋体" w:hAnsi="新宋体" w:eastAsia="新宋体" w:cs="新宋体"/>
          <w:color w:val="auto"/>
          <w:spacing w:val="7"/>
          <w:szCs w:val="21"/>
          <w:highlight w:val="none"/>
          <w:lang w:eastAsia="zh-CN"/>
        </w:rPr>
      </w:pPr>
      <w:r>
        <w:rPr>
          <w:rFonts w:hint="eastAsia" w:ascii="新宋体" w:hAnsi="新宋体" w:eastAsia="新宋体" w:cs="新宋体"/>
          <w:color w:val="auto"/>
          <w:spacing w:val="7"/>
          <w:szCs w:val="21"/>
          <w:highlight w:val="none"/>
          <w:lang w:eastAsia="zh-CN"/>
        </w:rPr>
        <w:t>3.增值税计税方法:</w:t>
      </w:r>
      <w:r>
        <w:rPr>
          <w:rFonts w:hint="eastAsia" w:ascii="新宋体" w:hAnsi="新宋体" w:eastAsia="新宋体" w:cs="新宋体"/>
          <w:color w:val="auto"/>
          <w:spacing w:val="7"/>
          <w:szCs w:val="21"/>
          <w:highlight w:val="none"/>
          <w:u w:val="single"/>
          <w:lang w:eastAsia="zh-CN"/>
        </w:rPr>
        <w:t>一般计税法。</w:t>
      </w:r>
    </w:p>
    <w:p w14:paraId="63FC4816">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新宋体" w:hAnsi="新宋体" w:eastAsia="新宋体" w:cs="新宋体"/>
          <w:color w:val="auto"/>
          <w:spacing w:val="7"/>
          <w:szCs w:val="21"/>
          <w:highlight w:val="none"/>
        </w:rPr>
      </w:pPr>
      <w:r>
        <w:rPr>
          <w:rFonts w:hint="eastAsia" w:ascii="新宋体" w:hAnsi="新宋体" w:eastAsia="新宋体" w:cs="新宋体"/>
          <w:color w:val="auto"/>
          <w:spacing w:val="7"/>
          <w:szCs w:val="21"/>
          <w:highlight w:val="none"/>
        </w:rPr>
        <w:t>4.农民工工资支付专用账户：</w:t>
      </w:r>
      <w:r>
        <w:rPr>
          <w:rFonts w:hint="eastAsia" w:ascii="新宋体" w:hAnsi="新宋体" w:eastAsia="新宋体" w:cs="新宋体"/>
          <w:color w:val="auto"/>
          <w:spacing w:val="7"/>
          <w:szCs w:val="21"/>
          <w:highlight w:val="none"/>
          <w:u w:val="single"/>
        </w:rPr>
        <w:t xml:space="preserve">          </w:t>
      </w:r>
      <w:r>
        <w:rPr>
          <w:rFonts w:hint="eastAsia" w:ascii="新宋体" w:hAnsi="新宋体" w:eastAsia="新宋体" w:cs="新宋体"/>
          <w:color w:val="auto"/>
          <w:spacing w:val="6"/>
          <w:szCs w:val="21"/>
          <w:highlight w:val="none"/>
          <w:u w:val="single"/>
        </w:rPr>
        <w:t xml:space="preserve"> </w:t>
      </w:r>
      <w:r>
        <w:rPr>
          <w:rFonts w:hint="eastAsia" w:ascii="新宋体" w:hAnsi="新宋体" w:eastAsia="新宋体" w:cs="新宋体"/>
          <w:color w:val="auto"/>
          <w:spacing w:val="7"/>
          <w:szCs w:val="21"/>
          <w:highlight w:val="none"/>
          <w:u w:val="single"/>
        </w:rPr>
        <w:t xml:space="preserve">(成交后填写)                </w:t>
      </w:r>
    </w:p>
    <w:p w14:paraId="7BD6E526">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新宋体" w:hAnsi="新宋体" w:eastAsia="新宋体" w:cs="新宋体"/>
          <w:color w:val="auto"/>
          <w:spacing w:val="7"/>
          <w:szCs w:val="21"/>
          <w:highlight w:val="none"/>
        </w:rPr>
      </w:pPr>
      <w:r>
        <w:rPr>
          <w:rFonts w:hint="eastAsia" w:ascii="新宋体" w:hAnsi="新宋体" w:eastAsia="新宋体" w:cs="新宋体"/>
          <w:color w:val="auto"/>
          <w:spacing w:val="7"/>
          <w:szCs w:val="21"/>
          <w:highlight w:val="none"/>
        </w:rPr>
        <w:t xml:space="preserve">  账号：</w:t>
      </w:r>
      <w:r>
        <w:rPr>
          <w:rFonts w:hint="eastAsia" w:ascii="新宋体" w:hAnsi="新宋体" w:eastAsia="新宋体" w:cs="新宋体"/>
          <w:color w:val="auto"/>
          <w:spacing w:val="7"/>
          <w:szCs w:val="21"/>
          <w:highlight w:val="none"/>
          <w:u w:val="single"/>
        </w:rPr>
        <w:t xml:space="preserve">          </w:t>
      </w:r>
      <w:r>
        <w:rPr>
          <w:rFonts w:hint="eastAsia" w:ascii="新宋体" w:hAnsi="新宋体" w:eastAsia="新宋体" w:cs="新宋体"/>
          <w:color w:val="auto"/>
          <w:spacing w:val="6"/>
          <w:szCs w:val="21"/>
          <w:highlight w:val="none"/>
          <w:u w:val="single"/>
        </w:rPr>
        <w:t xml:space="preserve"> </w:t>
      </w:r>
      <w:r>
        <w:rPr>
          <w:rFonts w:hint="eastAsia" w:ascii="新宋体" w:hAnsi="新宋体" w:eastAsia="新宋体" w:cs="新宋体"/>
          <w:color w:val="auto"/>
          <w:spacing w:val="7"/>
          <w:szCs w:val="21"/>
          <w:highlight w:val="none"/>
          <w:u w:val="single"/>
        </w:rPr>
        <w:t xml:space="preserve">(成交后填写)                </w:t>
      </w:r>
    </w:p>
    <w:p w14:paraId="012056B2">
      <w:pPr>
        <w:pStyle w:val="13"/>
        <w:keepNext w:val="0"/>
        <w:keepLines w:val="0"/>
        <w:pageBreakBefore w:val="0"/>
        <w:widowControl w:val="0"/>
        <w:kinsoku/>
        <w:wordWrap/>
        <w:overflowPunct/>
        <w:topLinePunct w:val="0"/>
        <w:autoSpaceDE/>
        <w:autoSpaceDN/>
        <w:bidi w:val="0"/>
        <w:adjustRightInd/>
        <w:spacing w:after="0" w:line="360" w:lineRule="auto"/>
        <w:ind w:left="421"/>
        <w:jc w:val="left"/>
        <w:textAlignment w:val="auto"/>
        <w:rPr>
          <w:rFonts w:hint="eastAsia" w:ascii="新宋体" w:hAnsi="新宋体" w:eastAsia="新宋体" w:cs="新宋体"/>
          <w:color w:val="auto"/>
          <w:spacing w:val="7"/>
          <w:szCs w:val="21"/>
          <w:highlight w:val="none"/>
        </w:rPr>
      </w:pPr>
      <w:r>
        <w:rPr>
          <w:rFonts w:hint="eastAsia" w:ascii="新宋体" w:hAnsi="新宋体" w:eastAsia="新宋体" w:cs="新宋体"/>
          <w:color w:val="auto"/>
          <w:spacing w:val="7"/>
          <w:szCs w:val="21"/>
          <w:highlight w:val="none"/>
        </w:rPr>
        <w:t xml:space="preserve">  开户银行：</w:t>
      </w:r>
      <w:r>
        <w:rPr>
          <w:rFonts w:hint="eastAsia" w:ascii="新宋体" w:hAnsi="新宋体" w:eastAsia="新宋体" w:cs="新宋体"/>
          <w:color w:val="auto"/>
          <w:spacing w:val="7"/>
          <w:szCs w:val="21"/>
          <w:highlight w:val="none"/>
          <w:u w:val="single"/>
        </w:rPr>
        <w:t xml:space="preserve">     </w:t>
      </w:r>
      <w:r>
        <w:rPr>
          <w:rFonts w:hint="eastAsia" w:ascii="新宋体" w:hAnsi="新宋体" w:eastAsia="新宋体" w:cs="新宋体"/>
          <w:color w:val="auto"/>
          <w:spacing w:val="6"/>
          <w:szCs w:val="21"/>
          <w:highlight w:val="none"/>
          <w:u w:val="single"/>
        </w:rPr>
        <w:t xml:space="preserve"> </w:t>
      </w:r>
      <w:r>
        <w:rPr>
          <w:rFonts w:hint="eastAsia" w:ascii="新宋体" w:hAnsi="新宋体" w:eastAsia="新宋体" w:cs="新宋体"/>
          <w:color w:val="auto"/>
          <w:spacing w:val="7"/>
          <w:szCs w:val="21"/>
          <w:highlight w:val="none"/>
          <w:u w:val="single"/>
        </w:rPr>
        <w:t xml:space="preserve">(成交后填写)                 </w:t>
      </w:r>
    </w:p>
    <w:p w14:paraId="32443F29">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zCs w:val="21"/>
          <w:highlight w:val="none"/>
        </w:rPr>
      </w:pPr>
      <w:bookmarkStart w:id="279" w:name="_Toc20535"/>
      <w:bookmarkStart w:id="280" w:name="_Toc2698"/>
      <w:bookmarkStart w:id="281" w:name="_Toc15782"/>
      <w:r>
        <w:rPr>
          <w:rFonts w:hint="eastAsia" w:ascii="新宋体" w:hAnsi="新宋体" w:eastAsia="新宋体" w:cs="新宋体"/>
          <w:b/>
          <w:bCs/>
          <w:color w:val="auto"/>
          <w:spacing w:val="7"/>
          <w:szCs w:val="21"/>
          <w:highlight w:val="none"/>
        </w:rPr>
        <w:t>五、项目经理</w:t>
      </w:r>
      <w:bookmarkEnd w:id="279"/>
      <w:bookmarkEnd w:id="280"/>
      <w:bookmarkEnd w:id="281"/>
    </w:p>
    <w:p w14:paraId="7BD89BFA">
      <w:pPr>
        <w:keepNext w:val="0"/>
        <w:keepLines w:val="0"/>
        <w:pageBreakBefore w:val="0"/>
        <w:widowControl w:val="0"/>
        <w:kinsoku/>
        <w:wordWrap/>
        <w:overflowPunct/>
        <w:topLinePunct w:val="0"/>
        <w:autoSpaceDE/>
        <w:autoSpaceDN/>
        <w:bidi w:val="0"/>
        <w:adjustRightInd/>
        <w:spacing w:line="360" w:lineRule="auto"/>
        <w:ind w:left="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6"/>
          <w:szCs w:val="21"/>
          <w:highlight w:val="none"/>
        </w:rPr>
        <w:t>承包人项目经理：</w:t>
      </w:r>
      <w:r>
        <w:rPr>
          <w:rFonts w:hint="eastAsia" w:ascii="新宋体" w:hAnsi="新宋体" w:eastAsia="新宋体" w:cs="新宋体"/>
          <w:color w:val="auto"/>
          <w:spacing w:val="6"/>
          <w:szCs w:val="21"/>
          <w:highlight w:val="none"/>
          <w:u w:val="single"/>
        </w:rPr>
        <w:t xml:space="preserve">  </w:t>
      </w:r>
      <w:r>
        <w:rPr>
          <w:rFonts w:hint="eastAsia" w:ascii="新宋体" w:hAnsi="新宋体" w:eastAsia="新宋体" w:cs="新宋体"/>
          <w:color w:val="auto"/>
          <w:spacing w:val="7"/>
          <w:szCs w:val="21"/>
          <w:highlight w:val="none"/>
          <w:u w:val="single"/>
        </w:rPr>
        <w:t>(成交后填写)</w:t>
      </w:r>
      <w:r>
        <w:rPr>
          <w:rFonts w:hint="eastAsia" w:ascii="新宋体" w:hAnsi="新宋体" w:eastAsia="新宋体" w:cs="新宋体"/>
          <w:color w:val="auto"/>
          <w:spacing w:val="5"/>
          <w:szCs w:val="21"/>
          <w:highlight w:val="none"/>
          <w:u w:val="single"/>
        </w:rPr>
        <w:t xml:space="preserve">     </w:t>
      </w:r>
      <w:r>
        <w:rPr>
          <w:rFonts w:hint="eastAsia" w:ascii="新宋体" w:hAnsi="新宋体" w:eastAsia="新宋体" w:cs="新宋体"/>
          <w:color w:val="auto"/>
          <w:spacing w:val="5"/>
          <w:szCs w:val="21"/>
          <w:highlight w:val="none"/>
        </w:rPr>
        <w:t>。</w:t>
      </w:r>
    </w:p>
    <w:p w14:paraId="79E4F6E1">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282" w:name="_Toc20659"/>
      <w:bookmarkStart w:id="283" w:name="_Toc4003"/>
      <w:bookmarkStart w:id="284" w:name="_Toc32409"/>
      <w:r>
        <w:rPr>
          <w:rFonts w:hint="eastAsia" w:ascii="新宋体" w:hAnsi="新宋体" w:eastAsia="新宋体" w:cs="新宋体"/>
          <w:b/>
          <w:bCs/>
          <w:color w:val="auto"/>
          <w:spacing w:val="7"/>
          <w:szCs w:val="21"/>
          <w:highlight w:val="none"/>
        </w:rPr>
        <w:t>六、合同文件构成</w:t>
      </w:r>
      <w:bookmarkEnd w:id="282"/>
      <w:bookmarkEnd w:id="283"/>
      <w:bookmarkEnd w:id="284"/>
    </w:p>
    <w:p w14:paraId="47F6B21E">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本协议书与下列文件一起构成合同文件：</w:t>
      </w:r>
    </w:p>
    <w:p w14:paraId="33FE0887">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（1）成交通知书；</w:t>
      </w:r>
    </w:p>
    <w:p w14:paraId="6ED7EFA2">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（2）响应函；</w:t>
      </w:r>
    </w:p>
    <w:p w14:paraId="2CC93844">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（3）专用合同条款及其附件；</w:t>
      </w:r>
    </w:p>
    <w:p w14:paraId="627AD9F0">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（4）通用合同条款；</w:t>
      </w:r>
    </w:p>
    <w:p w14:paraId="4D8EC6E5">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（5）技术标准和要求；</w:t>
      </w:r>
    </w:p>
    <w:p w14:paraId="0A45741E">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（6）图纸；</w:t>
      </w:r>
    </w:p>
    <w:p w14:paraId="1C2B5C4C">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（7）工程量清单、发包人提供的审定预算控制价；</w:t>
      </w:r>
    </w:p>
    <w:p w14:paraId="22C11930">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（8）其他合同文件。</w:t>
      </w:r>
    </w:p>
    <w:p w14:paraId="01C33573">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rPr>
        <w:t>在合同订立及履行过程中形成的与合同有关的文件均构成合同文件组成部分。</w:t>
      </w:r>
    </w:p>
    <w:p w14:paraId="3C2A8EBF">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9"/>
          <w:position w:val="13"/>
          <w:szCs w:val="21"/>
          <w:highlight w:val="none"/>
        </w:rPr>
      </w:pPr>
      <w:r>
        <w:rPr>
          <w:rFonts w:hint="eastAsia" w:ascii="新宋体" w:hAnsi="新宋体" w:eastAsia="新宋体" w:cs="新宋体"/>
          <w:color w:val="auto"/>
          <w:spacing w:val="8"/>
          <w:position w:val="13"/>
          <w:szCs w:val="21"/>
          <w:highlight w:val="none"/>
        </w:rPr>
        <w:t>上述各项合同文件包括合同当事人就该项合同文件所作出的补充和修改，属于同一类内容的文件，应以最新</w:t>
      </w:r>
      <w:r>
        <w:rPr>
          <w:rFonts w:hint="eastAsia" w:ascii="新宋体" w:hAnsi="新宋体" w:eastAsia="新宋体" w:cs="新宋体"/>
          <w:color w:val="auto"/>
          <w:spacing w:val="9"/>
          <w:position w:val="13"/>
          <w:szCs w:val="21"/>
          <w:highlight w:val="none"/>
        </w:rPr>
        <w:t>签署的为准。专用合同条款及其附件须经合同当事人签字或盖章。</w:t>
      </w:r>
    </w:p>
    <w:p w14:paraId="42CC5822">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285" w:name="_Toc17922"/>
      <w:bookmarkStart w:id="286" w:name="_Toc3378"/>
      <w:bookmarkStart w:id="287" w:name="_Toc22641"/>
      <w:r>
        <w:rPr>
          <w:rFonts w:hint="eastAsia" w:ascii="新宋体" w:hAnsi="新宋体" w:eastAsia="新宋体" w:cs="新宋体"/>
          <w:b/>
          <w:bCs/>
          <w:color w:val="auto"/>
          <w:spacing w:val="7"/>
          <w:szCs w:val="21"/>
          <w:highlight w:val="none"/>
        </w:rPr>
        <w:t>七、承诺</w:t>
      </w:r>
      <w:bookmarkEnd w:id="285"/>
      <w:bookmarkEnd w:id="286"/>
      <w:bookmarkEnd w:id="287"/>
    </w:p>
    <w:p w14:paraId="7E482C79">
      <w:pPr>
        <w:keepNext w:val="0"/>
        <w:keepLines w:val="0"/>
        <w:pageBreakBefore w:val="0"/>
        <w:widowControl w:val="0"/>
        <w:kinsoku/>
        <w:wordWrap/>
        <w:overflowPunct/>
        <w:topLinePunct w:val="0"/>
        <w:autoSpaceDE/>
        <w:autoSpaceDN/>
        <w:bidi w:val="0"/>
        <w:adjustRightInd/>
        <w:spacing w:line="360" w:lineRule="auto"/>
        <w:ind w:firstLine="460" w:firstLineChars="200"/>
        <w:jc w:val="left"/>
        <w:textAlignment w:val="auto"/>
        <w:rPr>
          <w:rFonts w:hint="eastAsia" w:ascii="新宋体" w:hAnsi="新宋体" w:eastAsia="新宋体" w:cs="新宋体"/>
          <w:color w:val="auto"/>
          <w:spacing w:val="10"/>
          <w:position w:val="13"/>
          <w:szCs w:val="21"/>
          <w:highlight w:val="none"/>
        </w:rPr>
      </w:pPr>
      <w:r>
        <w:rPr>
          <w:rFonts w:hint="eastAsia" w:ascii="新宋体" w:hAnsi="新宋体" w:eastAsia="新宋体" w:cs="新宋体"/>
          <w:color w:val="auto"/>
          <w:spacing w:val="10"/>
          <w:position w:val="13"/>
          <w:szCs w:val="21"/>
          <w:highlight w:val="none"/>
        </w:rPr>
        <w:t>1.</w:t>
      </w:r>
      <w:r>
        <w:rPr>
          <w:rFonts w:hint="eastAsia" w:ascii="新宋体" w:hAnsi="新宋体" w:eastAsia="新宋体" w:cs="新宋体"/>
          <w:color w:val="auto"/>
          <w:spacing w:val="8"/>
          <w:position w:val="13"/>
          <w:szCs w:val="21"/>
          <w:highlight w:val="none"/>
        </w:rPr>
        <w:t>发包</w:t>
      </w:r>
      <w:r>
        <w:rPr>
          <w:rFonts w:hint="eastAsia" w:ascii="新宋体" w:hAnsi="新宋体" w:eastAsia="新宋体" w:cs="新宋体"/>
          <w:color w:val="auto"/>
          <w:spacing w:val="10"/>
          <w:position w:val="13"/>
          <w:szCs w:val="21"/>
          <w:highlight w:val="none"/>
        </w:rPr>
        <w:t>人承诺按照法律规定履行项目审批手续、筹集工程建设资金并按照合同约定的期限和方式支付合同价款。</w:t>
      </w:r>
    </w:p>
    <w:p w14:paraId="377671BA">
      <w:pPr>
        <w:keepNext w:val="0"/>
        <w:keepLines w:val="0"/>
        <w:pageBreakBefore w:val="0"/>
        <w:widowControl w:val="0"/>
        <w:kinsoku/>
        <w:wordWrap/>
        <w:overflowPunct/>
        <w:topLinePunct w:val="0"/>
        <w:autoSpaceDE/>
        <w:autoSpaceDN/>
        <w:bidi w:val="0"/>
        <w:adjustRightInd/>
        <w:spacing w:line="360" w:lineRule="auto"/>
        <w:ind w:firstLine="460" w:firstLineChars="200"/>
        <w:jc w:val="left"/>
        <w:textAlignment w:val="auto"/>
        <w:rPr>
          <w:rFonts w:hint="eastAsia" w:ascii="新宋体" w:hAnsi="新宋体" w:eastAsia="新宋体" w:cs="新宋体"/>
          <w:color w:val="auto"/>
          <w:spacing w:val="10"/>
          <w:position w:val="13"/>
          <w:szCs w:val="21"/>
          <w:highlight w:val="none"/>
        </w:rPr>
      </w:pPr>
      <w:r>
        <w:rPr>
          <w:rFonts w:hint="eastAsia" w:ascii="新宋体" w:hAnsi="新宋体" w:eastAsia="新宋体" w:cs="新宋体"/>
          <w:color w:val="auto"/>
          <w:spacing w:val="10"/>
          <w:position w:val="13"/>
          <w:szCs w:val="21"/>
          <w:highlight w:val="none"/>
        </w:rPr>
        <w:t>2.</w:t>
      </w:r>
      <w:r>
        <w:rPr>
          <w:rFonts w:hint="eastAsia" w:ascii="新宋体" w:hAnsi="新宋体" w:eastAsia="新宋体" w:cs="新宋体"/>
          <w:color w:val="auto"/>
          <w:spacing w:val="8"/>
          <w:position w:val="13"/>
          <w:szCs w:val="21"/>
          <w:highlight w:val="none"/>
        </w:rPr>
        <w:t>承包人</w:t>
      </w:r>
      <w:r>
        <w:rPr>
          <w:rFonts w:hint="eastAsia" w:ascii="新宋体" w:hAnsi="新宋体" w:eastAsia="新宋体" w:cs="新宋体"/>
          <w:color w:val="auto"/>
          <w:spacing w:val="10"/>
          <w:position w:val="13"/>
          <w:szCs w:val="21"/>
          <w:highlight w:val="none"/>
        </w:rPr>
        <w:t>承诺按照法律规定及合同约定组织完成工程施工，确保工程质量和安全，不进行转包及违法分包，并在缺陷责任期及保修期内承担相应的工程维修责任。</w:t>
      </w:r>
    </w:p>
    <w:p w14:paraId="3259C95C">
      <w:pPr>
        <w:keepNext w:val="0"/>
        <w:keepLines w:val="0"/>
        <w:pageBreakBefore w:val="0"/>
        <w:widowControl w:val="0"/>
        <w:kinsoku/>
        <w:wordWrap/>
        <w:overflowPunct/>
        <w:topLinePunct w:val="0"/>
        <w:autoSpaceDE/>
        <w:autoSpaceDN/>
        <w:bidi w:val="0"/>
        <w:adjustRightInd/>
        <w:spacing w:line="360" w:lineRule="auto"/>
        <w:ind w:firstLine="460" w:firstLineChars="200"/>
        <w:jc w:val="left"/>
        <w:textAlignment w:val="auto"/>
        <w:rPr>
          <w:rFonts w:hint="eastAsia" w:ascii="新宋体" w:hAnsi="新宋体" w:eastAsia="新宋体" w:cs="新宋体"/>
          <w:color w:val="auto"/>
          <w:spacing w:val="10"/>
          <w:position w:val="13"/>
          <w:szCs w:val="21"/>
          <w:highlight w:val="none"/>
        </w:rPr>
      </w:pPr>
      <w:r>
        <w:rPr>
          <w:rFonts w:hint="eastAsia" w:ascii="新宋体" w:hAnsi="新宋体" w:eastAsia="新宋体" w:cs="新宋体"/>
          <w:color w:val="auto"/>
          <w:spacing w:val="10"/>
          <w:position w:val="13"/>
          <w:szCs w:val="21"/>
          <w:highlight w:val="none"/>
        </w:rPr>
        <w:t>3.</w:t>
      </w:r>
      <w:r>
        <w:rPr>
          <w:rFonts w:hint="eastAsia" w:ascii="新宋体" w:hAnsi="新宋体" w:eastAsia="新宋体" w:cs="新宋体"/>
          <w:color w:val="auto"/>
          <w:spacing w:val="8"/>
          <w:position w:val="13"/>
          <w:szCs w:val="21"/>
          <w:highlight w:val="none"/>
        </w:rPr>
        <w:t>发包</w:t>
      </w:r>
      <w:r>
        <w:rPr>
          <w:rFonts w:hint="eastAsia" w:ascii="新宋体" w:hAnsi="新宋体" w:eastAsia="新宋体" w:cs="新宋体"/>
          <w:color w:val="auto"/>
          <w:spacing w:val="10"/>
          <w:position w:val="13"/>
          <w:szCs w:val="21"/>
          <w:highlight w:val="none"/>
        </w:rPr>
        <w:t>人和承包人通过招响应形式签订合同的，双方理解并承诺不再就同一工程另行签订与合同实质性内容相背离的协议。</w:t>
      </w:r>
    </w:p>
    <w:p w14:paraId="33C48EFF">
      <w:pPr>
        <w:keepNext w:val="0"/>
        <w:keepLines w:val="0"/>
        <w:pageBreakBefore w:val="0"/>
        <w:widowControl w:val="0"/>
        <w:kinsoku/>
        <w:wordWrap/>
        <w:overflowPunct/>
        <w:topLinePunct w:val="0"/>
        <w:autoSpaceDE/>
        <w:autoSpaceDN/>
        <w:bidi w:val="0"/>
        <w:adjustRightInd/>
        <w:spacing w:line="360" w:lineRule="auto"/>
        <w:ind w:firstLine="460" w:firstLineChars="200"/>
        <w:jc w:val="left"/>
        <w:textAlignment w:val="auto"/>
        <w:rPr>
          <w:rFonts w:hint="eastAsia" w:ascii="新宋体" w:hAnsi="新宋体" w:eastAsia="新宋体" w:cs="新宋体"/>
          <w:color w:val="auto"/>
          <w:spacing w:val="10"/>
          <w:position w:val="13"/>
          <w:szCs w:val="21"/>
          <w:highlight w:val="none"/>
        </w:rPr>
      </w:pPr>
      <w:r>
        <w:rPr>
          <w:rFonts w:hint="eastAsia" w:ascii="新宋体" w:hAnsi="新宋体" w:eastAsia="新宋体" w:cs="新宋体"/>
          <w:color w:val="auto"/>
          <w:spacing w:val="10"/>
          <w:position w:val="13"/>
          <w:szCs w:val="21"/>
          <w:highlight w:val="none"/>
        </w:rPr>
        <w:t>4.</w:t>
      </w:r>
      <w:r>
        <w:rPr>
          <w:rFonts w:hint="eastAsia" w:ascii="新宋体" w:hAnsi="新宋体" w:eastAsia="新宋体" w:cs="新宋体"/>
          <w:color w:val="auto"/>
          <w:spacing w:val="8"/>
          <w:position w:val="13"/>
          <w:szCs w:val="21"/>
          <w:highlight w:val="none"/>
        </w:rPr>
        <w:t>承包人</w:t>
      </w:r>
      <w:r>
        <w:rPr>
          <w:rFonts w:hint="eastAsia" w:ascii="新宋体" w:hAnsi="新宋体" w:eastAsia="新宋体" w:cs="新宋体"/>
          <w:color w:val="auto"/>
          <w:spacing w:val="10"/>
          <w:position w:val="13"/>
          <w:szCs w:val="21"/>
          <w:highlight w:val="none"/>
        </w:rPr>
        <w:t>应遵守发包人学校管理制度，包括但不限于施工用水用电管理、安全文明施工管理、学校其他规章制度。</w:t>
      </w:r>
    </w:p>
    <w:p w14:paraId="131C7773">
      <w:pPr>
        <w:keepNext w:val="0"/>
        <w:keepLines w:val="0"/>
        <w:pageBreakBefore w:val="0"/>
        <w:widowControl w:val="0"/>
        <w:kinsoku/>
        <w:wordWrap/>
        <w:overflowPunct/>
        <w:topLinePunct w:val="0"/>
        <w:autoSpaceDE/>
        <w:autoSpaceDN/>
        <w:bidi w:val="0"/>
        <w:adjustRightInd/>
        <w:spacing w:line="360" w:lineRule="auto"/>
        <w:ind w:firstLine="460" w:firstLineChars="200"/>
        <w:jc w:val="left"/>
        <w:textAlignment w:val="auto"/>
        <w:rPr>
          <w:rFonts w:hint="eastAsia" w:ascii="新宋体" w:hAnsi="新宋体" w:eastAsia="新宋体" w:cs="新宋体"/>
          <w:color w:val="auto"/>
          <w:spacing w:val="10"/>
          <w:position w:val="13"/>
          <w:szCs w:val="21"/>
          <w:highlight w:val="none"/>
        </w:rPr>
      </w:pPr>
      <w:r>
        <w:rPr>
          <w:rFonts w:hint="eastAsia" w:ascii="新宋体" w:hAnsi="新宋体" w:eastAsia="新宋体" w:cs="新宋体"/>
          <w:color w:val="auto"/>
          <w:spacing w:val="10"/>
          <w:position w:val="13"/>
          <w:szCs w:val="21"/>
          <w:highlight w:val="none"/>
        </w:rPr>
        <w:t>5.承包人应遵守主体工程建设场地管理制度，与主体施工单位建立良好的配合工作，完成相关设施交接工作，做好已完工程的成品保护工作。</w:t>
      </w:r>
    </w:p>
    <w:p w14:paraId="7EE28C24">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288" w:name="_Toc30592"/>
      <w:bookmarkStart w:id="289" w:name="_Toc17995"/>
      <w:r>
        <w:rPr>
          <w:rFonts w:hint="eastAsia" w:ascii="新宋体" w:hAnsi="新宋体" w:eastAsia="新宋体" w:cs="新宋体"/>
          <w:b/>
          <w:bCs/>
          <w:color w:val="auto"/>
          <w:spacing w:val="7"/>
          <w:szCs w:val="21"/>
          <w:highlight w:val="none"/>
        </w:rPr>
        <w:t>八、词语含义</w:t>
      </w:r>
      <w:bookmarkEnd w:id="288"/>
      <w:bookmarkEnd w:id="289"/>
    </w:p>
    <w:p w14:paraId="2E8A07C0">
      <w:pPr>
        <w:keepNext w:val="0"/>
        <w:keepLines w:val="0"/>
        <w:pageBreakBefore w:val="0"/>
        <w:widowControl w:val="0"/>
        <w:kinsoku/>
        <w:wordWrap/>
        <w:overflowPunct/>
        <w:topLinePunct w:val="0"/>
        <w:autoSpaceDE/>
        <w:autoSpaceDN/>
        <w:bidi w:val="0"/>
        <w:adjustRightInd/>
        <w:spacing w:line="360" w:lineRule="auto"/>
        <w:ind w:firstLine="456" w:firstLineChars="200"/>
        <w:jc w:val="left"/>
        <w:textAlignment w:val="auto"/>
        <w:rPr>
          <w:rFonts w:hint="eastAsia" w:ascii="新宋体" w:hAnsi="新宋体" w:eastAsia="新宋体" w:cs="新宋体"/>
          <w:color w:val="auto"/>
          <w:spacing w:val="8"/>
          <w:szCs w:val="21"/>
          <w:highlight w:val="none"/>
        </w:rPr>
      </w:pPr>
      <w:r>
        <w:rPr>
          <w:rFonts w:hint="eastAsia" w:ascii="新宋体" w:hAnsi="新宋体" w:eastAsia="新宋体" w:cs="新宋体"/>
          <w:color w:val="auto"/>
          <w:spacing w:val="9"/>
          <w:szCs w:val="21"/>
          <w:highlight w:val="none"/>
        </w:rPr>
        <w:t>本协议书中词语含义与第二部分通用合同条款中赋予的含义相同。</w:t>
      </w:r>
    </w:p>
    <w:p w14:paraId="7B3F441F">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290" w:name="_Toc17982"/>
      <w:bookmarkStart w:id="291" w:name="_Toc12226"/>
      <w:bookmarkStart w:id="292" w:name="_Toc3509"/>
      <w:r>
        <w:rPr>
          <w:rFonts w:hint="eastAsia" w:ascii="新宋体" w:hAnsi="新宋体" w:eastAsia="新宋体" w:cs="新宋体"/>
          <w:b/>
          <w:bCs/>
          <w:color w:val="auto"/>
          <w:spacing w:val="7"/>
          <w:szCs w:val="21"/>
          <w:highlight w:val="none"/>
        </w:rPr>
        <w:t>九、签订时间</w:t>
      </w:r>
      <w:bookmarkEnd w:id="290"/>
      <w:bookmarkEnd w:id="291"/>
      <w:bookmarkEnd w:id="292"/>
    </w:p>
    <w:p w14:paraId="23D7C281">
      <w:pPr>
        <w:keepNext w:val="0"/>
        <w:keepLines w:val="0"/>
        <w:pageBreakBefore w:val="0"/>
        <w:widowControl w:val="0"/>
        <w:kinsoku/>
        <w:wordWrap/>
        <w:overflowPunct/>
        <w:topLinePunct w:val="0"/>
        <w:autoSpaceDE/>
        <w:autoSpaceDN/>
        <w:bidi w:val="0"/>
        <w:adjustRightInd/>
        <w:spacing w:line="360" w:lineRule="auto"/>
        <w:ind w:firstLine="428" w:firstLineChars="20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2"/>
          <w:szCs w:val="21"/>
          <w:highlight w:val="none"/>
        </w:rPr>
        <w:t>本合同于</w:t>
      </w:r>
      <w:r>
        <w:rPr>
          <w:rFonts w:hint="eastAsia" w:ascii="新宋体" w:hAnsi="新宋体" w:eastAsia="新宋体" w:cs="新宋体"/>
          <w:color w:val="auto"/>
          <w:spacing w:val="-99"/>
          <w:szCs w:val="21"/>
          <w:highlight w:val="none"/>
        </w:rPr>
        <w:t xml:space="preserve"> </w:t>
      </w:r>
      <w:r>
        <w:rPr>
          <w:rFonts w:hint="eastAsia" w:ascii="新宋体" w:hAnsi="新宋体" w:eastAsia="新宋体" w:cs="新宋体"/>
          <w:color w:val="auto"/>
          <w:spacing w:val="5"/>
          <w:szCs w:val="21"/>
          <w:highlight w:val="none"/>
          <w:u w:val="single"/>
        </w:rPr>
        <w:t xml:space="preserve">         </w:t>
      </w:r>
      <w:r>
        <w:rPr>
          <w:rFonts w:hint="eastAsia" w:ascii="新宋体" w:hAnsi="新宋体" w:eastAsia="新宋体" w:cs="新宋体"/>
          <w:color w:val="auto"/>
          <w:spacing w:val="-90"/>
          <w:szCs w:val="21"/>
          <w:highlight w:val="none"/>
        </w:rPr>
        <w:t xml:space="preserve"> </w:t>
      </w:r>
      <w:r>
        <w:rPr>
          <w:rFonts w:hint="eastAsia" w:ascii="新宋体" w:hAnsi="新宋体" w:eastAsia="新宋体" w:cs="新宋体"/>
          <w:color w:val="auto"/>
          <w:spacing w:val="2"/>
          <w:szCs w:val="21"/>
          <w:highlight w:val="none"/>
        </w:rPr>
        <w:t>年</w:t>
      </w:r>
      <w:r>
        <w:rPr>
          <w:rFonts w:hint="eastAsia" w:ascii="新宋体" w:hAnsi="新宋体" w:eastAsia="新宋体" w:cs="新宋体"/>
          <w:color w:val="auto"/>
          <w:spacing w:val="-98"/>
          <w:szCs w:val="21"/>
          <w:highlight w:val="none"/>
        </w:rPr>
        <w:t xml:space="preserve"> </w:t>
      </w:r>
      <w:r>
        <w:rPr>
          <w:rFonts w:hint="eastAsia" w:ascii="新宋体" w:hAnsi="新宋体" w:eastAsia="新宋体" w:cs="新宋体"/>
          <w:color w:val="auto"/>
          <w:spacing w:val="5"/>
          <w:szCs w:val="21"/>
          <w:highlight w:val="none"/>
          <w:u w:val="single"/>
        </w:rPr>
        <w:t xml:space="preserve">    </w:t>
      </w:r>
      <w:r>
        <w:rPr>
          <w:rFonts w:hint="eastAsia" w:ascii="新宋体" w:hAnsi="新宋体" w:eastAsia="新宋体" w:cs="新宋体"/>
          <w:color w:val="auto"/>
          <w:spacing w:val="-86"/>
          <w:szCs w:val="21"/>
          <w:highlight w:val="none"/>
        </w:rPr>
        <w:t xml:space="preserve"> </w:t>
      </w:r>
      <w:r>
        <w:rPr>
          <w:rFonts w:hint="eastAsia" w:ascii="新宋体" w:hAnsi="新宋体" w:eastAsia="新宋体" w:cs="新宋体"/>
          <w:color w:val="auto"/>
          <w:spacing w:val="2"/>
          <w:szCs w:val="21"/>
          <w:highlight w:val="none"/>
        </w:rPr>
        <w:t>月</w:t>
      </w:r>
      <w:r>
        <w:rPr>
          <w:rFonts w:hint="eastAsia" w:ascii="新宋体" w:hAnsi="新宋体" w:eastAsia="新宋体" w:cs="新宋体"/>
          <w:color w:val="auto"/>
          <w:spacing w:val="2"/>
          <w:szCs w:val="21"/>
          <w:highlight w:val="none"/>
          <w:u w:val="single"/>
        </w:rPr>
        <w:t xml:space="preserve">    </w:t>
      </w:r>
      <w:r>
        <w:rPr>
          <w:rFonts w:hint="eastAsia" w:ascii="新宋体" w:hAnsi="新宋体" w:eastAsia="新宋体" w:cs="新宋体"/>
          <w:color w:val="auto"/>
          <w:spacing w:val="-56"/>
          <w:szCs w:val="21"/>
          <w:highlight w:val="none"/>
        </w:rPr>
        <w:t xml:space="preserve"> </w:t>
      </w:r>
      <w:r>
        <w:rPr>
          <w:rFonts w:hint="eastAsia" w:ascii="新宋体" w:hAnsi="新宋体" w:eastAsia="新宋体" w:cs="新宋体"/>
          <w:color w:val="auto"/>
          <w:spacing w:val="2"/>
          <w:szCs w:val="21"/>
          <w:highlight w:val="none"/>
        </w:rPr>
        <w:t>日签订。</w:t>
      </w:r>
    </w:p>
    <w:p w14:paraId="486EA3BC">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293" w:name="_Toc28216"/>
      <w:bookmarkStart w:id="294" w:name="_Toc8158"/>
      <w:bookmarkStart w:id="295" w:name="_Toc2674"/>
      <w:r>
        <w:rPr>
          <w:rFonts w:hint="eastAsia" w:ascii="新宋体" w:hAnsi="新宋体" w:eastAsia="新宋体" w:cs="新宋体"/>
          <w:b/>
          <w:bCs/>
          <w:color w:val="auto"/>
          <w:spacing w:val="7"/>
          <w:szCs w:val="21"/>
          <w:highlight w:val="none"/>
        </w:rPr>
        <w:t>十、签订地点</w:t>
      </w:r>
      <w:bookmarkEnd w:id="293"/>
      <w:bookmarkEnd w:id="294"/>
      <w:bookmarkEnd w:id="295"/>
    </w:p>
    <w:p w14:paraId="3A8FB0DE">
      <w:pPr>
        <w:keepNext w:val="0"/>
        <w:keepLines w:val="0"/>
        <w:pageBreakBefore w:val="0"/>
        <w:widowControl w:val="0"/>
        <w:kinsoku/>
        <w:wordWrap/>
        <w:overflowPunct/>
        <w:topLinePunct w:val="0"/>
        <w:autoSpaceDE/>
        <w:autoSpaceDN/>
        <w:bidi w:val="0"/>
        <w:adjustRightInd/>
        <w:spacing w:line="360" w:lineRule="auto"/>
        <w:ind w:firstLine="440" w:firstLineChars="20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5"/>
          <w:szCs w:val="21"/>
          <w:highlight w:val="none"/>
        </w:rPr>
        <w:t>本合同在</w:t>
      </w:r>
      <w:r>
        <w:rPr>
          <w:rFonts w:hint="eastAsia" w:ascii="新宋体" w:hAnsi="新宋体" w:eastAsia="新宋体" w:cs="新宋体"/>
          <w:color w:val="auto"/>
          <w:spacing w:val="-97"/>
          <w:szCs w:val="21"/>
          <w:highlight w:val="none"/>
        </w:rPr>
        <w:t xml:space="preserve"> </w:t>
      </w:r>
      <w:r>
        <w:rPr>
          <w:rFonts w:hint="eastAsia" w:ascii="新宋体" w:hAnsi="新宋体" w:eastAsia="新宋体" w:cs="新宋体"/>
          <w:color w:val="auto"/>
          <w:spacing w:val="2"/>
          <w:szCs w:val="21"/>
          <w:highlight w:val="none"/>
          <w:u w:val="single"/>
        </w:rPr>
        <w:t xml:space="preserve">   </w:t>
      </w:r>
      <w:r>
        <w:rPr>
          <w:rFonts w:hint="eastAsia" w:ascii="新宋体" w:hAnsi="新宋体" w:eastAsia="新宋体" w:cs="新宋体"/>
          <w:color w:val="auto"/>
          <w:spacing w:val="2"/>
          <w:szCs w:val="21"/>
          <w:highlight w:val="none"/>
          <w:u w:val="single"/>
          <w:lang w:eastAsia="zh-CN"/>
        </w:rPr>
        <w:t>桂林市</w:t>
      </w:r>
      <w:r>
        <w:rPr>
          <w:rFonts w:hint="eastAsia" w:ascii="新宋体" w:hAnsi="新宋体" w:eastAsia="新宋体" w:cs="新宋体"/>
          <w:color w:val="auto"/>
          <w:spacing w:val="2"/>
          <w:szCs w:val="21"/>
          <w:highlight w:val="none"/>
          <w:u w:val="single"/>
        </w:rPr>
        <w:t xml:space="preserve">   </w:t>
      </w:r>
      <w:r>
        <w:rPr>
          <w:rFonts w:hint="eastAsia" w:ascii="新宋体" w:hAnsi="新宋体" w:eastAsia="新宋体" w:cs="新宋体"/>
          <w:color w:val="auto"/>
          <w:spacing w:val="-85"/>
          <w:szCs w:val="21"/>
          <w:highlight w:val="none"/>
        </w:rPr>
        <w:t xml:space="preserve"> </w:t>
      </w:r>
      <w:r>
        <w:rPr>
          <w:rFonts w:hint="eastAsia" w:ascii="新宋体" w:hAnsi="新宋体" w:eastAsia="新宋体" w:cs="新宋体"/>
          <w:color w:val="auto"/>
          <w:spacing w:val="5"/>
          <w:szCs w:val="21"/>
          <w:highlight w:val="none"/>
        </w:rPr>
        <w:t>签订。</w:t>
      </w:r>
    </w:p>
    <w:p w14:paraId="550C9DFD">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296" w:name="_Toc13571"/>
      <w:bookmarkStart w:id="297" w:name="_Toc14775"/>
      <w:bookmarkStart w:id="298" w:name="_Toc27372"/>
      <w:r>
        <w:rPr>
          <w:rFonts w:hint="eastAsia" w:ascii="新宋体" w:hAnsi="新宋体" w:eastAsia="新宋体" w:cs="新宋体"/>
          <w:b/>
          <w:bCs/>
          <w:color w:val="auto"/>
          <w:spacing w:val="7"/>
          <w:szCs w:val="21"/>
          <w:highlight w:val="none"/>
        </w:rPr>
        <w:t>十一、补充协议</w:t>
      </w:r>
      <w:bookmarkEnd w:id="296"/>
      <w:bookmarkEnd w:id="297"/>
      <w:bookmarkEnd w:id="298"/>
    </w:p>
    <w:p w14:paraId="201BE39B">
      <w:pPr>
        <w:keepNext w:val="0"/>
        <w:keepLines w:val="0"/>
        <w:pageBreakBefore w:val="0"/>
        <w:widowControl w:val="0"/>
        <w:kinsoku/>
        <w:wordWrap/>
        <w:overflowPunct/>
        <w:topLinePunct w:val="0"/>
        <w:autoSpaceDE/>
        <w:autoSpaceDN/>
        <w:bidi w:val="0"/>
        <w:adjustRightInd/>
        <w:spacing w:line="360" w:lineRule="auto"/>
        <w:ind w:firstLine="456" w:firstLineChars="20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9"/>
          <w:szCs w:val="21"/>
          <w:highlight w:val="none"/>
        </w:rPr>
        <w:t>合同未尽事宜，合同当事人另行签订补充协议，补充协议是合同的组成部分。</w:t>
      </w:r>
    </w:p>
    <w:p w14:paraId="33D41640">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299" w:name="_Toc19668"/>
      <w:bookmarkStart w:id="300" w:name="_Toc17459"/>
      <w:bookmarkStart w:id="301" w:name="_Toc141"/>
      <w:r>
        <w:rPr>
          <w:rFonts w:hint="eastAsia" w:ascii="新宋体" w:hAnsi="新宋体" w:eastAsia="新宋体" w:cs="新宋体"/>
          <w:b/>
          <w:bCs/>
          <w:color w:val="auto"/>
          <w:spacing w:val="7"/>
          <w:szCs w:val="21"/>
          <w:highlight w:val="none"/>
        </w:rPr>
        <w:t>十二、合同生效</w:t>
      </w:r>
      <w:bookmarkEnd w:id="299"/>
      <w:bookmarkEnd w:id="300"/>
      <w:bookmarkEnd w:id="301"/>
    </w:p>
    <w:p w14:paraId="2D869B3B">
      <w:pPr>
        <w:keepNext w:val="0"/>
        <w:keepLines w:val="0"/>
        <w:pageBreakBefore w:val="0"/>
        <w:widowControl w:val="0"/>
        <w:kinsoku/>
        <w:wordWrap/>
        <w:overflowPunct/>
        <w:topLinePunct w:val="0"/>
        <w:autoSpaceDE/>
        <w:autoSpaceDN/>
        <w:bidi w:val="0"/>
        <w:adjustRightInd/>
        <w:spacing w:line="360" w:lineRule="auto"/>
        <w:ind w:left="418"/>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5"/>
          <w:szCs w:val="21"/>
          <w:highlight w:val="none"/>
        </w:rPr>
        <w:t>本合同自</w:t>
      </w:r>
      <w:r>
        <w:rPr>
          <w:rFonts w:hint="eastAsia" w:ascii="新宋体" w:hAnsi="新宋体" w:eastAsia="新宋体" w:cs="新宋体"/>
          <w:color w:val="auto"/>
          <w:spacing w:val="-98"/>
          <w:szCs w:val="21"/>
          <w:highlight w:val="none"/>
        </w:rPr>
        <w:t xml:space="preserve"> </w:t>
      </w:r>
      <w:r>
        <w:rPr>
          <w:rFonts w:hint="eastAsia" w:ascii="新宋体" w:hAnsi="新宋体" w:eastAsia="新宋体" w:cs="新宋体"/>
          <w:color w:val="auto"/>
          <w:spacing w:val="2"/>
          <w:szCs w:val="21"/>
          <w:highlight w:val="none"/>
          <w:u w:val="single"/>
        </w:rPr>
        <w:t xml:space="preserve"> </w:t>
      </w:r>
      <w:r>
        <w:rPr>
          <w:rFonts w:hint="eastAsia" w:ascii="宋体" w:hAnsi="宋体" w:cs="宋体"/>
          <w:color w:val="auto"/>
          <w:highlight w:val="none"/>
          <w:u w:val="single"/>
          <w:lang w:eastAsia="zh-CN"/>
        </w:rPr>
        <w:t>双方签字盖章后</w:t>
      </w:r>
      <w:r>
        <w:rPr>
          <w:rFonts w:hint="eastAsia" w:ascii="新宋体" w:hAnsi="新宋体" w:eastAsia="新宋体" w:cs="新宋体"/>
          <w:color w:val="auto"/>
          <w:spacing w:val="2"/>
          <w:szCs w:val="21"/>
          <w:highlight w:val="none"/>
          <w:u w:val="single"/>
          <w:lang w:val="en-US" w:eastAsia="zh-CN"/>
        </w:rPr>
        <w:t xml:space="preserve"> </w:t>
      </w:r>
      <w:r>
        <w:rPr>
          <w:rFonts w:hint="eastAsia" w:ascii="新宋体" w:hAnsi="新宋体" w:eastAsia="新宋体" w:cs="新宋体"/>
          <w:color w:val="auto"/>
          <w:spacing w:val="2"/>
          <w:szCs w:val="21"/>
          <w:highlight w:val="none"/>
          <w:u w:val="single"/>
        </w:rPr>
        <w:t xml:space="preserve"> </w:t>
      </w:r>
      <w:r>
        <w:rPr>
          <w:rFonts w:hint="eastAsia" w:ascii="新宋体" w:hAnsi="新宋体" w:eastAsia="新宋体" w:cs="新宋体"/>
          <w:color w:val="auto"/>
          <w:spacing w:val="-85"/>
          <w:szCs w:val="21"/>
          <w:highlight w:val="none"/>
        </w:rPr>
        <w:t xml:space="preserve"> </w:t>
      </w:r>
      <w:r>
        <w:rPr>
          <w:rFonts w:hint="eastAsia" w:ascii="新宋体" w:hAnsi="新宋体" w:eastAsia="新宋体" w:cs="新宋体"/>
          <w:color w:val="auto"/>
          <w:spacing w:val="5"/>
          <w:szCs w:val="21"/>
          <w:highlight w:val="none"/>
        </w:rPr>
        <w:t>生效。</w:t>
      </w:r>
    </w:p>
    <w:p w14:paraId="3FFCE913">
      <w:pPr>
        <w:keepNext w:val="0"/>
        <w:keepLines w:val="0"/>
        <w:pageBreakBefore w:val="0"/>
        <w:widowControl w:val="0"/>
        <w:kinsoku/>
        <w:wordWrap/>
        <w:overflowPunct/>
        <w:topLinePunct w:val="0"/>
        <w:autoSpaceDE/>
        <w:autoSpaceDN/>
        <w:bidi w:val="0"/>
        <w:adjustRightInd/>
        <w:spacing w:line="360" w:lineRule="auto"/>
        <w:ind w:left="6"/>
        <w:jc w:val="left"/>
        <w:textAlignment w:val="auto"/>
        <w:outlineLvl w:val="1"/>
        <w:rPr>
          <w:rFonts w:hint="eastAsia" w:ascii="新宋体" w:hAnsi="新宋体" w:eastAsia="新宋体" w:cs="新宋体"/>
          <w:b/>
          <w:bCs/>
          <w:color w:val="auto"/>
          <w:spacing w:val="7"/>
          <w:szCs w:val="21"/>
          <w:highlight w:val="none"/>
        </w:rPr>
      </w:pPr>
      <w:bookmarkStart w:id="302" w:name="_Toc15519"/>
      <w:bookmarkStart w:id="303" w:name="_Toc19637"/>
      <w:bookmarkStart w:id="304" w:name="_Toc16489"/>
      <w:r>
        <w:rPr>
          <w:rFonts w:hint="eastAsia" w:ascii="新宋体" w:hAnsi="新宋体" w:eastAsia="新宋体" w:cs="新宋体"/>
          <w:b/>
          <w:bCs/>
          <w:color w:val="auto"/>
          <w:spacing w:val="7"/>
          <w:szCs w:val="21"/>
          <w:highlight w:val="none"/>
        </w:rPr>
        <w:t>十三、合同份数</w:t>
      </w:r>
      <w:bookmarkEnd w:id="302"/>
      <w:bookmarkEnd w:id="303"/>
      <w:bookmarkEnd w:id="304"/>
    </w:p>
    <w:p w14:paraId="0BB52735">
      <w:pPr>
        <w:keepNext w:val="0"/>
        <w:keepLines w:val="0"/>
        <w:pageBreakBefore w:val="0"/>
        <w:widowControl w:val="0"/>
        <w:kinsoku/>
        <w:wordWrap/>
        <w:overflowPunct/>
        <w:topLinePunct w:val="0"/>
        <w:autoSpaceDE/>
        <w:autoSpaceDN/>
        <w:bidi w:val="0"/>
        <w:adjustRightInd/>
        <w:spacing w:line="360" w:lineRule="auto"/>
        <w:ind w:firstLine="452" w:firstLineChars="200"/>
        <w:jc w:val="left"/>
        <w:textAlignment w:val="auto"/>
        <w:rPr>
          <w:rFonts w:hint="eastAsia" w:ascii="新宋体" w:hAnsi="新宋体" w:eastAsia="新宋体" w:cs="新宋体"/>
          <w:color w:val="auto"/>
          <w:spacing w:val="8"/>
          <w:position w:val="13"/>
          <w:szCs w:val="21"/>
          <w:highlight w:val="none"/>
        </w:rPr>
      </w:pPr>
      <w:r>
        <w:rPr>
          <w:rFonts w:hint="eastAsia" w:ascii="新宋体" w:hAnsi="新宋体" w:eastAsia="新宋体" w:cs="新宋体"/>
          <w:color w:val="auto"/>
          <w:spacing w:val="8"/>
          <w:position w:val="13"/>
          <w:szCs w:val="21"/>
          <w:highlight w:val="none"/>
          <w:lang w:eastAsia="zh-CN"/>
        </w:rPr>
        <w:t>本合同一式</w:t>
      </w:r>
      <w:r>
        <w:rPr>
          <w:rFonts w:hint="eastAsia" w:ascii="新宋体" w:hAnsi="新宋体" w:eastAsia="新宋体" w:cs="新宋体"/>
          <w:color w:val="auto"/>
          <w:spacing w:val="8"/>
          <w:position w:val="13"/>
          <w:szCs w:val="21"/>
          <w:highlight w:val="none"/>
          <w:u w:val="single"/>
          <w:lang w:eastAsia="zh-CN"/>
        </w:rPr>
        <w:t xml:space="preserve"> </w:t>
      </w:r>
      <w:r>
        <w:rPr>
          <w:rFonts w:hint="eastAsia" w:ascii="新宋体" w:hAnsi="新宋体" w:eastAsia="新宋体" w:cs="新宋体"/>
          <w:color w:val="auto"/>
          <w:spacing w:val="8"/>
          <w:position w:val="13"/>
          <w:szCs w:val="21"/>
          <w:highlight w:val="none"/>
          <w:u w:val="single"/>
          <w:lang w:val="en-US" w:eastAsia="zh-CN"/>
        </w:rPr>
        <w:t>玖</w:t>
      </w:r>
      <w:r>
        <w:rPr>
          <w:rFonts w:hint="eastAsia" w:ascii="新宋体" w:hAnsi="新宋体" w:eastAsia="新宋体" w:cs="新宋体"/>
          <w:color w:val="auto"/>
          <w:spacing w:val="8"/>
          <w:position w:val="13"/>
          <w:szCs w:val="21"/>
          <w:highlight w:val="none"/>
          <w:u w:val="single"/>
          <w:lang w:eastAsia="zh-CN"/>
        </w:rPr>
        <w:t xml:space="preserve"> </w:t>
      </w:r>
      <w:r>
        <w:rPr>
          <w:rFonts w:hint="eastAsia" w:ascii="新宋体" w:hAnsi="新宋体" w:eastAsia="新宋体" w:cs="新宋体"/>
          <w:color w:val="auto"/>
          <w:spacing w:val="8"/>
          <w:position w:val="13"/>
          <w:szCs w:val="21"/>
          <w:highlight w:val="none"/>
          <w:lang w:eastAsia="zh-CN"/>
        </w:rPr>
        <w:t>份，均具有同等法律效力，发包人执</w:t>
      </w:r>
      <w:r>
        <w:rPr>
          <w:rFonts w:hint="eastAsia" w:ascii="新宋体" w:hAnsi="新宋体" w:eastAsia="新宋体" w:cs="新宋体"/>
          <w:color w:val="auto"/>
          <w:spacing w:val="8"/>
          <w:position w:val="13"/>
          <w:szCs w:val="21"/>
          <w:highlight w:val="none"/>
          <w:u w:val="single"/>
          <w:lang w:eastAsia="zh-CN"/>
        </w:rPr>
        <w:t xml:space="preserve"> 伍 </w:t>
      </w:r>
      <w:r>
        <w:rPr>
          <w:rFonts w:hint="eastAsia" w:ascii="新宋体" w:hAnsi="新宋体" w:eastAsia="新宋体" w:cs="新宋体"/>
          <w:color w:val="auto"/>
          <w:spacing w:val="8"/>
          <w:position w:val="13"/>
          <w:szCs w:val="21"/>
          <w:highlight w:val="none"/>
          <w:lang w:eastAsia="zh-CN"/>
        </w:rPr>
        <w:t>份，承包人执</w:t>
      </w:r>
      <w:r>
        <w:rPr>
          <w:rFonts w:hint="eastAsia" w:ascii="新宋体" w:hAnsi="新宋体" w:eastAsia="新宋体" w:cs="新宋体"/>
          <w:color w:val="auto"/>
          <w:spacing w:val="8"/>
          <w:position w:val="13"/>
          <w:szCs w:val="21"/>
          <w:highlight w:val="none"/>
          <w:u w:val="single"/>
          <w:lang w:eastAsia="zh-CN"/>
        </w:rPr>
        <w:t xml:space="preserve"> 叁 </w:t>
      </w:r>
      <w:r>
        <w:rPr>
          <w:rFonts w:hint="eastAsia" w:ascii="新宋体" w:hAnsi="新宋体" w:eastAsia="新宋体" w:cs="新宋体"/>
          <w:color w:val="auto"/>
          <w:spacing w:val="8"/>
          <w:position w:val="13"/>
          <w:szCs w:val="21"/>
          <w:highlight w:val="none"/>
          <w:lang w:eastAsia="zh-CN"/>
        </w:rPr>
        <w:t>份，</w:t>
      </w:r>
      <w:r>
        <w:rPr>
          <w:rFonts w:hint="eastAsia" w:ascii="新宋体" w:hAnsi="新宋体" w:eastAsia="新宋体" w:cs="新宋体"/>
          <w:color w:val="auto"/>
          <w:spacing w:val="8"/>
          <w:position w:val="13"/>
          <w:szCs w:val="21"/>
          <w:highlight w:val="none"/>
        </w:rPr>
        <w:t>采购代理机构</w:t>
      </w:r>
      <w:r>
        <w:rPr>
          <w:rFonts w:hint="eastAsia" w:ascii="新宋体" w:hAnsi="新宋体" w:eastAsia="新宋体" w:cs="新宋体"/>
          <w:color w:val="auto"/>
          <w:spacing w:val="8"/>
          <w:position w:val="13"/>
          <w:szCs w:val="21"/>
          <w:highlight w:val="none"/>
          <w:u w:val="single"/>
          <w:lang w:val="en-US" w:eastAsia="zh-CN"/>
        </w:rPr>
        <w:t xml:space="preserve"> </w:t>
      </w:r>
      <w:r>
        <w:rPr>
          <w:rFonts w:hint="eastAsia" w:ascii="新宋体" w:hAnsi="新宋体" w:eastAsia="新宋体" w:cs="新宋体"/>
          <w:color w:val="auto"/>
          <w:spacing w:val="8"/>
          <w:position w:val="13"/>
          <w:szCs w:val="21"/>
          <w:highlight w:val="none"/>
          <w:u w:val="single"/>
        </w:rPr>
        <w:t>壹</w:t>
      </w:r>
      <w:r>
        <w:rPr>
          <w:rFonts w:hint="eastAsia" w:ascii="新宋体" w:hAnsi="新宋体" w:eastAsia="新宋体" w:cs="新宋体"/>
          <w:color w:val="auto"/>
          <w:spacing w:val="8"/>
          <w:position w:val="13"/>
          <w:szCs w:val="21"/>
          <w:highlight w:val="none"/>
          <w:u w:val="single"/>
          <w:lang w:val="en-US" w:eastAsia="zh-CN"/>
        </w:rPr>
        <w:t xml:space="preserve"> </w:t>
      </w:r>
      <w:r>
        <w:rPr>
          <w:rFonts w:hint="eastAsia" w:ascii="新宋体" w:hAnsi="新宋体" w:eastAsia="新宋体" w:cs="新宋体"/>
          <w:color w:val="auto"/>
          <w:spacing w:val="8"/>
          <w:position w:val="13"/>
          <w:szCs w:val="21"/>
          <w:highlight w:val="none"/>
        </w:rPr>
        <w:t>份。本合同自签订之日起2个工作日内，甲方应当将采购合同在广西壮族自治区财政厅指定的媒体上公告。</w:t>
      </w:r>
    </w:p>
    <w:p w14:paraId="21CBE40C">
      <w:pPr>
        <w:pStyle w:val="13"/>
        <w:keepNext w:val="0"/>
        <w:keepLines w:val="0"/>
        <w:pageBreakBefore w:val="0"/>
        <w:widowControl w:val="0"/>
        <w:kinsoku/>
        <w:wordWrap/>
        <w:overflowPunct/>
        <w:topLinePunct w:val="0"/>
        <w:autoSpaceDE/>
        <w:autoSpaceDN/>
        <w:bidi w:val="0"/>
        <w:adjustRightInd/>
        <w:spacing w:after="0" w:line="360" w:lineRule="auto"/>
        <w:ind w:left="420"/>
        <w:jc w:val="left"/>
        <w:textAlignment w:val="auto"/>
        <w:rPr>
          <w:rFonts w:hint="eastAsia" w:ascii="新宋体" w:hAnsi="新宋体" w:eastAsia="新宋体" w:cs="新宋体"/>
          <w:color w:val="auto"/>
          <w:spacing w:val="3"/>
          <w:position w:val="2"/>
          <w:szCs w:val="21"/>
          <w:highlight w:val="none"/>
        </w:rPr>
      </w:pPr>
    </w:p>
    <w:p w14:paraId="0BB7E3D2">
      <w:pPr>
        <w:pStyle w:val="13"/>
        <w:keepNext w:val="0"/>
        <w:keepLines w:val="0"/>
        <w:pageBreakBefore w:val="0"/>
        <w:widowControl w:val="0"/>
        <w:kinsoku/>
        <w:wordWrap/>
        <w:overflowPunct/>
        <w:topLinePunct w:val="0"/>
        <w:autoSpaceDE/>
        <w:autoSpaceDN/>
        <w:bidi w:val="0"/>
        <w:adjustRightInd/>
        <w:spacing w:after="0" w:line="360" w:lineRule="auto"/>
        <w:ind w:left="420"/>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3"/>
          <w:position w:val="2"/>
          <w:szCs w:val="21"/>
          <w:highlight w:val="none"/>
        </w:rPr>
        <w:t>发包人：</w:t>
      </w:r>
      <w:r>
        <w:rPr>
          <w:rFonts w:hint="eastAsia" w:ascii="新宋体" w:hAnsi="新宋体" w:eastAsia="新宋体" w:cs="新宋体"/>
          <w:color w:val="auto"/>
          <w:spacing w:val="3"/>
          <w:position w:val="2"/>
          <w:szCs w:val="21"/>
          <w:highlight w:val="none"/>
          <w:u w:val="single"/>
          <w:lang w:eastAsia="zh-CN"/>
        </w:rPr>
        <w:t>桂林航天工业学院</w:t>
      </w:r>
      <w:r>
        <w:rPr>
          <w:rFonts w:hint="eastAsia" w:ascii="新宋体" w:hAnsi="新宋体" w:eastAsia="新宋体" w:cs="新宋体"/>
          <w:color w:val="auto"/>
          <w:spacing w:val="17"/>
          <w:position w:val="2"/>
          <w:szCs w:val="21"/>
          <w:highlight w:val="none"/>
          <w:u w:val="single"/>
          <w:lang w:val="en-US" w:eastAsia="zh-CN"/>
        </w:rPr>
        <w:t xml:space="preserve"> </w:t>
      </w:r>
      <w:r>
        <w:rPr>
          <w:rFonts w:hint="eastAsia" w:ascii="新宋体" w:hAnsi="新宋体" w:eastAsia="新宋体" w:cs="新宋体"/>
          <w:color w:val="auto"/>
          <w:spacing w:val="3"/>
          <w:position w:val="2"/>
          <w:szCs w:val="21"/>
          <w:highlight w:val="none"/>
        </w:rPr>
        <w:t xml:space="preserve">(公章)             </w:t>
      </w:r>
      <w:r>
        <w:rPr>
          <w:rFonts w:hint="eastAsia" w:ascii="新宋体" w:hAnsi="新宋体" w:eastAsia="新宋体" w:cs="新宋体"/>
          <w:color w:val="auto"/>
          <w:spacing w:val="2"/>
          <w:position w:val="2"/>
          <w:szCs w:val="21"/>
          <w:highlight w:val="none"/>
        </w:rPr>
        <w:t>承包人：</w:t>
      </w:r>
      <w:r>
        <w:rPr>
          <w:rFonts w:hint="eastAsia" w:ascii="新宋体" w:hAnsi="新宋体" w:eastAsia="新宋体" w:cs="新宋体"/>
          <w:color w:val="auto"/>
          <w:spacing w:val="2"/>
          <w:position w:val="2"/>
          <w:szCs w:val="21"/>
          <w:highlight w:val="none"/>
          <w:u w:val="single"/>
          <w:lang w:val="en-US" w:eastAsia="zh-CN"/>
        </w:rPr>
        <w:t xml:space="preserve">                 </w:t>
      </w:r>
      <w:r>
        <w:rPr>
          <w:rFonts w:hint="eastAsia" w:ascii="新宋体" w:hAnsi="新宋体" w:eastAsia="新宋体" w:cs="新宋体"/>
          <w:color w:val="auto"/>
          <w:spacing w:val="2"/>
          <w:position w:val="2"/>
          <w:szCs w:val="21"/>
          <w:highlight w:val="none"/>
        </w:rPr>
        <w:t>(公章)</w:t>
      </w:r>
    </w:p>
    <w:p w14:paraId="6F8B6DCB">
      <w:pPr>
        <w:keepNext w:val="0"/>
        <w:keepLines w:val="0"/>
        <w:pageBreakBefore w:val="0"/>
        <w:widowControl w:val="0"/>
        <w:kinsoku/>
        <w:wordWrap/>
        <w:overflowPunct/>
        <w:topLinePunct w:val="0"/>
        <w:autoSpaceDE/>
        <w:autoSpaceDN/>
        <w:bidi w:val="0"/>
        <w:adjustRightInd/>
        <w:spacing w:line="360" w:lineRule="auto"/>
        <w:ind w:left="418"/>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8"/>
          <w:szCs w:val="21"/>
          <w:highlight w:val="none"/>
        </w:rPr>
        <w:t xml:space="preserve">法定代表人或其委托代理人：      </w:t>
      </w:r>
      <w:r>
        <w:rPr>
          <w:rFonts w:hint="eastAsia" w:ascii="新宋体" w:hAnsi="新宋体" w:eastAsia="新宋体" w:cs="新宋体"/>
          <w:color w:val="auto"/>
          <w:spacing w:val="7"/>
          <w:szCs w:val="21"/>
          <w:highlight w:val="none"/>
        </w:rPr>
        <w:t xml:space="preserve">          法定代表人或其委托代理人：</w:t>
      </w:r>
    </w:p>
    <w:p w14:paraId="56027EC5">
      <w:pPr>
        <w:keepNext w:val="0"/>
        <w:keepLines w:val="0"/>
        <w:pageBreakBefore w:val="0"/>
        <w:widowControl w:val="0"/>
        <w:kinsoku/>
        <w:wordWrap/>
        <w:overflowPunct/>
        <w:topLinePunct w:val="0"/>
        <w:autoSpaceDE/>
        <w:autoSpaceDN/>
        <w:bidi w:val="0"/>
        <w:adjustRightInd/>
        <w:spacing w:line="360" w:lineRule="auto"/>
        <w:ind w:left="427"/>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10"/>
          <w:szCs w:val="21"/>
          <w:highlight w:val="none"/>
        </w:rPr>
        <w:t>（签字</w:t>
      </w:r>
      <w:r>
        <w:rPr>
          <w:rFonts w:hint="eastAsia" w:ascii="新宋体" w:hAnsi="新宋体" w:eastAsia="新宋体" w:cs="新宋体"/>
          <w:color w:val="auto"/>
          <w:spacing w:val="-14"/>
          <w:szCs w:val="21"/>
          <w:highlight w:val="none"/>
        </w:rPr>
        <w:t>）</w:t>
      </w:r>
      <w:r>
        <w:rPr>
          <w:rFonts w:hint="eastAsia" w:ascii="新宋体" w:hAnsi="新宋体" w:eastAsia="新宋体" w:cs="新宋体"/>
          <w:color w:val="auto"/>
          <w:szCs w:val="21"/>
          <w:highlight w:val="none"/>
        </w:rPr>
        <w:t xml:space="preserve">                                          </w:t>
      </w:r>
      <w:r>
        <w:rPr>
          <w:rFonts w:hint="eastAsia" w:ascii="新宋体" w:hAnsi="新宋体" w:eastAsia="新宋体" w:cs="新宋体"/>
          <w:color w:val="auto"/>
          <w:spacing w:val="-14"/>
          <w:szCs w:val="21"/>
          <w:highlight w:val="none"/>
        </w:rPr>
        <w:t>（</w:t>
      </w:r>
      <w:r>
        <w:rPr>
          <w:rFonts w:hint="eastAsia" w:ascii="新宋体" w:hAnsi="新宋体" w:eastAsia="新宋体" w:cs="新宋体"/>
          <w:color w:val="auto"/>
          <w:spacing w:val="10"/>
          <w:szCs w:val="21"/>
          <w:highlight w:val="none"/>
        </w:rPr>
        <w:t>签字）</w:t>
      </w:r>
    </w:p>
    <w:p w14:paraId="03A9873E">
      <w:pPr>
        <w:keepNext w:val="0"/>
        <w:keepLines w:val="0"/>
        <w:pageBreakBefore w:val="0"/>
        <w:widowControl w:val="0"/>
        <w:kinsoku/>
        <w:wordWrap/>
        <w:overflowPunct/>
        <w:topLinePunct w:val="0"/>
        <w:autoSpaceDE/>
        <w:autoSpaceDN/>
        <w:bidi w:val="0"/>
        <w:adjustRightInd/>
        <w:spacing w:line="360" w:lineRule="auto"/>
        <w:ind w:left="420"/>
        <w:jc w:val="left"/>
        <w:textAlignment w:val="auto"/>
        <w:rPr>
          <w:rFonts w:hint="default" w:ascii="新宋体" w:hAnsi="新宋体" w:eastAsia="新宋体" w:cs="新宋体"/>
          <w:color w:val="auto"/>
          <w:szCs w:val="21"/>
          <w:highlight w:val="none"/>
          <w:lang w:val="en-US" w:eastAsia="zh-CN"/>
        </w:rPr>
      </w:pPr>
      <w:r>
        <w:rPr>
          <w:rFonts w:hint="eastAsia" w:ascii="新宋体" w:hAnsi="新宋体" w:eastAsia="新宋体" w:cs="新宋体"/>
          <w:color w:val="auto"/>
          <w:spacing w:val="4"/>
          <w:szCs w:val="21"/>
          <w:highlight w:val="none"/>
        </w:rPr>
        <w:t>组织机构代码：</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rPr>
        <w:t xml:space="preserve">               组织机构代码：</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u w:val="single"/>
          <w:lang w:val="en-US" w:eastAsia="zh-CN"/>
        </w:rPr>
        <w:t xml:space="preserve">                     </w:t>
      </w:r>
    </w:p>
    <w:p w14:paraId="42753EF3">
      <w:pPr>
        <w:keepNext w:val="0"/>
        <w:keepLines w:val="0"/>
        <w:pageBreakBefore w:val="0"/>
        <w:widowControl w:val="0"/>
        <w:kinsoku/>
        <w:wordWrap/>
        <w:overflowPunct/>
        <w:topLinePunct w:val="0"/>
        <w:autoSpaceDE/>
        <w:autoSpaceDN/>
        <w:bidi w:val="0"/>
        <w:adjustRightInd/>
        <w:spacing w:line="360" w:lineRule="auto"/>
        <w:ind w:left="6248" w:leftChars="198" w:hanging="5832" w:hangingChars="2700"/>
        <w:jc w:val="left"/>
        <w:textAlignment w:val="auto"/>
        <w:rPr>
          <w:rFonts w:hint="default" w:ascii="新宋体" w:hAnsi="新宋体" w:eastAsia="新宋体" w:cs="新宋体"/>
          <w:color w:val="auto"/>
          <w:szCs w:val="21"/>
          <w:highlight w:val="none"/>
          <w:u w:val="single"/>
          <w:lang w:val="en-US" w:eastAsia="zh-CN"/>
        </w:rPr>
      </w:pPr>
      <w:r>
        <w:rPr>
          <w:rFonts w:hint="eastAsia" w:ascii="新宋体" w:hAnsi="新宋体" w:eastAsia="新宋体" w:cs="新宋体"/>
          <w:color w:val="auto"/>
          <w:spacing w:val="3"/>
          <w:szCs w:val="21"/>
          <w:highlight w:val="none"/>
        </w:rPr>
        <w:t>地</w:t>
      </w:r>
      <w:r>
        <w:rPr>
          <w:rFonts w:hint="eastAsia" w:ascii="新宋体" w:hAnsi="新宋体" w:eastAsia="新宋体" w:cs="新宋体"/>
          <w:color w:val="auto"/>
          <w:spacing w:val="11"/>
          <w:szCs w:val="21"/>
          <w:highlight w:val="none"/>
        </w:rPr>
        <w:t xml:space="preserve">  </w:t>
      </w:r>
      <w:r>
        <w:rPr>
          <w:rFonts w:hint="eastAsia" w:ascii="新宋体" w:hAnsi="新宋体" w:eastAsia="新宋体" w:cs="新宋体"/>
          <w:color w:val="auto"/>
          <w:spacing w:val="3"/>
          <w:szCs w:val="21"/>
          <w:highlight w:val="none"/>
        </w:rPr>
        <w:t>址：</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u w:val="single"/>
          <w:lang w:eastAsia="zh-CN"/>
        </w:rPr>
        <w:t>桂林市金鸡路2号</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pacing w:val="5"/>
          <w:szCs w:val="21"/>
          <w:highlight w:val="none"/>
        </w:rPr>
        <w:t xml:space="preserve">               </w:t>
      </w:r>
      <w:r>
        <w:rPr>
          <w:rFonts w:hint="eastAsia" w:ascii="新宋体" w:hAnsi="新宋体" w:eastAsia="新宋体" w:cs="新宋体"/>
          <w:color w:val="auto"/>
          <w:spacing w:val="3"/>
          <w:szCs w:val="21"/>
          <w:highlight w:val="none"/>
        </w:rPr>
        <w:t>地</w:t>
      </w:r>
      <w:r>
        <w:rPr>
          <w:rFonts w:hint="eastAsia" w:ascii="新宋体" w:hAnsi="新宋体" w:eastAsia="新宋体" w:cs="新宋体"/>
          <w:color w:val="auto"/>
          <w:spacing w:val="16"/>
          <w:szCs w:val="21"/>
          <w:highlight w:val="none"/>
        </w:rPr>
        <w:t xml:space="preserve">  </w:t>
      </w:r>
      <w:r>
        <w:rPr>
          <w:rFonts w:hint="eastAsia" w:ascii="新宋体" w:hAnsi="新宋体" w:eastAsia="新宋体" w:cs="新宋体"/>
          <w:color w:val="auto"/>
          <w:spacing w:val="3"/>
          <w:szCs w:val="21"/>
          <w:highlight w:val="none"/>
        </w:rPr>
        <w:t>址：</w:t>
      </w:r>
      <w:r>
        <w:rPr>
          <w:rFonts w:hint="eastAsia" w:ascii="新宋体" w:hAnsi="新宋体" w:eastAsia="新宋体" w:cs="新宋体"/>
          <w:color w:val="auto"/>
          <w:szCs w:val="21"/>
          <w:highlight w:val="none"/>
          <w:u w:val="single"/>
          <w:lang w:val="en-US" w:eastAsia="zh-CN"/>
        </w:rPr>
        <w:t xml:space="preserve">                            </w:t>
      </w:r>
    </w:p>
    <w:p w14:paraId="43BABE11">
      <w:pPr>
        <w:keepNext w:val="0"/>
        <w:keepLines w:val="0"/>
        <w:pageBreakBefore w:val="0"/>
        <w:widowControl w:val="0"/>
        <w:kinsoku/>
        <w:wordWrap/>
        <w:overflowPunct/>
        <w:topLinePunct w:val="0"/>
        <w:autoSpaceDE/>
        <w:autoSpaceDN/>
        <w:bidi w:val="0"/>
        <w:adjustRightInd/>
        <w:spacing w:line="360" w:lineRule="auto"/>
        <w:ind w:left="432"/>
        <w:jc w:val="left"/>
        <w:textAlignment w:val="auto"/>
        <w:rPr>
          <w:rFonts w:hint="default" w:ascii="新宋体" w:hAnsi="新宋体" w:eastAsia="新宋体" w:cs="新宋体"/>
          <w:color w:val="auto"/>
          <w:szCs w:val="21"/>
          <w:highlight w:val="none"/>
          <w:lang w:val="en-US"/>
        </w:rPr>
      </w:pPr>
      <w:r>
        <w:rPr>
          <w:rFonts w:hint="eastAsia" w:ascii="新宋体" w:hAnsi="新宋体" w:eastAsia="新宋体" w:cs="新宋体"/>
          <w:color w:val="auto"/>
          <w:spacing w:val="5"/>
          <w:szCs w:val="21"/>
          <w:highlight w:val="none"/>
        </w:rPr>
        <w:t>邮政编码：</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u w:val="single"/>
          <w:lang w:eastAsia="zh-CN"/>
        </w:rPr>
        <w:t>541004</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u w:val="single"/>
          <w:lang w:val="en-US" w:eastAsia="zh-CN"/>
        </w:rPr>
        <w:t xml:space="preserve">   </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1"/>
          <w:szCs w:val="21"/>
          <w:highlight w:val="none"/>
        </w:rPr>
        <w:t xml:space="preserve">                </w:t>
      </w:r>
      <w:r>
        <w:rPr>
          <w:rFonts w:hint="eastAsia" w:ascii="新宋体" w:hAnsi="新宋体" w:eastAsia="新宋体" w:cs="新宋体"/>
          <w:color w:val="auto"/>
          <w:spacing w:val="5"/>
          <w:szCs w:val="21"/>
          <w:highlight w:val="none"/>
        </w:rPr>
        <w:t>邮政编码：</w:t>
      </w:r>
      <w:r>
        <w:rPr>
          <w:rFonts w:hint="eastAsia" w:ascii="新宋体" w:hAnsi="新宋体" w:eastAsia="新宋体" w:cs="新宋体"/>
          <w:color w:val="auto"/>
          <w:szCs w:val="21"/>
          <w:highlight w:val="none"/>
          <w:u w:val="single"/>
        </w:rPr>
        <w:t xml:space="preserve">                    </w:t>
      </w:r>
      <w:r>
        <w:rPr>
          <w:rFonts w:hint="default" w:ascii="新宋体" w:hAnsi="新宋体" w:eastAsia="新宋体" w:cs="新宋体"/>
          <w:color w:val="auto"/>
          <w:szCs w:val="21"/>
          <w:highlight w:val="none"/>
          <w:u w:val="single"/>
          <w:lang w:val="en-US"/>
        </w:rPr>
        <w:t xml:space="preserve">      </w:t>
      </w:r>
    </w:p>
    <w:p w14:paraId="42F7270A">
      <w:pPr>
        <w:keepNext w:val="0"/>
        <w:keepLines w:val="0"/>
        <w:pageBreakBefore w:val="0"/>
        <w:widowControl w:val="0"/>
        <w:kinsoku/>
        <w:wordWrap/>
        <w:overflowPunct/>
        <w:topLinePunct w:val="0"/>
        <w:autoSpaceDE/>
        <w:autoSpaceDN/>
        <w:bidi w:val="0"/>
        <w:adjustRightInd/>
        <w:spacing w:line="360" w:lineRule="auto"/>
        <w:ind w:left="418"/>
        <w:jc w:val="left"/>
        <w:textAlignment w:val="auto"/>
        <w:rPr>
          <w:rFonts w:hint="default" w:ascii="新宋体" w:hAnsi="新宋体" w:eastAsia="新宋体" w:cs="新宋体"/>
          <w:color w:val="auto"/>
          <w:szCs w:val="21"/>
          <w:highlight w:val="none"/>
          <w:lang w:val="en-US"/>
        </w:rPr>
      </w:pPr>
      <w:r>
        <w:rPr>
          <w:rFonts w:hint="eastAsia" w:ascii="新宋体" w:hAnsi="新宋体" w:eastAsia="新宋体" w:cs="新宋体"/>
          <w:color w:val="auto"/>
          <w:spacing w:val="4"/>
          <w:szCs w:val="21"/>
          <w:highlight w:val="none"/>
        </w:rPr>
        <w:t>法定代表人：</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rPr>
        <w:t xml:space="preserve">               法定代表人：</w:t>
      </w:r>
      <w:r>
        <w:rPr>
          <w:rFonts w:hint="eastAsia" w:ascii="新宋体" w:hAnsi="新宋体" w:eastAsia="新宋体" w:cs="新宋体"/>
          <w:color w:val="auto"/>
          <w:spacing w:val="4"/>
          <w:szCs w:val="21"/>
          <w:highlight w:val="none"/>
          <w:u w:val="single"/>
        </w:rPr>
        <w:t xml:space="preserve">                  </w:t>
      </w:r>
      <w:r>
        <w:rPr>
          <w:rFonts w:hint="default" w:ascii="新宋体" w:hAnsi="新宋体" w:eastAsia="新宋体" w:cs="新宋体"/>
          <w:color w:val="auto"/>
          <w:spacing w:val="4"/>
          <w:szCs w:val="21"/>
          <w:highlight w:val="none"/>
          <w:u w:val="single"/>
          <w:lang w:val="en-US"/>
        </w:rPr>
        <w:t xml:space="preserve">     </w:t>
      </w:r>
    </w:p>
    <w:p w14:paraId="374079D6">
      <w:pPr>
        <w:keepNext w:val="0"/>
        <w:keepLines w:val="0"/>
        <w:pageBreakBefore w:val="0"/>
        <w:widowControl w:val="0"/>
        <w:kinsoku/>
        <w:wordWrap/>
        <w:overflowPunct/>
        <w:topLinePunct w:val="0"/>
        <w:autoSpaceDE/>
        <w:autoSpaceDN/>
        <w:bidi w:val="0"/>
        <w:adjustRightInd/>
        <w:spacing w:line="360" w:lineRule="auto"/>
        <w:ind w:left="416"/>
        <w:jc w:val="left"/>
        <w:textAlignment w:val="auto"/>
        <w:rPr>
          <w:rFonts w:hint="default" w:ascii="新宋体" w:hAnsi="新宋体" w:eastAsia="新宋体" w:cs="新宋体"/>
          <w:color w:val="auto"/>
          <w:szCs w:val="21"/>
          <w:highlight w:val="none"/>
          <w:lang w:val="en-US"/>
        </w:rPr>
      </w:pPr>
      <w:r>
        <w:rPr>
          <w:rFonts w:hint="eastAsia" w:ascii="新宋体" w:hAnsi="新宋体" w:eastAsia="新宋体" w:cs="新宋体"/>
          <w:color w:val="auto"/>
          <w:spacing w:val="4"/>
          <w:szCs w:val="21"/>
          <w:highlight w:val="none"/>
        </w:rPr>
        <w:t>委托代理人：</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rPr>
        <w:t xml:space="preserve">               委托代理人：</w:t>
      </w:r>
      <w:r>
        <w:rPr>
          <w:rFonts w:hint="eastAsia" w:ascii="新宋体" w:hAnsi="新宋体" w:eastAsia="新宋体" w:cs="新宋体"/>
          <w:color w:val="auto"/>
          <w:spacing w:val="4"/>
          <w:szCs w:val="21"/>
          <w:highlight w:val="none"/>
          <w:u w:val="single"/>
        </w:rPr>
        <w:t xml:space="preserve">                  </w:t>
      </w:r>
      <w:r>
        <w:rPr>
          <w:rFonts w:hint="default" w:ascii="新宋体" w:hAnsi="新宋体" w:eastAsia="新宋体" w:cs="新宋体"/>
          <w:color w:val="auto"/>
          <w:spacing w:val="4"/>
          <w:szCs w:val="21"/>
          <w:highlight w:val="none"/>
          <w:u w:val="single"/>
          <w:lang w:val="en-US"/>
        </w:rPr>
        <w:t xml:space="preserve">     </w:t>
      </w:r>
    </w:p>
    <w:p w14:paraId="590B934D">
      <w:pPr>
        <w:keepNext w:val="0"/>
        <w:keepLines w:val="0"/>
        <w:pageBreakBefore w:val="0"/>
        <w:widowControl w:val="0"/>
        <w:kinsoku/>
        <w:wordWrap/>
        <w:overflowPunct/>
        <w:topLinePunct w:val="0"/>
        <w:autoSpaceDE/>
        <w:autoSpaceDN/>
        <w:bidi w:val="0"/>
        <w:adjustRightInd/>
        <w:spacing w:line="360" w:lineRule="auto"/>
        <w:ind w:left="441"/>
        <w:jc w:val="left"/>
        <w:textAlignment w:val="auto"/>
        <w:rPr>
          <w:rFonts w:hint="default" w:ascii="新宋体" w:hAnsi="新宋体" w:eastAsia="新宋体" w:cs="新宋体"/>
          <w:color w:val="auto"/>
          <w:szCs w:val="21"/>
          <w:highlight w:val="none"/>
          <w:lang w:val="en-US"/>
        </w:rPr>
      </w:pPr>
      <w:r>
        <w:rPr>
          <w:rFonts w:hint="eastAsia" w:ascii="新宋体" w:hAnsi="新宋体" w:eastAsia="新宋体" w:cs="新宋体"/>
          <w:color w:val="auto"/>
          <w:spacing w:val="-5"/>
          <w:szCs w:val="21"/>
          <w:highlight w:val="none"/>
        </w:rPr>
        <w:t>电话：</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rPr>
        <w:t xml:space="preserve">         </w:t>
      </w:r>
      <w:r>
        <w:rPr>
          <w:rFonts w:hint="eastAsia" w:ascii="新宋体" w:hAnsi="新宋体" w:eastAsia="新宋体" w:cs="新宋体"/>
          <w:color w:val="auto"/>
          <w:szCs w:val="21"/>
          <w:highlight w:val="none"/>
          <w:lang w:val="en-US" w:eastAsia="zh-CN"/>
        </w:rPr>
        <w:t xml:space="preserve"> </w:t>
      </w:r>
      <w:r>
        <w:rPr>
          <w:rFonts w:hint="eastAsia" w:ascii="新宋体" w:hAnsi="新宋体" w:eastAsia="新宋体" w:cs="新宋体"/>
          <w:color w:val="auto"/>
          <w:szCs w:val="21"/>
          <w:highlight w:val="none"/>
        </w:rPr>
        <w:t xml:space="preserve">      </w:t>
      </w:r>
      <w:r>
        <w:rPr>
          <w:rFonts w:hint="eastAsia" w:ascii="新宋体" w:hAnsi="新宋体" w:eastAsia="新宋体" w:cs="新宋体"/>
          <w:color w:val="auto"/>
          <w:spacing w:val="-5"/>
          <w:szCs w:val="21"/>
          <w:highlight w:val="none"/>
        </w:rPr>
        <w:t>电话：</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default" w:ascii="新宋体" w:hAnsi="新宋体" w:eastAsia="新宋体" w:cs="新宋体"/>
          <w:color w:val="auto"/>
          <w:szCs w:val="21"/>
          <w:highlight w:val="none"/>
          <w:u w:val="single"/>
          <w:lang w:val="en-US"/>
        </w:rPr>
        <w:t xml:space="preserve">     </w:t>
      </w:r>
    </w:p>
    <w:p w14:paraId="69D16982">
      <w:pPr>
        <w:keepNext w:val="0"/>
        <w:keepLines w:val="0"/>
        <w:pageBreakBefore w:val="0"/>
        <w:widowControl w:val="0"/>
        <w:kinsoku/>
        <w:wordWrap/>
        <w:overflowPunct/>
        <w:topLinePunct w:val="0"/>
        <w:autoSpaceDE/>
        <w:autoSpaceDN/>
        <w:bidi w:val="0"/>
        <w:adjustRightInd/>
        <w:spacing w:line="360" w:lineRule="auto"/>
        <w:ind w:left="415"/>
        <w:jc w:val="left"/>
        <w:textAlignment w:val="auto"/>
        <w:rPr>
          <w:rFonts w:hint="default" w:ascii="新宋体" w:hAnsi="新宋体" w:eastAsia="新宋体" w:cs="新宋体"/>
          <w:color w:val="auto"/>
          <w:szCs w:val="21"/>
          <w:highlight w:val="none"/>
          <w:lang w:val="en-US"/>
        </w:rPr>
      </w:pPr>
      <w:r>
        <w:rPr>
          <w:rFonts w:hint="eastAsia" w:ascii="新宋体" w:hAnsi="新宋体" w:eastAsia="新宋体" w:cs="新宋体"/>
          <w:color w:val="auto"/>
          <w:spacing w:val="3"/>
          <w:szCs w:val="21"/>
          <w:highlight w:val="none"/>
        </w:rPr>
        <w:t>传真：</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pacing w:val="5"/>
          <w:szCs w:val="21"/>
          <w:highlight w:val="none"/>
        </w:rPr>
        <w:t xml:space="preserve">              </w:t>
      </w:r>
      <w:r>
        <w:rPr>
          <w:rFonts w:hint="eastAsia" w:ascii="新宋体" w:hAnsi="新宋体" w:eastAsia="新宋体" w:cs="新宋体"/>
          <w:color w:val="auto"/>
          <w:spacing w:val="3"/>
          <w:szCs w:val="21"/>
          <w:highlight w:val="none"/>
        </w:rPr>
        <w:t>传真：</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default" w:ascii="新宋体" w:hAnsi="新宋体" w:eastAsia="新宋体" w:cs="新宋体"/>
          <w:color w:val="auto"/>
          <w:szCs w:val="21"/>
          <w:highlight w:val="none"/>
          <w:u w:val="single"/>
          <w:lang w:val="en-US"/>
        </w:rPr>
        <w:t xml:space="preserve">    </w:t>
      </w:r>
    </w:p>
    <w:p w14:paraId="532923D1">
      <w:pPr>
        <w:keepNext w:val="0"/>
        <w:keepLines w:val="0"/>
        <w:pageBreakBefore w:val="0"/>
        <w:widowControl w:val="0"/>
        <w:kinsoku/>
        <w:wordWrap/>
        <w:overflowPunct/>
        <w:topLinePunct w:val="0"/>
        <w:autoSpaceDE/>
        <w:autoSpaceDN/>
        <w:bidi w:val="0"/>
        <w:adjustRightInd/>
        <w:spacing w:line="360" w:lineRule="auto"/>
        <w:ind w:left="441"/>
        <w:jc w:val="left"/>
        <w:textAlignment w:val="auto"/>
        <w:rPr>
          <w:rFonts w:hint="default" w:ascii="新宋体" w:hAnsi="新宋体" w:eastAsia="新宋体" w:cs="新宋体"/>
          <w:color w:val="auto"/>
          <w:szCs w:val="21"/>
          <w:highlight w:val="none"/>
          <w:lang w:val="en-US"/>
        </w:rPr>
      </w:pPr>
      <w:r>
        <w:rPr>
          <w:rFonts w:hint="eastAsia" w:ascii="新宋体" w:hAnsi="新宋体" w:eastAsia="新宋体" w:cs="新宋体"/>
          <w:color w:val="auto"/>
          <w:spacing w:val="3"/>
          <w:szCs w:val="21"/>
          <w:highlight w:val="none"/>
        </w:rPr>
        <w:t>电子信箱：</w:t>
      </w:r>
      <w:r>
        <w:rPr>
          <w:rFonts w:hint="eastAsia" w:ascii="新宋体" w:hAnsi="新宋体" w:eastAsia="新宋体" w:cs="新宋体"/>
          <w:color w:val="auto"/>
          <w:spacing w:val="5"/>
          <w:szCs w:val="21"/>
          <w:highlight w:val="none"/>
          <w:u w:val="single"/>
        </w:rPr>
        <w:t xml:space="preserve">                  </w:t>
      </w:r>
      <w:r>
        <w:rPr>
          <w:rFonts w:hint="eastAsia" w:ascii="新宋体" w:hAnsi="新宋体" w:eastAsia="新宋体" w:cs="新宋体"/>
          <w:color w:val="auto"/>
          <w:szCs w:val="21"/>
          <w:highlight w:val="none"/>
        </w:rPr>
        <w:t xml:space="preserve">               </w:t>
      </w:r>
      <w:r>
        <w:rPr>
          <w:rFonts w:hint="eastAsia" w:ascii="新宋体" w:hAnsi="新宋体" w:eastAsia="新宋体" w:cs="新宋体"/>
          <w:color w:val="auto"/>
          <w:spacing w:val="3"/>
          <w:szCs w:val="21"/>
          <w:highlight w:val="none"/>
        </w:rPr>
        <w:t>电子信箱：</w:t>
      </w:r>
      <w:r>
        <w:rPr>
          <w:rFonts w:hint="eastAsia" w:ascii="新宋体" w:hAnsi="新宋体" w:eastAsia="新宋体" w:cs="新宋体"/>
          <w:color w:val="auto"/>
          <w:szCs w:val="21"/>
          <w:highlight w:val="none"/>
          <w:u w:val="single"/>
        </w:rPr>
        <w:t xml:space="preserve">                    </w:t>
      </w:r>
      <w:r>
        <w:rPr>
          <w:rFonts w:hint="default" w:ascii="新宋体" w:hAnsi="新宋体" w:eastAsia="新宋体" w:cs="新宋体"/>
          <w:color w:val="auto"/>
          <w:szCs w:val="21"/>
          <w:highlight w:val="none"/>
          <w:u w:val="single"/>
          <w:lang w:val="en-US"/>
        </w:rPr>
        <w:t xml:space="preserve">        </w:t>
      </w:r>
    </w:p>
    <w:p w14:paraId="4A077C19">
      <w:pPr>
        <w:keepNext w:val="0"/>
        <w:keepLines w:val="0"/>
        <w:pageBreakBefore w:val="0"/>
        <w:widowControl w:val="0"/>
        <w:kinsoku/>
        <w:wordWrap/>
        <w:overflowPunct/>
        <w:topLinePunct w:val="0"/>
        <w:autoSpaceDE/>
        <w:autoSpaceDN/>
        <w:bidi w:val="0"/>
        <w:adjustRightInd/>
        <w:spacing w:line="360" w:lineRule="auto"/>
        <w:ind w:left="418"/>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4"/>
          <w:szCs w:val="21"/>
          <w:highlight w:val="none"/>
        </w:rPr>
        <w:t>开户银行：</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4"/>
          <w:szCs w:val="21"/>
          <w:highlight w:val="none"/>
        </w:rPr>
        <w:t xml:space="preserve">              开户银行：</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pacing w:val="4"/>
          <w:szCs w:val="21"/>
          <w:highlight w:val="none"/>
          <w:u w:val="single"/>
        </w:rPr>
        <w:t xml:space="preserve"> </w:t>
      </w:r>
      <w:r>
        <w:rPr>
          <w:rFonts w:hint="eastAsia" w:ascii="新宋体" w:hAnsi="新宋体" w:eastAsia="新宋体" w:cs="新宋体"/>
          <w:color w:val="auto"/>
          <w:spacing w:val="3"/>
          <w:szCs w:val="21"/>
          <w:highlight w:val="none"/>
          <w:u w:val="single"/>
        </w:rPr>
        <w:t xml:space="preserve">  </w:t>
      </w:r>
    </w:p>
    <w:p w14:paraId="39C0DF5E">
      <w:pPr>
        <w:keepNext w:val="0"/>
        <w:keepLines w:val="0"/>
        <w:pageBreakBefore w:val="0"/>
        <w:widowControl w:val="0"/>
        <w:kinsoku/>
        <w:wordWrap/>
        <w:overflowPunct/>
        <w:topLinePunct w:val="0"/>
        <w:autoSpaceDE/>
        <w:autoSpaceDN/>
        <w:bidi w:val="0"/>
        <w:adjustRightInd/>
        <w:spacing w:line="360" w:lineRule="auto"/>
        <w:ind w:left="420"/>
        <w:jc w:val="left"/>
        <w:textAlignment w:val="auto"/>
        <w:rPr>
          <w:rFonts w:hint="default" w:ascii="新宋体" w:hAnsi="新宋体" w:eastAsia="新宋体" w:cs="新宋体"/>
          <w:color w:val="auto"/>
          <w:szCs w:val="21"/>
          <w:highlight w:val="none"/>
          <w:u w:val="single"/>
          <w:lang w:val="en-US"/>
        </w:rPr>
      </w:pPr>
      <w:r>
        <w:rPr>
          <w:rFonts w:hint="eastAsia" w:ascii="新宋体" w:hAnsi="新宋体" w:eastAsia="新宋体" w:cs="新宋体"/>
          <w:color w:val="auto"/>
          <w:szCs w:val="21"/>
          <w:highlight w:val="none"/>
        </w:rPr>
        <w:t>账</w:t>
      </w:r>
      <w:r>
        <w:rPr>
          <w:rFonts w:hint="eastAsia" w:ascii="新宋体" w:hAnsi="新宋体" w:eastAsia="新宋体" w:cs="新宋体"/>
          <w:color w:val="auto"/>
          <w:spacing w:val="18"/>
          <w:szCs w:val="21"/>
          <w:highlight w:val="none"/>
        </w:rPr>
        <w:t xml:space="preserve">  </w:t>
      </w:r>
      <w:r>
        <w:rPr>
          <w:rFonts w:hint="eastAsia" w:ascii="新宋体" w:hAnsi="新宋体" w:eastAsia="新宋体" w:cs="新宋体"/>
          <w:color w:val="auto"/>
          <w:szCs w:val="21"/>
          <w:highlight w:val="none"/>
        </w:rPr>
        <w:t>号：</w:t>
      </w:r>
      <w:r>
        <w:rPr>
          <w:rFonts w:hint="eastAsia" w:ascii="新宋体" w:hAnsi="新宋体" w:eastAsia="新宋体" w:cs="新宋体"/>
          <w:color w:val="auto"/>
          <w:spacing w:val="5"/>
          <w:szCs w:val="21"/>
          <w:highlight w:val="none"/>
          <w:u w:val="single"/>
        </w:rPr>
        <w:t xml:space="preserve">                 </w:t>
      </w:r>
      <w:r>
        <w:rPr>
          <w:rFonts w:hint="eastAsia" w:ascii="新宋体" w:hAnsi="新宋体" w:eastAsia="新宋体" w:cs="新宋体"/>
          <w:color w:val="auto"/>
          <w:spacing w:val="6"/>
          <w:szCs w:val="21"/>
          <w:highlight w:val="none"/>
        </w:rPr>
        <w:t xml:space="preserve">                </w:t>
      </w:r>
      <w:r>
        <w:rPr>
          <w:rFonts w:hint="eastAsia" w:ascii="新宋体" w:hAnsi="新宋体" w:eastAsia="新宋体" w:cs="新宋体"/>
          <w:color w:val="auto"/>
          <w:szCs w:val="21"/>
          <w:highlight w:val="none"/>
        </w:rPr>
        <w:t>账</w:t>
      </w:r>
      <w:r>
        <w:rPr>
          <w:rFonts w:hint="eastAsia" w:ascii="新宋体" w:hAnsi="新宋体" w:eastAsia="新宋体" w:cs="新宋体"/>
          <w:color w:val="auto"/>
          <w:spacing w:val="12"/>
          <w:szCs w:val="21"/>
          <w:highlight w:val="none"/>
        </w:rPr>
        <w:t xml:space="preserve">  </w:t>
      </w:r>
      <w:r>
        <w:rPr>
          <w:rFonts w:hint="eastAsia" w:ascii="新宋体" w:hAnsi="新宋体" w:eastAsia="新宋体" w:cs="新宋体"/>
          <w:color w:val="auto"/>
          <w:szCs w:val="21"/>
          <w:highlight w:val="none"/>
        </w:rPr>
        <w:t>号：</w:t>
      </w:r>
      <w:r>
        <w:rPr>
          <w:rFonts w:hint="eastAsia" w:ascii="新宋体" w:hAnsi="新宋体" w:eastAsia="新宋体" w:cs="新宋体"/>
          <w:color w:val="auto"/>
          <w:szCs w:val="21"/>
          <w:highlight w:val="none"/>
          <w:u w:val="single"/>
        </w:rPr>
        <w:t xml:space="preserve"> </w:t>
      </w:r>
      <w:r>
        <w:rPr>
          <w:rFonts w:hint="eastAsia" w:ascii="新宋体" w:hAnsi="新宋体" w:eastAsia="新宋体" w:cs="新宋体"/>
          <w:color w:val="auto"/>
          <w:szCs w:val="21"/>
          <w:highlight w:val="none"/>
          <w:u w:val="single"/>
          <w:lang w:val="en-US" w:eastAsia="zh-CN"/>
        </w:rPr>
        <w:t xml:space="preserve">                    </w:t>
      </w:r>
      <w:r>
        <w:rPr>
          <w:rFonts w:hint="eastAsia" w:ascii="新宋体" w:hAnsi="新宋体" w:eastAsia="新宋体" w:cs="新宋体"/>
          <w:color w:val="auto"/>
          <w:szCs w:val="21"/>
          <w:highlight w:val="none"/>
          <w:u w:val="single"/>
        </w:rPr>
        <w:t xml:space="preserve">       </w:t>
      </w:r>
      <w:r>
        <w:rPr>
          <w:rFonts w:hint="default" w:ascii="新宋体" w:hAnsi="新宋体" w:eastAsia="新宋体" w:cs="新宋体"/>
          <w:color w:val="auto"/>
          <w:szCs w:val="21"/>
          <w:highlight w:val="none"/>
          <w:u w:val="single"/>
          <w:lang w:val="en-US"/>
        </w:rPr>
        <w:t xml:space="preserve">  </w:t>
      </w:r>
    </w:p>
    <w:p w14:paraId="75BB0DC3">
      <w:pPr>
        <w:pStyle w:val="21"/>
        <w:rPr>
          <w:rFonts w:hint="default"/>
          <w:color w:val="auto"/>
          <w:highlight w:val="none"/>
          <w:lang w:val="en-US"/>
        </w:rPr>
      </w:pPr>
    </w:p>
    <w:p w14:paraId="1F00A185">
      <w:pPr>
        <w:pStyle w:val="13"/>
        <w:spacing w:before="132" w:line="379" w:lineRule="exact"/>
        <w:ind w:right="2"/>
        <w:jc w:val="left"/>
        <w:rPr>
          <w:rFonts w:hint="eastAsia" w:ascii="新宋体" w:hAnsi="新宋体" w:eastAsia="新宋体" w:cs="新宋体"/>
          <w:color w:val="auto"/>
          <w:spacing w:val="8"/>
          <w:szCs w:val="21"/>
          <w:highlight w:val="none"/>
        </w:rPr>
        <w:sectPr>
          <w:headerReference r:id="rId13" w:type="default"/>
          <w:footerReference r:id="rId14" w:type="default"/>
          <w:pgSz w:w="11906" w:h="16839"/>
          <w:pgMar w:top="1440" w:right="1080" w:bottom="1440" w:left="1080" w:header="0" w:footer="1069" w:gutter="0"/>
          <w:cols w:space="720" w:num="1"/>
        </w:sectPr>
      </w:pPr>
    </w:p>
    <w:p w14:paraId="59402725">
      <w:pPr>
        <w:keepNext w:val="0"/>
        <w:keepLines w:val="0"/>
        <w:pageBreakBefore w:val="0"/>
        <w:widowControl/>
        <w:kinsoku/>
        <w:wordWrap/>
        <w:overflowPunct/>
        <w:topLinePunct w:val="0"/>
        <w:autoSpaceDE/>
        <w:autoSpaceDN/>
        <w:bidi w:val="0"/>
        <w:adjustRightInd/>
        <w:snapToGrid/>
        <w:spacing w:line="360" w:lineRule="auto"/>
        <w:jc w:val="center"/>
        <w:textAlignment w:val="auto"/>
        <w:outlineLvl w:val="1"/>
        <w:rPr>
          <w:rFonts w:hint="eastAsia" w:ascii="Times New Roman" w:hAnsi="Times New Roman" w:eastAsia="宋体" w:cs="宋体"/>
          <w:b/>
          <w:bCs/>
          <w:color w:val="auto"/>
          <w:kern w:val="0"/>
          <w:sz w:val="32"/>
          <w:szCs w:val="32"/>
          <w:highlight w:val="none"/>
        </w:rPr>
      </w:pPr>
      <w:bookmarkStart w:id="305" w:name="_Toc27438"/>
      <w:bookmarkStart w:id="306" w:name="_Toc5127"/>
      <w:r>
        <w:rPr>
          <w:rFonts w:hint="eastAsia" w:ascii="Times New Roman" w:hAnsi="Times New Roman" w:eastAsia="宋体" w:cs="宋体"/>
          <w:b/>
          <w:bCs/>
          <w:color w:val="auto"/>
          <w:kern w:val="0"/>
          <w:sz w:val="32"/>
          <w:szCs w:val="32"/>
          <w:highlight w:val="none"/>
          <w:lang w:eastAsia="zh-CN"/>
        </w:rPr>
        <w:t>第二部分</w:t>
      </w:r>
      <w:r>
        <w:rPr>
          <w:rFonts w:hint="eastAsia" w:ascii="Times New Roman" w:hAnsi="Times New Roman" w:eastAsia="宋体" w:cs="宋体"/>
          <w:b/>
          <w:bCs/>
          <w:color w:val="auto"/>
          <w:kern w:val="0"/>
          <w:sz w:val="32"/>
          <w:szCs w:val="32"/>
          <w:highlight w:val="none"/>
        </w:rPr>
        <w:t xml:space="preserve"> 通用条款</w:t>
      </w:r>
      <w:bookmarkEnd w:id="305"/>
      <w:bookmarkEnd w:id="306"/>
    </w:p>
    <w:p w14:paraId="29556E16">
      <w:pPr>
        <w:pStyle w:val="5"/>
        <w:spacing w:before="120" w:after="120"/>
        <w:rPr>
          <w:rFonts w:hint="eastAsia" w:ascii="宋体" w:hAnsi="宋体" w:eastAsia="宋体" w:cs="宋体"/>
          <w:b w:val="0"/>
          <w:color w:val="auto"/>
          <w:sz w:val="21"/>
          <w:szCs w:val="21"/>
          <w:highlight w:val="none"/>
          <w:lang w:eastAsia="zh-CN"/>
        </w:rPr>
      </w:pPr>
      <w:bookmarkStart w:id="307" w:name="_Toc351203495"/>
      <w:r>
        <w:rPr>
          <w:rFonts w:hint="eastAsia" w:ascii="宋体" w:hAnsi="宋体" w:eastAsia="宋体" w:cs="宋体"/>
          <w:b w:val="0"/>
          <w:color w:val="auto"/>
          <w:sz w:val="21"/>
          <w:szCs w:val="21"/>
          <w:highlight w:val="none"/>
          <w:lang w:eastAsia="zh-CN"/>
        </w:rPr>
        <w:t>1.</w:t>
      </w:r>
      <w:bookmarkStart w:id="308" w:name="_Toc303538972"/>
      <w:bookmarkEnd w:id="308"/>
      <w:bookmarkStart w:id="309" w:name="_Toc303538975"/>
      <w:bookmarkEnd w:id="309"/>
      <w:bookmarkStart w:id="310" w:name="_Toc303538973"/>
      <w:bookmarkEnd w:id="310"/>
      <w:bookmarkStart w:id="311" w:name="_Toc303538976"/>
      <w:bookmarkEnd w:id="311"/>
      <w:bookmarkStart w:id="312" w:name="_Toc303538974"/>
      <w:bookmarkEnd w:id="312"/>
      <w:bookmarkStart w:id="313" w:name="_Toc296346528"/>
      <w:bookmarkStart w:id="314" w:name="_Toc296503027"/>
      <w:r>
        <w:rPr>
          <w:rFonts w:hint="eastAsia" w:ascii="宋体" w:hAnsi="宋体" w:eastAsia="宋体" w:cs="宋体"/>
          <w:b w:val="0"/>
          <w:color w:val="auto"/>
          <w:sz w:val="21"/>
          <w:szCs w:val="21"/>
          <w:highlight w:val="none"/>
          <w:lang w:eastAsia="zh-CN"/>
        </w:rPr>
        <w:t xml:space="preserve"> 一般约定</w:t>
      </w:r>
      <w:bookmarkEnd w:id="307"/>
      <w:bookmarkEnd w:id="313"/>
      <w:bookmarkEnd w:id="314"/>
    </w:p>
    <w:p w14:paraId="6F7E44E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15" w:name="_Toc296346529"/>
      <w:bookmarkStart w:id="316" w:name="_Toc337558728"/>
      <w:bookmarkStart w:id="317" w:name="_Toc296503028"/>
      <w:bookmarkStart w:id="318" w:name="_Toc351203496"/>
      <w:r>
        <w:rPr>
          <w:rFonts w:hint="eastAsia" w:ascii="宋体" w:hAnsi="宋体" w:eastAsia="宋体" w:cs="宋体"/>
          <w:b w:val="0"/>
          <w:color w:val="auto"/>
          <w:sz w:val="21"/>
          <w:szCs w:val="21"/>
          <w:highlight w:val="none"/>
          <w:lang w:eastAsia="zh-CN"/>
        </w:rPr>
        <w:t>1.1词语定义</w:t>
      </w:r>
      <w:bookmarkEnd w:id="315"/>
      <w:bookmarkEnd w:id="316"/>
      <w:bookmarkEnd w:id="317"/>
      <w:r>
        <w:rPr>
          <w:rFonts w:hint="eastAsia" w:ascii="宋体" w:hAnsi="宋体" w:eastAsia="宋体" w:cs="宋体"/>
          <w:b w:val="0"/>
          <w:color w:val="auto"/>
          <w:sz w:val="21"/>
          <w:szCs w:val="21"/>
          <w:highlight w:val="none"/>
          <w:lang w:eastAsia="zh-CN"/>
        </w:rPr>
        <w:t>与解释</w:t>
      </w:r>
      <w:bookmarkEnd w:id="318"/>
    </w:p>
    <w:p w14:paraId="2614DAC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合同协议书、通用合同条款、专用合同条款中的下列词语具有本款所赋予的含义：</w:t>
      </w:r>
    </w:p>
    <w:p w14:paraId="47F62928">
      <w:pP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    1.1.1 合同</w:t>
      </w:r>
    </w:p>
    <w:p w14:paraId="6973B02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1.1.1.1 合同：是指根据法律规定和合同当事人约定具有约束力的文件，构成合同的文件包括合同协议书、中标通知书（如果有）、投标函及其附录（如果有）、专用合同条款及其附件、通用合同条款、技术标准和要求、图纸、已标价工程量清单或预算书以及其他合同文件。</w:t>
      </w:r>
    </w:p>
    <w:p w14:paraId="45942B3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1.1.1.2 合同协议书：是指构成合同的由发包人和承包人共同签署的称为“合同协议书”的书面文件。</w:t>
      </w:r>
    </w:p>
    <w:p w14:paraId="65283C5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1.1.1.3 中标通知书：是指构成合同的由发包人通知承包人中标的书面文件。</w:t>
      </w:r>
    </w:p>
    <w:p w14:paraId="43DCB8D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1.1.1.4 投标函：是指构成合同的由承包人填写并签署的用于投标的称为“投标函”的文件。</w:t>
      </w:r>
    </w:p>
    <w:p w14:paraId="2081375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1.1.1.5 投标函附录：是指构成合同的附在投标函后的称为“投标函附录”的文件。</w:t>
      </w:r>
    </w:p>
    <w:p w14:paraId="0525554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1.1.1.6 技术标准和要求：是指构成合同的施工应当遵守的或指导施工的国家、行业或地方的技术标准和要求，以及合同约定的技术标准和要求。</w:t>
      </w:r>
    </w:p>
    <w:p w14:paraId="50C8510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1.1.1.7 图纸：是指构成合同的图纸，包括由发包人按照合同约定提供或经发包人批准的设计文件、施工图、鸟瞰图及模型等，以及在合同履行过程中形成的图纸文件。图纸应当按照法律规定审查合格。</w:t>
      </w:r>
    </w:p>
    <w:p w14:paraId="4CE113B9">
      <w:pPr>
        <w:spacing w:line="360" w:lineRule="auto"/>
        <w:ind w:firstLine="409" w:firstLineChars="195"/>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1.1.1.8 已标价工程量清单：是指构成合同的由承包人按照规定的格式和要求填写并标明价格的工程量清单，包括说明和表格。</w:t>
      </w:r>
    </w:p>
    <w:p w14:paraId="75068EFC">
      <w:pPr>
        <w:spacing w:line="360" w:lineRule="auto"/>
        <w:ind w:firstLine="409" w:firstLineChars="195"/>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1.1.1.9 预算书：是指构成合同的由承包人按照发包人规定的格式和要求编制的工程预算文件。</w:t>
      </w:r>
    </w:p>
    <w:p w14:paraId="373DC39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1.1.1.10 其他合同文件：是指经合同当事人约定的与工程施工有关的具有合同约束力的文件或书面协议。合同当事人可以在专用合同条款中进行约定。</w:t>
      </w:r>
    </w:p>
    <w:p w14:paraId="1DAAF693">
      <w:pP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    1.1.2 合同当事人及其他相关方</w:t>
      </w:r>
    </w:p>
    <w:p w14:paraId="4532588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1.1.2.1 合同当事人：是指发包人和（或）承包人。</w:t>
      </w:r>
    </w:p>
    <w:p w14:paraId="622DB6E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1.1.2.2 发包人：是指与承包人签订合同协议书的当事人及取得该当事人资格的合法继承人。</w:t>
      </w:r>
    </w:p>
    <w:p w14:paraId="7770502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1.1.2.3 承包人：是指与发包人签订合同协议书的，具有相应工程施工承包资质的当事人及取得该当事人资格的合法继承人。</w:t>
      </w:r>
    </w:p>
    <w:p w14:paraId="55D5BE2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1.1.2.4 监理人：是指在专用合同条款中指明的，受发包人委托按照法律规定进行工程监督管理的法人或其他组织。</w:t>
      </w:r>
    </w:p>
    <w:p w14:paraId="02F07D2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1.1.2.5 设计人：是指在专用合同条款中指明的，受发包人委托负责工程设计并具备相应工程设计资质的法人或其他组织。</w:t>
      </w:r>
    </w:p>
    <w:p w14:paraId="240CA1F7">
      <w:pPr>
        <w:spacing w:line="360" w:lineRule="auto"/>
        <w:ind w:firstLine="409" w:firstLineChars="195"/>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1.1.2.6 分包人：</w:t>
      </w:r>
      <w:bookmarkStart w:id="319" w:name="#go5"/>
      <w:bookmarkEnd w:id="319"/>
      <w:r>
        <w:rPr>
          <w:rFonts w:hint="eastAsia" w:ascii="宋体" w:hAnsi="宋体" w:eastAsia="宋体" w:cs="宋体"/>
          <w:color w:val="auto"/>
          <w:sz w:val="21"/>
          <w:szCs w:val="21"/>
          <w:highlight w:val="none"/>
          <w:lang w:eastAsia="zh-CN"/>
        </w:rPr>
        <w:t>是指按照法律规定和合同约定，分包部分工程或工作，并与承包人签订分包合同的具有相应资质的法人。</w:t>
      </w:r>
    </w:p>
    <w:p w14:paraId="291880A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1.1.2.7 发包人代表：是指由发包人任命并派驻施工现场在发包人授权范围内行使发包人权利的人。</w:t>
      </w:r>
    </w:p>
    <w:p w14:paraId="1E82483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1.1.2.8 项目经理：是指由承包人任命并派驻施工现场，在承包人授权范围内负责合同履行，且按照法律规定具有相应资格的项目负责人。</w:t>
      </w:r>
    </w:p>
    <w:p w14:paraId="70AAB7A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1.1.2.9 总监理工程师：是指由监理人任命并派驻施工现场进行工程监理的总负责人。</w:t>
      </w:r>
    </w:p>
    <w:p w14:paraId="37DC2A4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 工程和设备</w:t>
      </w:r>
    </w:p>
    <w:p w14:paraId="2A23E27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1.1.3.1 工程：是指与合同协议书中工程承包范围对应的永久工程和（或）临时工程。</w:t>
      </w:r>
    </w:p>
    <w:p w14:paraId="303388F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1.1.3.2 永久工程：是指按合同约定建造并移交给发包人的工程，包括工程设备。</w:t>
      </w:r>
    </w:p>
    <w:p w14:paraId="773B60E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1.1.3.3 临时工程：是指为完成合同约定的永久工程所修建的各类临时性工程，不包括施工设备。</w:t>
      </w:r>
    </w:p>
    <w:p w14:paraId="05AFE0F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1.1.3.4 单位工程：是指在合同协议书中指明的，具备独立施工条件并能形成独立使用功能的永久工程。</w:t>
      </w:r>
    </w:p>
    <w:p w14:paraId="22C3035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1.1.3.5 工程设备：是指构成永久工程的机电设备、金属结构设备、仪器及其他类似的设备和装置。</w:t>
      </w:r>
    </w:p>
    <w:p w14:paraId="6CA4585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1.1.3.6 施工设备：是指为完成合同约定的各项工作所需的设备、器具和其他物品，但不包括工程设备、临时工程和材料。</w:t>
      </w:r>
    </w:p>
    <w:p w14:paraId="05084E5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1.1.3.7 施工现场：是指用于工程施工的场所，以及在专用合同条款中指明作为施工场所组成部分的其他场所，包括永久占地和临时占地。</w:t>
      </w:r>
    </w:p>
    <w:p w14:paraId="0951C43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1.1.3.8临时设施：是指为完成合同约定的各项工作所服务的临时性生产和生活设施。</w:t>
      </w:r>
    </w:p>
    <w:p w14:paraId="3749955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1.1.3.9 永久占地：是指专用合同条款中指明为实施工程需永久占用的土地。</w:t>
      </w:r>
    </w:p>
    <w:p w14:paraId="20DF5F5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1.1.3.10 临时占地：是指专用合同条款中指明为实施工程需要临时占用的土地。</w:t>
      </w:r>
    </w:p>
    <w:p w14:paraId="707EE3C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1.1.4 日期和期限</w:t>
      </w:r>
    </w:p>
    <w:p w14:paraId="314BFB2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1.1.4.1 开工日期：包括计划开工日期和实际开工日期。计划开工日期是指合同协议书约定的开工日期；实际开工日期是指监理人按照第7.3.2项〔开工通知〕约定发出的符合法律规定的开工通知中载明的开工日期。</w:t>
      </w:r>
    </w:p>
    <w:p w14:paraId="054AF95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1.1.4.2 竣工日期：包括计划竣工日期和实际竣工日期。计划竣工日期是指合同协议书约定的竣工日期；实际竣工日期按照第13.2.3项〔竣工日期〕的约定确定。 </w:t>
      </w:r>
    </w:p>
    <w:p w14:paraId="0A7BAD27">
      <w:pPr>
        <w:spacing w:line="360" w:lineRule="auto"/>
        <w:ind w:firstLine="426" w:firstLineChars="203"/>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1.1.4.3 工期：是指在合同协议书约定的承包人完成工程所需的期限，包括按照合同约定所作的期限变更。</w:t>
      </w:r>
    </w:p>
    <w:p w14:paraId="1D116C4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1.1.4.4 缺陷责任期：是指承包人按照合同约定承担缺陷修复义务，且发包人预留质量保证金（已缴纳履约保证金的除外）的期限，自工程实际竣工日期起计算。</w:t>
      </w:r>
    </w:p>
    <w:p w14:paraId="763B7D3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1.1.4.5 保修期：是指承包人按照合同约定对工程承担保修责任的期限，从工程竣工验收合格之日起计算。</w:t>
      </w:r>
    </w:p>
    <w:p w14:paraId="71CDCBD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1.1.4.6 基准日期：招标发包的工程以投标截止日前28天的日期为基准日期，直接发包的工程以合同签订日前28天的日期为基准日期。</w:t>
      </w:r>
    </w:p>
    <w:p w14:paraId="654CEE4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1.1.4.7 天：除特别指明外，均指日历天。合同中按天计算时间的，开始当天不计入，从次日开始计算，期限最后一天的截止时间为当天24:00时。</w:t>
      </w:r>
    </w:p>
    <w:p w14:paraId="47E2B84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 合同价格和费用</w:t>
      </w:r>
    </w:p>
    <w:p w14:paraId="66550D9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1.1.5.1 签约合同价：是指发包人和承包人在合同协议书中确定的总金额，包括安全文明施工费、暂估价及暂列金额等。</w:t>
      </w:r>
    </w:p>
    <w:p w14:paraId="41A1C4A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1.1.5.2 合同价格：是指发包人用于支付承包人按照合同约定完成承包范围内全部工作的金额，包括合同履行过程中按合同约定发生的价格变化。</w:t>
      </w:r>
    </w:p>
    <w:p w14:paraId="31B83E2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1.1.5.3 费用：是指为履行合同所发生的或将要发生的所有必需的开支，包括管理费和应分摊的其他费用，但不包括利润。</w:t>
      </w:r>
    </w:p>
    <w:p w14:paraId="1C76EC9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1.1.5.4 暂估价：是指发包人在工程量清单或预算书中提供的用于支付必然发生但暂时不能确定价格的材料、工程设备的单价、专业工程以及服务工作的金额。</w:t>
      </w:r>
    </w:p>
    <w:p w14:paraId="368CCFD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1.1.5.5 暂列金额：是指发包人在工程量清单或预算书中暂定并包括在合同价格中的一笔款项，用于工程合同签订时尚未确定或者不可预见的所需材料、工程设备、服务的采购，施工中可能发生的工程变更、合同约定调整因素出现时的合同价格调整以及发生的索赔、现场签证确认等的费用。</w:t>
      </w:r>
    </w:p>
    <w:p w14:paraId="12B7AF6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1.1.5.6 计日工：是指合同履行过程中，承包人完成发包人提出的零星工作或需要采用计日工计价的变更工作时，按合同中约定的单价计价的一种方式。</w:t>
      </w:r>
    </w:p>
    <w:p w14:paraId="14F8579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1.1.5.7 质量保证金</w:t>
      </w:r>
      <w:bookmarkStart w:id="320" w:name="#go2"/>
      <w:bookmarkEnd w:id="320"/>
      <w:r>
        <w:rPr>
          <w:rFonts w:hint="eastAsia" w:ascii="宋体" w:hAnsi="宋体" w:eastAsia="宋体" w:cs="宋体"/>
          <w:color w:val="auto"/>
          <w:sz w:val="21"/>
          <w:szCs w:val="21"/>
          <w:highlight w:val="none"/>
          <w:lang w:eastAsia="zh-CN"/>
        </w:rPr>
        <w:t>：是指按照第15.3款〔质量保证金〕约定承包人用于保证其在缺陷责任期内履行缺陷修补义务的担保。</w:t>
      </w:r>
    </w:p>
    <w:p w14:paraId="511113C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1.1.5.8 总价项目：是指在现行国家、行业以及地方的计量规则中无工程量计算规则，在已标价工程量清单或预算书中以总价或以费率形式计算的项目。</w:t>
      </w:r>
    </w:p>
    <w:p w14:paraId="598C886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1.1.6 其他</w:t>
      </w:r>
    </w:p>
    <w:p w14:paraId="7000884C">
      <w:pPr>
        <w:spacing w:line="360" w:lineRule="auto"/>
        <w:ind w:firstLine="420" w:firstLineChars="200"/>
        <w:rPr>
          <w:rFonts w:hint="eastAsia" w:ascii="宋体" w:hAnsi="宋体" w:eastAsia="宋体" w:cs="宋体"/>
          <w:b w:val="0"/>
          <w:color w:val="auto"/>
          <w:sz w:val="21"/>
          <w:szCs w:val="21"/>
          <w:highlight w:val="none"/>
          <w:lang w:eastAsia="zh-CN"/>
        </w:rPr>
      </w:pPr>
      <w:r>
        <w:rPr>
          <w:rFonts w:hint="eastAsia" w:ascii="宋体" w:hAnsi="宋体" w:eastAsia="宋体" w:cs="宋体"/>
          <w:color w:val="auto"/>
          <w:sz w:val="21"/>
          <w:szCs w:val="21"/>
          <w:highlight w:val="none"/>
          <w:lang w:eastAsia="zh-CN"/>
        </w:rPr>
        <w:t>1.1.6.1 书面形式：是指合同文件、信函、电报、传真等可以有形地表现所载内容的形式。</w:t>
      </w:r>
    </w:p>
    <w:p w14:paraId="1B5F577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21" w:name="_Toc296503029"/>
      <w:bookmarkStart w:id="322" w:name="_Toc351203497"/>
      <w:bookmarkStart w:id="323" w:name="_Toc337558729"/>
      <w:bookmarkStart w:id="324" w:name="_Toc296346530"/>
      <w:r>
        <w:rPr>
          <w:rFonts w:hint="eastAsia" w:ascii="宋体" w:hAnsi="宋体" w:eastAsia="宋体" w:cs="宋体"/>
          <w:b w:val="0"/>
          <w:color w:val="auto"/>
          <w:sz w:val="21"/>
          <w:szCs w:val="21"/>
          <w:highlight w:val="none"/>
          <w:lang w:eastAsia="zh-CN"/>
        </w:rPr>
        <w:t>1.2语言文字</w:t>
      </w:r>
      <w:bookmarkEnd w:id="321"/>
      <w:bookmarkEnd w:id="322"/>
      <w:bookmarkEnd w:id="323"/>
      <w:bookmarkEnd w:id="324"/>
    </w:p>
    <w:p w14:paraId="2695BF3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合同以中国的汉语简体文字编写、解释和说明。合同当事人在专用合同条款中约定使用两种以上语言时，汉语为优先解释和说明合同的语言。</w:t>
      </w:r>
    </w:p>
    <w:p w14:paraId="37919683">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25" w:name="_Toc296503030"/>
      <w:bookmarkStart w:id="326" w:name="_Toc351203498"/>
      <w:bookmarkStart w:id="327" w:name="_Toc296346531"/>
      <w:bookmarkStart w:id="328" w:name="_Toc337558730"/>
      <w:r>
        <w:rPr>
          <w:rFonts w:hint="eastAsia" w:ascii="宋体" w:hAnsi="宋体" w:eastAsia="宋体" w:cs="宋体"/>
          <w:b w:val="0"/>
          <w:color w:val="auto"/>
          <w:sz w:val="21"/>
          <w:szCs w:val="21"/>
          <w:highlight w:val="none"/>
          <w:lang w:eastAsia="zh-CN"/>
        </w:rPr>
        <w:t>1.3法律</w:t>
      </w:r>
      <w:bookmarkEnd w:id="325"/>
      <w:bookmarkEnd w:id="326"/>
      <w:bookmarkEnd w:id="327"/>
      <w:bookmarkEnd w:id="328"/>
    </w:p>
    <w:p w14:paraId="63D6567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合同所称法律是指中华人民共和国法律、行政法规、部门规章，以及工程所在地的地方性法规、自治条例、单行条例和地方政府规章等。</w:t>
      </w:r>
    </w:p>
    <w:p w14:paraId="351190F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合同当事人可以在专用合同条款中约定合同适用的其他规范性文件。</w:t>
      </w:r>
    </w:p>
    <w:p w14:paraId="2B9234B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29" w:name="_Toc351203499"/>
      <w:r>
        <w:rPr>
          <w:rFonts w:hint="eastAsia" w:ascii="宋体" w:hAnsi="宋体" w:eastAsia="宋体" w:cs="宋体"/>
          <w:b w:val="0"/>
          <w:color w:val="auto"/>
          <w:sz w:val="21"/>
          <w:szCs w:val="21"/>
          <w:highlight w:val="none"/>
          <w:lang w:eastAsia="zh-CN"/>
        </w:rPr>
        <w:t>1.4 标准和规范</w:t>
      </w:r>
      <w:bookmarkEnd w:id="329"/>
    </w:p>
    <w:p w14:paraId="5607C3E2">
      <w:pPr>
        <w:spacing w:line="360" w:lineRule="auto"/>
        <w:ind w:firstLine="64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1.4.1 适用于工程的国家标准、行业标准、工程所在地的地方性标准，以及相应的规范、规程等，合同当事人有特别要求的，应在专用合同条款中约定。</w:t>
      </w:r>
    </w:p>
    <w:p w14:paraId="56B3863E">
      <w:pPr>
        <w:spacing w:line="360" w:lineRule="auto"/>
        <w:ind w:firstLine="64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1.4.2 发包人要求使用国外标准、规范的，发包人负责提供原文版本和中文译本，并在专用合同条款中约定提供标准规范的名称、份数和时间。</w:t>
      </w:r>
    </w:p>
    <w:p w14:paraId="1CB35107">
      <w:pPr>
        <w:spacing w:line="360" w:lineRule="auto"/>
        <w:ind w:firstLine="64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1.4.3 发包人对工程的技术标准、功能要求高于或严于现行国家、行业或地方标准的，应当在专用合同条款中予以明确。除专用合同条款另有约定外，应视为承包人在签订合同前已充分预见前述技术标准和功能要求的复杂程度，签约合同价中已包含由此产生的费用。</w:t>
      </w:r>
    </w:p>
    <w:p w14:paraId="66886931">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30" w:name="_Toc351203500"/>
      <w:r>
        <w:rPr>
          <w:rFonts w:hint="eastAsia" w:ascii="宋体" w:hAnsi="宋体" w:eastAsia="宋体" w:cs="宋体"/>
          <w:b w:val="0"/>
          <w:color w:val="auto"/>
          <w:sz w:val="21"/>
          <w:szCs w:val="21"/>
          <w:highlight w:val="none"/>
          <w:lang w:eastAsia="zh-CN"/>
        </w:rPr>
        <w:t>1</w:t>
      </w:r>
      <w:bookmarkStart w:id="331" w:name="_Toc296503031"/>
      <w:bookmarkStart w:id="332" w:name="_Toc337558731"/>
      <w:bookmarkStart w:id="333" w:name="_Toc296346532"/>
      <w:r>
        <w:rPr>
          <w:rFonts w:hint="eastAsia" w:ascii="宋体" w:hAnsi="宋体" w:eastAsia="宋体" w:cs="宋体"/>
          <w:b w:val="0"/>
          <w:color w:val="auto"/>
          <w:sz w:val="21"/>
          <w:szCs w:val="21"/>
          <w:highlight w:val="none"/>
          <w:lang w:eastAsia="zh-CN"/>
        </w:rPr>
        <w:t>.5 合同文件的优先顺序</w:t>
      </w:r>
      <w:bookmarkEnd w:id="330"/>
    </w:p>
    <w:bookmarkEnd w:id="331"/>
    <w:bookmarkEnd w:id="332"/>
    <w:bookmarkEnd w:id="333"/>
    <w:p w14:paraId="545F163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组成合同的各项文件应互相解释，互为说明。除专用合同条款另有约定外，解释合同文件的优先顺序如下：</w:t>
      </w:r>
    </w:p>
    <w:p w14:paraId="415471E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（1）合同协议书；</w:t>
      </w:r>
    </w:p>
    <w:p w14:paraId="158516D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（2）中标通知书（如果有）；</w:t>
      </w:r>
    </w:p>
    <w:p w14:paraId="6D8A0B5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（3）投标函及其附录（如果有）；</w:t>
      </w:r>
    </w:p>
    <w:p w14:paraId="434F91D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（4）专用合同条款及其附件；</w:t>
      </w:r>
    </w:p>
    <w:p w14:paraId="27A3683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（5）通用合同条款；</w:t>
      </w:r>
    </w:p>
    <w:p w14:paraId="36C6470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（6）技术标准和要求；</w:t>
      </w:r>
    </w:p>
    <w:p w14:paraId="340696F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（7）图纸；</w:t>
      </w:r>
    </w:p>
    <w:p w14:paraId="436252D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（8）已标价工程量清单或预算书；</w:t>
      </w:r>
    </w:p>
    <w:p w14:paraId="498A1AE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（9）其他合同文件。</w:t>
      </w:r>
    </w:p>
    <w:p w14:paraId="3B21BC82">
      <w:pPr>
        <w:spacing w:line="360" w:lineRule="auto"/>
        <w:ind w:firstLine="447" w:firstLineChars="213"/>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上述各项合同文件包括合同当事人就该项合同文件所作出的补充和修改，属于同一类内容的文件，应以最新签署的为准。</w:t>
      </w:r>
    </w:p>
    <w:p w14:paraId="0800410F">
      <w:pPr>
        <w:spacing w:line="360" w:lineRule="auto"/>
        <w:ind w:firstLine="447" w:firstLineChars="213"/>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在合同订立及履行过程中形成的与合同有关的文件均构成合同文件组成部分，并根据其性质确定优先解释顺序。</w:t>
      </w:r>
    </w:p>
    <w:p w14:paraId="3A876CB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34" w:name="_Toc351203501"/>
      <w:r>
        <w:rPr>
          <w:rFonts w:hint="eastAsia" w:ascii="宋体" w:hAnsi="宋体" w:eastAsia="宋体" w:cs="宋体"/>
          <w:b w:val="0"/>
          <w:color w:val="auto"/>
          <w:sz w:val="21"/>
          <w:szCs w:val="21"/>
          <w:highlight w:val="none"/>
          <w:lang w:eastAsia="zh-CN"/>
        </w:rPr>
        <w:t>1</w:t>
      </w:r>
      <w:bookmarkStart w:id="335" w:name="_Toc337558732"/>
      <w:bookmarkStart w:id="336" w:name="_Toc296346533"/>
      <w:bookmarkStart w:id="337" w:name="_Toc296503032"/>
      <w:r>
        <w:rPr>
          <w:rFonts w:hint="eastAsia" w:ascii="宋体" w:hAnsi="宋体" w:eastAsia="宋体" w:cs="宋体"/>
          <w:b w:val="0"/>
          <w:color w:val="auto"/>
          <w:sz w:val="21"/>
          <w:szCs w:val="21"/>
          <w:highlight w:val="none"/>
          <w:lang w:eastAsia="zh-CN"/>
        </w:rPr>
        <w:t>.6图纸和承包人文件</w:t>
      </w:r>
      <w:bookmarkEnd w:id="334"/>
    </w:p>
    <w:bookmarkEnd w:id="335"/>
    <w:bookmarkEnd w:id="336"/>
    <w:bookmarkEnd w:id="337"/>
    <w:p w14:paraId="56AF024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1.6.1 图纸的提供和交底</w:t>
      </w:r>
    </w:p>
    <w:p w14:paraId="4A0588E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按照专用合同条款约定的期限、数量和内容向承包人免费提供图纸，并组织承包人、监理人和设计人进行图纸会审和设计交底。发包人至迟不得晚于第7.3.2项〔开工通知〕载明的开工日期前14天向承包人提供图纸。</w:t>
      </w:r>
    </w:p>
    <w:p w14:paraId="5CC53CA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因发包人未按合同约定提供图纸导致承包人费用增加和（或）工期延误的，按照第7.5.1项〔因发包人原因导致工期延误〕约定办理。</w:t>
      </w:r>
    </w:p>
    <w:p w14:paraId="1537789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1.6.2 图纸的错误</w:t>
      </w:r>
    </w:p>
    <w:p w14:paraId="549D936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在收到发包人提供的图纸后，发现图纸存在差错、遗漏或缺陷的，应及时通知监理人。监理人接到该通知后，应附具相关意见并立即报送发包人，发包人应在收到监理人报送的通知后的合理时间内作出决定。合理时间是指发包人在收到监理人的报送通知后，尽其努力且不懈怠地完成图纸修改补充所需的时间。</w:t>
      </w:r>
    </w:p>
    <w:p w14:paraId="5F844FC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1.6.3 图纸的修改和补充</w:t>
      </w:r>
    </w:p>
    <w:p w14:paraId="13DD3AD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图纸需要修改和补充的，应经图纸原设计人及审批部门同意，并由监理人在工程或工程相应部位施工前将修改后的图纸或补充图纸提交给承包人，承包人应按修改或补充后的图纸施工。</w:t>
      </w:r>
    </w:p>
    <w:p w14:paraId="3F2BC87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1.6.4 承包人文件</w:t>
      </w:r>
    </w:p>
    <w:p w14:paraId="53048A1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承包人应按照专用合同条款的约定提供应当由其编制的与工程施工有关的文件，并按照专用合同条款约定的期限、数量和形式提交监理人，并由监理人报送发包人。</w:t>
      </w:r>
    </w:p>
    <w:p w14:paraId="271FA2A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监理人应在收到承包人文件后7天内审查完毕，监理人对承包人文件有异议的，承包人应予以修改，并重新报送监理人。监理人的审查并不减轻或免除承包人根据合同约定应当承担的责任。</w:t>
      </w:r>
    </w:p>
    <w:p w14:paraId="35D8BD8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1.6.5 图纸和承包人文件的保管</w:t>
      </w:r>
    </w:p>
    <w:p w14:paraId="31FE625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除专用合同条款另有约定外，承包人应在施工现场另外保存一套完整的图纸和承包人文件，供发包人、监理人及有关人员进行工程检查时使用。</w:t>
      </w:r>
    </w:p>
    <w:p w14:paraId="751A3F9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38" w:name="_Toc351203502"/>
      <w:r>
        <w:rPr>
          <w:rFonts w:hint="eastAsia" w:ascii="宋体" w:hAnsi="宋体" w:eastAsia="宋体" w:cs="宋体"/>
          <w:b w:val="0"/>
          <w:color w:val="auto"/>
          <w:sz w:val="21"/>
          <w:szCs w:val="21"/>
          <w:highlight w:val="none"/>
          <w:lang w:eastAsia="zh-CN"/>
        </w:rPr>
        <w:t>1</w:t>
      </w:r>
      <w:bookmarkStart w:id="339" w:name="_Toc296346534"/>
      <w:bookmarkStart w:id="340" w:name="_Toc296503033"/>
      <w:bookmarkStart w:id="341" w:name="_Toc337558733"/>
      <w:r>
        <w:rPr>
          <w:rFonts w:hint="eastAsia" w:ascii="宋体" w:hAnsi="宋体" w:eastAsia="宋体" w:cs="宋体"/>
          <w:b w:val="0"/>
          <w:color w:val="auto"/>
          <w:sz w:val="21"/>
          <w:szCs w:val="21"/>
          <w:highlight w:val="none"/>
          <w:lang w:eastAsia="zh-CN"/>
        </w:rPr>
        <w:t>.7联络</w:t>
      </w:r>
      <w:bookmarkEnd w:id="338"/>
    </w:p>
    <w:bookmarkEnd w:id="339"/>
    <w:bookmarkEnd w:id="340"/>
    <w:bookmarkEnd w:id="341"/>
    <w:p w14:paraId="2FF5D00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1.7.1 与合同有关的通知、批准、证明、证书、指示、指令、要求、请求、同意、意见、确定和决定等，均应采用书面形式，并应在合同约定的期限内送达接收人和送达地点。</w:t>
      </w:r>
    </w:p>
    <w:p w14:paraId="201638D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1.7.2 发包人和承包人应在专用合同条款中约定各自的送达接收人和送达地点。任何一方合同当事人指定的接收人或送达地点发生变动的，应提前3天以书面形式通知对方。</w:t>
      </w:r>
    </w:p>
    <w:p w14:paraId="5C089B6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1.7.3 发包人和承包人应当及时签收另一方送达至送达地点和指定接收人的来往信函。拒不签收的，由此增加的费用和（或）延误的工期由拒绝接收一方承担。</w:t>
      </w:r>
    </w:p>
    <w:p w14:paraId="2CABC44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42" w:name="_Toc351203503"/>
      <w:r>
        <w:rPr>
          <w:rFonts w:hint="eastAsia" w:ascii="宋体" w:hAnsi="宋体" w:eastAsia="宋体" w:cs="宋体"/>
          <w:b w:val="0"/>
          <w:color w:val="auto"/>
          <w:sz w:val="21"/>
          <w:szCs w:val="21"/>
          <w:highlight w:val="none"/>
          <w:lang w:eastAsia="zh-CN"/>
        </w:rPr>
        <w:t>1</w:t>
      </w:r>
      <w:bookmarkStart w:id="343" w:name="_Toc337558734"/>
      <w:bookmarkStart w:id="344" w:name="_Toc296346536"/>
      <w:bookmarkStart w:id="345" w:name="_Toc296503035"/>
      <w:r>
        <w:rPr>
          <w:rFonts w:hint="eastAsia" w:ascii="宋体" w:hAnsi="宋体" w:eastAsia="宋体" w:cs="宋体"/>
          <w:b w:val="0"/>
          <w:color w:val="auto"/>
          <w:sz w:val="21"/>
          <w:szCs w:val="21"/>
          <w:highlight w:val="none"/>
          <w:lang w:eastAsia="zh-CN"/>
        </w:rPr>
        <w:t>.8严禁贿赂</w:t>
      </w:r>
      <w:bookmarkEnd w:id="342"/>
    </w:p>
    <w:bookmarkEnd w:id="343"/>
    <w:bookmarkEnd w:id="344"/>
    <w:bookmarkEnd w:id="345"/>
    <w:p w14:paraId="568FCA4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合同当事人不得以贿赂或变相贿赂的方式，谋取非法利益或损害对方权益。因一方合同当事人的贿赂造成对方损失的，应赔偿损失，并承担相应的法律责任。</w:t>
      </w:r>
    </w:p>
    <w:p w14:paraId="5F7B58C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承包人不得与监理人或发包人聘请的第三方串通损害发包人利益。未经发包人书面同意，承包人不得为监理人提供合同约定以外的通讯设备、交通工具及其他任何形式的利益，不得向监理人支付报酬。</w:t>
      </w:r>
    </w:p>
    <w:p w14:paraId="2AA37799">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46" w:name="_Toc351203504"/>
      <w:r>
        <w:rPr>
          <w:rFonts w:hint="eastAsia" w:ascii="宋体" w:hAnsi="宋体" w:eastAsia="宋体" w:cs="宋体"/>
          <w:b w:val="0"/>
          <w:color w:val="auto"/>
          <w:sz w:val="21"/>
          <w:szCs w:val="21"/>
          <w:highlight w:val="none"/>
          <w:lang w:eastAsia="zh-CN"/>
        </w:rPr>
        <w:t>1</w:t>
      </w:r>
      <w:bookmarkStart w:id="347" w:name="_Toc296503036"/>
      <w:bookmarkStart w:id="348" w:name="_Toc296346537"/>
      <w:bookmarkStart w:id="349" w:name="_Toc337558735"/>
      <w:r>
        <w:rPr>
          <w:rFonts w:hint="eastAsia" w:ascii="宋体" w:hAnsi="宋体" w:eastAsia="宋体" w:cs="宋体"/>
          <w:b w:val="0"/>
          <w:color w:val="auto"/>
          <w:sz w:val="21"/>
          <w:szCs w:val="21"/>
          <w:highlight w:val="none"/>
          <w:lang w:eastAsia="zh-CN"/>
        </w:rPr>
        <w:t>.9化石、文物</w:t>
      </w:r>
      <w:bookmarkEnd w:id="346"/>
    </w:p>
    <w:bookmarkEnd w:id="347"/>
    <w:bookmarkEnd w:id="348"/>
    <w:bookmarkEnd w:id="349"/>
    <w:p w14:paraId="5CF576C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施工现场发掘的所有文物、古迹以及具有地质研究或考古价值的其他遗迹、化石、钱币或物品属于国家所有。一旦发现上述文物，承包人应采取合理有效的保护措施，防止任何人员移动或损坏上述物品，并立即报告有关政府行政管理部门，同时通知监理人。</w:t>
      </w:r>
    </w:p>
    <w:p w14:paraId="22BF2B7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发包人、监理人和承包人应按有关政府行政管理部门要求采取妥善的保护措施，由此增加的费用和（或）延误的工期由发包人承担。</w:t>
      </w:r>
    </w:p>
    <w:p w14:paraId="21FBD3D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承包人发现文物后不及时报告或隐瞒不报，致使文物丢失或损坏的，应赔偿损失，并承担相应的法律责任。</w:t>
      </w:r>
    </w:p>
    <w:p w14:paraId="461B21D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50" w:name="_Toc351203505"/>
      <w:r>
        <w:rPr>
          <w:rFonts w:hint="eastAsia" w:ascii="宋体" w:hAnsi="宋体" w:eastAsia="宋体" w:cs="宋体"/>
          <w:b w:val="0"/>
          <w:color w:val="auto"/>
          <w:sz w:val="21"/>
          <w:szCs w:val="21"/>
          <w:highlight w:val="none"/>
          <w:lang w:eastAsia="zh-CN"/>
        </w:rPr>
        <w:t>1</w:t>
      </w:r>
      <w:bookmarkStart w:id="351" w:name="_Toc337558736"/>
      <w:r>
        <w:rPr>
          <w:rFonts w:hint="eastAsia" w:ascii="宋体" w:hAnsi="宋体" w:eastAsia="宋体" w:cs="宋体"/>
          <w:b w:val="0"/>
          <w:color w:val="auto"/>
          <w:sz w:val="21"/>
          <w:szCs w:val="21"/>
          <w:highlight w:val="none"/>
          <w:lang w:eastAsia="zh-CN"/>
        </w:rPr>
        <w:t>.10交通运输</w:t>
      </w:r>
      <w:bookmarkEnd w:id="350"/>
    </w:p>
    <w:bookmarkEnd w:id="351"/>
    <w:p w14:paraId="3581CDF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1.10.1 出入现场的权利</w:t>
      </w:r>
    </w:p>
    <w:p w14:paraId="3543FDA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应根据施工需要，负责取得出入施工现场所需的批准手续和全部权利，以及取得因施工所需修建道路、桥梁以及其他基础设施的权利，并承担相关手续费用和建设费用。承包人应协助发包人办理修建场内外道路、桥梁以及其他基础设施的手续。</w:t>
      </w:r>
    </w:p>
    <w:p w14:paraId="12626E9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承包人应在订立合同前查勘施工现场，并根据工程规模及技术参数合理预见工程施工所需的进出施工现场的方式、手段、路径等。因承包人未合理预见所增加的费用和（或）延误的工期由承包人承担。</w:t>
      </w:r>
    </w:p>
    <w:p w14:paraId="5BB2937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1.10.2 场外交通</w:t>
      </w:r>
    </w:p>
    <w:p w14:paraId="748DB28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提供场外交通设施的技术参数和具体条件，承包人应遵守有关交通法规，严格按照道路和桥梁的限制荷载行驶，执行有关道路限速、限行、禁止超载的规定，并配合交通管理部门的监督和检查。场外交通设施无法满足工程施工需要的，由发包人负责完善并承担相关费用。</w:t>
      </w:r>
    </w:p>
    <w:p w14:paraId="222C724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1.10.3场内交通</w:t>
      </w:r>
    </w:p>
    <w:p w14:paraId="608840E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提供场内交通设施的技术参数和具体条件，并应按照专用合同条款的约定向承包人免费提供满足工程施工所需的场内道路和交通设施。因承包人原因造成上述道路或交通设施损坏的，承包人负责修复并承担由此增加的费用。</w:t>
      </w:r>
    </w:p>
    <w:p w14:paraId="27F2548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发包人按照合同约定提供的场内道路和交通设施外，承包人负责修建、维修、养护和管理施工所需的其他场内临时道路和交通设施。发包人和监理人可以为实现合同目的使用承包人修建的场内临时道路和交通设施。</w:t>
      </w:r>
    </w:p>
    <w:p w14:paraId="7E75A9B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场外交通和场内交通的边界由合同当事人在专用合同条款中约定。</w:t>
      </w:r>
    </w:p>
    <w:p w14:paraId="6D76FD2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1.10.4 超大件和超重件的运输</w:t>
      </w:r>
    </w:p>
    <w:p w14:paraId="52397A3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由承包人负责运输的超大件或超重件，应由承包人负责向交通管理部门办理申请手续，发包人给予协助。运输超大件或超重件所需的道路和桥梁临时加固改造费用和其他有关费用，由承包人承担，但专用合同条款另有约定除外。</w:t>
      </w:r>
    </w:p>
    <w:p w14:paraId="7413A8F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1.10.5 道路和桥梁的损坏责任</w:t>
      </w:r>
    </w:p>
    <w:p w14:paraId="398C7A5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因承包人运输造成施工场地内外公共道路和桥梁损坏的，由承包人承担修复损坏的全部费用和可能引起的赔偿。</w:t>
      </w:r>
    </w:p>
    <w:p w14:paraId="38CFA79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1.10.6 水路和航空运输</w:t>
      </w:r>
    </w:p>
    <w:p w14:paraId="27E71DD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本款前述各项的内容适用于水路运输和航空运输，其中“道路”一词的涵义包括河道、航线、船闸、机场、码头、堤防以及水路或航空运输中其他相似结构物；“车辆”一词的涵义包括船舶和飞机等。</w:t>
      </w:r>
    </w:p>
    <w:p w14:paraId="50031E43">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52" w:name="_Toc351203506"/>
      <w:r>
        <w:rPr>
          <w:rFonts w:hint="eastAsia" w:ascii="宋体" w:hAnsi="宋体" w:eastAsia="宋体" w:cs="宋体"/>
          <w:b w:val="0"/>
          <w:color w:val="auto"/>
          <w:sz w:val="21"/>
          <w:szCs w:val="21"/>
          <w:highlight w:val="none"/>
          <w:lang w:eastAsia="zh-CN"/>
        </w:rPr>
        <w:t>1</w:t>
      </w:r>
      <w:bookmarkStart w:id="353" w:name="_Toc337558737"/>
      <w:bookmarkStart w:id="354" w:name="_Toc296503037"/>
      <w:bookmarkStart w:id="355" w:name="_Toc296346538"/>
      <w:r>
        <w:rPr>
          <w:rFonts w:hint="eastAsia" w:ascii="宋体" w:hAnsi="宋体" w:eastAsia="宋体" w:cs="宋体"/>
          <w:b w:val="0"/>
          <w:color w:val="auto"/>
          <w:sz w:val="21"/>
          <w:szCs w:val="21"/>
          <w:highlight w:val="none"/>
          <w:lang w:eastAsia="zh-CN"/>
        </w:rPr>
        <w:t>.11知识产权</w:t>
      </w:r>
      <w:bookmarkEnd w:id="352"/>
      <w:r>
        <w:rPr>
          <w:rFonts w:hint="eastAsia" w:ascii="宋体" w:hAnsi="宋体" w:eastAsia="宋体" w:cs="宋体"/>
          <w:b w:val="0"/>
          <w:color w:val="auto"/>
          <w:sz w:val="21"/>
          <w:szCs w:val="21"/>
          <w:highlight w:val="none"/>
          <w:lang w:eastAsia="zh-CN"/>
        </w:rPr>
        <w:t xml:space="preserve"> </w:t>
      </w:r>
      <w:bookmarkEnd w:id="353"/>
    </w:p>
    <w:bookmarkEnd w:id="354"/>
    <w:bookmarkEnd w:id="355"/>
    <w:p w14:paraId="6ACD8B3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1.11.1 除专用合同条款另有约定外，发包人提供给承包人的图纸、发包人为实施工程自行编制或委托编制的技术规范以及反映发包人要求的或其他类似性质的文件的著作权属于发包人，承包人可以为实现合同目的而复制、使用此类文件，但不能用于与合同无关的其他事项。未经发包人书面同意，承包人不得为了合同以外的目的而复制、使用上述文件或将之提供给任何第三方。</w:t>
      </w:r>
    </w:p>
    <w:p w14:paraId="6F3DCFC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1.11.2 除专用合同条款另有约定外，承包人为实施工程所编制的文件，除署名权以外的著作权属于发包人，承包人可因实施工程的运行、调试、维修、改造等目的而复制、使用此类文件，但不能用于与合同无关的其他事项。未经发包人书面同意，承包人不得为了合同以外的目的而复制、使用上述文件或将之提供给任何第三方。</w:t>
      </w:r>
    </w:p>
    <w:p w14:paraId="71812A4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1.11.3 合同当事人保证在履行合同过程中不侵犯对方及第三方的知识产权。承包人在使用材料、施工设备、工程设备或采用施工工艺时，因侵犯他人的专利权或其他知识产权所引起的责任，由承包人承担；因发包人提供的材料、施工设备、工程设备或施工工艺导致侵权的，由发包人承担责任。</w:t>
      </w:r>
    </w:p>
    <w:p w14:paraId="263168A6">
      <w:pP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    1.11.4 除专用合同条款另有约定外，承包人在合同签订前和签订时已确定采用的专利、专有技术、技术秘密的使用费已包含在签约合同价中。</w:t>
      </w:r>
    </w:p>
    <w:p w14:paraId="58C27F5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56" w:name="_Toc351203507"/>
      <w:r>
        <w:rPr>
          <w:rFonts w:hint="eastAsia" w:ascii="宋体" w:hAnsi="宋体" w:eastAsia="宋体" w:cs="宋体"/>
          <w:b w:val="0"/>
          <w:color w:val="auto"/>
          <w:sz w:val="21"/>
          <w:szCs w:val="21"/>
          <w:highlight w:val="none"/>
          <w:lang w:eastAsia="zh-CN"/>
        </w:rPr>
        <w:t>1</w:t>
      </w:r>
      <w:bookmarkStart w:id="357" w:name="_Toc337558738"/>
      <w:r>
        <w:rPr>
          <w:rFonts w:hint="eastAsia" w:ascii="宋体" w:hAnsi="宋体" w:eastAsia="宋体" w:cs="宋体"/>
          <w:b w:val="0"/>
          <w:color w:val="auto"/>
          <w:sz w:val="21"/>
          <w:szCs w:val="21"/>
          <w:highlight w:val="none"/>
          <w:lang w:eastAsia="zh-CN"/>
        </w:rPr>
        <w:t>.12保密</w:t>
      </w:r>
      <w:bookmarkEnd w:id="356"/>
    </w:p>
    <w:bookmarkEnd w:id="357"/>
    <w:p w14:paraId="6B80382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除法律规定或合同另有约定外，未经发包人同意，承包人不得将发包人提供的图纸、文件以及声明需要保密的资料信息等商业秘密泄露给第三方。</w:t>
      </w:r>
    </w:p>
    <w:p w14:paraId="1495B71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除法律规定或合同另有约定外，未经承包人同意，发包人不得将承包人提供的技术秘密及声明需要保密的资料信息等商业秘密泄露给第三方。</w:t>
      </w:r>
    </w:p>
    <w:p w14:paraId="033FDF3F">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58" w:name="_Toc351203508"/>
      <w:r>
        <w:rPr>
          <w:rFonts w:hint="eastAsia" w:ascii="宋体" w:hAnsi="宋体" w:eastAsia="宋体" w:cs="宋体"/>
          <w:b w:val="0"/>
          <w:color w:val="auto"/>
          <w:sz w:val="21"/>
          <w:szCs w:val="21"/>
          <w:highlight w:val="none"/>
          <w:lang w:eastAsia="zh-CN"/>
        </w:rPr>
        <w:t>1.13工程量清单错误的修正</w:t>
      </w:r>
      <w:bookmarkEnd w:id="358"/>
    </w:p>
    <w:p w14:paraId="3B44DD8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除专用合同条款另有约定外，发包人提供的工程量清单，应被认为是准确的和完整的。出现下列情形之一时，发包人应予以修正，并相应调整合同价格：</w:t>
      </w:r>
    </w:p>
    <w:p w14:paraId="30907FA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（1）工程量清单存在缺项、漏项的；</w:t>
      </w:r>
    </w:p>
    <w:p w14:paraId="6E8FD71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（2）工程量清单偏差超出专用合同条款约定的工程量偏差范围的；</w:t>
      </w:r>
    </w:p>
    <w:p w14:paraId="515FD5D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（3）未按照国家现行计量规范强制性规定计量的。</w:t>
      </w:r>
    </w:p>
    <w:p w14:paraId="15D15D7F">
      <w:pPr>
        <w:pStyle w:val="5"/>
        <w:spacing w:before="120" w:after="120"/>
        <w:rPr>
          <w:rFonts w:hint="eastAsia" w:ascii="宋体" w:hAnsi="宋体" w:eastAsia="宋体" w:cs="宋体"/>
          <w:b w:val="0"/>
          <w:color w:val="auto"/>
          <w:sz w:val="21"/>
          <w:szCs w:val="21"/>
          <w:highlight w:val="none"/>
          <w:lang w:eastAsia="zh-CN"/>
        </w:rPr>
      </w:pPr>
      <w:bookmarkStart w:id="359" w:name="_Toc351203509"/>
      <w:r>
        <w:rPr>
          <w:rFonts w:hint="eastAsia" w:ascii="宋体" w:hAnsi="宋体" w:eastAsia="宋体" w:cs="宋体"/>
          <w:b w:val="0"/>
          <w:color w:val="auto"/>
          <w:sz w:val="21"/>
          <w:szCs w:val="21"/>
          <w:highlight w:val="none"/>
          <w:lang w:eastAsia="zh-CN"/>
        </w:rPr>
        <w:t>2</w:t>
      </w:r>
      <w:bookmarkStart w:id="360" w:name="_Toc337558739"/>
      <w:bookmarkStart w:id="361" w:name="_Toc296346539"/>
      <w:bookmarkStart w:id="362" w:name="_Toc296503038"/>
      <w:r>
        <w:rPr>
          <w:rFonts w:hint="eastAsia" w:ascii="宋体" w:hAnsi="宋体" w:eastAsia="宋体" w:cs="宋体"/>
          <w:b w:val="0"/>
          <w:color w:val="auto"/>
          <w:sz w:val="21"/>
          <w:szCs w:val="21"/>
          <w:highlight w:val="none"/>
          <w:lang w:eastAsia="zh-CN"/>
        </w:rPr>
        <w:t>. 发包人</w:t>
      </w:r>
      <w:bookmarkEnd w:id="359"/>
    </w:p>
    <w:bookmarkEnd w:id="360"/>
    <w:bookmarkEnd w:id="361"/>
    <w:bookmarkEnd w:id="362"/>
    <w:p w14:paraId="039474D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63" w:name="_Toc351203510"/>
      <w:r>
        <w:rPr>
          <w:rFonts w:hint="eastAsia" w:ascii="宋体" w:hAnsi="宋体" w:eastAsia="宋体" w:cs="宋体"/>
          <w:b w:val="0"/>
          <w:color w:val="auto"/>
          <w:sz w:val="21"/>
          <w:szCs w:val="21"/>
          <w:highlight w:val="none"/>
          <w:lang w:eastAsia="zh-CN"/>
        </w:rPr>
        <w:t>2</w:t>
      </w:r>
      <w:bookmarkStart w:id="364" w:name="_Toc296346540"/>
      <w:bookmarkStart w:id="365" w:name="_Toc337558740"/>
      <w:bookmarkStart w:id="366" w:name="_Toc296503039"/>
      <w:r>
        <w:rPr>
          <w:rFonts w:hint="eastAsia" w:ascii="宋体" w:hAnsi="宋体" w:eastAsia="宋体" w:cs="宋体"/>
          <w:b w:val="0"/>
          <w:color w:val="auto"/>
          <w:sz w:val="21"/>
          <w:szCs w:val="21"/>
          <w:highlight w:val="none"/>
          <w:lang w:eastAsia="zh-CN"/>
        </w:rPr>
        <w:t>.1 许可或批准</w:t>
      </w:r>
      <w:bookmarkEnd w:id="363"/>
    </w:p>
    <w:p w14:paraId="6A406A5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遵守法律，并办理法律规定由其办理的许可、批准或备案，包括但不限于建设用地规划许可证、建设工程规划许可证、建设工程施工许可证、施工所需临时用水、临时用电、中断道路交通、临时占用土地等许可和批准。发包人应协助承包人办理法律规定的有关施工证件和批件。</w:t>
      </w:r>
    </w:p>
    <w:p w14:paraId="7F59E90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因发包人原因未能及时办理完毕前述许可、批准或备案，由发包人承担由此增加的费用和（或）延误的工期，并支付承包人合理的利润。</w:t>
      </w:r>
    </w:p>
    <w:p w14:paraId="3B47483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67" w:name="_Toc351203511"/>
      <w:r>
        <w:rPr>
          <w:rFonts w:hint="eastAsia" w:ascii="宋体" w:hAnsi="宋体" w:eastAsia="宋体" w:cs="宋体"/>
          <w:b w:val="0"/>
          <w:color w:val="auto"/>
          <w:sz w:val="21"/>
          <w:szCs w:val="21"/>
          <w:highlight w:val="none"/>
          <w:lang w:eastAsia="zh-CN"/>
        </w:rPr>
        <w:t>2.2 发包人代表</w:t>
      </w:r>
      <w:bookmarkEnd w:id="367"/>
    </w:p>
    <w:p w14:paraId="2AF7B02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在专用合同条款中明确其派驻施工现场的发包人代表的姓名、职务、联系方式及授权范围等事项。发包人代表在发包人的授权范围内，负责处理合同履行过程中与发包人有关的具体事宜。发包人代表在授权范围内的行为由发包人承担法律责任。发包人更换发包人代表的，应提前7天书面通知承包人。</w:t>
      </w:r>
    </w:p>
    <w:p w14:paraId="12E7EBA9">
      <w:pPr>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发包人代表不能按照合同约定履行其职责及义务，并导致合同无法继续正常履行的，承包人可以要求发包人撤换发包人代表。</w:t>
      </w:r>
    </w:p>
    <w:p w14:paraId="65D4B676">
      <w:pPr>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不属于法定必须监理的工程，监理人的职权可以由发包人代表或发包人指定的其他人员行使。</w:t>
      </w:r>
    </w:p>
    <w:p w14:paraId="66D8179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68" w:name="_Toc351203512"/>
      <w:r>
        <w:rPr>
          <w:rFonts w:hint="eastAsia" w:ascii="宋体" w:hAnsi="宋体" w:eastAsia="宋体" w:cs="宋体"/>
          <w:b w:val="0"/>
          <w:color w:val="auto"/>
          <w:sz w:val="21"/>
          <w:szCs w:val="21"/>
          <w:highlight w:val="none"/>
          <w:lang w:eastAsia="zh-CN"/>
        </w:rPr>
        <w:t>2.3 发包人人员</w:t>
      </w:r>
      <w:bookmarkEnd w:id="368"/>
    </w:p>
    <w:p w14:paraId="0C5535E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发包人应要求在施工现场的发包人人员遵守法律及有关安全、质量、环境保护、文明施工等规定，并保障承包人免于承受因发包人人员未遵守上述要求给承包人造成的损失和责任。</w:t>
      </w:r>
    </w:p>
    <w:p w14:paraId="11DFFF37">
      <w:pPr>
        <w:spacing w:line="360" w:lineRule="auto"/>
        <w:ind w:firstLine="64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发包人人员包括发包人代表及其他由发包人派驻施工现场的人员。</w:t>
      </w:r>
      <w:bookmarkEnd w:id="364"/>
      <w:bookmarkEnd w:id="365"/>
      <w:bookmarkEnd w:id="366"/>
    </w:p>
    <w:p w14:paraId="4B15A2C7">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69" w:name="_Toc351203513"/>
      <w:r>
        <w:rPr>
          <w:rFonts w:hint="eastAsia" w:ascii="宋体" w:hAnsi="宋体" w:eastAsia="宋体" w:cs="宋体"/>
          <w:b w:val="0"/>
          <w:color w:val="auto"/>
          <w:sz w:val="21"/>
          <w:szCs w:val="21"/>
          <w:highlight w:val="none"/>
          <w:lang w:eastAsia="zh-CN"/>
        </w:rPr>
        <w:t>2</w:t>
      </w:r>
      <w:bookmarkStart w:id="370" w:name="_Toc337558741"/>
      <w:bookmarkStart w:id="371" w:name="_Toc296346541"/>
      <w:bookmarkStart w:id="372" w:name="_Toc296503040"/>
      <w:r>
        <w:rPr>
          <w:rFonts w:hint="eastAsia" w:ascii="宋体" w:hAnsi="宋体" w:eastAsia="宋体" w:cs="宋体"/>
          <w:b w:val="0"/>
          <w:color w:val="auto"/>
          <w:sz w:val="21"/>
          <w:szCs w:val="21"/>
          <w:highlight w:val="none"/>
          <w:lang w:eastAsia="zh-CN"/>
        </w:rPr>
        <w:t>.4 施工现场、施工条件和基础资料的提供</w:t>
      </w:r>
      <w:bookmarkEnd w:id="369"/>
      <w:r>
        <w:rPr>
          <w:rFonts w:hint="eastAsia" w:ascii="宋体" w:hAnsi="宋体" w:eastAsia="宋体" w:cs="宋体"/>
          <w:b w:val="0"/>
          <w:color w:val="auto"/>
          <w:sz w:val="21"/>
          <w:szCs w:val="21"/>
          <w:highlight w:val="none"/>
          <w:lang w:eastAsia="zh-CN"/>
        </w:rPr>
        <w:t xml:space="preserve"> </w:t>
      </w:r>
      <w:bookmarkEnd w:id="370"/>
      <w:bookmarkEnd w:id="371"/>
      <w:bookmarkEnd w:id="372"/>
      <w:r>
        <w:rPr>
          <w:rFonts w:hint="eastAsia" w:ascii="宋体" w:hAnsi="宋体" w:eastAsia="宋体" w:cs="宋体"/>
          <w:b w:val="0"/>
          <w:color w:val="auto"/>
          <w:sz w:val="21"/>
          <w:szCs w:val="21"/>
          <w:highlight w:val="none"/>
          <w:lang w:eastAsia="zh-CN"/>
        </w:rPr>
        <w:t xml:space="preserve"> </w:t>
      </w:r>
    </w:p>
    <w:p w14:paraId="4AB0CC5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2.4.1 提供施工现场</w:t>
      </w:r>
    </w:p>
    <w:p w14:paraId="04B3249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除专用合同条款另有约定外，发包人应最迟于开工日期7天前向承包人移交施工现场。</w:t>
      </w:r>
    </w:p>
    <w:p w14:paraId="33DC8E4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2.4.2 提供施工条件</w:t>
      </w:r>
    </w:p>
    <w:p w14:paraId="74796F1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除专用合同条款另有约定外，发包人应负责提供施工所需要的条件，包括：</w:t>
      </w:r>
    </w:p>
    <w:p w14:paraId="2751D4B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（1）将施工用水、电力、通讯线路等施工所必需的条件接至施工现场内；</w:t>
      </w:r>
    </w:p>
    <w:p w14:paraId="188EBA6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（2）保证向承包人提供正常施工所需要的进入施工现场的交通条件；</w:t>
      </w:r>
    </w:p>
    <w:p w14:paraId="510FF82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（3）协调处理施工现场周围地下管线和邻近建筑物、构筑物、古树名木的保护工作，并承担相关费用；</w:t>
      </w:r>
    </w:p>
    <w:p w14:paraId="625132F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（4）按照专用合同条款约定应提供的其他设施和条件。</w:t>
      </w:r>
    </w:p>
    <w:p w14:paraId="5FF99E7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2.4.3 提供基础资料</w:t>
      </w:r>
    </w:p>
    <w:p w14:paraId="72A81C1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当在移交施工现场前向承包人提供施工现场及工程施工所必需的毗邻区域内供水、排水、供电、供气、供热、通信、广播电视等地下管线资料，气象和水文观测资料，地质勘察资料，相邻建筑物、构筑物和地下工程等有关基础资料，并对所提供资料的真实性、准确性和完整性负责。</w:t>
      </w:r>
    </w:p>
    <w:p w14:paraId="2ABDA2E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按照法律规定确需在开工后方能提供的基础资料，发包人应尽其努力及时地在相应工程施工前的合理期限内提供，合理期限应以不影响承包人的正常施工为限。</w:t>
      </w:r>
    </w:p>
    <w:p w14:paraId="70C4DFC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2.4.4 逾期提供的责任</w:t>
      </w:r>
    </w:p>
    <w:p w14:paraId="610F57D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因发包人原因未能按合同约定及时向承包人提供施工现场、施工条件、基础资料的，由发包人承担由此增加的费用和（或）延误的工期。</w:t>
      </w:r>
    </w:p>
    <w:p w14:paraId="4264D70C">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73" w:name="_Toc351203514"/>
      <w:r>
        <w:rPr>
          <w:rFonts w:hint="eastAsia" w:ascii="宋体" w:hAnsi="宋体" w:eastAsia="宋体" w:cs="宋体"/>
          <w:b w:val="0"/>
          <w:color w:val="auto"/>
          <w:sz w:val="21"/>
          <w:szCs w:val="21"/>
          <w:highlight w:val="none"/>
          <w:lang w:eastAsia="zh-CN"/>
        </w:rPr>
        <w:t>2</w:t>
      </w:r>
      <w:bookmarkStart w:id="374" w:name="_Toc296503042"/>
      <w:bookmarkStart w:id="375" w:name="_Toc296346543"/>
      <w:bookmarkStart w:id="376" w:name="_Toc337558745"/>
      <w:r>
        <w:rPr>
          <w:rFonts w:hint="eastAsia" w:ascii="宋体" w:hAnsi="宋体" w:eastAsia="宋体" w:cs="宋体"/>
          <w:b w:val="0"/>
          <w:color w:val="auto"/>
          <w:sz w:val="21"/>
          <w:szCs w:val="21"/>
          <w:highlight w:val="none"/>
          <w:lang w:eastAsia="zh-CN"/>
        </w:rPr>
        <w:t>.5 资</w:t>
      </w:r>
      <w:bookmarkEnd w:id="374"/>
      <w:bookmarkEnd w:id="375"/>
      <w:bookmarkEnd w:id="376"/>
      <w:r>
        <w:rPr>
          <w:rFonts w:hint="eastAsia" w:ascii="宋体" w:hAnsi="宋体" w:eastAsia="宋体" w:cs="宋体"/>
          <w:b w:val="0"/>
          <w:color w:val="auto"/>
          <w:sz w:val="21"/>
          <w:szCs w:val="21"/>
          <w:highlight w:val="none"/>
          <w:lang w:eastAsia="zh-CN"/>
        </w:rPr>
        <w:t>金来源证明及支付担保</w:t>
      </w:r>
      <w:bookmarkEnd w:id="373"/>
    </w:p>
    <w:p w14:paraId="5EB1B28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除专用合同条款另有约定外，发包人应在收到承包人要求提供资金来源证明的书面通知后28天内，向承包人提供能够按照合同约定支付合同价款的相应资金来源证明。</w:t>
      </w:r>
    </w:p>
    <w:p w14:paraId="45DD4E6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除专用合同条款另有约定外，发包人要求承包人提供履约担保的，发包人应当向承包人提供支付担保。支付担保可以采用银行保函或担保公司担保等形式，具体由合同当事人在专用合同条款中约定。</w:t>
      </w:r>
    </w:p>
    <w:p w14:paraId="45A8256D">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77" w:name="_Toc351203515"/>
      <w:r>
        <w:rPr>
          <w:rFonts w:hint="eastAsia" w:ascii="宋体" w:hAnsi="宋体" w:eastAsia="宋体" w:cs="宋体"/>
          <w:b w:val="0"/>
          <w:color w:val="auto"/>
          <w:sz w:val="21"/>
          <w:szCs w:val="21"/>
          <w:highlight w:val="none"/>
          <w:lang w:eastAsia="zh-CN"/>
        </w:rPr>
        <w:t>2.6 支付合同价款</w:t>
      </w:r>
      <w:bookmarkEnd w:id="377"/>
    </w:p>
    <w:p w14:paraId="1687916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发包人应按合同约定向承包人及时支付合同价款。</w:t>
      </w:r>
    </w:p>
    <w:p w14:paraId="2E6D6A0C">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78" w:name="_Toc351203516"/>
      <w:r>
        <w:rPr>
          <w:rFonts w:hint="eastAsia" w:ascii="宋体" w:hAnsi="宋体" w:eastAsia="宋体" w:cs="宋体"/>
          <w:b w:val="0"/>
          <w:color w:val="auto"/>
          <w:sz w:val="21"/>
          <w:szCs w:val="21"/>
          <w:highlight w:val="none"/>
          <w:lang w:eastAsia="zh-CN"/>
        </w:rPr>
        <w:t>2.7 组织竣工验收</w:t>
      </w:r>
      <w:bookmarkEnd w:id="378"/>
    </w:p>
    <w:p w14:paraId="00A13EE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发包人应按合同约定及时组织竣工验收。</w:t>
      </w:r>
    </w:p>
    <w:p w14:paraId="5087994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79" w:name="_Toc351203517"/>
      <w:r>
        <w:rPr>
          <w:rFonts w:hint="eastAsia" w:ascii="宋体" w:hAnsi="宋体" w:eastAsia="宋体" w:cs="宋体"/>
          <w:b w:val="0"/>
          <w:color w:val="auto"/>
          <w:sz w:val="21"/>
          <w:szCs w:val="21"/>
          <w:highlight w:val="none"/>
          <w:lang w:eastAsia="zh-CN"/>
        </w:rPr>
        <w:t>2.8 现场统一管理协议</w:t>
      </w:r>
      <w:bookmarkEnd w:id="379"/>
    </w:p>
    <w:p w14:paraId="28C386F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发包人应与承包人、由发包人直接发包的专业工程的承包人签订施工现场统一管理协议，明确各方的权利义务。施工现场统一管理协议作为专用合同条款的附件。</w:t>
      </w:r>
    </w:p>
    <w:p w14:paraId="3FB2667B">
      <w:pPr>
        <w:pStyle w:val="5"/>
        <w:spacing w:before="120" w:after="120"/>
        <w:rPr>
          <w:rFonts w:hint="eastAsia" w:ascii="宋体" w:hAnsi="宋体" w:eastAsia="宋体" w:cs="宋体"/>
          <w:b w:val="0"/>
          <w:color w:val="auto"/>
          <w:sz w:val="21"/>
          <w:szCs w:val="21"/>
          <w:highlight w:val="none"/>
          <w:lang w:eastAsia="zh-CN"/>
        </w:rPr>
      </w:pPr>
      <w:bookmarkStart w:id="380" w:name="_Toc351203518"/>
      <w:r>
        <w:rPr>
          <w:rFonts w:hint="eastAsia" w:ascii="宋体" w:hAnsi="宋体" w:eastAsia="宋体" w:cs="宋体"/>
          <w:b w:val="0"/>
          <w:color w:val="auto"/>
          <w:sz w:val="21"/>
          <w:szCs w:val="21"/>
          <w:highlight w:val="none"/>
          <w:lang w:eastAsia="zh-CN"/>
        </w:rPr>
        <w:t>3</w:t>
      </w:r>
      <w:bookmarkStart w:id="381" w:name="_Toc296346546"/>
      <w:bookmarkStart w:id="382" w:name="_Toc337558746"/>
      <w:bookmarkStart w:id="383" w:name="_Toc296503045"/>
      <w:r>
        <w:rPr>
          <w:rFonts w:hint="eastAsia" w:ascii="宋体" w:hAnsi="宋体" w:eastAsia="宋体" w:cs="宋体"/>
          <w:b w:val="0"/>
          <w:color w:val="auto"/>
          <w:sz w:val="21"/>
          <w:szCs w:val="21"/>
          <w:highlight w:val="none"/>
          <w:lang w:eastAsia="zh-CN"/>
        </w:rPr>
        <w:t>. 承包人</w:t>
      </w:r>
      <w:bookmarkEnd w:id="380"/>
    </w:p>
    <w:bookmarkEnd w:id="381"/>
    <w:bookmarkEnd w:id="382"/>
    <w:bookmarkEnd w:id="383"/>
    <w:p w14:paraId="1144954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84" w:name="_Toc351203519"/>
      <w:r>
        <w:rPr>
          <w:rFonts w:hint="eastAsia" w:ascii="宋体" w:hAnsi="宋体" w:eastAsia="宋体" w:cs="宋体"/>
          <w:b w:val="0"/>
          <w:color w:val="auto"/>
          <w:sz w:val="21"/>
          <w:szCs w:val="21"/>
          <w:highlight w:val="none"/>
          <w:lang w:eastAsia="zh-CN"/>
        </w:rPr>
        <w:t>3</w:t>
      </w:r>
      <w:bookmarkStart w:id="385" w:name="_Toc296346547"/>
      <w:bookmarkStart w:id="386" w:name="_Toc337558747"/>
      <w:bookmarkStart w:id="387" w:name="_Toc296503046"/>
      <w:r>
        <w:rPr>
          <w:rFonts w:hint="eastAsia" w:ascii="宋体" w:hAnsi="宋体" w:eastAsia="宋体" w:cs="宋体"/>
          <w:b w:val="0"/>
          <w:color w:val="auto"/>
          <w:sz w:val="21"/>
          <w:szCs w:val="21"/>
          <w:highlight w:val="none"/>
          <w:lang w:eastAsia="zh-CN"/>
        </w:rPr>
        <w:t>.1 承包人的一般义务</w:t>
      </w:r>
      <w:bookmarkEnd w:id="384"/>
    </w:p>
    <w:bookmarkEnd w:id="385"/>
    <w:bookmarkEnd w:id="386"/>
    <w:bookmarkEnd w:id="387"/>
    <w:p w14:paraId="1E1E75F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承包人在履行合同过程中应遵守法律和工程建设标准规范，并履行以下义务：</w:t>
      </w:r>
    </w:p>
    <w:p w14:paraId="50588694">
      <w:pPr>
        <w:widowControl w:val="0"/>
        <w:numPr>
          <w:ilvl w:val="0"/>
          <w:numId w:val="4"/>
        </w:numPr>
        <w:kinsoku/>
        <w:snapToGrid/>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办理法律规定应由承包人办理的许可和批准，并将办理结果书面报送发包人留存；</w:t>
      </w:r>
    </w:p>
    <w:p w14:paraId="176DFC1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（2）按法律规定和合同约定完成工程，并在保修期内承担保修义务；</w:t>
      </w:r>
    </w:p>
    <w:p w14:paraId="0070543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（3）按法律规定和合同约定采取施工安全和环境保护措施，办理工伤保险，确保工程及人员、材料、设备和设施的安全；</w:t>
      </w:r>
    </w:p>
    <w:p w14:paraId="20B0C4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（4）按合同约定的工作内容和施工进度要求，编制施工组织设计和施工措施计划，并对所有施工作业和施工方法的完备性和安全可靠性负责；</w:t>
      </w:r>
    </w:p>
    <w:p w14:paraId="7575DF0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14:paraId="5B519E6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（6）按照第6.3款〔环境保护〕约定负责施工场地及其周边环境与生态的保护工作；</w:t>
      </w:r>
    </w:p>
    <w:p w14:paraId="7AB7239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（7）按第6.1款〔安全文明施工〕约定采取施工安全措施，确保工程及其人员、材料、设备和设施的安全，防止因工程施工造成的人身伤害和财产损失；</w:t>
      </w:r>
    </w:p>
    <w:p w14:paraId="524F023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（8）将发包人按合同约定支付的各项价款专用于合同工程，且应及时支付其雇用人员工资，并及时向分包人支付合同价款；</w:t>
      </w:r>
    </w:p>
    <w:p w14:paraId="31C5FC1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（9）按照法律规定和合同约定编制竣工资料，完成竣工资料立卷及归档，并按专用合同条款约定的竣工资料的套数、内容、时间等要求移交发包人；</w:t>
      </w:r>
    </w:p>
    <w:p w14:paraId="172EFDF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（10）应履行的其他义务。</w:t>
      </w:r>
    </w:p>
    <w:p w14:paraId="457B638F">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88" w:name="_Toc351203520"/>
      <w:r>
        <w:rPr>
          <w:rFonts w:hint="eastAsia" w:ascii="宋体" w:hAnsi="宋体" w:eastAsia="宋体" w:cs="宋体"/>
          <w:b w:val="0"/>
          <w:color w:val="auto"/>
          <w:sz w:val="21"/>
          <w:szCs w:val="21"/>
          <w:highlight w:val="none"/>
          <w:lang w:eastAsia="zh-CN"/>
        </w:rPr>
        <w:t>3</w:t>
      </w:r>
      <w:bookmarkStart w:id="389" w:name="_Toc337558748"/>
      <w:bookmarkStart w:id="390" w:name="_Toc296503047"/>
      <w:bookmarkStart w:id="391" w:name="_Toc296346548"/>
      <w:r>
        <w:rPr>
          <w:rFonts w:hint="eastAsia" w:ascii="宋体" w:hAnsi="宋体" w:eastAsia="宋体" w:cs="宋体"/>
          <w:b w:val="0"/>
          <w:color w:val="auto"/>
          <w:sz w:val="21"/>
          <w:szCs w:val="21"/>
          <w:highlight w:val="none"/>
          <w:lang w:eastAsia="zh-CN"/>
        </w:rPr>
        <w:t xml:space="preserve">.2 </w:t>
      </w:r>
      <w:bookmarkEnd w:id="388"/>
      <w:r>
        <w:rPr>
          <w:rFonts w:hint="eastAsia" w:ascii="宋体" w:hAnsi="宋体" w:eastAsia="宋体" w:cs="宋体"/>
          <w:b w:val="0"/>
          <w:color w:val="auto"/>
          <w:sz w:val="21"/>
          <w:szCs w:val="21"/>
          <w:highlight w:val="none"/>
          <w:lang w:eastAsia="zh-CN"/>
        </w:rPr>
        <w:t>项目经理</w:t>
      </w:r>
    </w:p>
    <w:bookmarkEnd w:id="389"/>
    <w:bookmarkEnd w:id="390"/>
    <w:bookmarkEnd w:id="391"/>
    <w:p w14:paraId="0C174BD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3.2.1 项目经理应为合同当事人所确认的人选，并在专用合同条款中明确项目经理的姓名、职称、注册执业证书编号、联系方式及授权范围等事项，项目经理经承包人授权后代表承包人负责履行合同。项目经理应是承包人正式聘用的员工，承包人应向发包人提交项目经理与承包人之间的劳动合同，以及承包人为项目经理缴纳社会保险的有效证明。承包人不提交上述文件的，项目经理无权履行职责，发包人有权要求更换项目经理，由此增加的费用和（或）延误的工期由承包人承担。</w:t>
      </w:r>
    </w:p>
    <w:p w14:paraId="143EE2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项目经理应常驻施工现场，且每月在施工现场时间不得少于专用合同条款约定的天数。项目经理不得同时担任其他项目的项目经理。项目经理确需离开施工现场时，应事先通知监理人，并取得发包人的书面同意。项目经理的通知中应当载明临时代行其职责的人员的注册执业资格、管理经验等资料，该人员应具备履行相应职责的能力。</w:t>
      </w:r>
    </w:p>
    <w:p w14:paraId="175BC90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承包人违反上述约定的，应按照专用合同条款的约定，承担违约责任。</w:t>
      </w:r>
    </w:p>
    <w:p w14:paraId="3299155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3.2.2 项目经理按合同约定组织工程实施。在紧急情况下为确保施工安全和人员安全，在无法与发包人代表和总监理工程师及时取得联系时，项目经理有权采取必要的措施保证与工程有关的人身、财产和工程的安全，但应在48小时内向发包人代表和总监理工程师提交书面报告。</w:t>
      </w:r>
    </w:p>
    <w:p w14:paraId="500C2C3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3.2.3 承包人需要更换项目经理的，应提前14天书面通知发包人和监理人，并征得发包人书面同意。通知中应当载明继任项目经理的注册执业资格、管理经验等资料，继任项目经理继续履行第3.2.1项约定的职责。未经发包人书面同意，承包人不得擅自更换项目经理。承包人擅自更换项目经理的，应按照专用合同条款的约定承担违约责任。</w:t>
      </w:r>
    </w:p>
    <w:p w14:paraId="6AAC7A7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3.2.4 发包人有权书面通知承包人更换其认为不称职的项目经理，通知中应当载明要求更换的理由。承包人应在接到更换通知后14天内向发包人提出书面的改进报告。发包人收到改进报告后仍要求更换的，承包人应在接到第二次更换通知的28天内进行更换，并将新任命的项目经理的注册执业资格、管理经验等资料书面通知发包人。继任项目经理继续履行第3.2.1项约定的职责。承包人无正当理由拒绝更换项目经理的，应按照专用合同条款的约定承担违约责任。</w:t>
      </w:r>
    </w:p>
    <w:p w14:paraId="16B03F1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3.2.5 项目经理因特殊情况授权其下属人员履行其某项工作职责的，该下属人员应具备履行相应职责的能力，并应提前7天将上述人员的姓名和授权范围书面通知监理人，并征得发包人书面同意。</w:t>
      </w:r>
    </w:p>
    <w:p w14:paraId="56BADFC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92" w:name="_Toc351203521"/>
      <w:r>
        <w:rPr>
          <w:rFonts w:hint="eastAsia" w:ascii="宋体" w:hAnsi="宋体" w:eastAsia="宋体" w:cs="宋体"/>
          <w:b w:val="0"/>
          <w:color w:val="auto"/>
          <w:sz w:val="21"/>
          <w:szCs w:val="21"/>
          <w:highlight w:val="none"/>
          <w:lang w:eastAsia="zh-CN"/>
        </w:rPr>
        <w:t>3</w:t>
      </w:r>
      <w:bookmarkStart w:id="393" w:name="_Toc296346549"/>
      <w:bookmarkStart w:id="394" w:name="_Toc296503048"/>
      <w:bookmarkStart w:id="395" w:name="_Toc337558749"/>
      <w:r>
        <w:rPr>
          <w:rFonts w:hint="eastAsia" w:ascii="宋体" w:hAnsi="宋体" w:eastAsia="宋体" w:cs="宋体"/>
          <w:b w:val="0"/>
          <w:color w:val="auto"/>
          <w:sz w:val="21"/>
          <w:szCs w:val="21"/>
          <w:highlight w:val="none"/>
          <w:lang w:eastAsia="zh-CN"/>
        </w:rPr>
        <w:t xml:space="preserve">.3 </w:t>
      </w:r>
      <w:bookmarkEnd w:id="393"/>
      <w:bookmarkEnd w:id="394"/>
      <w:r>
        <w:rPr>
          <w:rFonts w:hint="eastAsia" w:ascii="宋体" w:hAnsi="宋体" w:eastAsia="宋体" w:cs="宋体"/>
          <w:b w:val="0"/>
          <w:color w:val="auto"/>
          <w:sz w:val="21"/>
          <w:szCs w:val="21"/>
          <w:highlight w:val="none"/>
          <w:lang w:eastAsia="zh-CN"/>
        </w:rPr>
        <w:t>承包人人员</w:t>
      </w:r>
      <w:bookmarkEnd w:id="392"/>
    </w:p>
    <w:bookmarkEnd w:id="395"/>
    <w:p w14:paraId="527C83A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3.3.1 除专用合同条款另有约定外，承包人应在接到开工通知后7天内，向监理人提交承包人项目管理机构及施工现场人员安排的报告，其内容应包括合同管理、施工、技术、材料、质量、安全、财务等主要施工管理人员名单及其岗位、注册执业资格等，以及各工种技术工人的安排情况，并同时提交主要施工管理人员与承包人之间的劳动关系证明和缴纳社会保险的有效证明。</w:t>
      </w:r>
    </w:p>
    <w:p w14:paraId="687D200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3.3.2 承包人派驻到施工现场的主要施工管理人员应相对稳定。施工过程中如有变动，承包人应及时向监理人提交施工现场人员变动情况的报告。承包人更换主要施工管理人员时，应提前7天书面通知监理人，并征得发包人书面同意。通知中应当载明继任人员的注册执业资格、管理经验等资料。</w:t>
      </w:r>
    </w:p>
    <w:p w14:paraId="1D06BC7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特殊工种作业人员均应持有相应的资格证明，监理人可以随时检查。</w:t>
      </w:r>
    </w:p>
    <w:p w14:paraId="7671653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3.3.3 发包人对于承包人主要施工管理人员的资格或能力有异议的，承包人应提供资料证明被质疑人员有能力完成其岗位工作或不存在发包人所质疑的情形。发包人要求撤换不能按照合同约定履行职责及义务的主要施工管理人员的，承包人应当撤换。承包人无正当理由拒绝撤换的，应按照专用合同条款的约定承担违约责任。</w:t>
      </w:r>
    </w:p>
    <w:p w14:paraId="701032F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3.3.4 除专用合同条款另有约定外，承包人的主要施工管理人员离开施工现场每月累计不超过5天的，应报监理人同意；离开施工现场每月累计超过5天的，应通知监理人，并征得发包人书面同意。主要施工管理人员离开施工现场前应指定一名有经验的人员临时代行其职责，该人员应具备履行相应职责的资格和能力，且应征得监理人或发包人的同意。</w:t>
      </w:r>
    </w:p>
    <w:p w14:paraId="6D190BD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3.3.5 承包人擅自更换主要施工管理人员，或前述人员未经监理人或发包人同意擅自离开施工现场的，应按照专用合同条款约定承担违约责任。</w:t>
      </w:r>
    </w:p>
    <w:p w14:paraId="365BA627">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396" w:name="_Toc351203522"/>
      <w:r>
        <w:rPr>
          <w:rFonts w:hint="eastAsia" w:ascii="宋体" w:hAnsi="宋体" w:eastAsia="宋体" w:cs="宋体"/>
          <w:b w:val="0"/>
          <w:color w:val="auto"/>
          <w:sz w:val="21"/>
          <w:szCs w:val="21"/>
          <w:highlight w:val="none"/>
          <w:lang w:eastAsia="zh-CN"/>
        </w:rPr>
        <w:t>3</w:t>
      </w:r>
      <w:bookmarkStart w:id="397" w:name="_Toc296503050"/>
      <w:bookmarkStart w:id="398" w:name="_Toc296346551"/>
      <w:bookmarkStart w:id="399" w:name="_Toc337558750"/>
      <w:r>
        <w:rPr>
          <w:rFonts w:hint="eastAsia" w:ascii="宋体" w:hAnsi="宋体" w:eastAsia="宋体" w:cs="宋体"/>
          <w:b w:val="0"/>
          <w:color w:val="auto"/>
          <w:sz w:val="21"/>
          <w:szCs w:val="21"/>
          <w:highlight w:val="none"/>
          <w:lang w:eastAsia="zh-CN"/>
        </w:rPr>
        <w:t>.4 承包人现场查勘</w:t>
      </w:r>
      <w:bookmarkEnd w:id="396"/>
    </w:p>
    <w:bookmarkEnd w:id="397"/>
    <w:bookmarkEnd w:id="398"/>
    <w:bookmarkEnd w:id="399"/>
    <w:p w14:paraId="60AC987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承包人应对基于发包人按照第2.4.3项〔提供基础资料〕提交的基础资料所做出的解释和推断负责，但因基础资料存在错误、遗漏导致承包人解释或推断失实的，由发包人承担责任。</w:t>
      </w:r>
    </w:p>
    <w:p w14:paraId="195B2CC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对施工现场和施工条件进行查勘，并充分了解工程所在地的气象条件、交通条件、风俗习惯以及其他与完成合同工作有关的其他资料。因承包人未能充分查勘、了解前述情况或未能充分估计前述情况所可能产生后果的，承包人承担由此增加的费用和（或）延误的工期。</w:t>
      </w:r>
    </w:p>
    <w:p w14:paraId="411160A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00" w:name="_Toc351203523"/>
      <w:r>
        <w:rPr>
          <w:rFonts w:hint="eastAsia" w:ascii="宋体" w:hAnsi="宋体" w:eastAsia="宋体" w:cs="宋体"/>
          <w:b w:val="0"/>
          <w:color w:val="auto"/>
          <w:sz w:val="21"/>
          <w:szCs w:val="21"/>
          <w:highlight w:val="none"/>
          <w:lang w:eastAsia="zh-CN"/>
        </w:rPr>
        <w:t>3</w:t>
      </w:r>
      <w:bookmarkStart w:id="401" w:name="_Toc296346552"/>
      <w:bookmarkStart w:id="402" w:name="_Toc296503051"/>
      <w:bookmarkStart w:id="403" w:name="_Toc337558751"/>
      <w:r>
        <w:rPr>
          <w:rFonts w:hint="eastAsia" w:ascii="宋体" w:hAnsi="宋体" w:eastAsia="宋体" w:cs="宋体"/>
          <w:b w:val="0"/>
          <w:color w:val="auto"/>
          <w:sz w:val="21"/>
          <w:szCs w:val="21"/>
          <w:highlight w:val="none"/>
          <w:lang w:eastAsia="zh-CN"/>
        </w:rPr>
        <w:t>.5 分包</w:t>
      </w:r>
      <w:bookmarkEnd w:id="400"/>
    </w:p>
    <w:bookmarkEnd w:id="401"/>
    <w:bookmarkEnd w:id="402"/>
    <w:bookmarkEnd w:id="403"/>
    <w:p w14:paraId="0D881CB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3.5.1 分包的一般约定</w:t>
      </w:r>
    </w:p>
    <w:p w14:paraId="7EA664A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不得将其承包的全部工程转包给第三人，或将其承包的全部工程肢解后以分包的名义转包给第三人。承包人不得将工程主体结构、关键性工作及专用合同条款中禁止分包的专业工程分包给第三人，主体结构、关键性工作的范围由合同当事人按照法律规定在专用合同条款中予以明确。</w:t>
      </w:r>
    </w:p>
    <w:p w14:paraId="77620B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承包人不得以劳务分包的名义转包或违法分包工程。</w:t>
      </w:r>
    </w:p>
    <w:p w14:paraId="083C8B9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3.5.2 分包的确定</w:t>
      </w:r>
    </w:p>
    <w:p w14:paraId="7E6CA21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专用合同条款的约定进行分包，确定分包人。已标价工程量清单或预算书中给定暂估价的专业工程，按照第10.7款〔暂估价〕确定分包人。按照合同约定进行分包的，承包人应确保分包人具有相应的资质和能力。工程分包不减轻或免除承包人的责任和义务，承包人和分包人就分包工程向发包人承担连带责任。除合同另有约定外，承包人应在分包合同签订后7天内向发包人和监理人提交分包合同副本。</w:t>
      </w:r>
    </w:p>
    <w:p w14:paraId="78E24EF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3.5.3 分包管理</w:t>
      </w:r>
    </w:p>
    <w:p w14:paraId="07120A8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承包人应向监理人提交分包人的主要施工管理人员表，并对分包人的施工人员进行实名制管理，包括但不限于进出场管理、登记造册以及各种证照的办理。</w:t>
      </w:r>
    </w:p>
    <w:p w14:paraId="4D1DDE7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3.5.4 分包合同价款</w:t>
      </w:r>
    </w:p>
    <w:p w14:paraId="5503543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（1）除本项第（2）目约定的情况或专用合同条款另有约定外，分包合同价款由承包人与分包人结算，未经承包人同意，发包人不得向分包人支付分包工程价款；</w:t>
      </w:r>
    </w:p>
    <w:p w14:paraId="1180D69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（2）生效法律文书要求发包人向分包人支付分包合同价款的，发包人有权从应付承包人工程款中扣除该部分款项。</w:t>
      </w:r>
    </w:p>
    <w:p w14:paraId="18CA4E8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3.5.5 分包合同权益的转让</w:t>
      </w:r>
    </w:p>
    <w:p w14:paraId="0D488CF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分包人在分包合同项下的义务持续到缺陷责任期届满以后的，发包人有权在缺陷责任期届满前，要求承包人将其在分包合同项下的权益转让给发包人，承包人应当转让。除转让合同另有约定外，转让合同生效后，由分包人向发包人履行义务。</w:t>
      </w:r>
      <w:bookmarkStart w:id="404" w:name="_Toc351203524"/>
    </w:p>
    <w:p w14:paraId="5A0F9BA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r>
        <w:rPr>
          <w:rFonts w:hint="eastAsia" w:ascii="宋体" w:hAnsi="宋体" w:eastAsia="宋体" w:cs="宋体"/>
          <w:b w:val="0"/>
          <w:color w:val="auto"/>
          <w:sz w:val="21"/>
          <w:szCs w:val="21"/>
          <w:highlight w:val="none"/>
          <w:lang w:eastAsia="zh-CN"/>
        </w:rPr>
        <w:t>3.6 工程照管与成品、半成品保护</w:t>
      </w:r>
      <w:bookmarkEnd w:id="404"/>
    </w:p>
    <w:p w14:paraId="72DD8D1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（1）除专用合同条款另有约定外，自发包人向承包人移交施工现场之日起，承包人应负责照管工程及工程相关的材料、工程设备，直到颁发工程接收证书之日止。</w:t>
      </w:r>
    </w:p>
    <w:p w14:paraId="407F0C4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（2）在承包人负责照管期间，因承包人原因造成工程、材料、工程设备损坏的，由承包人负责修复或更换，并承担由此增加的费用和（或）延误的工期。</w:t>
      </w:r>
    </w:p>
    <w:p w14:paraId="484A49A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（3）对合同内分期完成的成品和半成品，在工程接收证书颁发前，由承包人承担保护责任。因承包人原因造成成品或半成品损坏的，由承包人负责修复或更换，并承担由此增加的费用和（或）延误的工期。</w:t>
      </w:r>
    </w:p>
    <w:p w14:paraId="505DDFE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05" w:name="_Toc351203525"/>
      <w:r>
        <w:rPr>
          <w:rFonts w:hint="eastAsia" w:ascii="宋体" w:hAnsi="宋体" w:eastAsia="宋体" w:cs="宋体"/>
          <w:b w:val="0"/>
          <w:color w:val="auto"/>
          <w:sz w:val="21"/>
          <w:szCs w:val="21"/>
          <w:highlight w:val="none"/>
          <w:lang w:eastAsia="zh-CN"/>
        </w:rPr>
        <w:t>3</w:t>
      </w:r>
      <w:bookmarkStart w:id="406" w:name="_Toc296346553"/>
      <w:bookmarkStart w:id="407" w:name="_Toc337558752"/>
      <w:bookmarkStart w:id="408" w:name="_Toc296503052"/>
      <w:r>
        <w:rPr>
          <w:rFonts w:hint="eastAsia" w:ascii="宋体" w:hAnsi="宋体" w:eastAsia="宋体" w:cs="宋体"/>
          <w:b w:val="0"/>
          <w:color w:val="auto"/>
          <w:sz w:val="21"/>
          <w:szCs w:val="21"/>
          <w:highlight w:val="none"/>
          <w:lang w:eastAsia="zh-CN"/>
        </w:rPr>
        <w:t>.7 履约担保</w:t>
      </w:r>
      <w:bookmarkEnd w:id="405"/>
    </w:p>
    <w:bookmarkEnd w:id="406"/>
    <w:bookmarkEnd w:id="407"/>
    <w:bookmarkEnd w:id="408"/>
    <w:p w14:paraId="594471E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发包人需要承包人提供履约担保的，由合同当事人在专用合同条款中约定履约担保的方式、金额及期限等。履约担保可以采用银行保函或担保公司担保等形式，具体由合同当事人在专用合同条款中约定。</w:t>
      </w:r>
    </w:p>
    <w:p w14:paraId="33AACB6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因承包人原因导致工期延长的，继续提供履约担保所增加的费用由承包人承担；非因承包人原因导致工期延长的，继续提供履约担保所增加的费用由发包人承担。</w:t>
      </w:r>
    </w:p>
    <w:p w14:paraId="13144E6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09" w:name="_Toc351203526"/>
      <w:r>
        <w:rPr>
          <w:rFonts w:hint="eastAsia" w:ascii="宋体" w:hAnsi="宋体" w:eastAsia="宋体" w:cs="宋体"/>
          <w:b w:val="0"/>
          <w:color w:val="auto"/>
          <w:sz w:val="21"/>
          <w:szCs w:val="21"/>
          <w:highlight w:val="none"/>
          <w:lang w:eastAsia="zh-CN"/>
        </w:rPr>
        <w:t>3.8 联合体</w:t>
      </w:r>
      <w:bookmarkEnd w:id="409"/>
    </w:p>
    <w:p w14:paraId="45A1621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3.8.1 联合体各方应共同与发包人签订合同协议书。联合体各方应为履行合同向发包人承担连带责任。</w:t>
      </w:r>
    </w:p>
    <w:p w14:paraId="17AF0A7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3.8.2 联合体协议经发包人确认后作为合同附件。在履行合同过程中，未经发包人同意，不得修改联合体协议。</w:t>
      </w:r>
    </w:p>
    <w:p w14:paraId="129D7DC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3.8.3 联合体牵头人负责与发包人和监理人联系，并接受指示，负责组织联合体各成员全面履行合同。</w:t>
      </w:r>
    </w:p>
    <w:p w14:paraId="2D6DC7C9">
      <w:pPr>
        <w:pStyle w:val="5"/>
        <w:spacing w:before="120" w:after="120"/>
        <w:rPr>
          <w:rFonts w:hint="eastAsia" w:ascii="宋体" w:hAnsi="宋体" w:eastAsia="宋体" w:cs="宋体"/>
          <w:b w:val="0"/>
          <w:color w:val="auto"/>
          <w:sz w:val="21"/>
          <w:szCs w:val="21"/>
          <w:highlight w:val="none"/>
          <w:lang w:eastAsia="zh-CN"/>
        </w:rPr>
      </w:pPr>
      <w:bookmarkStart w:id="410" w:name="_Toc351203527"/>
      <w:r>
        <w:rPr>
          <w:rFonts w:hint="eastAsia" w:ascii="宋体" w:hAnsi="宋体" w:eastAsia="宋体" w:cs="宋体"/>
          <w:b w:val="0"/>
          <w:color w:val="auto"/>
          <w:sz w:val="21"/>
          <w:szCs w:val="21"/>
          <w:highlight w:val="none"/>
          <w:lang w:eastAsia="zh-CN"/>
        </w:rPr>
        <w:t>4</w:t>
      </w:r>
      <w:bookmarkStart w:id="411" w:name="_Toc296346554"/>
      <w:bookmarkStart w:id="412" w:name="_Toc296503053"/>
      <w:bookmarkStart w:id="413" w:name="_Toc337558753"/>
      <w:r>
        <w:rPr>
          <w:rFonts w:hint="eastAsia" w:ascii="宋体" w:hAnsi="宋体" w:eastAsia="宋体" w:cs="宋体"/>
          <w:b w:val="0"/>
          <w:color w:val="auto"/>
          <w:sz w:val="21"/>
          <w:szCs w:val="21"/>
          <w:highlight w:val="none"/>
          <w:lang w:eastAsia="zh-CN"/>
        </w:rPr>
        <w:t>. 监</w:t>
      </w:r>
      <w:bookmarkEnd w:id="411"/>
      <w:bookmarkEnd w:id="412"/>
      <w:r>
        <w:rPr>
          <w:rFonts w:hint="eastAsia" w:ascii="宋体" w:hAnsi="宋体" w:eastAsia="宋体" w:cs="宋体"/>
          <w:b w:val="0"/>
          <w:color w:val="auto"/>
          <w:sz w:val="21"/>
          <w:szCs w:val="21"/>
          <w:highlight w:val="none"/>
          <w:lang w:eastAsia="zh-CN"/>
        </w:rPr>
        <w:t>理人</w:t>
      </w:r>
      <w:bookmarkEnd w:id="410"/>
    </w:p>
    <w:bookmarkEnd w:id="413"/>
    <w:p w14:paraId="5EC4A4E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14" w:name="_Toc351203528"/>
      <w:r>
        <w:rPr>
          <w:rFonts w:hint="eastAsia" w:ascii="宋体" w:hAnsi="宋体" w:eastAsia="宋体" w:cs="宋体"/>
          <w:b w:val="0"/>
          <w:color w:val="auto"/>
          <w:sz w:val="21"/>
          <w:szCs w:val="21"/>
          <w:highlight w:val="none"/>
          <w:lang w:eastAsia="zh-CN"/>
        </w:rPr>
        <w:t>4</w:t>
      </w:r>
      <w:bookmarkStart w:id="415" w:name="_Toc296346555"/>
      <w:bookmarkStart w:id="416" w:name="_Toc296503054"/>
      <w:bookmarkStart w:id="417" w:name="_Toc337558754"/>
      <w:r>
        <w:rPr>
          <w:rFonts w:hint="eastAsia" w:ascii="宋体" w:hAnsi="宋体" w:eastAsia="宋体" w:cs="宋体"/>
          <w:b w:val="0"/>
          <w:color w:val="auto"/>
          <w:sz w:val="21"/>
          <w:szCs w:val="21"/>
          <w:highlight w:val="none"/>
          <w:lang w:eastAsia="zh-CN"/>
        </w:rPr>
        <w:t>.1监理人的一般规定</w:t>
      </w:r>
      <w:bookmarkEnd w:id="414"/>
    </w:p>
    <w:bookmarkEnd w:id="415"/>
    <w:bookmarkEnd w:id="416"/>
    <w:bookmarkEnd w:id="417"/>
    <w:p w14:paraId="15B1346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程实行监理的，发包人和承包人应在专用合同条款中明确监理人的监理内容及监理权限等事项。监理人应当根据发包人授权及法律规定，代表发包人对工程施工相关事项进行检查、查验、审核、验收，并签发相关指示，但监理人无权修改合同，且无权减轻或免除合同约定的承包人的任何责任与义务。</w:t>
      </w:r>
    </w:p>
    <w:p w14:paraId="29F5D0D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除专用合同条款另有约定外，监理人在施工现场的办公场所、生活场所由承包人提供，所发生的费用由发包人承担。</w:t>
      </w:r>
    </w:p>
    <w:p w14:paraId="18F5BA6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18" w:name="_Toc351203529"/>
      <w:r>
        <w:rPr>
          <w:rFonts w:hint="eastAsia" w:ascii="宋体" w:hAnsi="宋体" w:eastAsia="宋体" w:cs="宋体"/>
          <w:b w:val="0"/>
          <w:color w:val="auto"/>
          <w:sz w:val="21"/>
          <w:szCs w:val="21"/>
          <w:highlight w:val="none"/>
          <w:lang w:eastAsia="zh-CN"/>
        </w:rPr>
        <w:t>4</w:t>
      </w:r>
      <w:bookmarkStart w:id="419" w:name="_Toc337558755"/>
      <w:r>
        <w:rPr>
          <w:rFonts w:hint="eastAsia" w:ascii="宋体" w:hAnsi="宋体" w:eastAsia="宋体" w:cs="宋体"/>
          <w:b w:val="0"/>
          <w:color w:val="auto"/>
          <w:sz w:val="21"/>
          <w:szCs w:val="21"/>
          <w:highlight w:val="none"/>
          <w:lang w:eastAsia="zh-CN"/>
        </w:rPr>
        <w:t>.2监理人员</w:t>
      </w:r>
      <w:bookmarkEnd w:id="418"/>
    </w:p>
    <w:bookmarkEnd w:id="419"/>
    <w:p w14:paraId="563EB71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授予监理人对工程实施监理的权利由监理人派驻施工现场的监理人员行使，监理人员包括总监理工程师及监理工程师。监理人应将授权的总监理工程师和监理工程师的姓名及授权范围以书面形式提前通知承包人。更换总监理工程师的，监理人应提前7天书面通知承包人；更换其他监理人员，监理人应提前48小时书面通知承包人。</w:t>
      </w:r>
    </w:p>
    <w:p w14:paraId="5035CAE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20" w:name="_Toc351203530"/>
      <w:r>
        <w:rPr>
          <w:rFonts w:hint="eastAsia" w:ascii="宋体" w:hAnsi="宋体" w:eastAsia="宋体" w:cs="宋体"/>
          <w:b w:val="0"/>
          <w:color w:val="auto"/>
          <w:sz w:val="21"/>
          <w:szCs w:val="21"/>
          <w:highlight w:val="none"/>
          <w:lang w:eastAsia="zh-CN"/>
        </w:rPr>
        <w:t>4</w:t>
      </w:r>
      <w:bookmarkStart w:id="421" w:name="_Toc296346556"/>
      <w:bookmarkStart w:id="422" w:name="_Toc296503055"/>
      <w:bookmarkStart w:id="423" w:name="_Toc337558756"/>
      <w:r>
        <w:rPr>
          <w:rFonts w:hint="eastAsia" w:ascii="宋体" w:hAnsi="宋体" w:eastAsia="宋体" w:cs="宋体"/>
          <w:b w:val="0"/>
          <w:color w:val="auto"/>
          <w:sz w:val="21"/>
          <w:szCs w:val="21"/>
          <w:highlight w:val="none"/>
          <w:lang w:eastAsia="zh-CN"/>
        </w:rPr>
        <w:t>.3</w:t>
      </w:r>
      <w:bookmarkEnd w:id="421"/>
      <w:bookmarkEnd w:id="422"/>
      <w:r>
        <w:rPr>
          <w:rFonts w:hint="eastAsia" w:ascii="宋体" w:hAnsi="宋体" w:eastAsia="宋体" w:cs="宋体"/>
          <w:b w:val="0"/>
          <w:color w:val="auto"/>
          <w:sz w:val="21"/>
          <w:szCs w:val="21"/>
          <w:highlight w:val="none"/>
          <w:lang w:eastAsia="zh-CN"/>
        </w:rPr>
        <w:t>监理人的指</w:t>
      </w:r>
      <w:bookmarkEnd w:id="423"/>
      <w:r>
        <w:rPr>
          <w:rFonts w:hint="eastAsia" w:ascii="宋体" w:hAnsi="宋体" w:eastAsia="宋体" w:cs="宋体"/>
          <w:b w:val="0"/>
          <w:color w:val="auto"/>
          <w:sz w:val="21"/>
          <w:szCs w:val="21"/>
          <w:highlight w:val="none"/>
          <w:lang w:eastAsia="zh-CN"/>
        </w:rPr>
        <w:t>示</w:t>
      </w:r>
      <w:bookmarkEnd w:id="420"/>
    </w:p>
    <w:p w14:paraId="572FE51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应按照发包人的授权发出监理指示。监理人的指示应采用书面形式，并经其授权的监理人员签字。紧急情况下，为了保证施工人员的安全或避免工程受损，监理人员可以口头形式发出指示，该指示与书面形式的指示具有同等法律效力，但必须在发出口头指示后24小时内补发书面监理指示，补发的书面监理指示应与口头指示一致。</w:t>
      </w:r>
    </w:p>
    <w:p w14:paraId="77ECEBF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发出的指示应送达承包人项目经理或经项目经理授权接收的人员。因监理人未能按合同约定发出指示、指示延误或发出了错误指示而导致承包人费用增加和（或）工期延误的，由发包人承担相应责任。除专用合同条款另有约定外，总监理工程师不应将第4.4款〔商定或确定〕约定应由总监理工程师作出确定的权力授权或委托给其他监理人员。</w:t>
      </w:r>
    </w:p>
    <w:p w14:paraId="372D96F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承包人对监理人发出的指示有疑问的，应向监理人提出书面异议，监理人应在48小时内对该指示予以确认、更改或撤销，监理人逾期未回复的，承包人有权拒绝执行上述指示。</w:t>
      </w:r>
    </w:p>
    <w:p w14:paraId="1DBC6FE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监理人对承包人的任何工作、工程或其采用的材料和工程设备未在约定的或合理期限内提出意见的，视为批准，但不免除或减轻承包人对该工作、工程、材料、工程设备等应承担的责任和义务。</w:t>
      </w:r>
    </w:p>
    <w:p w14:paraId="547764D6">
      <w:pPr>
        <w:pStyle w:val="5"/>
        <w:spacing w:before="120" w:after="120"/>
        <w:ind w:firstLine="420" w:firstLineChars="200"/>
        <w:rPr>
          <w:rFonts w:hint="eastAsia" w:ascii="宋体" w:hAnsi="宋体" w:eastAsia="宋体" w:cs="宋体"/>
          <w:b w:val="0"/>
          <w:color w:val="auto"/>
          <w:sz w:val="21"/>
          <w:szCs w:val="21"/>
          <w:highlight w:val="none"/>
          <w:lang w:eastAsia="zh-CN"/>
        </w:rPr>
      </w:pPr>
      <w:bookmarkStart w:id="424" w:name="_Toc351203531"/>
      <w:r>
        <w:rPr>
          <w:rFonts w:hint="eastAsia" w:ascii="宋体" w:hAnsi="宋体" w:eastAsia="宋体" w:cs="宋体"/>
          <w:b w:val="0"/>
          <w:color w:val="auto"/>
          <w:sz w:val="21"/>
          <w:szCs w:val="21"/>
          <w:highlight w:val="none"/>
          <w:lang w:eastAsia="zh-CN"/>
        </w:rPr>
        <w:t>4</w:t>
      </w:r>
      <w:bookmarkStart w:id="425" w:name="_Toc296503057"/>
      <w:bookmarkStart w:id="426" w:name="_Toc337558757"/>
      <w:bookmarkStart w:id="427" w:name="_Toc296346558"/>
      <w:r>
        <w:rPr>
          <w:rFonts w:hint="eastAsia" w:ascii="宋体" w:hAnsi="宋体" w:eastAsia="宋体" w:cs="宋体"/>
          <w:b w:val="0"/>
          <w:color w:val="auto"/>
          <w:sz w:val="21"/>
          <w:szCs w:val="21"/>
          <w:highlight w:val="none"/>
          <w:lang w:eastAsia="zh-CN"/>
        </w:rPr>
        <w:t>.4 商定或确定</w:t>
      </w:r>
      <w:bookmarkEnd w:id="424"/>
    </w:p>
    <w:bookmarkEnd w:id="425"/>
    <w:bookmarkEnd w:id="426"/>
    <w:bookmarkEnd w:id="427"/>
    <w:p w14:paraId="3E33732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合同当事人进行商定或确定时，总监理工程师应当会同合同当事人尽量通过协商达成一致，不能达成一致的，由总监理工程师按照合同约定审慎做出公正的确定。</w:t>
      </w:r>
    </w:p>
    <w:p w14:paraId="0E19E2C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总监理工程师应将确定以书面形式通知发包人和承包人，并附详细依据。合同当事人对总监理工程师的确定没有异议的，按照总监理工程师的确定执行。任何一方合同当事人有异议，按照第20条〔争议解决〕约定处理。争议解决前，合同当事人暂按总监理工程师的确定执行；争议解决后，争议解决的结果与总监理工程师的确定不一致的，按照争议解决的结果执行，由此造成的损失由责任人承担。</w:t>
      </w:r>
    </w:p>
    <w:p w14:paraId="1CF93A05">
      <w:pPr>
        <w:pStyle w:val="5"/>
        <w:spacing w:before="120" w:after="120"/>
        <w:rPr>
          <w:rFonts w:hint="eastAsia" w:ascii="宋体" w:hAnsi="宋体" w:eastAsia="宋体" w:cs="宋体"/>
          <w:b w:val="0"/>
          <w:color w:val="auto"/>
          <w:sz w:val="21"/>
          <w:szCs w:val="21"/>
          <w:highlight w:val="none"/>
          <w:lang w:eastAsia="zh-CN"/>
        </w:rPr>
      </w:pPr>
      <w:bookmarkStart w:id="428" w:name="_Toc351203532"/>
      <w:r>
        <w:rPr>
          <w:rFonts w:hint="eastAsia" w:ascii="宋体" w:hAnsi="宋体" w:eastAsia="宋体" w:cs="宋体"/>
          <w:b w:val="0"/>
          <w:color w:val="auto"/>
          <w:sz w:val="21"/>
          <w:szCs w:val="21"/>
          <w:highlight w:val="none"/>
          <w:lang w:eastAsia="zh-CN"/>
        </w:rPr>
        <w:t>5</w:t>
      </w:r>
      <w:bookmarkStart w:id="429" w:name="_Toc337558758"/>
      <w:r>
        <w:rPr>
          <w:rFonts w:hint="eastAsia" w:ascii="宋体" w:hAnsi="宋体" w:eastAsia="宋体" w:cs="宋体"/>
          <w:b w:val="0"/>
          <w:color w:val="auto"/>
          <w:sz w:val="21"/>
          <w:szCs w:val="21"/>
          <w:highlight w:val="none"/>
          <w:lang w:eastAsia="zh-CN"/>
        </w:rPr>
        <w:t>. 工程质量</w:t>
      </w:r>
      <w:bookmarkEnd w:id="428"/>
    </w:p>
    <w:bookmarkEnd w:id="429"/>
    <w:p w14:paraId="647309C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30" w:name="_Toc351203533"/>
      <w:r>
        <w:rPr>
          <w:rFonts w:hint="eastAsia" w:ascii="宋体" w:hAnsi="宋体" w:eastAsia="宋体" w:cs="宋体"/>
          <w:b w:val="0"/>
          <w:color w:val="auto"/>
          <w:sz w:val="21"/>
          <w:szCs w:val="21"/>
          <w:highlight w:val="none"/>
          <w:lang w:eastAsia="zh-CN"/>
        </w:rPr>
        <w:t>5</w:t>
      </w:r>
      <w:bookmarkStart w:id="431" w:name="_Toc337558759"/>
      <w:r>
        <w:rPr>
          <w:rFonts w:hint="eastAsia" w:ascii="宋体" w:hAnsi="宋体" w:eastAsia="宋体" w:cs="宋体"/>
          <w:b w:val="0"/>
          <w:color w:val="auto"/>
          <w:sz w:val="21"/>
          <w:szCs w:val="21"/>
          <w:highlight w:val="none"/>
          <w:lang w:eastAsia="zh-CN"/>
        </w:rPr>
        <w:t>.1质量要求</w:t>
      </w:r>
      <w:bookmarkEnd w:id="430"/>
    </w:p>
    <w:bookmarkEnd w:id="431"/>
    <w:p w14:paraId="4E72483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5.1.1 工程质量标准必须符合现行国家有关工程施工质量验收规范和标准的要求。有关工程质量的特殊标准或要求由合同当事人在专用合同条款中约定。</w:t>
      </w:r>
    </w:p>
    <w:p w14:paraId="4E2C6D1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5.1.2 因发包人原因造成工程质量未达到合同约定标准的，由发包人承担由此增加的费用和（或）延误的工期，并支付承包人合理的利润。</w:t>
      </w:r>
    </w:p>
    <w:p w14:paraId="1A8E81D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5.1.3 因承包人原因造成工程质量未达到合同约定标准的，发包人有权要求承包人返工直至工程质量达到合同约定的标准为止，并由承包人承担由此增加的费用和（或）延误的工期。</w:t>
      </w:r>
    </w:p>
    <w:p w14:paraId="593D90A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32" w:name="_Toc351203534"/>
      <w:r>
        <w:rPr>
          <w:rFonts w:hint="eastAsia" w:ascii="宋体" w:hAnsi="宋体" w:eastAsia="宋体" w:cs="宋体"/>
          <w:b w:val="0"/>
          <w:color w:val="auto"/>
          <w:sz w:val="21"/>
          <w:szCs w:val="21"/>
          <w:highlight w:val="none"/>
          <w:lang w:eastAsia="zh-CN"/>
        </w:rPr>
        <w:t>5</w:t>
      </w:r>
      <w:bookmarkStart w:id="433" w:name="_Toc337558760"/>
      <w:r>
        <w:rPr>
          <w:rFonts w:hint="eastAsia" w:ascii="宋体" w:hAnsi="宋体" w:eastAsia="宋体" w:cs="宋体"/>
          <w:b w:val="0"/>
          <w:color w:val="auto"/>
          <w:sz w:val="21"/>
          <w:szCs w:val="21"/>
          <w:highlight w:val="none"/>
          <w:lang w:eastAsia="zh-CN"/>
        </w:rPr>
        <w:t>.2质量保证措施</w:t>
      </w:r>
      <w:bookmarkEnd w:id="432"/>
    </w:p>
    <w:bookmarkEnd w:id="433"/>
    <w:p w14:paraId="1CEA54E5">
      <w:pPr>
        <w:spacing w:line="360" w:lineRule="auto"/>
        <w:ind w:firstLine="420" w:firstLineChars="200"/>
        <w:outlineLvl w:val="9"/>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5.2.1 发包人的质量管理</w:t>
      </w:r>
    </w:p>
    <w:p w14:paraId="018F97E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发包人应按照法律规定及合同约定完成与工程质量有关的各项工作。</w:t>
      </w:r>
    </w:p>
    <w:p w14:paraId="5DB5D6C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5.2.2 承包人的质量管理</w:t>
      </w:r>
    </w:p>
    <w:p w14:paraId="75CA7AE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按照第7.1款〔施工组织设计〕约定向发包人和监理人提交工程质量保证体系及措施文件，建立完善的质量检查制度，并提交相应的工程质量文件。对于发包人和监理人违反法律规定和合同约定的错误指示，承包人有权拒绝实施。</w:t>
      </w:r>
    </w:p>
    <w:p w14:paraId="21B54D2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承包人应对施工人员进行质量教育和技术培训，定期考核施工人员的劳动技能，严格执行施工规范和操作规程。</w:t>
      </w:r>
    </w:p>
    <w:p w14:paraId="24585B5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照法律规定和发包人的要求，对材料、工程设备以及工程的所有部位及其施工工艺进行全过程的质量检查和检验，并作详细记录，编制工程质量报表，报送监理人审查。此外，承包人还应按照法律规定和发包人的要求，进行施工现场取样试验、工程复核测量和设备性能检测，提供试验样品、提交试验报告和测量成果以及其他工作。</w:t>
      </w:r>
    </w:p>
    <w:p w14:paraId="313EC6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5.2.3 监理人的质量检查和检验</w:t>
      </w:r>
    </w:p>
    <w:p w14:paraId="32C1F48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按照法律规定和发包人授权对工程的所有部位及其施工工艺、材料和工程设备进行检查和检验。承包人应为监理人的检查和检验提供方便，包括监理人到施工现场，或制造、加工地点，或合同约定的其他地方进行察看和查阅施工原始记录。监理人为此进行的检查和检验，不免除或减轻承包人按照合同约定应当承担的责任。</w:t>
      </w:r>
    </w:p>
    <w:p w14:paraId="1DA74D0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的检查和检验不应影响施工正常进行。监理人的检查和检验影响施工正常进行的，且经检查检验不合格的，影响正常施工的费用由承包人承担，工期不予顺延；经检查检验合格的，由此增加的费用和（或）延误的工期由发包人承担。</w:t>
      </w:r>
    </w:p>
    <w:p w14:paraId="1593D11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34" w:name="_Toc351203535"/>
      <w:r>
        <w:rPr>
          <w:rFonts w:hint="eastAsia" w:ascii="宋体" w:hAnsi="宋体" w:eastAsia="宋体" w:cs="宋体"/>
          <w:b w:val="0"/>
          <w:color w:val="auto"/>
          <w:sz w:val="21"/>
          <w:szCs w:val="21"/>
          <w:highlight w:val="none"/>
          <w:lang w:eastAsia="zh-CN"/>
        </w:rPr>
        <w:t>5</w:t>
      </w:r>
      <w:bookmarkStart w:id="435" w:name="_Toc337558761"/>
      <w:r>
        <w:rPr>
          <w:rFonts w:hint="eastAsia" w:ascii="宋体" w:hAnsi="宋体" w:eastAsia="宋体" w:cs="宋体"/>
          <w:b w:val="0"/>
          <w:color w:val="auto"/>
          <w:sz w:val="21"/>
          <w:szCs w:val="21"/>
          <w:highlight w:val="none"/>
          <w:lang w:eastAsia="zh-CN"/>
        </w:rPr>
        <w:t>.3 隐蔽工程检查</w:t>
      </w:r>
      <w:bookmarkEnd w:id="434"/>
    </w:p>
    <w:bookmarkEnd w:id="435"/>
    <w:p w14:paraId="76FD0B7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5.3.1承包人自检</w:t>
      </w:r>
    </w:p>
    <w:p w14:paraId="574E1CD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承包人应当对工程隐蔽部位进行自检，并经自检确认是否具备覆盖条件。</w:t>
      </w:r>
    </w:p>
    <w:p w14:paraId="48C6F8E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5.3.2检查程序</w:t>
      </w:r>
    </w:p>
    <w:p w14:paraId="299E0B1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工程隐蔽部位经承包人自检确认具备覆盖条件的，承包人应在共同检查前48小时书面通知监理人检查，通知中应载明隐蔽检查的内容、时间和地点，并应附有自检记录和必要的检查资料。</w:t>
      </w:r>
    </w:p>
    <w:p w14:paraId="34E2937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应按时到场并对隐蔽工程及其施工工艺、材料和工程设备进行检查。经监理人检查确认质量符合隐蔽要求，并在验收记录上签字后，承包人才能进行覆盖。经监理人检查质量不合格的，承包人应在监理人指示的时间内完成修复，并由监理人重新检查，由此增加的费用和（或）延误的工期由承包人承担。</w:t>
      </w:r>
    </w:p>
    <w:p w14:paraId="75EC6E6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监理人不能按时进行检查的，应在检查前24小时向承包人提交书面延期要求，但延期不能超过48小时，由此导致工期延误的，工期应予以顺延。监理人未按时进行检查，也未提出延期要求的，视为隐蔽工程检查合格，承包人可自行完成覆盖工作，并作相应记录报送监理人，监理人应签字确认。监理人事后对检查记录有疑问的，可按第5.3.3项〔重新检查〕的约定重新检查。</w:t>
      </w:r>
    </w:p>
    <w:p w14:paraId="7C1229B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5.3.3 重新检查</w:t>
      </w:r>
    </w:p>
    <w:p w14:paraId="2EAAD3D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覆盖工程隐蔽部位后，发包人或监理人对质量有疑问的，可要求承包人对已覆盖的部位进行钻孔探测或揭开重新检查，承包人应遵照执行，并在检查后重新覆盖恢复原状。经检查证明工程质量符合合同要求的，由发包人承担由此增加的费用和（或）延误的工期，并支付承包人合理的利润；经检查证明工程质量不符合合同要求的，由此增加的费用和（或）延误的工期由承包人承担。</w:t>
      </w:r>
    </w:p>
    <w:p w14:paraId="797B484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5.3.4 承包人私自覆盖</w:t>
      </w:r>
    </w:p>
    <w:p w14:paraId="17A2ACD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承包人未通知监理人到场检查，私自将工程隐蔽部位覆盖的，监理人有权指示承包人钻孔探测或揭开检查，无论工程隐蔽部位质量是否合格，由此增加的费用和（或）延误的工期均由承包人承担。</w:t>
      </w:r>
    </w:p>
    <w:p w14:paraId="659EC0A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36" w:name="_Toc351203536"/>
      <w:r>
        <w:rPr>
          <w:rFonts w:hint="eastAsia" w:ascii="宋体" w:hAnsi="宋体" w:eastAsia="宋体" w:cs="宋体"/>
          <w:b w:val="0"/>
          <w:color w:val="auto"/>
          <w:sz w:val="21"/>
          <w:szCs w:val="21"/>
          <w:highlight w:val="none"/>
          <w:lang w:eastAsia="zh-CN"/>
        </w:rPr>
        <w:t>5</w:t>
      </w:r>
      <w:bookmarkStart w:id="437" w:name="_Toc337558762"/>
      <w:r>
        <w:rPr>
          <w:rFonts w:hint="eastAsia" w:ascii="宋体" w:hAnsi="宋体" w:eastAsia="宋体" w:cs="宋体"/>
          <w:b w:val="0"/>
          <w:color w:val="auto"/>
          <w:sz w:val="21"/>
          <w:szCs w:val="21"/>
          <w:highlight w:val="none"/>
          <w:lang w:eastAsia="zh-CN"/>
        </w:rPr>
        <w:t>.4不合格工程的处理</w:t>
      </w:r>
      <w:bookmarkEnd w:id="436"/>
    </w:p>
    <w:bookmarkEnd w:id="437"/>
    <w:p w14:paraId="21F59B0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5.4.1 因承包人原因造成工程不合格的，发包人有权随时要求承包人采取补救措施，直至达到合同要求的质量标准，由此增加的费用和（或）延误的工期由承包人承担。无法补救的，按照第13.2.4项〔拒绝接收全部或部分工程〕约定执行。 </w:t>
      </w:r>
    </w:p>
    <w:p w14:paraId="72F47D2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5.4.2 因发包人原因造成工程不合格的，由此增加的费用和（或）延误的工期由发包人承担，并支付承包人合理的利润。</w:t>
      </w:r>
    </w:p>
    <w:p w14:paraId="37B71D8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38" w:name="_Toc351203537"/>
      <w:r>
        <w:rPr>
          <w:rFonts w:hint="eastAsia" w:ascii="宋体" w:hAnsi="宋体" w:eastAsia="宋体" w:cs="宋体"/>
          <w:b w:val="0"/>
          <w:color w:val="auto"/>
          <w:sz w:val="21"/>
          <w:szCs w:val="21"/>
          <w:highlight w:val="none"/>
          <w:lang w:eastAsia="zh-CN"/>
        </w:rPr>
        <w:t>5.5 质量争议检测</w:t>
      </w:r>
      <w:bookmarkEnd w:id="438"/>
    </w:p>
    <w:p w14:paraId="3EDB1DD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合同当事人对工程质量有争议的，由双方协商确定的工程质量检测机构鉴定，由此产生的费用及因此造成的损失，由责任方承担。</w:t>
      </w:r>
    </w:p>
    <w:p w14:paraId="45915DB3">
      <w:pP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合同当事人均有责任的，由双方根据其责任分别承担。合同当事人无法达成一致的，按照第4.4款〔商定或确定〕执行。</w:t>
      </w:r>
    </w:p>
    <w:p w14:paraId="221E60D0">
      <w:pPr>
        <w:pStyle w:val="5"/>
        <w:spacing w:before="120" w:after="120"/>
        <w:rPr>
          <w:rFonts w:hint="eastAsia" w:ascii="宋体" w:hAnsi="宋体" w:eastAsia="宋体" w:cs="宋体"/>
          <w:b w:val="0"/>
          <w:color w:val="auto"/>
          <w:sz w:val="21"/>
          <w:szCs w:val="21"/>
          <w:highlight w:val="none"/>
          <w:lang w:eastAsia="zh-CN"/>
        </w:rPr>
      </w:pPr>
      <w:bookmarkStart w:id="439" w:name="_Toc351203538"/>
      <w:r>
        <w:rPr>
          <w:rFonts w:hint="eastAsia" w:ascii="宋体" w:hAnsi="宋体" w:eastAsia="宋体" w:cs="宋体"/>
          <w:b w:val="0"/>
          <w:color w:val="auto"/>
          <w:sz w:val="21"/>
          <w:szCs w:val="21"/>
          <w:highlight w:val="none"/>
          <w:lang w:eastAsia="zh-CN"/>
        </w:rPr>
        <w:t>6</w:t>
      </w:r>
      <w:bookmarkStart w:id="440" w:name="_Toc337558763"/>
      <w:r>
        <w:rPr>
          <w:rFonts w:hint="eastAsia" w:ascii="宋体" w:hAnsi="宋体" w:eastAsia="宋体" w:cs="宋体"/>
          <w:b w:val="0"/>
          <w:color w:val="auto"/>
          <w:sz w:val="21"/>
          <w:szCs w:val="21"/>
          <w:highlight w:val="none"/>
          <w:lang w:eastAsia="zh-CN"/>
        </w:rPr>
        <w:t>. 安全文明施工与环境保护</w:t>
      </w:r>
      <w:bookmarkEnd w:id="439"/>
    </w:p>
    <w:bookmarkEnd w:id="440"/>
    <w:p w14:paraId="7B93289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41" w:name="_Toc351203539"/>
      <w:r>
        <w:rPr>
          <w:rFonts w:hint="eastAsia" w:ascii="宋体" w:hAnsi="宋体" w:eastAsia="宋体" w:cs="宋体"/>
          <w:b w:val="0"/>
          <w:color w:val="auto"/>
          <w:sz w:val="21"/>
          <w:szCs w:val="21"/>
          <w:highlight w:val="none"/>
          <w:lang w:eastAsia="zh-CN"/>
        </w:rPr>
        <w:t>6</w:t>
      </w:r>
      <w:bookmarkStart w:id="442" w:name="_Toc337558764"/>
      <w:r>
        <w:rPr>
          <w:rFonts w:hint="eastAsia" w:ascii="宋体" w:hAnsi="宋体" w:eastAsia="宋体" w:cs="宋体"/>
          <w:b w:val="0"/>
          <w:color w:val="auto"/>
          <w:sz w:val="21"/>
          <w:szCs w:val="21"/>
          <w:highlight w:val="none"/>
          <w:lang w:eastAsia="zh-CN"/>
        </w:rPr>
        <w:t>.1安全文明施工</w:t>
      </w:r>
      <w:bookmarkEnd w:id="441"/>
    </w:p>
    <w:bookmarkEnd w:id="442"/>
    <w:p w14:paraId="50E9945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6.1.1安全生产要求</w:t>
      </w:r>
    </w:p>
    <w:p w14:paraId="05000C2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履行期间，合同当事人均应当遵守国家和工程所在地有关安全生产的要求，合同当事人有特别要求的，应在专用合同条款中明确施工项目安全生产标准化达标目标及相应事项。承包人有权拒绝发包人及监理人强令承包人违章作业、冒险施工的任何指示。</w:t>
      </w:r>
    </w:p>
    <w:p w14:paraId="64E5032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在施工过程中，如遇到突发的地质变动、事先未知的地下施工障碍等影响施工安全的紧急情况，承包人应及时报告监理人和发包人，发包人应当及时下令停工并报政府有关行政管理部门采取应急措施。</w:t>
      </w:r>
    </w:p>
    <w:p w14:paraId="39D1618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因安全生产需要暂停施工的，按照第7.8款〔暂停施工〕的约定执行。</w:t>
      </w:r>
    </w:p>
    <w:p w14:paraId="721F4A6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6.1.2 安全生产保证措施</w:t>
      </w:r>
    </w:p>
    <w:p w14:paraId="1900743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当按照有关规定编制安全技术措施或者专项施工方案，建立安全生产责任制度、治安保卫制度及安全生产教育培训制度，并按安全生产法律规定及合同约定履行安全职责，如实编制工程安全生产的有关记录，接受发包人、监理人及政府安全监督部门的检查与监督。</w:t>
      </w:r>
    </w:p>
    <w:p w14:paraId="664CD6D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6.1.3特别安全生产事项</w:t>
      </w:r>
    </w:p>
    <w:p w14:paraId="1531BDA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承包人应按照法律规定进行施工，开工前做好安全技术交底工作，施工过程中做好各项安全防护措施。承包人为实施合同而雇用的特殊工种的人员应受过专门的培训并已取得政府有关管理机构颁发的上岗证书。</w:t>
      </w:r>
    </w:p>
    <w:p w14:paraId="7903A11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承包人在动力设备、输电线路、地下管道、密封防震车间、易燃易爆地段以及临街交通要道附近施工时，施工开始前应向发包人和监理人提出安全防护措施，经发包人认可后实施。 </w:t>
      </w:r>
    </w:p>
    <w:p w14:paraId="7C948CF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实施爆破作业，在放射、毒害性环境中施工（含储存、运输、使用）及使用毒害性、腐蚀性物品施工时，承包人应在施工前7天以书面通知发包人和监理人，并报送相应的安全防护措施，经发包人认可后实施。</w:t>
      </w:r>
    </w:p>
    <w:p w14:paraId="53FE834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需单独编制危险性较大分部分项专项工程施工方案的，及要求进行专家论证的超过一定规模的危险性较大的分部分项工程，承包人应及时编制和组织论证。</w:t>
      </w:r>
    </w:p>
    <w:p w14:paraId="3C060BC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6.1.4 治安保卫</w:t>
      </w:r>
    </w:p>
    <w:p w14:paraId="42F2956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除专用合同条款另有约定外，发包人应与当地公安部门协商，在现场建立治安管理机构或联防组织，统一管理施工场地的治安保卫事项，履行合同工程的治安保卫职责。</w:t>
      </w:r>
    </w:p>
    <w:p w14:paraId="1C2767E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发包人和承包人除应协助现场治安管理机构或联防组织维护施工场地的社会治安外，还应做好包括生活区在内的各自管辖区的治安保卫工作。</w:t>
      </w:r>
    </w:p>
    <w:p w14:paraId="0DA0536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和承包人应在工程开工后7天内共同编制施工场地治安管理计划，并制定应对突发治安事件的紧急预案。在工程施工过程中，发生暴乱、爆炸等恐怖事件，以及群殴、械斗等群体性突发治安事件的，发包人和承包人应立即向当地政府报告。发包人和承包人应积极协助当地有关部门采取措施平息事态，防止事态扩大，尽量避免人员伤亡和财产损失。</w:t>
      </w:r>
    </w:p>
    <w:p w14:paraId="40A54EB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6.1.5 文明施工</w:t>
      </w:r>
    </w:p>
    <w:p w14:paraId="4785174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承包人在工程施工期间，应当采取措施保持施工现场平整，物料堆放整齐。工程所在地有关政府行政管理部门有特殊要求的，按照其要求执行。合同当事人对文明施工有其他要求的，可以在专用合同条款中明确。</w:t>
      </w:r>
    </w:p>
    <w:p w14:paraId="565D58B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工程移交之前，承包人应当从施工现场清除承包人的全部工程设备、多余材料、垃圾和各种临时工程，并保持施工现场清洁整齐。经发包人书面同意，承包人可在发包人指定的地点保留承包人履行保修期内的各项义务所需要的材料、施工设备和临时工程。</w:t>
      </w:r>
    </w:p>
    <w:p w14:paraId="325D59E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6.1.6 安全文明施工费</w:t>
      </w:r>
    </w:p>
    <w:p w14:paraId="3C7169A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安全文明施工费由发包人承担，发包人不得以任何形式扣减该部分费用。因基准日期后合同所适用的法律或政府有关规定发生变化，增加的安全文明施工费由发包人承担。</w:t>
      </w:r>
    </w:p>
    <w:p w14:paraId="1016604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经发包人同意采取合同约定以外的安全措施所产生的费用，由发包人承担。未经发包人同意的，如果该措施避免了发包人的损失，则发包人在避免损失的额度内承担该措施费。如果该措施避免了承包人的损失，由承包人承担该措施费。</w:t>
      </w:r>
    </w:p>
    <w:p w14:paraId="63DFCD9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应在开工后28天内预付安全文明施工费总额的50%，其余部分与进度款同期支付。发包人逾期支付安全文明施工费超过7天的，承包人有权向发包人发出要求预付的催告通知，发包人收到通知后7天内仍未支付的，承包人有权暂停施工，并按第16.1.1项〔发包人违约的情形〕执行。</w:t>
      </w:r>
    </w:p>
    <w:p w14:paraId="7D60B30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对安全文明施工费应专款专用，承包人应在财务账目中单独列项备查，不得挪作他用，否则发包人有权责令其限期改正；逾期未改正的，可以责令其暂停施工，由此增加的费用和（或）延误的工期由承包人承担。</w:t>
      </w:r>
    </w:p>
    <w:p w14:paraId="5895B5F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6.1.7 紧急情况处理</w:t>
      </w:r>
    </w:p>
    <w:p w14:paraId="23747AC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工程实施期间或缺陷责任期内发生危及工程安全的事件，监理人通知承包人进行抢救，承包人声明无能力或不愿立即执行的，发包人有权雇佣其他人员进行抢救。此类抢救按合同约定属于承包人义务的，由此增加的费用和（或）延误的工期由承包人承担。</w:t>
      </w:r>
    </w:p>
    <w:p w14:paraId="0C7CC9A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6.1.8 事故处理</w:t>
      </w:r>
    </w:p>
    <w:p w14:paraId="3E37E39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程施工过程中发生事故的，承包人应立即通知监理人，监理人应立即通知发包人。发包人和承包人应立即组织人员和设备进行紧急抢救和抢修，减少人员伤亡和财产损失，防止事故扩大，并保护事故现场。需要移动现场物品时，应作出标记和书面记录，妥善保管有关证据。发包人和承包人应按国家有关规定，及时如实地向有关部门报告事故发生的情况，以及正在采取的紧急措施等。</w:t>
      </w:r>
    </w:p>
    <w:p w14:paraId="2D0A7C5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6.1.9 安全生产责任</w:t>
      </w:r>
    </w:p>
    <w:p w14:paraId="59C4B6E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6.1.9.1 发包人的安全责任</w:t>
      </w:r>
    </w:p>
    <w:p w14:paraId="46E9106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发包人应负责赔偿以下各种情况造成的损失：</w:t>
      </w:r>
    </w:p>
    <w:p w14:paraId="4E427B5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（1）工程或工程的任何部分对土地的占用所造成的第三者财产损失；</w:t>
      </w:r>
    </w:p>
    <w:p w14:paraId="6C06C94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（2）由于发包人原因在施工场地及其毗邻地带造成的第三者人身伤亡和财产损失；</w:t>
      </w:r>
    </w:p>
    <w:p w14:paraId="2100962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（3）由于发包人原因对承包人、监理人造成的人员人身伤亡和财产损失；</w:t>
      </w:r>
    </w:p>
    <w:p w14:paraId="24A8305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（4）由于发包人原因造成的发包人自身人员的人身伤害以及财产损失。</w:t>
      </w:r>
    </w:p>
    <w:p w14:paraId="27AC52A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6.1.9.2 承包人的安全责任</w:t>
      </w:r>
    </w:p>
    <w:p w14:paraId="6DAB01F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由于承包人原因在施工场地内及其毗邻地带造成的发包人、监理人以及第三者人员伤亡和财产损失，由承包人负责赔偿。</w:t>
      </w:r>
    </w:p>
    <w:p w14:paraId="485889A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43" w:name="_Toc351203540"/>
      <w:r>
        <w:rPr>
          <w:rFonts w:hint="eastAsia" w:ascii="宋体" w:hAnsi="宋体" w:eastAsia="宋体" w:cs="宋体"/>
          <w:b w:val="0"/>
          <w:color w:val="auto"/>
          <w:sz w:val="21"/>
          <w:szCs w:val="21"/>
          <w:highlight w:val="none"/>
          <w:lang w:eastAsia="zh-CN"/>
        </w:rPr>
        <w:t>6</w:t>
      </w:r>
      <w:bookmarkStart w:id="444" w:name="_Toc337558765"/>
      <w:r>
        <w:rPr>
          <w:rFonts w:hint="eastAsia" w:ascii="宋体" w:hAnsi="宋体" w:eastAsia="宋体" w:cs="宋体"/>
          <w:b w:val="0"/>
          <w:color w:val="auto"/>
          <w:sz w:val="21"/>
          <w:szCs w:val="21"/>
          <w:highlight w:val="none"/>
          <w:lang w:eastAsia="zh-CN"/>
        </w:rPr>
        <w:t>.2 职业健康</w:t>
      </w:r>
      <w:bookmarkEnd w:id="443"/>
    </w:p>
    <w:bookmarkEnd w:id="444"/>
    <w:p w14:paraId="0687F62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6.2.1 劳动保护</w:t>
      </w:r>
    </w:p>
    <w:p w14:paraId="3C64F99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照法律规定安排现场施工人员的劳动和休息时间，保障劳动者的休息时间，并支付合理的报酬和费用。承包人应依法为其履行合同所雇用的人员办理必要的证件、许可、保险和注册等，承包人应督促其分包人为分包人所雇用的人员办理必要的证件、许可、保险和注册等。</w:t>
      </w:r>
    </w:p>
    <w:p w14:paraId="4A284AF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照法律规定保障现场施工人员的劳动安全，并提供劳动保护,并应按国家有关劳动保护的规定，采取有效的防止粉尘、降低噪声、控制有害气体和保障高温、高寒、高空作业安全等劳动保护措施。承包人雇佣人员在施工中受到伤害的，承包人应立即采取有效措施进行抢救和治疗。</w:t>
      </w:r>
    </w:p>
    <w:p w14:paraId="3CF7AF6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承包人应按法律规定安排工作时间，保证其雇佣人员享有休息和休假的权利。因工程施工的特殊需要占用休假日或延长工作时间的，应不超过法律规定的限度，并按法律规定给予补休或付酬。</w:t>
      </w:r>
    </w:p>
    <w:p w14:paraId="549ABB4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6.2.2 生活条件</w:t>
      </w:r>
    </w:p>
    <w:p w14:paraId="1F41FC1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承包人应为其履行合同所雇用的人员提供必要的膳宿条件和生活环境；承包人应采取有效措施预防传染病，保证施工人员的健康，并定期对施工现场、施工人员生活基地和工程进行防疫和卫生的专业检查和处理, 在远离城镇的施工场地，还应配备必要的伤病防治和急救的医务人员与医疗设施。</w:t>
      </w:r>
    </w:p>
    <w:p w14:paraId="2552D8C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45" w:name="_Toc351203541"/>
      <w:r>
        <w:rPr>
          <w:rFonts w:hint="eastAsia" w:ascii="宋体" w:hAnsi="宋体" w:eastAsia="宋体" w:cs="宋体"/>
          <w:b w:val="0"/>
          <w:color w:val="auto"/>
          <w:sz w:val="21"/>
          <w:szCs w:val="21"/>
          <w:highlight w:val="none"/>
          <w:lang w:eastAsia="zh-CN"/>
        </w:rPr>
        <w:t>6</w:t>
      </w:r>
      <w:bookmarkStart w:id="446" w:name="_Toc337558766"/>
      <w:r>
        <w:rPr>
          <w:rFonts w:hint="eastAsia" w:ascii="宋体" w:hAnsi="宋体" w:eastAsia="宋体" w:cs="宋体"/>
          <w:b w:val="0"/>
          <w:color w:val="auto"/>
          <w:sz w:val="21"/>
          <w:szCs w:val="21"/>
          <w:highlight w:val="none"/>
          <w:lang w:eastAsia="zh-CN"/>
        </w:rPr>
        <w:t>.3 环境保护</w:t>
      </w:r>
      <w:bookmarkEnd w:id="445"/>
    </w:p>
    <w:bookmarkEnd w:id="446"/>
    <w:p w14:paraId="0C087F6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承包人应在施工组织设计中列明环境保护的具体措施。在合同履行期间，承包人应采取合理措施保护施工现场环境。对施工作业过程中可能引起的大气、水、噪音以及固体废物污染采取具体可行的防范措施。</w:t>
      </w:r>
    </w:p>
    <w:p w14:paraId="1C99875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承包人应当承担因其原因引起的环境污染侵权损害赔偿责任，因上述环境污染引起纠纷而导致暂停施工的，由此增加的费用和（或）延误的工期由承包人承担。</w:t>
      </w:r>
    </w:p>
    <w:p w14:paraId="723EB73C">
      <w:pPr>
        <w:pStyle w:val="5"/>
        <w:spacing w:before="120" w:after="120"/>
        <w:rPr>
          <w:rFonts w:hint="eastAsia" w:ascii="宋体" w:hAnsi="宋体" w:eastAsia="宋体" w:cs="宋体"/>
          <w:b w:val="0"/>
          <w:color w:val="auto"/>
          <w:sz w:val="21"/>
          <w:szCs w:val="21"/>
          <w:highlight w:val="none"/>
          <w:lang w:eastAsia="zh-CN"/>
        </w:rPr>
      </w:pPr>
      <w:bookmarkStart w:id="447" w:name="_Toc351203542"/>
      <w:r>
        <w:rPr>
          <w:rFonts w:hint="eastAsia" w:ascii="宋体" w:hAnsi="宋体" w:eastAsia="宋体" w:cs="宋体"/>
          <w:b w:val="0"/>
          <w:color w:val="auto"/>
          <w:sz w:val="21"/>
          <w:szCs w:val="21"/>
          <w:highlight w:val="none"/>
          <w:lang w:eastAsia="zh-CN"/>
        </w:rPr>
        <w:t>7</w:t>
      </w:r>
      <w:bookmarkStart w:id="448" w:name="_Toc337558767"/>
      <w:r>
        <w:rPr>
          <w:rFonts w:hint="eastAsia" w:ascii="宋体" w:hAnsi="宋体" w:eastAsia="宋体" w:cs="宋体"/>
          <w:b w:val="0"/>
          <w:color w:val="auto"/>
          <w:sz w:val="21"/>
          <w:szCs w:val="21"/>
          <w:highlight w:val="none"/>
          <w:lang w:eastAsia="zh-CN"/>
        </w:rPr>
        <w:t>. 工期和进度</w:t>
      </w:r>
      <w:bookmarkEnd w:id="447"/>
    </w:p>
    <w:bookmarkEnd w:id="448"/>
    <w:p w14:paraId="0F116BDD">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49" w:name="_Toc351203543"/>
      <w:r>
        <w:rPr>
          <w:rFonts w:hint="eastAsia" w:ascii="宋体" w:hAnsi="宋体" w:eastAsia="宋体" w:cs="宋体"/>
          <w:b w:val="0"/>
          <w:color w:val="auto"/>
          <w:sz w:val="21"/>
          <w:szCs w:val="21"/>
          <w:highlight w:val="none"/>
          <w:lang w:eastAsia="zh-CN"/>
        </w:rPr>
        <w:t>7</w:t>
      </w:r>
      <w:bookmarkStart w:id="450" w:name="_Toc337558768"/>
      <w:bookmarkStart w:id="451" w:name="_Toc296503066"/>
      <w:bookmarkStart w:id="452" w:name="_Toc296346567"/>
      <w:r>
        <w:rPr>
          <w:rFonts w:hint="eastAsia" w:ascii="宋体" w:hAnsi="宋体" w:eastAsia="宋体" w:cs="宋体"/>
          <w:b w:val="0"/>
          <w:color w:val="auto"/>
          <w:sz w:val="21"/>
          <w:szCs w:val="21"/>
          <w:highlight w:val="none"/>
          <w:lang w:eastAsia="zh-CN"/>
        </w:rPr>
        <w:t>.1施工组织设计</w:t>
      </w:r>
      <w:bookmarkEnd w:id="449"/>
    </w:p>
    <w:bookmarkEnd w:id="450"/>
    <w:p w14:paraId="3649952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7.1.1 施工组织设计的内容</w:t>
      </w:r>
    </w:p>
    <w:p w14:paraId="2CC7C29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施工组织设计应包含以下内容：</w:t>
      </w:r>
    </w:p>
    <w:p w14:paraId="425900B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（1）施工方案； </w:t>
      </w:r>
    </w:p>
    <w:p w14:paraId="1A0FDD1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（2）施工现场平面布置图；</w:t>
      </w:r>
    </w:p>
    <w:p w14:paraId="19CFE22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（3）施工进度计划和保证措施； </w:t>
      </w:r>
    </w:p>
    <w:p w14:paraId="26C7F9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（4）劳动力及材料供应计划；</w:t>
      </w:r>
    </w:p>
    <w:p w14:paraId="1E1E466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（5）施工机械设备的选用；</w:t>
      </w:r>
    </w:p>
    <w:p w14:paraId="78C390A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（6）质量保证体系及措施；</w:t>
      </w:r>
    </w:p>
    <w:p w14:paraId="43E02B1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（7）安全生产、文明施工措施；</w:t>
      </w:r>
    </w:p>
    <w:p w14:paraId="557BA56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（8）环境保护、成本控制措施；</w:t>
      </w:r>
    </w:p>
    <w:p w14:paraId="138F7F3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（9）合同当事人约定的其他内容。</w:t>
      </w:r>
    </w:p>
    <w:p w14:paraId="290DF79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7.1.2 施工组织设计的提交和修改</w:t>
      </w:r>
    </w:p>
    <w:p w14:paraId="05D58D1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应在合同签订后14天内，但至迟不得晚于第7.3.2项〔开工通知〕载明的开工日期前7天，向监理人提交详细的施工组织设计，并由监理人报送发包人。除专用合同条款另有约定外，发包人和监理人应在监理人收到施工组织设计后7天内确认或提出修改意见。对发包人和监理人提出的合理意见和要求，承包人应自费修改完善。根据工程实际情况需要修改施工组织设计的，承包人应向发包人和监理人提交修改后的施工组织设计。</w:t>
      </w:r>
    </w:p>
    <w:p w14:paraId="7758E7D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施工进度计划的编制和修改按照第7.2款〔施工进度计划〕执行。</w:t>
      </w:r>
    </w:p>
    <w:p w14:paraId="3ABF42C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53" w:name="_Toc351203544"/>
      <w:r>
        <w:rPr>
          <w:rFonts w:hint="eastAsia" w:ascii="宋体" w:hAnsi="宋体" w:eastAsia="宋体" w:cs="宋体"/>
          <w:b w:val="0"/>
          <w:color w:val="auto"/>
          <w:sz w:val="21"/>
          <w:szCs w:val="21"/>
          <w:highlight w:val="none"/>
          <w:lang w:eastAsia="zh-CN"/>
        </w:rPr>
        <w:t>7</w:t>
      </w:r>
      <w:bookmarkStart w:id="454" w:name="_Toc337558769"/>
      <w:r>
        <w:rPr>
          <w:rFonts w:hint="eastAsia" w:ascii="宋体" w:hAnsi="宋体" w:eastAsia="宋体" w:cs="宋体"/>
          <w:b w:val="0"/>
          <w:color w:val="auto"/>
          <w:sz w:val="21"/>
          <w:szCs w:val="21"/>
          <w:highlight w:val="none"/>
          <w:lang w:eastAsia="zh-CN"/>
        </w:rPr>
        <w:t>.2 施工进度计划</w:t>
      </w:r>
      <w:bookmarkEnd w:id="453"/>
    </w:p>
    <w:bookmarkEnd w:id="454"/>
    <w:p w14:paraId="3377FCE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7.2.1 施工进度计划的编制</w:t>
      </w:r>
    </w:p>
    <w:p w14:paraId="4E1B8E1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照第7.1款〔施工组织设计〕约定提交详细的施工进度计划，施工进度计划的编制应当符合国家法律规定和一般工程实践惯例，施工进度计划经发包人批准后实施。施工进度计划是控制工程进度的依据，发包人和监理人有权按照施工进度计划检查工程进度情况。</w:t>
      </w:r>
    </w:p>
    <w:p w14:paraId="6ED1DEE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7.2.2 施工进度计划的修订</w:t>
      </w:r>
    </w:p>
    <w:p w14:paraId="42E0BF5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施工进度计划不符合合同要求或与工程的实际进度不一致的，承包人应向监理人提交修订的施工进度计划，并附具有关措施和相关资料，由监理人报送发包人。除专用合同条款另有约定外，发包人和监理人应在收到修订的施工进度计划后7天内完成审核和批准或提出修改意见。发包人和监理人对承包人提交的施工进度计划的确认，不能减轻或免除承包人根据法律规定和合同约定应承担的任何责任或义务。</w:t>
      </w:r>
    </w:p>
    <w:p w14:paraId="4028B6C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55" w:name="_Toc351203545"/>
      <w:r>
        <w:rPr>
          <w:rFonts w:hint="eastAsia" w:ascii="宋体" w:hAnsi="宋体" w:eastAsia="宋体" w:cs="宋体"/>
          <w:b w:val="0"/>
          <w:color w:val="auto"/>
          <w:sz w:val="21"/>
          <w:szCs w:val="21"/>
          <w:highlight w:val="none"/>
          <w:lang w:eastAsia="zh-CN"/>
        </w:rPr>
        <w:t>7</w:t>
      </w:r>
      <w:bookmarkStart w:id="456" w:name="_Toc337558770"/>
      <w:r>
        <w:rPr>
          <w:rFonts w:hint="eastAsia" w:ascii="宋体" w:hAnsi="宋体" w:eastAsia="宋体" w:cs="宋体"/>
          <w:b w:val="0"/>
          <w:color w:val="auto"/>
          <w:sz w:val="21"/>
          <w:szCs w:val="21"/>
          <w:highlight w:val="none"/>
          <w:lang w:eastAsia="zh-CN"/>
        </w:rPr>
        <w:t>.3 开工</w:t>
      </w:r>
      <w:bookmarkEnd w:id="455"/>
    </w:p>
    <w:p w14:paraId="68DD7E7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7.3.1 开工准备</w:t>
      </w:r>
    </w:p>
    <w:p w14:paraId="719672D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应按照第7.1款〔施工组织设计〕约定的期限，向监理人提交工程开工报审表，经监理人报发包人批准后执行。开工报审表应详细说明按施工进度计划正常施工所需的施工道路、临时设施、材料、工程设备、施工设备、施工人员等落实情况以及工程的进度安排。</w:t>
      </w:r>
    </w:p>
    <w:p w14:paraId="749A3F7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除专用合同条款另有约定外，合同当事人应按约定完成开工准备工作。</w:t>
      </w:r>
    </w:p>
    <w:p w14:paraId="0F9CCA1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7.3.2 开工通知</w:t>
      </w:r>
    </w:p>
    <w:bookmarkEnd w:id="456"/>
    <w:p w14:paraId="0D9261F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发包人应按照法律规定获得工程施工所需的许可。经发包人同意后，监理人发出的开工通知应符合法律规定。监理人应在计划开工日期7天前向承包人发出开工通知，工期自开工通知中载明的开工日期起算。</w:t>
      </w:r>
    </w:p>
    <w:p w14:paraId="76E8F1C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因发包人原因造成监理人未能在计划开工日期之日起90天内发出开工通知的，承包人有权提出价格调整要求，或者解除合同。发包人应当承担由此增加的费用和（或）延误的工期，并向承包人支付合理利润。</w:t>
      </w:r>
    </w:p>
    <w:p w14:paraId="4AC060B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57" w:name="_Toc351203546"/>
      <w:r>
        <w:rPr>
          <w:rFonts w:hint="eastAsia" w:ascii="宋体" w:hAnsi="宋体" w:eastAsia="宋体" w:cs="宋体"/>
          <w:b w:val="0"/>
          <w:color w:val="auto"/>
          <w:sz w:val="21"/>
          <w:szCs w:val="21"/>
          <w:highlight w:val="none"/>
          <w:lang w:eastAsia="zh-CN"/>
        </w:rPr>
        <w:t>7.4测量放线</w:t>
      </w:r>
      <w:bookmarkEnd w:id="457"/>
    </w:p>
    <w:p w14:paraId="3BC43FF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7.4.1 除专用合同条款另有约定外，发包人应在至迟不得晚于第7.3.2项〔开工通知〕载明的开工日期前7天通过监理人向承包人提供测量基准点、基准线和水准点及其书面资料。发包人应对其提供的测量基准点、基准线和水准点及其书面资料的真实性、准确性和完整性负责。</w:t>
      </w:r>
    </w:p>
    <w:p w14:paraId="16B498F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发现发包人提供的测量基准点、基准线和水准点及其书面资料存在错误或疏漏的，应及时通知监理人。监理人应及时报告发包人，并会同发包人和承包人予以核实。发包人应就如何处理和是否继续施工作出决定，并通知监理人和承包人。</w:t>
      </w:r>
    </w:p>
    <w:p w14:paraId="454D760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7.4.2 承包人负责施工过程中的全部施工测量放线工作，并配置具有相应资质的人员、合格的仪器、设备和其他物品。承包人应矫正工程的位置、标高、尺寸或准线中出现的任何差错，并对工程各部分的定位负责。</w:t>
      </w:r>
    </w:p>
    <w:p w14:paraId="0EAA4DE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施工过程中对施工现场内水准点等测量标志物的保护工作由承包人负责。</w:t>
      </w:r>
      <w:bookmarkStart w:id="458" w:name="_Toc351203547"/>
    </w:p>
    <w:p w14:paraId="70148D1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r>
        <w:rPr>
          <w:rFonts w:hint="eastAsia" w:ascii="宋体" w:hAnsi="宋体" w:eastAsia="宋体" w:cs="宋体"/>
          <w:b w:val="0"/>
          <w:color w:val="auto"/>
          <w:sz w:val="21"/>
          <w:szCs w:val="21"/>
          <w:highlight w:val="none"/>
          <w:lang w:eastAsia="zh-CN"/>
        </w:rPr>
        <w:t>7</w:t>
      </w:r>
      <w:bookmarkEnd w:id="451"/>
      <w:bookmarkEnd w:id="452"/>
      <w:bookmarkStart w:id="459" w:name="_Toc296503073"/>
      <w:bookmarkStart w:id="460" w:name="_Toc337558772"/>
      <w:bookmarkStart w:id="461" w:name="_Toc296346574"/>
      <w:r>
        <w:rPr>
          <w:rFonts w:hint="eastAsia" w:ascii="宋体" w:hAnsi="宋体" w:eastAsia="宋体" w:cs="宋体"/>
          <w:b w:val="0"/>
          <w:color w:val="auto"/>
          <w:sz w:val="21"/>
          <w:szCs w:val="21"/>
          <w:highlight w:val="none"/>
          <w:lang w:eastAsia="zh-CN"/>
        </w:rPr>
        <w:t>.5 工期延误</w:t>
      </w:r>
      <w:bookmarkEnd w:id="458"/>
    </w:p>
    <w:bookmarkEnd w:id="459"/>
    <w:bookmarkEnd w:id="460"/>
    <w:bookmarkEnd w:id="461"/>
    <w:p w14:paraId="4488122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7.5.1 因发包人原因导致工期延误</w:t>
      </w:r>
    </w:p>
    <w:p w14:paraId="4FED38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在合同履行过程中，因下列情况导致工期延误和（或）费用增加的，由发包人承担由此延误的工期和（或）增加的费用，且发包人应支付承包人合理的利润： </w:t>
      </w:r>
    </w:p>
    <w:p w14:paraId="31387E0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（1）发包人未能按合同约定提供图纸或所提供图纸不符合合同约定的；</w:t>
      </w:r>
    </w:p>
    <w:p w14:paraId="33414E7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（2）发包人未能按合同约定提供施工现场、施工条件、基础资料、许可、批准等开工条件的；</w:t>
      </w:r>
    </w:p>
    <w:p w14:paraId="6C36313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（3）发包人提供的测量基准点、基准线和水准点及其书面资料存在错误或疏漏的；</w:t>
      </w:r>
    </w:p>
    <w:p w14:paraId="5E46281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（4）发包人未能在计划开工日期之日起7天内同意下达开工通知的；</w:t>
      </w:r>
    </w:p>
    <w:p w14:paraId="4D702C0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（5）发包人未能按合同约定日期支付工程预付款、进度款或竣工结算款的；</w:t>
      </w:r>
    </w:p>
    <w:p w14:paraId="69EFC7C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（6）监理人未按合同约定发出指示、批准等文件的；</w:t>
      </w:r>
    </w:p>
    <w:p w14:paraId="5E0E646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（7）专用合同条款中约定的其他情形。</w:t>
      </w:r>
    </w:p>
    <w:p w14:paraId="4BBAEF8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发包人原因未按计划开工日期开工的，发包人应按实际开工日期顺延竣工日期，确保实际工期不低于合同约定的工期总日历天数。因发包人原因导致工期延误需要修订施工进度计划的，按照第7.2.2项〔施工进度计划的修订〕执行。</w:t>
      </w:r>
    </w:p>
    <w:p w14:paraId="61CDDCB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7.5.2 因承包人原因导致工期延误</w:t>
      </w:r>
    </w:p>
    <w:p w14:paraId="0C2E5388">
      <w:pPr>
        <w:spacing w:line="360" w:lineRule="auto"/>
        <w:ind w:firstLine="420" w:firstLineChars="200"/>
        <w:rPr>
          <w:rFonts w:hint="eastAsia" w:ascii="宋体" w:hAnsi="宋体" w:eastAsia="宋体" w:cs="宋体"/>
          <w:color w:val="auto"/>
          <w:sz w:val="21"/>
          <w:szCs w:val="21"/>
          <w:highlight w:val="none"/>
          <w:lang w:eastAsia="zh-CN"/>
        </w:rPr>
      </w:pPr>
      <w:bookmarkStart w:id="462" w:name="_Toc296503076"/>
      <w:bookmarkStart w:id="463" w:name="_Toc296346577"/>
      <w:r>
        <w:rPr>
          <w:rFonts w:hint="eastAsia" w:ascii="宋体" w:hAnsi="宋体" w:eastAsia="宋体" w:cs="宋体"/>
          <w:color w:val="auto"/>
          <w:sz w:val="21"/>
          <w:szCs w:val="21"/>
          <w:highlight w:val="none"/>
          <w:lang w:eastAsia="zh-CN"/>
        </w:rPr>
        <w:t>因</w:t>
      </w:r>
      <w:bookmarkEnd w:id="462"/>
      <w:bookmarkEnd w:id="463"/>
      <w:r>
        <w:rPr>
          <w:rFonts w:hint="eastAsia" w:ascii="宋体" w:hAnsi="宋体" w:eastAsia="宋体" w:cs="宋体"/>
          <w:color w:val="auto"/>
          <w:sz w:val="21"/>
          <w:szCs w:val="21"/>
          <w:highlight w:val="none"/>
          <w:lang w:eastAsia="zh-CN"/>
        </w:rPr>
        <w:t>承包人原因造成工期延误的，可以在专用合同条款中约定逾期竣工违约金的计算方法和逾期竣工违约金的上限。承包人支付逾期竣工违约金后，不免除承包人继续完成工程及修补缺陷的义务。</w:t>
      </w:r>
    </w:p>
    <w:p w14:paraId="0456775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64" w:name="_Toc351203548"/>
      <w:r>
        <w:rPr>
          <w:rFonts w:hint="eastAsia" w:ascii="宋体" w:hAnsi="宋体" w:eastAsia="宋体" w:cs="宋体"/>
          <w:b w:val="0"/>
          <w:color w:val="auto"/>
          <w:sz w:val="21"/>
          <w:szCs w:val="21"/>
          <w:highlight w:val="none"/>
          <w:lang w:eastAsia="zh-CN"/>
        </w:rPr>
        <w:t>7</w:t>
      </w:r>
      <w:bookmarkStart w:id="465" w:name="_Toc296346575"/>
      <w:bookmarkStart w:id="466" w:name="_Toc296503074"/>
      <w:bookmarkStart w:id="467" w:name="_Toc337558773"/>
      <w:bookmarkStart w:id="468" w:name="_Toc296503077"/>
      <w:bookmarkStart w:id="469" w:name="_Toc296346578"/>
      <w:r>
        <w:rPr>
          <w:rFonts w:hint="eastAsia" w:ascii="宋体" w:hAnsi="宋体" w:eastAsia="宋体" w:cs="宋体"/>
          <w:b w:val="0"/>
          <w:color w:val="auto"/>
          <w:sz w:val="21"/>
          <w:szCs w:val="21"/>
          <w:highlight w:val="none"/>
          <w:lang w:eastAsia="zh-CN"/>
        </w:rPr>
        <w:t>.6 不利物质条件</w:t>
      </w:r>
      <w:bookmarkEnd w:id="464"/>
    </w:p>
    <w:bookmarkEnd w:id="465"/>
    <w:bookmarkEnd w:id="466"/>
    <w:bookmarkEnd w:id="467"/>
    <w:p w14:paraId="62C3C02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不利物质条件是指有经验的承包人在施工现场遇到的不可预见的自然物质条件、非自然的物质障碍和污染物，包括地表以下物质条件和水文条件以及专用合同条款约定的其他情形，但不包括气候条件。</w:t>
      </w:r>
    </w:p>
    <w:p w14:paraId="7693678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遇到不利物质条件时，应采取克服不利物质条件的合理措施继续施工，并及时通知发包人和监理人。通知应载明不利物质条件的内容以及承包人认为不可预见的理由。监理人经发包人同意后应当及时发出指示，指示构成变更的，按第10条〔变更〕约定执行。承包人因采取合理措施而增加的费用和（或）延误的工期由发包人承担。</w:t>
      </w:r>
    </w:p>
    <w:p w14:paraId="288EA99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70" w:name="_Toc351203549"/>
      <w:r>
        <w:rPr>
          <w:rFonts w:hint="eastAsia" w:ascii="宋体" w:hAnsi="宋体" w:eastAsia="宋体" w:cs="宋体"/>
          <w:b w:val="0"/>
          <w:color w:val="auto"/>
          <w:sz w:val="21"/>
          <w:szCs w:val="21"/>
          <w:highlight w:val="none"/>
          <w:lang w:eastAsia="zh-CN"/>
        </w:rPr>
        <w:t>7</w:t>
      </w:r>
      <w:bookmarkStart w:id="471" w:name="_Toc296503075"/>
      <w:bookmarkStart w:id="472" w:name="_Toc296346576"/>
      <w:bookmarkStart w:id="473" w:name="_Toc337558774"/>
      <w:r>
        <w:rPr>
          <w:rFonts w:hint="eastAsia" w:ascii="宋体" w:hAnsi="宋体" w:eastAsia="宋体" w:cs="宋体"/>
          <w:b w:val="0"/>
          <w:color w:val="auto"/>
          <w:sz w:val="21"/>
          <w:szCs w:val="21"/>
          <w:highlight w:val="none"/>
          <w:lang w:eastAsia="zh-CN"/>
        </w:rPr>
        <w:t>.7 异常恶劣的气候条件</w:t>
      </w:r>
      <w:bookmarkEnd w:id="470"/>
    </w:p>
    <w:bookmarkEnd w:id="471"/>
    <w:bookmarkEnd w:id="472"/>
    <w:bookmarkEnd w:id="473"/>
    <w:p w14:paraId="27FE07C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异常恶劣的气候条件是指在施工过程中遇到的，有经验的承包人在签订合同时不可预见的，对合同履行造成实质性影响的，但尚未构成不可抗力事件的恶劣气候条件。合同当事人可以在专用合同条款中约定异常恶劣的气候条件的具体情形。</w:t>
      </w:r>
    </w:p>
    <w:p w14:paraId="337AA90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采取克服异常恶劣的气候条件的合理措施继续施工，并及时通知发包人和监理人。监理人经发包人同意后应当及时发出指示，指示构成变更的，按第10条〔变更〕约定办理。承包人因采取合理措施而增加的费用和（或）延误的工期由发包人承担。</w:t>
      </w:r>
      <w:bookmarkStart w:id="474" w:name="_Toc351203550"/>
    </w:p>
    <w:p w14:paraId="78994D2C">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r>
        <w:rPr>
          <w:rFonts w:hint="eastAsia" w:ascii="宋体" w:hAnsi="宋体" w:eastAsia="宋体" w:cs="宋体"/>
          <w:b w:val="0"/>
          <w:color w:val="auto"/>
          <w:sz w:val="21"/>
          <w:szCs w:val="21"/>
          <w:highlight w:val="none"/>
          <w:lang w:eastAsia="zh-CN"/>
        </w:rPr>
        <w:t>7</w:t>
      </w:r>
      <w:bookmarkStart w:id="475" w:name="_Toc337558775"/>
      <w:r>
        <w:rPr>
          <w:rFonts w:hint="eastAsia" w:ascii="宋体" w:hAnsi="宋体" w:eastAsia="宋体" w:cs="宋体"/>
          <w:b w:val="0"/>
          <w:color w:val="auto"/>
          <w:sz w:val="21"/>
          <w:szCs w:val="21"/>
          <w:highlight w:val="none"/>
          <w:lang w:eastAsia="zh-CN"/>
        </w:rPr>
        <w:t>.8 暂停施工</w:t>
      </w:r>
      <w:bookmarkEnd w:id="474"/>
    </w:p>
    <w:bookmarkEnd w:id="468"/>
    <w:bookmarkEnd w:id="469"/>
    <w:bookmarkEnd w:id="475"/>
    <w:p w14:paraId="5DF106C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7.8.1发包人原因引起的暂停施工</w:t>
      </w:r>
    </w:p>
    <w:p w14:paraId="72F8A66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因发包人原因引起暂停施工的，监理人经发包人同意后，应及时下达暂停施工指示。情况紧急且监理人未及时下达暂停施工指示的，按照第7.8.4项〔紧急情况下的暂停施工〕执行。</w:t>
      </w:r>
    </w:p>
    <w:p w14:paraId="13C65E8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因发包人原因引起的暂停施工，发包人应承担由此增加的费用和（或）延误的工期，并支付承包人合理的利润。</w:t>
      </w:r>
    </w:p>
    <w:p w14:paraId="37D0CF0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7.8.2 承包人原因引起的暂停施工</w:t>
      </w:r>
    </w:p>
    <w:p w14:paraId="141CE97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原因引起的暂停施工，承包人应承担由此增加的费用和（或）延误的工期，且承包人在收到监理人复工指示后84天内仍未复工的，视为第16.2.1项〔承包人违约的情形〕第（7）目约定的承包人无法继续履行合同的情形。</w:t>
      </w:r>
    </w:p>
    <w:p w14:paraId="2857D6B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7.8.3 指示暂停施工</w:t>
      </w:r>
    </w:p>
    <w:p w14:paraId="604B34C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监理人认为有必要时，并经发包人批准后，可向承包人作出暂停施工的指示，承包人应按监理人指示暂停施工。</w:t>
      </w:r>
    </w:p>
    <w:p w14:paraId="262B545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7.8.4 紧急情况下的暂停施工</w:t>
      </w:r>
    </w:p>
    <w:p w14:paraId="6670269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紧急情况需暂停施工，且监理人未及时下达暂停施工指示的，承包人可先暂停施工，并及时通知监理人。监理人应在接到通知后24小时内发出指示，逾期未发出指示，视为同意承包人暂停施工。监理人不同意承包人暂停施工的，应说明理由，承包人对监理人的答复有异议，按照第20条〔争议解决〕约定处理。</w:t>
      </w:r>
    </w:p>
    <w:p w14:paraId="2AFF76C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7.8.5 暂停施工后的复工</w:t>
      </w:r>
    </w:p>
    <w:p w14:paraId="028A83E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暂停施工后，发包人和承包人应采取有效措施积极消除暂停施工的影响。在工程复工前，监理人会同发包人和承包人确定因暂停施工造成的损失，并确定工程复工条件。当工程具备复工条件时，监理人应经发包人批准后向承包人发出复工通知，承包人应按照复工通知要求复工。</w:t>
      </w:r>
    </w:p>
    <w:p w14:paraId="7B7EDE7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承包人无故拖延和拒绝复工的，承包人承担由此增加的费用和（或）延误的工期；因发包人原因无法按时复工的，按照第7.5.1项〔因发包人原因导致工期延误〕约定办理。</w:t>
      </w:r>
    </w:p>
    <w:p w14:paraId="14B47F7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7.8.6 暂停施工持续56天以上</w:t>
      </w:r>
    </w:p>
    <w:p w14:paraId="7FBE0F15">
      <w:pPr>
        <w:spacing w:line="360" w:lineRule="auto"/>
        <w:ind w:firstLine="409" w:firstLineChars="195"/>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发出暂停施工指示后56天内未向承包人发出复工通知，除该项停工属于第7.8.2项〔承包人原因引起的暂停施工〕及第17条〔不可抗力〕约定的情形外，承包人可向发包人提交书面通知，要求发包人在收到书面通知后28天内准许已暂停施工的部分或全部工程继续施工。发包人逾期不予批准的，则承包人可以通知发包人，将工程受影响的部分视为按第10.1款〔变更的范围〕第（2）项的可取消工作。</w:t>
      </w:r>
    </w:p>
    <w:p w14:paraId="7345434E">
      <w:pPr>
        <w:spacing w:line="360" w:lineRule="auto"/>
        <w:ind w:firstLine="409" w:firstLineChars="195"/>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暂停施工持续84天以上不复工的，且不属于第7.8.2项〔承包人原因引起的暂停施工〕及第17条〔不可抗力〕约定的情形，并影响到整个工程以及合同目的实现的，承包人有权提出价格调整要求，或者解除合同。解除合同的，按照第16.1.3项〔因发包人违约解除合同〕执行。</w:t>
      </w:r>
    </w:p>
    <w:p w14:paraId="37996ECA">
      <w:pPr>
        <w:spacing w:line="360" w:lineRule="auto"/>
        <w:ind w:left="16" w:firstLine="409" w:firstLineChars="195"/>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7.8.7 暂停施工期间的工程照管</w:t>
      </w:r>
    </w:p>
    <w:p w14:paraId="3D50B19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暂停施工期间，承包人应负责妥善照管工程并提供安全保障，由此增加的费用由责任方承担。</w:t>
      </w:r>
    </w:p>
    <w:p w14:paraId="62FD98A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7.8.8 暂停施工的措施</w:t>
      </w:r>
    </w:p>
    <w:p w14:paraId="217C35F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暂停施工期间，发包人和承包人均应采取必要的措施确保工程质量及安全，防止因暂停施工扩大损失。</w:t>
      </w:r>
    </w:p>
    <w:p w14:paraId="6E5AD47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76" w:name="_Toc351203551"/>
      <w:r>
        <w:rPr>
          <w:rFonts w:hint="eastAsia" w:ascii="宋体" w:hAnsi="宋体" w:eastAsia="宋体" w:cs="宋体"/>
          <w:b w:val="0"/>
          <w:color w:val="auto"/>
          <w:sz w:val="21"/>
          <w:szCs w:val="21"/>
          <w:highlight w:val="none"/>
          <w:lang w:eastAsia="zh-CN"/>
        </w:rPr>
        <w:t>7.9提前竣工</w:t>
      </w:r>
      <w:bookmarkEnd w:id="476"/>
    </w:p>
    <w:p w14:paraId="265D0E3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7.9.1 发包人要求承包人提前竣工的，发包人应通过监理人向承包人下达提前竣工指示，承包人应向发包人和监理人提交提前竣工建议书，提前竣工建议书应包括实施的方案、缩短的时间、增加的合同价格等内容。发包人接受该提前竣工建议书的，监理人应与发包人和承包人协商采取加快工程进度的措施，并修订施工进度计划，由此增加的费用由发包人承担。承包人认为提前竣工指示无法执行的，应向监理人和发包人提出书面异议，发包人和监理人应在收到异议后7天内予以答复。任何情况下，发包人不得压缩合理工期。</w:t>
      </w:r>
    </w:p>
    <w:p w14:paraId="3E7E1D9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7.9.2 发包人要求承包人提前竣工，或承包人提出提前竣工的建议能够给发包人带来效益的，合同当事人可以在专用合同条款中约定提前竣工的奖励。</w:t>
      </w:r>
    </w:p>
    <w:p w14:paraId="263E6960">
      <w:pPr>
        <w:pStyle w:val="5"/>
        <w:spacing w:before="120" w:after="120"/>
        <w:rPr>
          <w:rFonts w:hint="eastAsia" w:ascii="宋体" w:hAnsi="宋体" w:eastAsia="宋体" w:cs="宋体"/>
          <w:b w:val="0"/>
          <w:color w:val="auto"/>
          <w:sz w:val="21"/>
          <w:szCs w:val="21"/>
          <w:highlight w:val="none"/>
          <w:lang w:eastAsia="zh-CN"/>
        </w:rPr>
      </w:pPr>
      <w:bookmarkStart w:id="477" w:name="_Toc351203552"/>
      <w:r>
        <w:rPr>
          <w:rFonts w:hint="eastAsia" w:ascii="宋体" w:hAnsi="宋体" w:eastAsia="宋体" w:cs="宋体"/>
          <w:b w:val="0"/>
          <w:color w:val="auto"/>
          <w:sz w:val="21"/>
          <w:szCs w:val="21"/>
          <w:highlight w:val="none"/>
          <w:lang w:eastAsia="zh-CN"/>
        </w:rPr>
        <w:t>8</w:t>
      </w:r>
      <w:bookmarkStart w:id="478" w:name="_Toc296503058"/>
      <w:bookmarkStart w:id="479" w:name="_Toc296346559"/>
      <w:bookmarkStart w:id="480" w:name="_Toc337558776"/>
      <w:r>
        <w:rPr>
          <w:rFonts w:hint="eastAsia" w:ascii="宋体" w:hAnsi="宋体" w:eastAsia="宋体" w:cs="宋体"/>
          <w:b w:val="0"/>
          <w:color w:val="auto"/>
          <w:sz w:val="21"/>
          <w:szCs w:val="21"/>
          <w:highlight w:val="none"/>
          <w:lang w:eastAsia="zh-CN"/>
        </w:rPr>
        <w:t>. 材料与设备</w:t>
      </w:r>
      <w:bookmarkEnd w:id="477"/>
    </w:p>
    <w:bookmarkEnd w:id="478"/>
    <w:bookmarkEnd w:id="479"/>
    <w:bookmarkEnd w:id="480"/>
    <w:p w14:paraId="02D4E9B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81" w:name="_Toc351203553"/>
      <w:r>
        <w:rPr>
          <w:rFonts w:hint="eastAsia" w:ascii="宋体" w:hAnsi="宋体" w:eastAsia="宋体" w:cs="宋体"/>
          <w:b w:val="0"/>
          <w:color w:val="auto"/>
          <w:sz w:val="21"/>
          <w:szCs w:val="21"/>
          <w:highlight w:val="none"/>
          <w:lang w:eastAsia="zh-CN"/>
        </w:rPr>
        <w:t>8</w:t>
      </w:r>
      <w:bookmarkStart w:id="482" w:name="_Toc296503059"/>
      <w:bookmarkStart w:id="483" w:name="_Toc296346560"/>
      <w:bookmarkStart w:id="484" w:name="_Toc337558777"/>
      <w:bookmarkStart w:id="485" w:name="_Toc468936960"/>
      <w:r>
        <w:rPr>
          <w:rFonts w:hint="eastAsia" w:ascii="宋体" w:hAnsi="宋体" w:eastAsia="宋体" w:cs="宋体"/>
          <w:b w:val="0"/>
          <w:color w:val="auto"/>
          <w:sz w:val="21"/>
          <w:szCs w:val="21"/>
          <w:highlight w:val="none"/>
          <w:lang w:eastAsia="zh-CN"/>
        </w:rPr>
        <w:t>.1发包人供应材料与工程设备</w:t>
      </w:r>
      <w:bookmarkEnd w:id="481"/>
    </w:p>
    <w:bookmarkEnd w:id="482"/>
    <w:bookmarkEnd w:id="483"/>
    <w:bookmarkEnd w:id="484"/>
    <w:p w14:paraId="2765D08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发包人自行供应材料、工程设备的，应在签订合同时在专用合同条款的附件《发包人供应材料设备一览表》中明确材料、工程设备的品种、规格、型号、数量、单价、质量等级和送达地点。</w:t>
      </w:r>
    </w:p>
    <w:p w14:paraId="04DD70F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提前30天通过监理人以书面形式通知发包人供应材料与工程设备进场。承包人按照第7.2.2项〔施工进度计划的修订〕约定修订施工进度计划时，需同时提交经修订后的发包人供应材料与工程设备的进场计划。</w:t>
      </w:r>
    </w:p>
    <w:p w14:paraId="268C6752">
      <w:pPr>
        <w:pStyle w:val="6"/>
        <w:spacing w:before="120" w:after="120" w:line="360" w:lineRule="auto"/>
        <w:ind w:firstLine="420" w:firstLineChars="200"/>
        <w:rPr>
          <w:rFonts w:hint="eastAsia" w:ascii="宋体" w:hAnsi="宋体" w:eastAsia="宋体" w:cs="宋体"/>
          <w:color w:val="auto"/>
          <w:sz w:val="21"/>
          <w:szCs w:val="21"/>
          <w:highlight w:val="none"/>
          <w:lang w:eastAsia="zh-CN"/>
        </w:rPr>
      </w:pPr>
      <w:bookmarkStart w:id="486" w:name="_Toc351203554"/>
      <w:r>
        <w:rPr>
          <w:rFonts w:hint="eastAsia" w:ascii="宋体" w:hAnsi="宋体" w:eastAsia="宋体" w:cs="宋体"/>
          <w:b w:val="0"/>
          <w:color w:val="auto"/>
          <w:sz w:val="21"/>
          <w:szCs w:val="21"/>
          <w:highlight w:val="none"/>
          <w:lang w:eastAsia="zh-CN"/>
        </w:rPr>
        <w:t>8</w:t>
      </w:r>
      <w:bookmarkStart w:id="487" w:name="_Toc337558778"/>
      <w:bookmarkStart w:id="488" w:name="_Toc296346561"/>
      <w:bookmarkStart w:id="489" w:name="_Toc296503060"/>
      <w:r>
        <w:rPr>
          <w:rFonts w:hint="eastAsia" w:ascii="宋体" w:hAnsi="宋体" w:eastAsia="宋体" w:cs="宋体"/>
          <w:b w:val="0"/>
          <w:color w:val="auto"/>
          <w:sz w:val="21"/>
          <w:szCs w:val="21"/>
          <w:highlight w:val="none"/>
          <w:lang w:eastAsia="zh-CN"/>
        </w:rPr>
        <w:t>.2承包人采购材料与工程设备</w:t>
      </w:r>
      <w:bookmarkEnd w:id="486"/>
    </w:p>
    <w:bookmarkEnd w:id="487"/>
    <w:bookmarkEnd w:id="488"/>
    <w:bookmarkEnd w:id="489"/>
    <w:p w14:paraId="35E37A4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负责采购材料、工程设备的，应按照设计和有关标准要求采购，并提供产品合格证明及出厂证明，对材料、工程设备质量负责。合同约定由承包人采购的材料、工程设备，发包人不得指定生产厂家或供应商，发包人违反本款约定指定生产厂家或供应商的，承包人有权拒绝，并由发包人承担相应责任。</w:t>
      </w:r>
    </w:p>
    <w:p w14:paraId="117ADC43">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90" w:name="_Toc351203555"/>
      <w:r>
        <w:rPr>
          <w:rFonts w:hint="eastAsia" w:ascii="宋体" w:hAnsi="宋体" w:eastAsia="宋体" w:cs="宋体"/>
          <w:b w:val="0"/>
          <w:color w:val="auto"/>
          <w:sz w:val="21"/>
          <w:szCs w:val="21"/>
          <w:highlight w:val="none"/>
          <w:lang w:eastAsia="zh-CN"/>
        </w:rPr>
        <w:t>8</w:t>
      </w:r>
      <w:bookmarkStart w:id="491" w:name="_Toc296346562"/>
      <w:bookmarkStart w:id="492" w:name="_Toc296503061"/>
      <w:bookmarkStart w:id="493" w:name="_Toc337558779"/>
      <w:r>
        <w:rPr>
          <w:rFonts w:hint="eastAsia" w:ascii="宋体" w:hAnsi="宋体" w:eastAsia="宋体" w:cs="宋体"/>
          <w:b w:val="0"/>
          <w:color w:val="auto"/>
          <w:sz w:val="21"/>
          <w:szCs w:val="21"/>
          <w:highlight w:val="none"/>
          <w:lang w:eastAsia="zh-CN"/>
        </w:rPr>
        <w:t>.3材料与工程设备的接收与拒收</w:t>
      </w:r>
      <w:bookmarkEnd w:id="490"/>
    </w:p>
    <w:bookmarkEnd w:id="491"/>
    <w:bookmarkEnd w:id="492"/>
    <w:bookmarkEnd w:id="493"/>
    <w:p w14:paraId="0E4ED5C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8.3.1 发包人应按《发包人供应材料设备一览表》约定的内容提供材料和工程设备，并向承包人提供产品合格证明及出厂证明，对其质量负责。发包人应提前24小时以书面形式通知承包人、监理人材料和工程设备到货时间，承包人负责材料和工程设备的清点、检验和接收。</w:t>
      </w:r>
    </w:p>
    <w:p w14:paraId="219629F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发包人提供的材料和工程设备的规格、数量或质量不符合合同约定的，或因发包人原因导致交货日期延误或交货地点变更等情况的，按照第16.1款〔发包人违约〕约定办理。</w:t>
      </w:r>
    </w:p>
    <w:p w14:paraId="689B7A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8.3.2 承包人采购的材料和工程设备，应保证产品质量合格，承包人应在材料和工程设备到货前24小时通知监理人检验。承</w:t>
      </w:r>
      <w:bookmarkStart w:id="494" w:name="_Toc250655469"/>
      <w:r>
        <w:rPr>
          <w:rFonts w:hint="eastAsia" w:ascii="宋体" w:hAnsi="宋体" w:eastAsia="宋体" w:cs="宋体"/>
          <w:color w:val="auto"/>
          <w:sz w:val="21"/>
          <w:szCs w:val="21"/>
          <w:highlight w:val="none"/>
          <w:lang w:eastAsia="zh-CN"/>
        </w:rPr>
        <w:t>包人进行永久设备、材料的制造和生产的，应符合相关质量标准，并向监理人提交材料的样本以及有关资料，并应在使用该材料或工程设备之前获得监理人同意。</w:t>
      </w:r>
    </w:p>
    <w:bookmarkEnd w:id="494"/>
    <w:p w14:paraId="6E7F3440">
      <w:pPr>
        <w:spacing w:line="360" w:lineRule="auto"/>
        <w:ind w:firstLine="315" w:firstLineChars="15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 承包人采购的材料和工程设备不符合设计或有关标准要求时，承包人应在监理人要求的合理期限内将不符合设计或有关标准要求的材料、工程设备运出施工现场，并重新采购符合要求的材料、工程设备，由此增加的费用和（或）延误的工期，由承包人承担。</w:t>
      </w:r>
    </w:p>
    <w:p w14:paraId="30128E2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95" w:name="_Toc351203556"/>
      <w:r>
        <w:rPr>
          <w:rFonts w:hint="eastAsia" w:ascii="宋体" w:hAnsi="宋体" w:eastAsia="宋体" w:cs="宋体"/>
          <w:b w:val="0"/>
          <w:color w:val="auto"/>
          <w:sz w:val="21"/>
          <w:szCs w:val="21"/>
          <w:highlight w:val="none"/>
          <w:lang w:eastAsia="zh-CN"/>
        </w:rPr>
        <w:t>8</w:t>
      </w:r>
      <w:bookmarkStart w:id="496" w:name="_Toc296346563"/>
      <w:bookmarkStart w:id="497" w:name="_Toc337558780"/>
      <w:bookmarkStart w:id="498" w:name="_Toc296503062"/>
      <w:r>
        <w:rPr>
          <w:rFonts w:hint="eastAsia" w:ascii="宋体" w:hAnsi="宋体" w:eastAsia="宋体" w:cs="宋体"/>
          <w:b w:val="0"/>
          <w:color w:val="auto"/>
          <w:sz w:val="21"/>
          <w:szCs w:val="21"/>
          <w:highlight w:val="none"/>
          <w:lang w:eastAsia="zh-CN"/>
        </w:rPr>
        <w:t>.4材料与工程设备的保管与使用</w:t>
      </w:r>
      <w:bookmarkEnd w:id="495"/>
    </w:p>
    <w:bookmarkEnd w:id="496"/>
    <w:bookmarkEnd w:id="497"/>
    <w:bookmarkEnd w:id="498"/>
    <w:p w14:paraId="7AF385D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8.4.1 发包人供应材料与工程设备的保管与使用</w:t>
      </w:r>
    </w:p>
    <w:p w14:paraId="53F295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供应的材料和工程设备，承包人清点后由承包人妥善保管，保管费用由发包人承担，但已标价工程量清单或预算书已经列支或专用合同条款另有约定除外。因承包人原因发生丢失毁损的，由承包人负责赔偿；监理人未通知承包人清点的，承包人不负责材料和工程设备的保管，由此导致丢失毁损的由发包人负责。</w:t>
      </w:r>
    </w:p>
    <w:p w14:paraId="41293F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发包人供应的材料和工程设备使用前，由承包人负责检验，检验费用由发包人承担，不合格的不得使用。</w:t>
      </w:r>
    </w:p>
    <w:p w14:paraId="7F9C579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8.4.2 承包人采购材料与工程设备的保管与使用</w:t>
      </w:r>
    </w:p>
    <w:p w14:paraId="708DA51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采购的材料和工程设备由承包人妥善保管，保管费用由承包人承担。法律规定材料和工程设备使用前必须进行检验或试验的，承包人应按监理人的要求进行检验或试验，检验或试验费用由承包人承担，不合格的不得使用。</w:t>
      </w:r>
    </w:p>
    <w:p w14:paraId="694B47A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发包人或监理人发现承包人使用不符合设计或有关标准要求的材料和工程设备时，有权要求承包人进行修复、拆除或重新采购，由此增加的费用和（或）延误的工期，由承包人承担。</w:t>
      </w:r>
    </w:p>
    <w:p w14:paraId="2B42532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499" w:name="_Toc351203557"/>
      <w:r>
        <w:rPr>
          <w:rFonts w:hint="eastAsia" w:ascii="宋体" w:hAnsi="宋体" w:eastAsia="宋体" w:cs="宋体"/>
          <w:b w:val="0"/>
          <w:color w:val="auto"/>
          <w:sz w:val="21"/>
          <w:szCs w:val="21"/>
          <w:highlight w:val="none"/>
          <w:lang w:eastAsia="zh-CN"/>
        </w:rPr>
        <w:t>8.5禁止使用不合格的材料和工程设备</w:t>
      </w:r>
      <w:bookmarkEnd w:id="499"/>
    </w:p>
    <w:p w14:paraId="3C75FBC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8.5.1 监理人有权拒绝承包人提供的不合格材料或工程设备，并要求承包人立即进行更换。监理人应在更换后再次进行检查和检验，由此增加的费用和（或）延误的工期由承包人承担。</w:t>
      </w:r>
    </w:p>
    <w:p w14:paraId="73A1DC1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8.5.2 监理人发现承包人使用了不合格的材料和工程设备，承包人应按照监理人的指示立即改正，并禁止在工程中继续使用不合格的材料和工程设备。</w:t>
      </w:r>
    </w:p>
    <w:p w14:paraId="3CB2B52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8.5.3 发包人提供的材料或工程设备不符合合同要求的，承包人有权拒绝，并可要求发包人更换，由此增加的费用和（或）延误的工期由发包人承担，并支付承包人合理的利润。</w:t>
      </w:r>
    </w:p>
    <w:p w14:paraId="6F7E7099">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00" w:name="_Toc351203558"/>
      <w:r>
        <w:rPr>
          <w:rFonts w:hint="eastAsia" w:ascii="宋体" w:hAnsi="宋体" w:eastAsia="宋体" w:cs="宋体"/>
          <w:b w:val="0"/>
          <w:color w:val="auto"/>
          <w:sz w:val="21"/>
          <w:szCs w:val="21"/>
          <w:highlight w:val="none"/>
          <w:lang w:eastAsia="zh-CN"/>
        </w:rPr>
        <w:t>8.6 样品</w:t>
      </w:r>
      <w:bookmarkEnd w:id="500"/>
    </w:p>
    <w:p w14:paraId="0C0CF3E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8.6.1</w:t>
      </w:r>
      <w:r>
        <w:rPr>
          <w:rFonts w:hint="eastAsia" w:ascii="宋体" w:hAnsi="宋体" w:eastAsia="宋体" w:cs="宋体"/>
          <w:color w:val="auto"/>
          <w:sz w:val="21"/>
          <w:szCs w:val="21"/>
          <w:highlight w:val="none"/>
          <w:lang w:eastAsia="zh-CN"/>
        </w:rPr>
        <w:tab/>
      </w:r>
      <w:r>
        <w:rPr>
          <w:rFonts w:hint="eastAsia" w:ascii="宋体" w:hAnsi="宋体" w:eastAsia="宋体" w:cs="宋体"/>
          <w:color w:val="auto"/>
          <w:sz w:val="21"/>
          <w:szCs w:val="21"/>
          <w:highlight w:val="none"/>
          <w:lang w:eastAsia="zh-CN"/>
        </w:rPr>
        <w:t>样品的报送与封存</w:t>
      </w:r>
    </w:p>
    <w:p w14:paraId="377EB76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需要承包人报送样品的材料或工程设备，样品的种类、名称、规格、数量等要求均应在专用合同条款中约定。样品的报送程序如下：</w:t>
      </w:r>
    </w:p>
    <w:p w14:paraId="2D4202A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应在计划采购前28天向监理人报送样品。承包人报送的样品均应来自供应材料的实际生产地，且提供的样品的规格、数量足以表明材料或工程设备的质量、型号、颜色、表面处理、质地、误差和其他要求的特征。</w:t>
      </w:r>
    </w:p>
    <w:p w14:paraId="2EEF3C1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每次报送样品时应随附申报单，申报单应载明报送样品的相关数据和资料，并标明每件样品对应的图纸号，预留监理人批复意见栏。监理人应在收到承包人报送的样品后7天向承包人回复经发包人签认的样品审批意见。</w:t>
      </w:r>
    </w:p>
    <w:p w14:paraId="4CC9C5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（3）经发包人和监理人审批确认的样品应按约定的方法封样，封存的样品作为检验工程相关部分的标准之一。承包人在施工过程中不得使用与样品不符的材料或工程设备。</w:t>
      </w:r>
    </w:p>
    <w:p w14:paraId="29C587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发包人和监理人对样品的审批确认仅为确认相关材料或工程设备的特征或用途，不得被理解为对合同的修改或改变，也并不减轻或免除承包人任何的责任和义务。如果封存的样品修改或改变了合同约定，合同当事人应当以书面协议予以确认。</w:t>
      </w:r>
    </w:p>
    <w:p w14:paraId="37C3FC2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8.6.2 样品的保管</w:t>
      </w:r>
    </w:p>
    <w:p w14:paraId="5A91A39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经批准的样品应由监理人负责封存于现场，承包人应在现场为保存样品提供适当和固定的场所并保持适当和良好的存储环境条件。</w:t>
      </w:r>
    </w:p>
    <w:p w14:paraId="709D07D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01" w:name="_Toc351203559"/>
      <w:r>
        <w:rPr>
          <w:rFonts w:hint="eastAsia" w:ascii="宋体" w:hAnsi="宋体" w:eastAsia="宋体" w:cs="宋体"/>
          <w:b w:val="0"/>
          <w:color w:val="auto"/>
          <w:sz w:val="21"/>
          <w:szCs w:val="21"/>
          <w:highlight w:val="none"/>
          <w:lang w:eastAsia="zh-CN"/>
        </w:rPr>
        <w:t>8.7材料与工程设备的替代</w:t>
      </w:r>
      <w:bookmarkEnd w:id="501"/>
    </w:p>
    <w:p w14:paraId="19B0C3C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8.7.1 出现下列情况需要使用替代材料和工程设备的，承包人应按照第8.7.2项约定的程序执行：</w:t>
      </w:r>
    </w:p>
    <w:p w14:paraId="393B1C6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（1）基准日期后生效的法律规定禁止使用的；</w:t>
      </w:r>
    </w:p>
    <w:p w14:paraId="3FC1F6F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（2）发包人要求使用替代品的；</w:t>
      </w:r>
    </w:p>
    <w:p w14:paraId="24EBC2E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（3）因其他原因必须使用替代品的。</w:t>
      </w:r>
    </w:p>
    <w:p w14:paraId="3F40AC2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8.7.2 承包人应在使用替代材料和工程设备28天前书面通知监理人，并附下列文件：</w:t>
      </w:r>
    </w:p>
    <w:p w14:paraId="1B5C86A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（1）被替代的材料和工程设备的名称、数量、规格、型号、品牌、性能、价格及其他相关资料；</w:t>
      </w:r>
    </w:p>
    <w:p w14:paraId="379FAB7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（2）替代品的名称、数量、规格、型号、品牌、性能、价格及其他相关资料；</w:t>
      </w:r>
    </w:p>
    <w:p w14:paraId="5DAB200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（3）替代品与被替代产品之间的差异以及使用替代品可能对工程产生的影响；</w:t>
      </w:r>
    </w:p>
    <w:p w14:paraId="0F57578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（4）替代品与被替代产品的价格差异；</w:t>
      </w:r>
    </w:p>
    <w:p w14:paraId="0057CD2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（5）使用替代品的理由和原因说明；</w:t>
      </w:r>
    </w:p>
    <w:p w14:paraId="6196D30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（6）监理人要求的其他文件。</w:t>
      </w:r>
    </w:p>
    <w:p w14:paraId="1E455EA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监理人应在收到通知后14天内向承包人发出经发包人签认的书面指示；监理人逾期发出书面指示的，视为发包人和监理人同意使用替代品。</w:t>
      </w:r>
    </w:p>
    <w:p w14:paraId="79CE879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8.7.3 发包人认可使用替代材料和工程设备的，替代材料和工程设备的价格，按照已标价工程量清单或预算书相同项目的价格认定；无相同项目的，参考相似项目价格认定；既无相同项目也无相似项目的，按照合理的成本与利润构成的原则，由合同当事人按照第4.4款〔商定或确定〕确定价格。</w:t>
      </w:r>
    </w:p>
    <w:p w14:paraId="4B1D188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02" w:name="_Toc351203560"/>
      <w:r>
        <w:rPr>
          <w:rFonts w:hint="eastAsia" w:ascii="宋体" w:hAnsi="宋体" w:eastAsia="宋体" w:cs="宋体"/>
          <w:b w:val="0"/>
          <w:color w:val="auto"/>
          <w:sz w:val="21"/>
          <w:szCs w:val="21"/>
          <w:highlight w:val="none"/>
          <w:lang w:eastAsia="zh-CN"/>
        </w:rPr>
        <w:t>8.8施工设备和临时设施</w:t>
      </w:r>
      <w:bookmarkEnd w:id="502"/>
    </w:p>
    <w:p w14:paraId="7B754EB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8.8.1 承包人提供的施工设备和临时设施</w:t>
      </w:r>
    </w:p>
    <w:p w14:paraId="7F5F8C5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承包人应按合同进度计划的要求，及时配置施工设备和修建临时设施。进入施工场地的承包人设备需经监理人核查后才能投入使用。承包人更换合同约定的承包人设备的，应报监理人批准。</w:t>
      </w:r>
    </w:p>
    <w:p w14:paraId="7E1B88A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除专用合同条款另有约定外，承包人应自行承担修建临时设施的费用，需要临时占地的，应由发包人办理申请手续并承担相应费用。</w:t>
      </w:r>
    </w:p>
    <w:p w14:paraId="1F4C5C3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8.8.2发包人提供的施工设备和临时设施</w:t>
      </w:r>
    </w:p>
    <w:p w14:paraId="42D7DBB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发包人提供的施工设备或临时设施在专用合同条款中约定。</w:t>
      </w:r>
    </w:p>
    <w:p w14:paraId="09AC4F3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8.8.3要求承包人增加或更换施工设备</w:t>
      </w:r>
    </w:p>
    <w:p w14:paraId="4793730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承包人使用的施工设备不能满足合同进度计划和（或）质量要求时，监理人有权要求承包人增加或更换施工设备，承包人应及时增加或更换，由此增加的费用和（或）延误的工期由承包人承担。</w:t>
      </w:r>
    </w:p>
    <w:p w14:paraId="6A3A345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03" w:name="_Toc351203561"/>
      <w:r>
        <w:rPr>
          <w:rFonts w:hint="eastAsia" w:ascii="宋体" w:hAnsi="宋体" w:eastAsia="宋体" w:cs="宋体"/>
          <w:b w:val="0"/>
          <w:color w:val="auto"/>
          <w:sz w:val="21"/>
          <w:szCs w:val="21"/>
          <w:highlight w:val="none"/>
          <w:lang w:eastAsia="zh-CN"/>
        </w:rPr>
        <w:t>8</w:t>
      </w:r>
      <w:bookmarkStart w:id="504" w:name="_Toc296346564"/>
      <w:bookmarkStart w:id="505" w:name="_Toc296503063"/>
      <w:bookmarkStart w:id="506" w:name="_Toc337558781"/>
      <w:r>
        <w:rPr>
          <w:rFonts w:hint="eastAsia" w:ascii="宋体" w:hAnsi="宋体" w:eastAsia="宋体" w:cs="宋体"/>
          <w:b w:val="0"/>
          <w:color w:val="auto"/>
          <w:sz w:val="21"/>
          <w:szCs w:val="21"/>
          <w:highlight w:val="none"/>
          <w:lang w:eastAsia="zh-CN"/>
        </w:rPr>
        <w:t>.9材料与设备专用</w:t>
      </w:r>
      <w:bookmarkEnd w:id="503"/>
      <w:r>
        <w:rPr>
          <w:rFonts w:hint="eastAsia" w:ascii="宋体" w:hAnsi="宋体" w:eastAsia="宋体" w:cs="宋体"/>
          <w:b w:val="0"/>
          <w:color w:val="auto"/>
          <w:sz w:val="21"/>
          <w:szCs w:val="21"/>
          <w:highlight w:val="none"/>
          <w:lang w:eastAsia="zh-CN"/>
        </w:rPr>
        <w:t>要求</w:t>
      </w:r>
    </w:p>
    <w:bookmarkEnd w:id="504"/>
    <w:bookmarkEnd w:id="505"/>
    <w:bookmarkEnd w:id="506"/>
    <w:p w14:paraId="630BDAB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承包人运入施工现场的材料、工程设备、施工设备以及在施工场地建设的临时设施，包括备品备件、安装工具与资料，必须专用于工程。未经发包人批准，承包人不得运出施工现场或挪作他用；</w:t>
      </w:r>
      <w:bookmarkEnd w:id="485"/>
      <w:r>
        <w:rPr>
          <w:rFonts w:hint="eastAsia" w:ascii="宋体" w:hAnsi="宋体" w:eastAsia="宋体" w:cs="宋体"/>
          <w:color w:val="auto"/>
          <w:sz w:val="21"/>
          <w:szCs w:val="21"/>
          <w:highlight w:val="none"/>
          <w:lang w:eastAsia="zh-CN"/>
        </w:rPr>
        <w:t>经发包人批准，承包人可以根据施工进度计划撤走闲置的施工设备和其他物品。</w:t>
      </w:r>
    </w:p>
    <w:p w14:paraId="60A602CA">
      <w:pPr>
        <w:pStyle w:val="5"/>
        <w:spacing w:before="120" w:after="120"/>
        <w:rPr>
          <w:rFonts w:hint="eastAsia" w:ascii="宋体" w:hAnsi="宋体" w:eastAsia="宋体" w:cs="宋体"/>
          <w:b w:val="0"/>
          <w:color w:val="auto"/>
          <w:sz w:val="21"/>
          <w:szCs w:val="21"/>
          <w:highlight w:val="none"/>
          <w:lang w:eastAsia="zh-CN"/>
        </w:rPr>
      </w:pPr>
      <w:bookmarkStart w:id="507" w:name="_Toc351203562"/>
      <w:r>
        <w:rPr>
          <w:rFonts w:hint="eastAsia" w:ascii="宋体" w:hAnsi="宋体" w:eastAsia="宋体" w:cs="宋体"/>
          <w:b w:val="0"/>
          <w:color w:val="auto"/>
          <w:sz w:val="21"/>
          <w:szCs w:val="21"/>
          <w:highlight w:val="none"/>
          <w:lang w:eastAsia="zh-CN"/>
        </w:rPr>
        <w:t>9</w:t>
      </w:r>
      <w:bookmarkStart w:id="508" w:name="_Toc337558782"/>
      <w:bookmarkStart w:id="509" w:name="_Toc296346584"/>
      <w:bookmarkStart w:id="510" w:name="_Toc296503083"/>
      <w:r>
        <w:rPr>
          <w:rFonts w:hint="eastAsia" w:ascii="宋体" w:hAnsi="宋体" w:eastAsia="宋体" w:cs="宋体"/>
          <w:b w:val="0"/>
          <w:color w:val="auto"/>
          <w:sz w:val="21"/>
          <w:szCs w:val="21"/>
          <w:highlight w:val="none"/>
          <w:lang w:eastAsia="zh-CN"/>
        </w:rPr>
        <w:t>. 试验与检验</w:t>
      </w:r>
      <w:bookmarkEnd w:id="507"/>
    </w:p>
    <w:bookmarkEnd w:id="508"/>
    <w:p w14:paraId="5D7CE731">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11" w:name="_Toc351203563"/>
      <w:r>
        <w:rPr>
          <w:rFonts w:hint="eastAsia" w:ascii="宋体" w:hAnsi="宋体" w:eastAsia="宋体" w:cs="宋体"/>
          <w:b w:val="0"/>
          <w:color w:val="auto"/>
          <w:sz w:val="21"/>
          <w:szCs w:val="21"/>
          <w:highlight w:val="none"/>
          <w:lang w:eastAsia="zh-CN"/>
        </w:rPr>
        <w:t>9</w:t>
      </w:r>
      <w:bookmarkStart w:id="512" w:name="_Toc337558783"/>
      <w:r>
        <w:rPr>
          <w:rFonts w:hint="eastAsia" w:ascii="宋体" w:hAnsi="宋体" w:eastAsia="宋体" w:cs="宋体"/>
          <w:b w:val="0"/>
          <w:color w:val="auto"/>
          <w:sz w:val="21"/>
          <w:szCs w:val="21"/>
          <w:highlight w:val="none"/>
          <w:lang w:eastAsia="zh-CN"/>
        </w:rPr>
        <w:t>.1试验设备与试验人员</w:t>
      </w:r>
      <w:bookmarkEnd w:id="511"/>
    </w:p>
    <w:bookmarkEnd w:id="512"/>
    <w:p w14:paraId="13AD44E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9.1.1 承包人根据合同约定或监理人指示进行的现场材料试验，应由承包人提供试验场所、试验人员、试验设备以及其他必要的试验条件。监理人在必要时可以使用承包人提供的试验场所、试验设备以及其他试验条件，进行以工程质量检查为目的的材料复核试验，承包人应予以协助。</w:t>
      </w:r>
    </w:p>
    <w:p w14:paraId="1FDA951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9.1.2 承包人应按专用合同条款的约定提供试验设备、取样装置、试验场所和试验条件，并向监理人提交相应进场计划表。</w:t>
      </w:r>
    </w:p>
    <w:p w14:paraId="7E68DAD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承包人配置的试验设备要符合相应试验规程的要求并经过具有资质的检测单位检测，且在正式使用该试验设备前，需要经过监理人与承包人共同校定。</w:t>
      </w:r>
    </w:p>
    <w:p w14:paraId="352EDC9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9.1.3 承包人应向监理人提交试验人员的名单及其岗位、资格等证明资料，试验人员必须能够熟练进行相应的检测试验，承包人对试验人员的试验程序和试验结果的正确性负责。</w:t>
      </w:r>
    </w:p>
    <w:p w14:paraId="400332C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13" w:name="_Toc351203564"/>
      <w:r>
        <w:rPr>
          <w:rFonts w:hint="eastAsia" w:ascii="宋体" w:hAnsi="宋体" w:eastAsia="宋体" w:cs="宋体"/>
          <w:b w:val="0"/>
          <w:color w:val="auto"/>
          <w:sz w:val="21"/>
          <w:szCs w:val="21"/>
          <w:highlight w:val="none"/>
          <w:lang w:eastAsia="zh-CN"/>
        </w:rPr>
        <w:t>9</w:t>
      </w:r>
      <w:bookmarkStart w:id="514" w:name="_Toc337558784"/>
      <w:r>
        <w:rPr>
          <w:rFonts w:hint="eastAsia" w:ascii="宋体" w:hAnsi="宋体" w:eastAsia="宋体" w:cs="宋体"/>
          <w:b w:val="0"/>
          <w:color w:val="auto"/>
          <w:sz w:val="21"/>
          <w:szCs w:val="21"/>
          <w:highlight w:val="none"/>
          <w:lang w:eastAsia="zh-CN"/>
        </w:rPr>
        <w:t>.2取样</w:t>
      </w:r>
      <w:bookmarkEnd w:id="513"/>
    </w:p>
    <w:bookmarkEnd w:id="514"/>
    <w:p w14:paraId="6A9B9E6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试验属于自检性质的，承包人可以单独取样。试验属于监理人抽检性质的，可由监理人取样，也可由承包人的试验人员在监理人的监督下取样。</w:t>
      </w:r>
    </w:p>
    <w:p w14:paraId="48BA335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15" w:name="_Toc351203565"/>
      <w:r>
        <w:rPr>
          <w:rFonts w:hint="eastAsia" w:ascii="宋体" w:hAnsi="宋体" w:eastAsia="宋体" w:cs="宋体"/>
          <w:b w:val="0"/>
          <w:color w:val="auto"/>
          <w:sz w:val="21"/>
          <w:szCs w:val="21"/>
          <w:highlight w:val="none"/>
          <w:lang w:eastAsia="zh-CN"/>
        </w:rPr>
        <w:t>9</w:t>
      </w:r>
      <w:bookmarkStart w:id="516" w:name="_Toc337558785"/>
      <w:r>
        <w:rPr>
          <w:rFonts w:hint="eastAsia" w:ascii="宋体" w:hAnsi="宋体" w:eastAsia="宋体" w:cs="宋体"/>
          <w:b w:val="0"/>
          <w:color w:val="auto"/>
          <w:sz w:val="21"/>
          <w:szCs w:val="21"/>
          <w:highlight w:val="none"/>
          <w:lang w:eastAsia="zh-CN"/>
        </w:rPr>
        <w:t>.3材料、工程设备和工程的试验和检验</w:t>
      </w:r>
      <w:bookmarkEnd w:id="515"/>
    </w:p>
    <w:bookmarkEnd w:id="516"/>
    <w:p w14:paraId="0813755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9.3.1承包人应按合同约定进行材料、工程设备和工程的试验和检验，并为监理人对上述材料、工程设备和工程的质量检查提供必要的试验资料和原始记录。按合同约定应由监理人与承包人共同进行试验和检验的，由承包人负责提供必要的试验资料和原始记录。</w:t>
      </w:r>
    </w:p>
    <w:p w14:paraId="42CF392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9.3.2试验属于自检性质的，承包人可以单独进行试验。试验属于监理人抽检性质的，监理人可以单独进行试验，也可由承包人与监理人共同进行。承包人对由监理人单独进行的试验结果有异议的，可以申请重新共同进行试验。约定共同进行试验的，监理人未按照约定参加试验的，承包人可自行试验，并将试验结果报送监理人，监理人应承认该试验结果。</w:t>
      </w:r>
    </w:p>
    <w:p w14:paraId="192FCD4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9.3.3监理人对承包人的试验和检验结果有异议的，或为查清承包人试验和检验成果的可靠性要求承包人重新试验和检验的，可由监理人与承包人共同进行。重新试验和检验的结果证明该项材料、工程设备或工程的质量不符合合同要求的，由此增加的费用和（或）延误的工期由承包人承担；重新试验和检验结果证明该项材料、工程设备和工程符合合同要求的，由此增加的费用和（或）延误的工期由发包人承担。</w:t>
      </w:r>
    </w:p>
    <w:p w14:paraId="6F0B6DD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17" w:name="_Toc351203566"/>
      <w:r>
        <w:rPr>
          <w:rFonts w:hint="eastAsia" w:ascii="宋体" w:hAnsi="宋体" w:eastAsia="宋体" w:cs="宋体"/>
          <w:b w:val="0"/>
          <w:color w:val="auto"/>
          <w:sz w:val="21"/>
          <w:szCs w:val="21"/>
          <w:highlight w:val="none"/>
          <w:lang w:eastAsia="zh-CN"/>
        </w:rPr>
        <w:t>9</w:t>
      </w:r>
      <w:bookmarkStart w:id="518" w:name="_Toc337558786"/>
      <w:r>
        <w:rPr>
          <w:rFonts w:hint="eastAsia" w:ascii="宋体" w:hAnsi="宋体" w:eastAsia="宋体" w:cs="宋体"/>
          <w:b w:val="0"/>
          <w:color w:val="auto"/>
          <w:sz w:val="21"/>
          <w:szCs w:val="21"/>
          <w:highlight w:val="none"/>
          <w:lang w:eastAsia="zh-CN"/>
        </w:rPr>
        <w:t>.4现场工艺试验</w:t>
      </w:r>
      <w:bookmarkEnd w:id="517"/>
    </w:p>
    <w:bookmarkEnd w:id="518"/>
    <w:p w14:paraId="0BEC392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承包人应按合同约定或监理人指示进行现场工艺试验。对大型的现场工艺试验，监理人认为必要时，承包人应根据监理人提出的工艺试验要求，编制工艺试验措施计划，报送监理人审查。</w:t>
      </w:r>
    </w:p>
    <w:p w14:paraId="0DAF23B7">
      <w:pPr>
        <w:pStyle w:val="5"/>
        <w:spacing w:before="120" w:after="120"/>
        <w:rPr>
          <w:rFonts w:hint="eastAsia" w:ascii="宋体" w:hAnsi="宋体" w:eastAsia="宋体" w:cs="宋体"/>
          <w:b w:val="0"/>
          <w:color w:val="auto"/>
          <w:sz w:val="21"/>
          <w:szCs w:val="21"/>
          <w:highlight w:val="none"/>
          <w:lang w:eastAsia="zh-CN"/>
        </w:rPr>
      </w:pPr>
      <w:bookmarkStart w:id="519" w:name="_Toc351203567"/>
      <w:r>
        <w:rPr>
          <w:rFonts w:hint="eastAsia" w:ascii="宋体" w:hAnsi="宋体" w:eastAsia="宋体" w:cs="宋体"/>
          <w:b w:val="0"/>
          <w:color w:val="auto"/>
          <w:sz w:val="21"/>
          <w:szCs w:val="21"/>
          <w:highlight w:val="none"/>
          <w:lang w:eastAsia="zh-CN"/>
        </w:rPr>
        <w:t>1</w:t>
      </w:r>
      <w:bookmarkStart w:id="520" w:name="_Toc337558787"/>
      <w:r>
        <w:rPr>
          <w:rFonts w:hint="eastAsia" w:ascii="宋体" w:hAnsi="宋体" w:eastAsia="宋体" w:cs="宋体"/>
          <w:b w:val="0"/>
          <w:color w:val="auto"/>
          <w:sz w:val="21"/>
          <w:szCs w:val="21"/>
          <w:highlight w:val="none"/>
          <w:lang w:eastAsia="zh-CN"/>
        </w:rPr>
        <w:t>0. 变更</w:t>
      </w:r>
      <w:bookmarkEnd w:id="509"/>
      <w:bookmarkEnd w:id="510"/>
      <w:bookmarkEnd w:id="519"/>
    </w:p>
    <w:bookmarkEnd w:id="520"/>
    <w:p w14:paraId="678CB8C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21" w:name="_Toc351203568"/>
      <w:r>
        <w:rPr>
          <w:rFonts w:hint="eastAsia" w:ascii="宋体" w:hAnsi="宋体" w:eastAsia="宋体" w:cs="宋体"/>
          <w:b w:val="0"/>
          <w:color w:val="auto"/>
          <w:sz w:val="21"/>
          <w:szCs w:val="21"/>
          <w:highlight w:val="none"/>
          <w:lang w:eastAsia="zh-CN"/>
        </w:rPr>
        <w:t>1</w:t>
      </w:r>
      <w:bookmarkStart w:id="522" w:name="_Toc296346585"/>
      <w:bookmarkStart w:id="523" w:name="_Toc296503084"/>
      <w:bookmarkStart w:id="524" w:name="_Toc337558788"/>
      <w:r>
        <w:rPr>
          <w:rFonts w:hint="eastAsia" w:ascii="宋体" w:hAnsi="宋体" w:eastAsia="宋体" w:cs="宋体"/>
          <w:b w:val="0"/>
          <w:color w:val="auto"/>
          <w:sz w:val="21"/>
          <w:szCs w:val="21"/>
          <w:highlight w:val="none"/>
          <w:lang w:eastAsia="zh-CN"/>
        </w:rPr>
        <w:t>0.1变更的范围</w:t>
      </w:r>
      <w:bookmarkEnd w:id="521"/>
    </w:p>
    <w:bookmarkEnd w:id="522"/>
    <w:bookmarkEnd w:id="523"/>
    <w:bookmarkEnd w:id="524"/>
    <w:p w14:paraId="41204F4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除专用合同条款另有约定外，合同履行过程中发生以下情形的，应按照本条约定进行变更：</w:t>
      </w:r>
    </w:p>
    <w:p w14:paraId="5375720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（1）增加或减少合同中任何工作，或追加额外的工作；</w:t>
      </w:r>
    </w:p>
    <w:p w14:paraId="650F7D7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（2）取消合同中任何工作，但转由他人实施的工作除外；</w:t>
      </w:r>
    </w:p>
    <w:p w14:paraId="4294CFB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（3）改变合同中任何工作的质量标准或其他特性；</w:t>
      </w:r>
    </w:p>
    <w:p w14:paraId="53A88E9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（4）改变工程的基线、标高、位置和尺寸；</w:t>
      </w:r>
    </w:p>
    <w:p w14:paraId="4B0BA35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（5）改变工程的时间安排或实施顺序。</w:t>
      </w:r>
    </w:p>
    <w:p w14:paraId="792567CC">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25" w:name="_Toc351203569"/>
      <w:r>
        <w:rPr>
          <w:rFonts w:hint="eastAsia" w:ascii="宋体" w:hAnsi="宋体" w:eastAsia="宋体" w:cs="宋体"/>
          <w:b w:val="0"/>
          <w:color w:val="auto"/>
          <w:sz w:val="21"/>
          <w:szCs w:val="21"/>
          <w:highlight w:val="none"/>
          <w:lang w:eastAsia="zh-CN"/>
        </w:rPr>
        <w:t>1</w:t>
      </w:r>
      <w:bookmarkStart w:id="526" w:name="_Toc337558789"/>
      <w:bookmarkStart w:id="527" w:name="_Toc296346586"/>
      <w:bookmarkStart w:id="528" w:name="_Toc296503085"/>
      <w:r>
        <w:rPr>
          <w:rFonts w:hint="eastAsia" w:ascii="宋体" w:hAnsi="宋体" w:eastAsia="宋体" w:cs="宋体"/>
          <w:b w:val="0"/>
          <w:color w:val="auto"/>
          <w:sz w:val="21"/>
          <w:szCs w:val="21"/>
          <w:highlight w:val="none"/>
          <w:lang w:eastAsia="zh-CN"/>
        </w:rPr>
        <w:t>0.2变更权</w:t>
      </w:r>
      <w:bookmarkEnd w:id="525"/>
    </w:p>
    <w:bookmarkEnd w:id="526"/>
    <w:bookmarkEnd w:id="527"/>
    <w:bookmarkEnd w:id="528"/>
    <w:p w14:paraId="16DD19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和监理人均可以提出变更。变更指示均通过监理人发出，监理人发出变更指示前应征得发包人同意。承包人收到经发包人签认的变更指示后，方可实施变更。未经许可，承包人不得擅自对工程的任何部分进行变更。</w:t>
      </w:r>
    </w:p>
    <w:p w14:paraId="7D17B7D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涉及设计变更的，应由设计人提供变更后的图纸和说明。如变更超过原设计标准或批准的建设规模时，发包人应及时办理规划、设计变更等审批手续。</w:t>
      </w:r>
    </w:p>
    <w:p w14:paraId="4425A80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29" w:name="_Toc351203570"/>
      <w:r>
        <w:rPr>
          <w:rFonts w:hint="eastAsia" w:ascii="宋体" w:hAnsi="宋体" w:eastAsia="宋体" w:cs="宋体"/>
          <w:b w:val="0"/>
          <w:color w:val="auto"/>
          <w:sz w:val="21"/>
          <w:szCs w:val="21"/>
          <w:highlight w:val="none"/>
          <w:lang w:eastAsia="zh-CN"/>
        </w:rPr>
        <w:t>1</w:t>
      </w:r>
      <w:bookmarkStart w:id="530" w:name="_Toc296346587"/>
      <w:bookmarkStart w:id="531" w:name="_Toc296503086"/>
      <w:bookmarkStart w:id="532" w:name="_Toc337558790"/>
      <w:r>
        <w:rPr>
          <w:rFonts w:hint="eastAsia" w:ascii="宋体" w:hAnsi="宋体" w:eastAsia="宋体" w:cs="宋体"/>
          <w:b w:val="0"/>
          <w:color w:val="auto"/>
          <w:sz w:val="21"/>
          <w:szCs w:val="21"/>
          <w:highlight w:val="none"/>
          <w:lang w:eastAsia="zh-CN"/>
        </w:rPr>
        <w:t>0.3变更程序</w:t>
      </w:r>
      <w:bookmarkEnd w:id="529"/>
    </w:p>
    <w:bookmarkEnd w:id="530"/>
    <w:bookmarkEnd w:id="531"/>
    <w:bookmarkEnd w:id="532"/>
    <w:p w14:paraId="06FE205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10.3.1 发包人提出变更</w:t>
      </w:r>
    </w:p>
    <w:p w14:paraId="4031DC1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发包人提出变更的，应通过监理人向承包人发出变更指示，变更指示应说明计划变更的工程范围和变更的内容。</w:t>
      </w:r>
    </w:p>
    <w:p w14:paraId="4285E70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10.3.2 监理人提出变更建议</w:t>
      </w:r>
    </w:p>
    <w:p w14:paraId="30DCAA5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提出变更建议的，需要向发包人以书面形式提出变更计划，说明计划变更工程范围和变更的内容、理由，以及实施该变更对合同价格和工期的影响。发包人同意变更的，由监理人向承包人发出变更指示。发包人不同意变更的，监理人无权擅自发出变更指示。</w:t>
      </w:r>
    </w:p>
    <w:p w14:paraId="21C466A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10.3.3 变更执行</w:t>
      </w:r>
    </w:p>
    <w:p w14:paraId="25672EB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收到监理人下达的变更指示后，认为不能执行，应立即提出不能执行该变更指示的理由。承包人认为可以执行变更的，应当书面说明实施该变更指示对合同价格和工期的影响，且合同当事人应当按照第10.4款〔变更估价〕约定确定变更估价。</w:t>
      </w:r>
    </w:p>
    <w:p w14:paraId="5ACDBFC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33" w:name="_Toc351203571"/>
      <w:r>
        <w:rPr>
          <w:rFonts w:hint="eastAsia" w:ascii="宋体" w:hAnsi="宋体" w:eastAsia="宋体" w:cs="宋体"/>
          <w:b w:val="0"/>
          <w:color w:val="auto"/>
          <w:sz w:val="21"/>
          <w:szCs w:val="21"/>
          <w:highlight w:val="none"/>
          <w:lang w:eastAsia="zh-CN"/>
        </w:rPr>
        <w:t>1</w:t>
      </w:r>
      <w:bookmarkStart w:id="534" w:name="_Toc296503087"/>
      <w:bookmarkStart w:id="535" w:name="_Toc296346588"/>
      <w:bookmarkStart w:id="536" w:name="_Toc337558791"/>
      <w:r>
        <w:rPr>
          <w:rFonts w:hint="eastAsia" w:ascii="宋体" w:hAnsi="宋体" w:eastAsia="宋体" w:cs="宋体"/>
          <w:b w:val="0"/>
          <w:color w:val="auto"/>
          <w:sz w:val="21"/>
          <w:szCs w:val="21"/>
          <w:highlight w:val="none"/>
          <w:lang w:eastAsia="zh-CN"/>
        </w:rPr>
        <w:t>0.4变更估价</w:t>
      </w:r>
      <w:bookmarkEnd w:id="533"/>
    </w:p>
    <w:bookmarkEnd w:id="534"/>
    <w:bookmarkEnd w:id="535"/>
    <w:bookmarkEnd w:id="536"/>
    <w:p w14:paraId="2CE93D2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10.4.1 变更估价原则</w:t>
      </w:r>
    </w:p>
    <w:p w14:paraId="2CBB5C5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除专用合同条款另有约定外，变更估价按照本款约定处理：</w:t>
      </w:r>
    </w:p>
    <w:p w14:paraId="243F315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（1）已标价工程量清单或预算书有相同项目的，按照相同项目单价认定；</w:t>
      </w:r>
    </w:p>
    <w:p w14:paraId="0DE7245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（2）已标价工程量清单或预算书中无相同项目，但有类似项目的，参照类似项目的单价认定；</w:t>
      </w:r>
    </w:p>
    <w:p w14:paraId="1853332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变更导致实际完成的变更工程量与已标价工程量清单或预算书中列明的该项目工程量的变化幅度超过15%的，或已标价工程量清单或预算书中无相同项目及类似项目单价的，按照合理的成本与利润构成的原则，由合同当事人按照第4.4款〔商定或确定〕确定变更工作的单价。</w:t>
      </w:r>
    </w:p>
    <w:p w14:paraId="01CD73C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10.4.2 变更估价程序</w:t>
      </w:r>
    </w:p>
    <w:p w14:paraId="410565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在收到变更指示后14天内，向监理人提交变更估价申请。监理人应在收到承包人提交的变更估价申请后7天内审查完毕并报送发包人，监理人对变更估价申请有异议，通知承包人修改后重新提交。发包人应在承包人提交变更估价申请后14天内审批完毕。发包人逾期未完成审批或未提出异议的，视为认可承包人提交的变更估价申请。</w:t>
      </w:r>
    </w:p>
    <w:p w14:paraId="2ADD05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因变更引起的价格调整应计入最近一期的进度款中支付。</w:t>
      </w:r>
    </w:p>
    <w:p w14:paraId="30A63FC1">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37" w:name="_Toc351203572"/>
      <w:r>
        <w:rPr>
          <w:rFonts w:hint="eastAsia" w:ascii="宋体" w:hAnsi="宋体" w:eastAsia="宋体" w:cs="宋体"/>
          <w:b w:val="0"/>
          <w:color w:val="auto"/>
          <w:sz w:val="21"/>
          <w:szCs w:val="21"/>
          <w:highlight w:val="none"/>
          <w:lang w:eastAsia="zh-CN"/>
        </w:rPr>
        <w:t>1</w:t>
      </w:r>
      <w:bookmarkStart w:id="538" w:name="_Toc337558792"/>
      <w:bookmarkStart w:id="539" w:name="_Toc296346595"/>
      <w:bookmarkStart w:id="540" w:name="_Toc296503094"/>
      <w:r>
        <w:rPr>
          <w:rFonts w:hint="eastAsia" w:ascii="宋体" w:hAnsi="宋体" w:eastAsia="宋体" w:cs="宋体"/>
          <w:b w:val="0"/>
          <w:color w:val="auto"/>
          <w:sz w:val="21"/>
          <w:szCs w:val="21"/>
          <w:highlight w:val="none"/>
          <w:lang w:eastAsia="zh-CN"/>
        </w:rPr>
        <w:t>0.5承包人的合理化建议</w:t>
      </w:r>
      <w:bookmarkEnd w:id="537"/>
    </w:p>
    <w:bookmarkEnd w:id="538"/>
    <w:bookmarkEnd w:id="539"/>
    <w:bookmarkEnd w:id="540"/>
    <w:p w14:paraId="3699110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承包人提出合理化建议的，应向监理人提交合理化建议说明，说明建议的内容和理由，以及实施该建议对合同价格和工期的影响。</w:t>
      </w:r>
    </w:p>
    <w:p w14:paraId="6B89684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监理人应在收到承包人提交的合理化建议后7天内审查完毕并报送发包人，发现其中存在技术上的缺陷，应通知承包人修改。发包人应在收到监理人报送的合理化建议后7天内审批完毕。合理化建议经发包人批准的，监理人应及时发出变更指示，由此引起的合同价格调整按照第10.4款〔变更估价〕约定执行。发包人不同意变更的，监理人应书面通知承包人。</w:t>
      </w:r>
    </w:p>
    <w:p w14:paraId="02488D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合理化建议降低了合同价格或者提高了工程经济效益的，发包人可对承包人给予奖励，奖励的方法和金额在专用合同条款中约定。</w:t>
      </w:r>
    </w:p>
    <w:p w14:paraId="5853AD27">
      <w:pPr>
        <w:pStyle w:val="6"/>
        <w:spacing w:before="120" w:after="120" w:line="360" w:lineRule="auto"/>
        <w:ind w:firstLine="420" w:firstLineChars="200"/>
        <w:rPr>
          <w:rFonts w:hint="eastAsia" w:ascii="宋体" w:hAnsi="宋体" w:eastAsia="宋体" w:cs="宋体"/>
          <w:color w:val="auto"/>
          <w:sz w:val="21"/>
          <w:szCs w:val="21"/>
          <w:highlight w:val="none"/>
          <w:lang w:eastAsia="zh-CN"/>
        </w:rPr>
      </w:pPr>
      <w:bookmarkStart w:id="541" w:name="_Toc351203573"/>
      <w:r>
        <w:rPr>
          <w:rFonts w:hint="eastAsia" w:ascii="宋体" w:hAnsi="宋体" w:eastAsia="宋体" w:cs="宋体"/>
          <w:b w:val="0"/>
          <w:color w:val="auto"/>
          <w:sz w:val="21"/>
          <w:szCs w:val="21"/>
          <w:highlight w:val="none"/>
          <w:lang w:eastAsia="zh-CN"/>
        </w:rPr>
        <w:t>1</w:t>
      </w:r>
      <w:bookmarkStart w:id="542" w:name="_Toc337558793"/>
      <w:r>
        <w:rPr>
          <w:rFonts w:hint="eastAsia" w:ascii="宋体" w:hAnsi="宋体" w:eastAsia="宋体" w:cs="宋体"/>
          <w:b w:val="0"/>
          <w:color w:val="auto"/>
          <w:sz w:val="21"/>
          <w:szCs w:val="21"/>
          <w:highlight w:val="none"/>
          <w:lang w:eastAsia="zh-CN"/>
        </w:rPr>
        <w:t>0.6变更引起的工期调整</w:t>
      </w:r>
      <w:bookmarkEnd w:id="541"/>
      <w:r>
        <w:rPr>
          <w:rFonts w:hint="eastAsia" w:ascii="宋体" w:hAnsi="宋体" w:eastAsia="宋体" w:cs="宋体"/>
          <w:b w:val="0"/>
          <w:color w:val="auto"/>
          <w:sz w:val="21"/>
          <w:szCs w:val="21"/>
          <w:highlight w:val="none"/>
          <w:lang w:eastAsia="zh-CN"/>
        </w:rPr>
        <w:t xml:space="preserve"> </w:t>
      </w:r>
      <w:bookmarkEnd w:id="542"/>
      <w:r>
        <w:rPr>
          <w:rFonts w:hint="eastAsia" w:ascii="宋体" w:hAnsi="宋体" w:eastAsia="宋体" w:cs="宋体"/>
          <w:b w:val="0"/>
          <w:color w:val="auto"/>
          <w:sz w:val="21"/>
          <w:szCs w:val="21"/>
          <w:highlight w:val="none"/>
          <w:lang w:eastAsia="zh-CN"/>
        </w:rPr>
        <w:t xml:space="preserve"> </w:t>
      </w:r>
      <w:r>
        <w:rPr>
          <w:rFonts w:hint="eastAsia" w:ascii="宋体" w:hAnsi="宋体" w:eastAsia="宋体" w:cs="宋体"/>
          <w:color w:val="auto"/>
          <w:sz w:val="21"/>
          <w:szCs w:val="21"/>
          <w:highlight w:val="none"/>
          <w:lang w:eastAsia="zh-CN"/>
        </w:rPr>
        <w:t xml:space="preserve"> </w:t>
      </w:r>
    </w:p>
    <w:p w14:paraId="377539A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因变更引起工期变化的，合同当事人均可要求调整合同工期，由合同当事人按照第4.4款〔商定或确定〕并参考工程所在地的工期定额标准确定增减工期天数。</w:t>
      </w:r>
    </w:p>
    <w:p w14:paraId="2C4513D3">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43" w:name="_Toc351203574"/>
      <w:r>
        <w:rPr>
          <w:rFonts w:hint="eastAsia" w:ascii="宋体" w:hAnsi="宋体" w:eastAsia="宋体" w:cs="宋体"/>
          <w:b w:val="0"/>
          <w:color w:val="auto"/>
          <w:sz w:val="21"/>
          <w:szCs w:val="21"/>
          <w:highlight w:val="none"/>
          <w:lang w:eastAsia="zh-CN"/>
        </w:rPr>
        <w:t>10.7暂估价</w:t>
      </w:r>
      <w:bookmarkEnd w:id="543"/>
    </w:p>
    <w:p w14:paraId="1446323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暂估价专业分包工程、服务、材料和工程设备的明细由合同当事人在专用合同条款中约定。</w:t>
      </w:r>
    </w:p>
    <w:p w14:paraId="691D6E4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10.7.1 依法必须招标的暂估价项目</w:t>
      </w:r>
    </w:p>
    <w:p w14:paraId="45228E0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对于依法必须招标的暂估价项目，采取以下第1种方式确定。合同当事人也可以在专用合同条款中选择其他招标方式。</w:t>
      </w:r>
    </w:p>
    <w:p w14:paraId="5CC4E8C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第1种方式：对于依法必须招标的暂估价项目，由承包人招标，对该暂估价项目的确认和批准按照以下约定执行：</w:t>
      </w:r>
    </w:p>
    <w:p w14:paraId="0AFA71A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应当根据施工进度计划，在招标工作启动前14天将招标方案通过监理人报送发包人审查，发包人应当在收到承包人报送的招标方案后7天内批准或提出修改意见。承包人应当按照经过发包人批准的招标方案开展招标工作；</w:t>
      </w:r>
    </w:p>
    <w:p w14:paraId="5B29CB5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应当根据施工进度计划，提前14天将招标文件通过监理人报送发包人审批，发包人应当在收到承包人报送的相关文件后7天内完成审批或提出修改意见；发包人有权确定招标控制价并按照法律规定参加评标；</w:t>
      </w:r>
    </w:p>
    <w:p w14:paraId="04F724B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承包人与供应商、分包人在签订暂估价合同前，应当提前7天将确定的中标候选供应商或中标候选分包人的资料报送发包人，发包人应在收到资料后3天内与承包人共同确定中标人；承包人应当在签订合同后7天内，将暂估价合同副本报送发包人留存。</w:t>
      </w:r>
    </w:p>
    <w:p w14:paraId="15EC126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2种方式：对于依法必须招标的暂估价项目，由发包人和承包人共同招标确定暂估价供应商或分包人的，承包人应按照施工进度计划，在招标工作启动前14天通知发包人，并提交暂估价招标方案和工作分工。发包人应在收到后7天内确认。确定中标人后，由发包人、承包人与中标人共同签订暂估价合同。</w:t>
      </w:r>
    </w:p>
    <w:p w14:paraId="2FEB19D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10.7.2不属于依法必须招标的暂估价项目</w:t>
      </w:r>
    </w:p>
    <w:p w14:paraId="0A92C15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除专用合同条款另有约定外，对于不属于依法必须招标的暂估价项目，采取以下第1种方式确定： </w:t>
      </w:r>
    </w:p>
    <w:p w14:paraId="4175342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第1种方式：对于不属于依法必须招标的暂估价项目，按本项约定确认和批准：</w:t>
      </w:r>
    </w:p>
    <w:p w14:paraId="764794E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应根据施工进度计划，在签订暂估价项目的采购合同、分包合同前28天向监理人提出书面申请。监理人应当在收到申请后3天内报送发包人，发包人应当在收到申请后14天内给予批准或提出修改意见，发包人逾期未予批准或提出修改意见的，视为该书面申请已获得同意；</w:t>
      </w:r>
    </w:p>
    <w:p w14:paraId="6EF6A28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（2）发包人认为承包人确定的供应商、分包人无法满足工程质量或合同要求的，发包人可以要求承包人重新确定暂估价项目的供应商、分包人;</w:t>
      </w:r>
    </w:p>
    <w:p w14:paraId="41B8962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（3）承包人应当在签订暂估价合同后7天内，将暂估价合同副本报送发包人留存。</w:t>
      </w:r>
    </w:p>
    <w:p w14:paraId="5A4CC05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第2种方式：承包人按照第10.7.1项〔依法必须招标的暂估价项目〕约定的第1种方式确定暂估价项目。</w:t>
      </w:r>
    </w:p>
    <w:p w14:paraId="0643D12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第3种方式：承包人直接实施的暂估价项目</w:t>
      </w:r>
    </w:p>
    <w:p w14:paraId="6E9FC81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承包人具备实施暂估价项目的资格和条件的，经发包人和承包人协商一致后，可由承包人自行实施暂估价项目，合同当事人可以在专用合同条款约定具体事项。</w:t>
      </w:r>
    </w:p>
    <w:p w14:paraId="75CC1BE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10.7.3 因发包人原因导致暂估价合同订立和履行迟延的，由此增加的费用和（或）延误的工期由发包人承担，并支付承包人合理的利润。因承包人原因导致暂估价合同订立和履行迟延的，由此增加的费用和（或）延误的工期由承包人承担。</w:t>
      </w:r>
    </w:p>
    <w:p w14:paraId="4E0A0E6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44" w:name="_Toc351203575"/>
      <w:r>
        <w:rPr>
          <w:rFonts w:hint="eastAsia" w:ascii="宋体" w:hAnsi="宋体" w:eastAsia="宋体" w:cs="宋体"/>
          <w:b w:val="0"/>
          <w:color w:val="auto"/>
          <w:sz w:val="21"/>
          <w:szCs w:val="21"/>
          <w:highlight w:val="none"/>
          <w:lang w:eastAsia="zh-CN"/>
        </w:rPr>
        <w:t>1</w:t>
      </w:r>
      <w:bookmarkStart w:id="545" w:name="_Toc337558794"/>
      <w:bookmarkStart w:id="546" w:name="_Toc296503090"/>
      <w:bookmarkStart w:id="547" w:name="_Toc322522561"/>
      <w:bookmarkStart w:id="548" w:name="_Toc296346591"/>
      <w:r>
        <w:rPr>
          <w:rFonts w:hint="eastAsia" w:ascii="宋体" w:hAnsi="宋体" w:eastAsia="宋体" w:cs="宋体"/>
          <w:b w:val="0"/>
          <w:color w:val="auto"/>
          <w:sz w:val="21"/>
          <w:szCs w:val="21"/>
          <w:highlight w:val="none"/>
          <w:lang w:eastAsia="zh-CN"/>
        </w:rPr>
        <w:t>0.8暂列金额</w:t>
      </w:r>
      <w:bookmarkEnd w:id="544"/>
    </w:p>
    <w:bookmarkEnd w:id="545"/>
    <w:p w14:paraId="7BED893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暂列金额应按照发包人的要求使用，发包人的要求应通过监理人发出。合同当事人可以在专用合同条款中协商确定有关事项。</w:t>
      </w:r>
    </w:p>
    <w:bookmarkEnd w:id="546"/>
    <w:bookmarkEnd w:id="547"/>
    <w:bookmarkEnd w:id="548"/>
    <w:p w14:paraId="4142856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49" w:name="_Toc351203576"/>
      <w:r>
        <w:rPr>
          <w:rFonts w:hint="eastAsia" w:ascii="宋体" w:hAnsi="宋体" w:eastAsia="宋体" w:cs="宋体"/>
          <w:b w:val="0"/>
          <w:color w:val="auto"/>
          <w:sz w:val="21"/>
          <w:szCs w:val="21"/>
          <w:highlight w:val="none"/>
          <w:lang w:eastAsia="zh-CN"/>
        </w:rPr>
        <w:t>1</w:t>
      </w:r>
      <w:bookmarkStart w:id="550" w:name="_Toc296346592"/>
      <w:bookmarkStart w:id="551" w:name="_Toc296503091"/>
      <w:bookmarkStart w:id="552" w:name="_Toc337558796"/>
      <w:r>
        <w:rPr>
          <w:rFonts w:hint="eastAsia" w:ascii="宋体" w:hAnsi="宋体" w:eastAsia="宋体" w:cs="宋体"/>
          <w:b w:val="0"/>
          <w:color w:val="auto"/>
          <w:sz w:val="21"/>
          <w:szCs w:val="21"/>
          <w:highlight w:val="none"/>
          <w:lang w:eastAsia="zh-CN"/>
        </w:rPr>
        <w:t>0.9计日工</w:t>
      </w:r>
      <w:bookmarkEnd w:id="549"/>
      <w:r>
        <w:rPr>
          <w:rFonts w:hint="eastAsia" w:ascii="宋体" w:hAnsi="宋体" w:eastAsia="宋体" w:cs="宋体"/>
          <w:b w:val="0"/>
          <w:color w:val="auto"/>
          <w:sz w:val="21"/>
          <w:szCs w:val="21"/>
          <w:highlight w:val="none"/>
          <w:lang w:eastAsia="zh-CN"/>
        </w:rPr>
        <w:t xml:space="preserve"> </w:t>
      </w:r>
      <w:bookmarkEnd w:id="550"/>
      <w:bookmarkEnd w:id="551"/>
      <w:bookmarkEnd w:id="552"/>
    </w:p>
    <w:p w14:paraId="7353F0A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需要采用计日工方式的，经发包人同意后，由监理人通知承包人以计日工计价方式实施相应的工作，其价款按列入已标价工程量清单或预算书中的计日工计价项目及其单价进行计算；已标价工程量清单或预算书中无相应的计日工单价的，按照合理的成本与利润构成的原则，由合同当事人按照第4.4款〔商定或确定〕确定计日工的单价。</w:t>
      </w:r>
    </w:p>
    <w:p w14:paraId="695054D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采用计日工计价的任何一项工作，承包人应在该项工作实施过程中，每天提交以下报表和有关凭证报送监理人审查：</w:t>
      </w:r>
    </w:p>
    <w:p w14:paraId="575F3129">
      <w:pPr>
        <w:spacing w:line="360" w:lineRule="auto"/>
        <w:ind w:firstLine="315" w:firstLineChars="15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（1）工作名称、内容和数量；</w:t>
      </w:r>
    </w:p>
    <w:p w14:paraId="75374F71">
      <w:pPr>
        <w:spacing w:line="360" w:lineRule="auto"/>
        <w:ind w:firstLine="315" w:firstLineChars="15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（2）投入该工作的所有人员的姓名、专业、工种、级别和耗用工时；</w:t>
      </w:r>
    </w:p>
    <w:p w14:paraId="69BCA94C">
      <w:pPr>
        <w:spacing w:line="360" w:lineRule="auto"/>
        <w:ind w:firstLine="315" w:firstLineChars="15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（3）投入该工作的材料类别和数量；</w:t>
      </w:r>
    </w:p>
    <w:p w14:paraId="39057DE0">
      <w:pPr>
        <w:spacing w:line="360" w:lineRule="auto"/>
        <w:ind w:firstLine="315" w:firstLineChars="15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（4）投入该工作的施工设备型号、台数和耗用台时；</w:t>
      </w:r>
    </w:p>
    <w:p w14:paraId="60C47DAE">
      <w:pPr>
        <w:spacing w:line="360" w:lineRule="auto"/>
        <w:ind w:firstLine="315" w:firstLineChars="15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（5）其他有关资料和凭证。</w:t>
      </w:r>
    </w:p>
    <w:p w14:paraId="0E8AA00B">
      <w:pPr>
        <w:spacing w:line="360" w:lineRule="auto"/>
        <w:ind w:firstLine="315" w:firstLineChars="15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 计日工由承包人汇总后，列入最近一期进度付款申请单，由监理人审查并经发包人批准后列入进度付款。</w:t>
      </w:r>
    </w:p>
    <w:p w14:paraId="42D7D39E">
      <w:pPr>
        <w:pStyle w:val="5"/>
        <w:spacing w:before="120" w:after="120"/>
        <w:rPr>
          <w:rFonts w:hint="eastAsia" w:ascii="宋体" w:hAnsi="宋体" w:eastAsia="宋体" w:cs="宋体"/>
          <w:b w:val="0"/>
          <w:color w:val="auto"/>
          <w:sz w:val="21"/>
          <w:szCs w:val="21"/>
          <w:highlight w:val="none"/>
          <w:lang w:eastAsia="zh-CN"/>
        </w:rPr>
      </w:pPr>
      <w:bookmarkStart w:id="553" w:name="_Toc351203577"/>
      <w:r>
        <w:rPr>
          <w:rFonts w:hint="eastAsia" w:ascii="宋体" w:hAnsi="宋体" w:eastAsia="宋体" w:cs="宋体"/>
          <w:b w:val="0"/>
          <w:color w:val="auto"/>
          <w:sz w:val="21"/>
          <w:szCs w:val="21"/>
          <w:highlight w:val="none"/>
          <w:lang w:eastAsia="zh-CN"/>
        </w:rPr>
        <w:t>11. 价格调整</w:t>
      </w:r>
      <w:bookmarkEnd w:id="553"/>
    </w:p>
    <w:p w14:paraId="4202D6D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54" w:name="_Toc351203578"/>
      <w:bookmarkStart w:id="555" w:name="_Toc296503092"/>
      <w:bookmarkStart w:id="556" w:name="_Toc296346593"/>
      <w:bookmarkStart w:id="557" w:name="_Toc337558797"/>
      <w:r>
        <w:rPr>
          <w:rFonts w:hint="eastAsia" w:ascii="宋体" w:hAnsi="宋体" w:eastAsia="宋体" w:cs="宋体"/>
          <w:b w:val="0"/>
          <w:color w:val="auto"/>
          <w:sz w:val="21"/>
          <w:szCs w:val="21"/>
          <w:highlight w:val="none"/>
          <w:lang w:eastAsia="zh-CN"/>
        </w:rPr>
        <w:t>11.1市场价格波动引起的调整</w:t>
      </w:r>
      <w:bookmarkEnd w:id="554"/>
    </w:p>
    <w:bookmarkEnd w:id="555"/>
    <w:bookmarkEnd w:id="556"/>
    <w:bookmarkEnd w:id="557"/>
    <w:p w14:paraId="57C7545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除专用合同条款另有约定外，市场价格波动超过合同当事人约定的范围，合同价格应当调整。合同当事人可以在专用合同条款中约定选择以下一种方式对合同价格进行调整：</w:t>
      </w:r>
    </w:p>
    <w:p w14:paraId="3C979F0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第1种方式：采用价格指数进行价格调整。</w:t>
      </w:r>
    </w:p>
    <w:p w14:paraId="0C9E2571">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（1）价格调整公式</w:t>
      </w:r>
    </w:p>
    <w:p w14:paraId="0052047A">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因人工、材料和设备等价格波动影响合同价格时，根据专用合同条款中约定的数据，按以下公式计算差额并调整合同价格：</w:t>
      </w:r>
    </w:p>
    <w:p w14:paraId="1C7B69AD">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position w:val="-30"/>
          <w:sz w:val="21"/>
          <w:szCs w:val="21"/>
          <w:highlight w:val="none"/>
        </w:rPr>
        <w:object>
          <v:shape id="_x0000_i1025" o:spt="75" type="#_x0000_t75" style="height:44pt;width:360pt;" o:ole="t" filled="f" o:preferrelative="t" stroked="f" coordsize="21600,21600">
            <v:path/>
            <v:fill on="f" focussize="0,0"/>
            <v:stroke on="f" joinstyle="miter"/>
            <v:imagedata r:id="rId20" o:title=""/>
            <o:lock v:ext="edit" aspectratio="t"/>
            <w10:wrap type="none"/>
            <w10:anchorlock/>
          </v:shape>
          <o:OLEObject Type="Embed" ProgID="Equation.3" ShapeID="_x0000_i1025" DrawAspect="Content" ObjectID="_1468075725" r:id="rId19">
            <o:LockedField>false</o:LockedField>
          </o:OLEObject>
        </w:object>
      </w:r>
    </w:p>
    <w:p w14:paraId="2AF369AB">
      <w:pPr>
        <w:tabs>
          <w:tab w:val="left" w:pos="0"/>
          <w:tab w:val="left" w:pos="360"/>
          <w:tab w:val="left" w:pos="540"/>
        </w:tabs>
        <w:spacing w:line="360" w:lineRule="auto"/>
        <w:ind w:firstLine="64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公式中：</w:t>
      </w:r>
      <w:r>
        <w:rPr>
          <w:rFonts w:hint="eastAsia" w:ascii="宋体" w:hAnsi="宋体" w:eastAsia="宋体" w:cs="宋体"/>
          <w:color w:val="auto"/>
          <w:sz w:val="21"/>
          <w:szCs w:val="21"/>
          <w:highlight w:val="none"/>
        </w:rPr>
        <w:t>Δ</w:t>
      </w:r>
      <w:r>
        <w:rPr>
          <w:rFonts w:hint="eastAsia" w:ascii="宋体" w:hAnsi="宋体" w:eastAsia="宋体" w:cs="宋体"/>
          <w:color w:val="auto"/>
          <w:sz w:val="21"/>
          <w:szCs w:val="21"/>
          <w:highlight w:val="none"/>
          <w:lang w:eastAsia="zh-CN"/>
        </w:rPr>
        <w:t>P——需调整的价格差额；</w:t>
      </w:r>
    </w:p>
    <w:p w14:paraId="09370C46">
      <w:pPr>
        <w:tabs>
          <w:tab w:val="left" w:pos="0"/>
          <w:tab w:val="left" w:pos="360"/>
          <w:tab w:val="left" w:pos="540"/>
        </w:tabs>
        <w:spacing w:line="360" w:lineRule="auto"/>
        <w:ind w:firstLine="1260" w:firstLineChars="600"/>
        <w:rPr>
          <w:rFonts w:hint="eastAsia" w:ascii="宋体" w:hAnsi="宋体" w:eastAsia="宋体" w:cs="宋体"/>
          <w:color w:val="auto"/>
          <w:sz w:val="21"/>
          <w:szCs w:val="21"/>
          <w:highlight w:val="none"/>
          <w:lang w:eastAsia="zh-CN"/>
        </w:rPr>
      </w:pPr>
      <w:r>
        <w:rPr>
          <w:rFonts w:hint="eastAsia" w:ascii="宋体" w:hAnsi="宋体" w:eastAsia="宋体" w:cs="宋体"/>
          <w:color w:val="auto"/>
          <w:position w:val="-6"/>
          <w:sz w:val="21"/>
          <w:szCs w:val="21"/>
          <w:highlight w:val="none"/>
        </w:rPr>
        <w:object>
          <v:shape id="_x0000_i1026" o:spt="75" type="#_x0000_t75" style="height:18pt;width:18pt;" o:ole="t" filled="f" o:preferrelative="t" stroked="f" coordsize="21600,21600">
            <v:path/>
            <v:fill on="f" focussize="0,0"/>
            <v:stroke on="f" joinstyle="miter"/>
            <v:imagedata r:id="rId22" o:title=""/>
            <o:lock v:ext="edit" aspectratio="t"/>
            <w10:wrap type="none"/>
            <w10:anchorlock/>
          </v:shape>
          <o:OLEObject Type="Embed" ProgID="Equation.3" ShapeID="_x0000_i1026" DrawAspect="Content" ObjectID="_1468075726" r:id="rId21">
            <o:LockedField>false</o:LockedField>
          </o:OLEObject>
        </w:object>
      </w:r>
      <w:r>
        <w:rPr>
          <w:rFonts w:hint="eastAsia" w:ascii="宋体" w:hAnsi="宋体" w:eastAsia="宋体" w:cs="宋体"/>
          <w:color w:val="auto"/>
          <w:sz w:val="21"/>
          <w:szCs w:val="21"/>
          <w:highlight w:val="none"/>
          <w:lang w:eastAsia="zh-CN"/>
        </w:rPr>
        <w:t>——约定的付款证书中承包人应得到的已完成工程量的金额。此项金额应不包括价格调整、不计质量保证金的扣留和支付、预付款的支付和扣回。约定的变更及其他金额已按现行价格计价的，也不计在内；</w:t>
      </w:r>
    </w:p>
    <w:p w14:paraId="3BF0F04F">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A——定值权重（即不调部分的权重）；</w:t>
      </w:r>
    </w:p>
    <w:p w14:paraId="454576F0">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position w:val="-10"/>
          <w:sz w:val="21"/>
          <w:szCs w:val="21"/>
          <w:highlight w:val="none"/>
        </w:rPr>
        <w:object>
          <v:shape id="_x0000_i1027" o:spt="75" type="#_x0000_t75" style="height:21pt;width:101pt;" o:ole="t" filled="f" o:preferrelative="t" stroked="f" coordsize="21600,21600">
            <v:path/>
            <v:fill on="f" focussize="0,0"/>
            <v:stroke on="f" joinstyle="miter"/>
            <v:imagedata r:id="rId24" o:title=""/>
            <o:lock v:ext="edit" aspectratio="t"/>
            <w10:wrap type="none"/>
            <w10:anchorlock/>
          </v:shape>
          <o:OLEObject Type="Embed" ProgID="Equation.3" ShapeID="_x0000_i1027" DrawAspect="Content" ObjectID="_1468075727" r:id="rId23">
            <o:LockedField>false</o:LockedField>
          </o:OLEObject>
        </w:object>
      </w:r>
      <w:r>
        <w:rPr>
          <w:rFonts w:hint="eastAsia" w:ascii="宋体" w:hAnsi="宋体" w:eastAsia="宋体" w:cs="宋体"/>
          <w:color w:val="auto"/>
          <w:sz w:val="21"/>
          <w:szCs w:val="21"/>
          <w:highlight w:val="none"/>
          <w:lang w:eastAsia="zh-CN"/>
        </w:rPr>
        <w:t>——各可调因子的变值权重（即可调部分的权重），为各可调因子在签约合同价中所占的比例；</w:t>
      </w:r>
    </w:p>
    <w:p w14:paraId="5BBE823C">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position w:val="-10"/>
          <w:sz w:val="21"/>
          <w:szCs w:val="21"/>
          <w:highlight w:val="none"/>
        </w:rPr>
        <w:object>
          <v:shape id="_x0000_i1028" o:spt="75" type="#_x0000_t75" style="height:20.5pt;width:102pt;" o:ole="t" filled="f" o:preferrelative="t" stroked="f" coordsize="21600,21600">
            <v:path/>
            <v:fill on="f" focussize="0,0"/>
            <v:stroke on="f" joinstyle="miter"/>
            <v:imagedata r:id="rId26" o:title=""/>
            <o:lock v:ext="edit" aspectratio="t"/>
            <w10:wrap type="none"/>
            <w10:anchorlock/>
          </v:shape>
          <o:OLEObject Type="Embed" ProgID="Equation.3" ShapeID="_x0000_i1028" DrawAspect="Content" ObjectID="_1468075728" r:id="rId25">
            <o:LockedField>false</o:LockedField>
          </o:OLEObject>
        </w:object>
      </w:r>
      <w:r>
        <w:rPr>
          <w:rFonts w:hint="eastAsia" w:ascii="宋体" w:hAnsi="宋体" w:eastAsia="宋体" w:cs="宋体"/>
          <w:color w:val="auto"/>
          <w:sz w:val="21"/>
          <w:szCs w:val="21"/>
          <w:highlight w:val="none"/>
          <w:lang w:eastAsia="zh-CN"/>
        </w:rPr>
        <w:t>——各可调因子的现行价格指数，指约定的付款证书相关周期最后一天的前42天的各可调因子的价格指数；</w:t>
      </w:r>
    </w:p>
    <w:p w14:paraId="6F225029">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position w:val="-10"/>
          <w:sz w:val="21"/>
          <w:szCs w:val="21"/>
          <w:highlight w:val="none"/>
        </w:rPr>
        <w:object>
          <v:shape id="_x0000_i1029" o:spt="75" type="#_x0000_t75" style="height:20pt;width:108pt;" o:ole="t" filled="f" o:preferrelative="t" stroked="f" coordsize="21600,21600">
            <v:path/>
            <v:fill on="f" focussize="0,0"/>
            <v:stroke on="f" joinstyle="miter"/>
            <v:imagedata r:id="rId28" o:title=""/>
            <o:lock v:ext="edit" aspectratio="t"/>
            <w10:wrap type="none"/>
            <w10:anchorlock/>
          </v:shape>
          <o:OLEObject Type="Embed" ProgID="Equation.3" ShapeID="_x0000_i1029" DrawAspect="Content" ObjectID="_1468075729" r:id="rId27">
            <o:LockedField>false</o:LockedField>
          </o:OLEObject>
        </w:object>
      </w:r>
      <w:r>
        <w:rPr>
          <w:rFonts w:hint="eastAsia" w:ascii="宋体" w:hAnsi="宋体" w:eastAsia="宋体" w:cs="宋体"/>
          <w:color w:val="auto"/>
          <w:sz w:val="21"/>
          <w:szCs w:val="21"/>
          <w:highlight w:val="none"/>
          <w:lang w:eastAsia="zh-CN"/>
        </w:rPr>
        <w:t>——各可调因子的基本价格指数，指基准日期的各可调因子的价格指数。</w:t>
      </w:r>
    </w:p>
    <w:p w14:paraId="2E1B9D58">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以上价格调整公式中的各可调因子、定值和变值权重，以及基本价格指数及其来源在投标函附录价格指数和权重表中约定，非招标订立的合同，由合同当事人在专用合同条款中约定。价格指数应首先采用工程造价管理机构发布的价格指数，无前述价格指数时，可采用工程造价管理机构发布的价格代替。</w:t>
      </w:r>
    </w:p>
    <w:p w14:paraId="50CFD842">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（2）暂时确定调整差额</w:t>
      </w:r>
    </w:p>
    <w:p w14:paraId="09F506D3">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在计算调整差额时无现行价格指数的，合同当事人同意暂用前次价格指数计算。实际价格指数有调整的，合同当事人进行相应调整。</w:t>
      </w:r>
    </w:p>
    <w:p w14:paraId="249CA998">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（3）权重的调整</w:t>
      </w:r>
    </w:p>
    <w:p w14:paraId="5C2F3A8C">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因变更导致合同约定的权重不合理时，按照第4.4款〔商定或确定〕执行。</w:t>
      </w:r>
    </w:p>
    <w:p w14:paraId="54525363">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（4）因承包人原因工期延误后的价格调整</w:t>
      </w:r>
    </w:p>
    <w:p w14:paraId="249762C1">
      <w:pPr>
        <w:tabs>
          <w:tab w:val="left" w:pos="0"/>
          <w:tab w:val="left" w:pos="360"/>
          <w:tab w:val="left" w:pos="540"/>
        </w:tabs>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因承包人原因未按期竣工的，对合同约定的竣工日期后继续施工的工程，在使用价格调整公式时，应采用计划竣工日期与实际竣工日期的两个价格指数中较低的一个作为现行价格指数。</w:t>
      </w:r>
    </w:p>
    <w:p w14:paraId="27FDB8E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第2种方式：采用造价信息进行价格调整。</w:t>
      </w:r>
    </w:p>
    <w:p w14:paraId="3EEC857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履行期间，因人工、材料、工程设备和机械台班价格波动影响合同价格时，人工、机械使用费按照国家或省、自治区、直辖市建设行政管理部门、行业建设管理部门或其授权的工程造价管理机构发布的人工、机械使用费系数进行调整；需要进行价格调整的材料，其单价和采购数量应由发包人审批，发包人确认需调整的材料单价及数量，作为调整合同价格的依据。</w:t>
      </w:r>
    </w:p>
    <w:p w14:paraId="55BB69B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人工单价发生变化且符合省级或行业建设主管部门发布的人工费调整规定，合同当事人应按省级或行业建设主管部门或其授权的工程造价管理机构发布的人工费等文件调整合同价格，但承包人对人工费或人工单价的报价高于发布价格的除外。</w:t>
      </w:r>
    </w:p>
    <w:p w14:paraId="0E3A692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（2）材料、工程设备价格变化的价款调整按照发包人提供的基准价格，按以下风险范围规定执行:</w:t>
      </w:r>
    </w:p>
    <w:p w14:paraId="0A7C12E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①承包人在已标价工程量清单或预算书中载明材料单价低于基准价格的：除专用合同条款另有约定外，合同履行期间材料单价涨幅以基准价格为基础超过5%时，或材料单价跌幅以在已标价工程量清单或预算书中载明材料单价为基础超过5%时，其超过部分据实调整。</w:t>
      </w:r>
    </w:p>
    <w:p w14:paraId="754C86D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②承包人在已标价工程量清单或预算书中载明材料单价高于基准价格的：除专用合同条款另有约定外，合同履行期间材料单价跌幅以基准价格为基础超过5%时，材料单价涨幅以在已标价工程量清单或预算书中载明材料单价为基础超过5%时，其超过部分据实调整。</w:t>
      </w:r>
    </w:p>
    <w:p w14:paraId="3637C18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③承包人在已标价工程量清单或预算书中载明材料单价等于基准价格的：除专用合同条款另有约定外，合同履行期间材料单价涨跌幅以基准价格为基础超过±5%时，其超过部分据实调整。</w:t>
      </w:r>
    </w:p>
    <w:p w14:paraId="1A1758E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④承包人应在采购材料前将采购数量和新的材料单价报发包人核对，发包人确认用于工程时，发包人应确认采购材料的数量和单价。发包人在收到承包人报送的确认资料后5天内不予答复的视为认可，作为调整合同价格的依据。未经发包人事先核对，承包人自行采购材料的，发包人有权不予调整合同价格。发包人同意的，可以调整合同价格。</w:t>
      </w:r>
    </w:p>
    <w:p w14:paraId="767A16F1">
      <w:pPr>
        <w:spacing w:line="360" w:lineRule="auto"/>
        <w:ind w:firstLine="420" w:firstLineChars="200"/>
        <w:rPr>
          <w:rFonts w:hint="eastAsia" w:ascii="宋体" w:hAnsi="宋体" w:eastAsia="宋体" w:cs="宋体"/>
          <w:color w:val="auto"/>
          <w:sz w:val="21"/>
          <w:szCs w:val="21"/>
          <w:highlight w:val="none"/>
          <w:lang w:eastAsia="zh-CN"/>
        </w:rPr>
      </w:pPr>
      <w:bookmarkStart w:id="558" w:name="OLE_LINK3"/>
      <w:r>
        <w:rPr>
          <w:rFonts w:hint="eastAsia" w:ascii="宋体" w:hAnsi="宋体" w:eastAsia="宋体" w:cs="宋体"/>
          <w:color w:val="auto"/>
          <w:sz w:val="21"/>
          <w:szCs w:val="21"/>
          <w:highlight w:val="none"/>
          <w:lang w:eastAsia="zh-CN"/>
        </w:rPr>
        <w:t>前述基准价格是指由发包人在招标文件或专用合同条款中给定的材料、工程设备的价格，该价格原则上应当按照省级或行业建设主管部门或其授权的工程造价管理机构发布的信息价编制。</w:t>
      </w:r>
    </w:p>
    <w:p w14:paraId="58934A5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（3）施工机械台班单价或施工机械使用费发生变化超过省级或行业建设主管部门或其授权的工程造价管理机构规定的范围时，按规定调整合同价格。</w:t>
      </w:r>
    </w:p>
    <w:p w14:paraId="6C0C203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第3种方式：专用合同条款约定的其他方式。</w:t>
      </w:r>
    </w:p>
    <w:p w14:paraId="73B2B823">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59" w:name="_Toc351203579"/>
      <w:bookmarkStart w:id="560" w:name="_Toc296503093"/>
      <w:bookmarkStart w:id="561" w:name="_Toc296346594"/>
      <w:bookmarkStart w:id="562" w:name="_Toc337558798"/>
      <w:r>
        <w:rPr>
          <w:rFonts w:hint="eastAsia" w:ascii="宋体" w:hAnsi="宋体" w:eastAsia="宋体" w:cs="宋体"/>
          <w:b w:val="0"/>
          <w:color w:val="auto"/>
          <w:sz w:val="21"/>
          <w:szCs w:val="21"/>
          <w:highlight w:val="none"/>
          <w:lang w:eastAsia="zh-CN"/>
        </w:rPr>
        <w:t>11.2法律变化引起的调整</w:t>
      </w:r>
      <w:bookmarkEnd w:id="559"/>
    </w:p>
    <w:bookmarkEnd w:id="560"/>
    <w:bookmarkEnd w:id="561"/>
    <w:bookmarkEnd w:id="562"/>
    <w:p w14:paraId="4C14E73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基准日期后，法律变化导致承包人在合同履行过程中所需要的费用发生除第11.1款〔市场价格波动引起的调整〕约定以外的增加时，由发包人承担由此增加的费用；减少时，应从合同价格中予以扣减。基准日期后，因法律变化造成工期延误时，工期应予以顺延。</w:t>
      </w:r>
    </w:p>
    <w:p w14:paraId="6D1E8A6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因法律变化引起的合同价格和工期调整，合同当事人无法达成一致的，由总监理工程师按第4.4款〔商定或确定〕的约定处理。</w:t>
      </w:r>
    </w:p>
    <w:p w14:paraId="431CA4F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因承包人原因造成工期延误，在工期延误期间出现法律变化的，由此增加的费用和（或）延误的工期由承包人承担。</w:t>
      </w:r>
    </w:p>
    <w:p w14:paraId="61A12B8A">
      <w:pPr>
        <w:pStyle w:val="5"/>
        <w:spacing w:before="120" w:after="120"/>
        <w:rPr>
          <w:rFonts w:hint="eastAsia" w:ascii="宋体" w:hAnsi="宋体" w:eastAsia="宋体" w:cs="宋体"/>
          <w:b w:val="0"/>
          <w:color w:val="auto"/>
          <w:sz w:val="21"/>
          <w:szCs w:val="21"/>
          <w:highlight w:val="none"/>
          <w:lang w:eastAsia="zh-CN"/>
        </w:rPr>
      </w:pPr>
      <w:bookmarkStart w:id="563" w:name="_Toc351203580"/>
      <w:bookmarkStart w:id="564" w:name="_Toc337558799"/>
      <w:bookmarkStart w:id="565" w:name="_Toc296503096"/>
      <w:bookmarkStart w:id="566" w:name="_Toc296346597"/>
      <w:r>
        <w:rPr>
          <w:rFonts w:hint="eastAsia" w:ascii="宋体" w:hAnsi="宋体" w:eastAsia="宋体" w:cs="宋体"/>
          <w:b w:val="0"/>
          <w:color w:val="auto"/>
          <w:sz w:val="21"/>
          <w:szCs w:val="21"/>
          <w:highlight w:val="none"/>
          <w:lang w:eastAsia="zh-CN"/>
        </w:rPr>
        <w:t>12. 合同价格、计量与支付</w:t>
      </w:r>
      <w:bookmarkEnd w:id="563"/>
    </w:p>
    <w:bookmarkEnd w:id="564"/>
    <w:p w14:paraId="6483102D">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67" w:name="_Toc351203581"/>
      <w:bookmarkStart w:id="568" w:name="_Toc337558800"/>
      <w:r>
        <w:rPr>
          <w:rFonts w:hint="eastAsia" w:ascii="宋体" w:hAnsi="宋体" w:eastAsia="宋体" w:cs="宋体"/>
          <w:b w:val="0"/>
          <w:color w:val="auto"/>
          <w:sz w:val="21"/>
          <w:szCs w:val="21"/>
          <w:highlight w:val="none"/>
          <w:lang w:eastAsia="zh-CN"/>
        </w:rPr>
        <w:t>12.1 合同价</w:t>
      </w:r>
      <w:bookmarkEnd w:id="565"/>
      <w:bookmarkEnd w:id="566"/>
      <w:r>
        <w:rPr>
          <w:rFonts w:hint="eastAsia" w:ascii="宋体" w:hAnsi="宋体" w:eastAsia="宋体" w:cs="宋体"/>
          <w:b w:val="0"/>
          <w:color w:val="auto"/>
          <w:sz w:val="21"/>
          <w:szCs w:val="21"/>
          <w:highlight w:val="none"/>
          <w:lang w:eastAsia="zh-CN"/>
        </w:rPr>
        <w:t>格形式</w:t>
      </w:r>
      <w:bookmarkEnd w:id="567"/>
    </w:p>
    <w:bookmarkEnd w:id="568"/>
    <w:p w14:paraId="55C0647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发包人和承包人应在合同协议书中选择下列一种合同价格形式： </w:t>
      </w:r>
    </w:p>
    <w:p w14:paraId="62EF42F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1.单价合同</w:t>
      </w:r>
    </w:p>
    <w:p w14:paraId="1BA22E7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单价合同是指合同当事人约定以工程量清单及其综合单价进行合同价格计算、调整和确认的建设工程施工合同，在约定的范围内合同单价不作调整。合同当事人应在专用合同条款中约定综合单价包含的风险范围和风险费用的计算方法，并约定风险范围以外的合同价格的调整方法，其中因市场价格波动引起的调整按第11.1款〔市场价格波动引起的调整〕约定执行。</w:t>
      </w:r>
    </w:p>
    <w:p w14:paraId="5C72F7A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2.总价合同</w:t>
      </w:r>
    </w:p>
    <w:p w14:paraId="0C043F6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总价合同是指合同当事人约定以施工图、已标价工程量清单或预算书及有关条件进行合同价格计算、调整和确认的建设工程施工合同，在约定的范围内合同总价不作调整。合同当事人应在专用合同条款中约定总价包含的风险范围和风险费用的计算方法，并约定风险范围以外的合同价格的调整方法，其中因市场价格波动引起的调整按第11.1款〔市场价格波动引起的调整〕、因法律变化引起的调整按第11.2款〔法律变化引起的调整〕约定执行。</w:t>
      </w:r>
    </w:p>
    <w:p w14:paraId="3E1A941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3.其它价格形式</w:t>
      </w:r>
    </w:p>
    <w:p w14:paraId="36AA0F1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合同当事人可在专用合同条款中约定其他合同价格形式。</w:t>
      </w:r>
    </w:p>
    <w:p w14:paraId="1694D81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69" w:name="_Toc296503097"/>
      <w:bookmarkStart w:id="570" w:name="_Toc296346598"/>
      <w:bookmarkStart w:id="571" w:name="_Toc351203582"/>
      <w:bookmarkStart w:id="572" w:name="_Toc337558801"/>
      <w:r>
        <w:rPr>
          <w:rFonts w:hint="eastAsia" w:ascii="宋体" w:hAnsi="宋体" w:eastAsia="宋体" w:cs="宋体"/>
          <w:b w:val="0"/>
          <w:color w:val="auto"/>
          <w:sz w:val="21"/>
          <w:szCs w:val="21"/>
          <w:highlight w:val="none"/>
          <w:lang w:eastAsia="zh-CN"/>
        </w:rPr>
        <w:t>12.2预</w:t>
      </w:r>
      <w:bookmarkEnd w:id="569"/>
      <w:bookmarkEnd w:id="570"/>
      <w:bookmarkStart w:id="573" w:name="_Toc296346601"/>
      <w:bookmarkStart w:id="574" w:name="_Toc296503100"/>
      <w:r>
        <w:rPr>
          <w:rFonts w:hint="eastAsia" w:ascii="宋体" w:hAnsi="宋体" w:eastAsia="宋体" w:cs="宋体"/>
          <w:b w:val="0"/>
          <w:color w:val="auto"/>
          <w:sz w:val="21"/>
          <w:szCs w:val="21"/>
          <w:highlight w:val="none"/>
          <w:lang w:eastAsia="zh-CN"/>
        </w:rPr>
        <w:t>付款</w:t>
      </w:r>
      <w:bookmarkEnd w:id="571"/>
    </w:p>
    <w:bookmarkEnd w:id="572"/>
    <w:bookmarkEnd w:id="573"/>
    <w:bookmarkEnd w:id="574"/>
    <w:p w14:paraId="5D759B1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12.2.1预付款的支付</w:t>
      </w:r>
    </w:p>
    <w:p w14:paraId="63C539A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预付款的支付按照专用合同条款约定执行，但至迟应在开工通知载明的开工日期7天前支付。预付款应当用于材料、工程设备、施工设备的采购及修建临时工程、组织施工队伍进场等。</w:t>
      </w:r>
    </w:p>
    <w:p w14:paraId="512C592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除专用合同条款另有约定外，预付款在进度付款中同比例扣回。</w:t>
      </w:r>
      <w:bookmarkEnd w:id="558"/>
      <w:r>
        <w:rPr>
          <w:rFonts w:hint="eastAsia" w:ascii="宋体" w:hAnsi="宋体" w:eastAsia="宋体" w:cs="宋体"/>
          <w:color w:val="auto"/>
          <w:sz w:val="21"/>
          <w:szCs w:val="21"/>
          <w:highlight w:val="none"/>
          <w:lang w:eastAsia="zh-CN"/>
        </w:rPr>
        <w:t>在颁发工程接收证书前，提前解除合同的，尚未扣完的预付款应与合同价款一并结算。</w:t>
      </w:r>
    </w:p>
    <w:p w14:paraId="666C200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发包人逾期支付预付款超过7天的，承包人有权向发包人发出要求预付的催告通知，发包人收到通知后7天内仍未支付的，承包人有权暂停施工，并按第16.1.1项〔发包人违约的情形〕执行。</w:t>
      </w:r>
    </w:p>
    <w:p w14:paraId="0D51348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12.2.2 预付款担保</w:t>
      </w:r>
    </w:p>
    <w:p w14:paraId="37B2622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要求承包人提供预付款担保的，承包人应在发包人支付预付款7天前提供预付款担保，专用合同条款另有约定除外。预付款担保可采用银行保函、担保公司担保等形式，具体由合同当事人在专用合同条款中约定。在预付款完全扣回之前，承包人应保证预付款担保持续有效。</w:t>
      </w:r>
    </w:p>
    <w:p w14:paraId="566CD4D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发包人在工程款中逐期扣回预付款后，预付款担保额度应相应减少，但剩余的预付款担保金额不得低于未被扣回的预付款金额。</w:t>
      </w:r>
    </w:p>
    <w:p w14:paraId="0BFE0C62">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75" w:name="_Toc351203583"/>
      <w:bookmarkStart w:id="576" w:name="_Toc337558802"/>
      <w:r>
        <w:rPr>
          <w:rFonts w:hint="eastAsia" w:ascii="宋体" w:hAnsi="宋体" w:eastAsia="宋体" w:cs="宋体"/>
          <w:b w:val="0"/>
          <w:color w:val="auto"/>
          <w:sz w:val="21"/>
          <w:szCs w:val="21"/>
          <w:highlight w:val="none"/>
          <w:lang w:eastAsia="zh-CN"/>
        </w:rPr>
        <w:t>12.3计量</w:t>
      </w:r>
      <w:bookmarkEnd w:id="575"/>
    </w:p>
    <w:bookmarkEnd w:id="576"/>
    <w:p w14:paraId="1A221F2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12.3.1 计量原则</w:t>
      </w:r>
    </w:p>
    <w:p w14:paraId="3BABA11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工程量计量按照合同约定的工程量计算规则、图纸及变更指示等进行计量。工程量计算规则应以相关的国家标准、行业标准等为依据，由合同当事人在专用合同条款中约定。</w:t>
      </w:r>
    </w:p>
    <w:p w14:paraId="3D0C7C4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12.3.2 计量周期</w:t>
      </w:r>
    </w:p>
    <w:p w14:paraId="71EB05C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除专用合同条款另有约定外，工程量的计量按月进行。</w:t>
      </w:r>
    </w:p>
    <w:p w14:paraId="05801FC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12.3.3 单价合同的计量</w:t>
      </w:r>
    </w:p>
    <w:p w14:paraId="1AC3638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除专用合同条款另有约定外，单价合同的计量按照本项约定执行：</w:t>
      </w:r>
    </w:p>
    <w:p w14:paraId="6FDD854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（1）承包人应于每月25日向监理人报送上月20日至当月19日已完成的工程量报告，并附具进度付款申请单、已完成工程量报表和有关资料。</w:t>
      </w:r>
    </w:p>
    <w:p w14:paraId="6031082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复核或修正的工程量视为承包人实际完成的工程量。</w:t>
      </w:r>
    </w:p>
    <w:p w14:paraId="752F80A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（3）监理人未在收到承包人提交的工程量报表后的7天内完成审核的，承包人报送的工程量报告中的工程量视为承包人实际完成的工程量，据此计算工程价款。</w:t>
      </w:r>
    </w:p>
    <w:p w14:paraId="623264D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12.3.4 总价合同的计量</w:t>
      </w:r>
    </w:p>
    <w:p w14:paraId="1ACBA2F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除专用合同条款另有约定外，按月计量支付的总价合同，按照本项约定执行：</w:t>
      </w:r>
    </w:p>
    <w:p w14:paraId="059A3A4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（1）承包人应于每月25日向监理人报送上月20日至当月19日已完成的工程量报告，并附具进度付款申请单、已完成工程量报表和有关资料。</w:t>
      </w:r>
    </w:p>
    <w:p w14:paraId="17D4E07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审核或修正的工程量视为承包人实际完成的工程量。</w:t>
      </w:r>
    </w:p>
    <w:p w14:paraId="59FCEB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（3）监理人未在收到承包人提交的工程量报表后的7天内完成复核的，承包人提交的工程量报告中的工程量视为承包人实际完成的工程量。</w:t>
      </w:r>
    </w:p>
    <w:p w14:paraId="4E70880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12.3.5 总价合同采用支付分解表计量支付的，可以按照第12.3.4项〔总价合同的计量〕约定进行计量，但合同价款按照支付分解表进行支付。</w:t>
      </w:r>
    </w:p>
    <w:p w14:paraId="6071C77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12.3.6 其他价格形式合同的计量</w:t>
      </w:r>
    </w:p>
    <w:p w14:paraId="7BFCC0F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合同当事人可在专用合同条款中约定其他价格形式合同的计量方式和程序。</w:t>
      </w:r>
    </w:p>
    <w:p w14:paraId="490C07B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77" w:name="_Toc296503101"/>
      <w:bookmarkStart w:id="578" w:name="_Toc296346602"/>
      <w:bookmarkStart w:id="579" w:name="_Toc351203584"/>
      <w:bookmarkStart w:id="580" w:name="_Toc337558803"/>
      <w:r>
        <w:rPr>
          <w:rFonts w:hint="eastAsia" w:ascii="宋体" w:hAnsi="宋体" w:eastAsia="宋体" w:cs="宋体"/>
          <w:b w:val="0"/>
          <w:color w:val="auto"/>
          <w:sz w:val="21"/>
          <w:szCs w:val="21"/>
          <w:highlight w:val="none"/>
          <w:lang w:eastAsia="zh-CN"/>
        </w:rPr>
        <w:t>12.4工程进度款支</w:t>
      </w:r>
      <w:bookmarkEnd w:id="577"/>
      <w:bookmarkEnd w:id="578"/>
      <w:r>
        <w:rPr>
          <w:rFonts w:hint="eastAsia" w:ascii="宋体" w:hAnsi="宋体" w:eastAsia="宋体" w:cs="宋体"/>
          <w:b w:val="0"/>
          <w:color w:val="auto"/>
          <w:sz w:val="21"/>
          <w:szCs w:val="21"/>
          <w:highlight w:val="none"/>
          <w:lang w:eastAsia="zh-CN"/>
        </w:rPr>
        <w:t>付</w:t>
      </w:r>
      <w:bookmarkEnd w:id="579"/>
    </w:p>
    <w:bookmarkEnd w:id="580"/>
    <w:p w14:paraId="24F78D31">
      <w:pPr>
        <w:spacing w:line="360" w:lineRule="auto"/>
        <w:ind w:firstLine="420" w:firstLineChars="200"/>
        <w:outlineLvl w:val="9"/>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12.4.1 付款周期</w:t>
      </w:r>
    </w:p>
    <w:p w14:paraId="36357B5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除专用合同条款另有约定外，付款周期应按照第12.3.2项〔计量周期〕的约定与计量周期保持一致。</w:t>
      </w:r>
    </w:p>
    <w:p w14:paraId="02B77AC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12.4.2 进度付款申请单的编制</w:t>
      </w:r>
    </w:p>
    <w:p w14:paraId="77A46B9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除专用合同条款另有约定外，进度付款申请单应包括下列内容：</w:t>
      </w:r>
    </w:p>
    <w:p w14:paraId="33E5613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（1）截至本次付款周期已完成工作对应的金额；</w:t>
      </w:r>
    </w:p>
    <w:p w14:paraId="460AD34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（2）根据第10条〔变更〕应增加和扣减的变更金额；</w:t>
      </w:r>
    </w:p>
    <w:p w14:paraId="3470B63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（3）根据第12.2款〔预付款〕约定应支付的预付款和扣减的返还预付款；</w:t>
      </w:r>
    </w:p>
    <w:p w14:paraId="50FD6CE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（4）根据第15.3款〔质量保证金〕约定应扣减的质量保证金；</w:t>
      </w:r>
    </w:p>
    <w:p w14:paraId="3CB7FCF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（5）根据第19条〔索赔〕应增加和扣减的索赔金额；</w:t>
      </w:r>
    </w:p>
    <w:p w14:paraId="654D9D8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（6）对已签发的进度款支付证书中出现错误的修正，应在本次进度付款中支付或扣除的金额；</w:t>
      </w:r>
    </w:p>
    <w:p w14:paraId="7156A0C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（7）根据合同约定应增加和扣减的其他金额。</w:t>
      </w:r>
    </w:p>
    <w:p w14:paraId="4D7B22FF">
      <w:pPr>
        <w:spacing w:line="360" w:lineRule="auto"/>
        <w:ind w:firstLine="420" w:firstLineChars="200"/>
        <w:outlineLvl w:val="9"/>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12.4.3 进度付款申请单的提交</w:t>
      </w:r>
    </w:p>
    <w:p w14:paraId="22133B0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（1）单价合同进度付款申请单的提交</w:t>
      </w:r>
    </w:p>
    <w:p w14:paraId="6A3B105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单价合同的进度付款申请单，按照第12.3.3项〔单价合同的计量〕约定的时间按月向监理人提交，并附上已完成工程量报表和有关资料。单价合同中的总价项目按月进行支付分解，并汇总列入当期进度付款申请单。</w:t>
      </w:r>
    </w:p>
    <w:p w14:paraId="3BF2E7E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（2）总价合同进度付款申请单的提交</w:t>
      </w:r>
    </w:p>
    <w:p w14:paraId="06BF63B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总价合同按月计量支付的，承包人按照第12.3.4项〔总价合同的计量〕约定的时间按月向监理人提交进度付款申请单，并附上已完成工程量报表和有关资料。</w:t>
      </w:r>
    </w:p>
    <w:p w14:paraId="0355FB0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总价合同按支付分解表支付的，承包人应按照第12.4.6项〔支付分解表〕及第12.4.2项〔进度付款申请单的编制〕的约定向监理人提交进度付款申请单。</w:t>
      </w:r>
    </w:p>
    <w:p w14:paraId="7F72585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（3）其他价格形式合同的进度付款申请单的提交</w:t>
      </w:r>
    </w:p>
    <w:p w14:paraId="5CD5FC7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合同当事人可在专用合同条款中约定其他价格形式合同的进度付款申请单的编制和提交程序。</w:t>
      </w:r>
    </w:p>
    <w:p w14:paraId="4BCCC84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12.4.4 进度款审核和支付</w:t>
      </w:r>
    </w:p>
    <w:p w14:paraId="271E0A5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专用合同条款另有约定外，监理人应在收到承包人进度付款申请单以及相关资料后7天内完成审查并报送发包人，发包人应在收到后7天内完成审批并签发进度款支付证书。发包人逾期未完成审批且未提出异议的，视为已签发进度款支付证书。</w:t>
      </w:r>
    </w:p>
    <w:p w14:paraId="3E414A8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和监理人对承包人的进度付款申请单有异议的，有权要求承包人修正和提供补充资料，承包人应提交修正后的进度付款申请单。监理人应在收到承包人修正后的进度付款申请单及相关资料后7天内完成审查并报送发包人，发包人应在收到监理人报送的进度付款申请单及相关资料后7天内，向承包人签发无异议部分的临时进度款支付证书。存在争议的部分，按照第20条〔争议解决〕的约定处理。</w:t>
      </w:r>
    </w:p>
    <w:p w14:paraId="74C45A7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（2）除专用合同条款另有约定外，发包人应在进度款支付证书或临时进度款支付证书签发后14天内完成支付，发包人逾期支付进度款的，应按照中国人民银行发布的同期同类贷款基准利率支付违约金。</w:t>
      </w:r>
    </w:p>
    <w:p w14:paraId="66F0763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（3）发包人签发进度款支付证书或临时进度款支付证书，不表明发包人已同意、批准或接受了承包人完成的相应部分的工作。</w:t>
      </w:r>
    </w:p>
    <w:p w14:paraId="54A38AD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12.4.5 进度付款的修正</w:t>
      </w:r>
    </w:p>
    <w:p w14:paraId="5B3065F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在对已签发的进度款支付证书进行阶段汇总和复核中发现错误、遗漏或重复的，发包人和承包人均有权提出修正申请。经发包人和承包人同意的修正，应在下期进度付款中支付或扣除。</w:t>
      </w:r>
    </w:p>
    <w:p w14:paraId="40CFAF1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12.4.6 支付分解表</w:t>
      </w:r>
    </w:p>
    <w:p w14:paraId="5C61279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1.支付分解表的编制要求</w:t>
      </w:r>
    </w:p>
    <w:p w14:paraId="764028D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（1）支付分解表中所列的每期付款金额，应为第12.4.2项〔进度付款申请单的编制〕第（1）目的估算金额；</w:t>
      </w:r>
    </w:p>
    <w:p w14:paraId="468722A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（2）实际进度与施工进度计划不一致的，合同当事人可按照第4.4款〔商定或确定〕修改支付分解表；</w:t>
      </w:r>
    </w:p>
    <w:p w14:paraId="1B2B9CF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（3）不采用支付分解表的，承包人应向发包人和监理人提交按季度编制的支付估算分解表，用于支付参考。</w:t>
      </w:r>
    </w:p>
    <w:p w14:paraId="4709A06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2.总价合同支付分解表的编制与审批</w:t>
      </w:r>
    </w:p>
    <w:p w14:paraId="4859A00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专用合同条款另有约定外，承包人应根据第7.2款〔施工进度计划〕约定的施工进度计划、签约合同价和工程量等因素对总价合同按月进行分解，编制支付分解表。承包人应当在收到监理人和发包人批准的施工进度计划后7天内，将支付分解表及编制支付分解表的支持性资料报送监理人。</w:t>
      </w:r>
    </w:p>
    <w:p w14:paraId="21BEA3B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（2）监理人应在收到支付分解表后7天内完成审核并报送发包人。发包人应在收到经监理人审核的支付分解表后7天内完成审批，经发包人批准的支付分解表为有约束力的支付分解表。</w:t>
      </w:r>
    </w:p>
    <w:p w14:paraId="3B2007F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（3）发包人逾期未完成支付分解表审批的，也未及时要求承包人进行修正和提供补充资料的，则承包人提交的支付分解表视为已经获得发包人批准。</w:t>
      </w:r>
    </w:p>
    <w:p w14:paraId="5BFA207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3.单价合同的总价项目支付分解表的编制与审批</w:t>
      </w:r>
    </w:p>
    <w:p w14:paraId="0382CFF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单价合同的总价项目，由承包人根据施工进度计划和总价项目的总价构成、费用性质、计划发生时间和相应工程量等因素按月进行分解，形成支付分解表，其编制与审批参照总价合同支付分解表的编制与审批执行。</w:t>
      </w:r>
    </w:p>
    <w:p w14:paraId="53751A9C">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81" w:name="_Toc351203585"/>
      <w:r>
        <w:rPr>
          <w:rFonts w:hint="eastAsia" w:ascii="宋体" w:hAnsi="宋体" w:eastAsia="宋体" w:cs="宋体"/>
          <w:b w:val="0"/>
          <w:color w:val="auto"/>
          <w:sz w:val="21"/>
          <w:szCs w:val="21"/>
          <w:highlight w:val="none"/>
          <w:lang w:eastAsia="zh-CN"/>
        </w:rPr>
        <w:t>12.5支付账户</w:t>
      </w:r>
      <w:bookmarkEnd w:id="581"/>
    </w:p>
    <w:p w14:paraId="2F9CE42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发包人应将合同价款支付至合同协议书中约定的承包人账户。</w:t>
      </w:r>
    </w:p>
    <w:p w14:paraId="40EE9700">
      <w:pPr>
        <w:pStyle w:val="5"/>
        <w:spacing w:before="120" w:after="120"/>
        <w:rPr>
          <w:rFonts w:hint="eastAsia" w:ascii="宋体" w:hAnsi="宋体" w:eastAsia="宋体" w:cs="宋体"/>
          <w:b w:val="0"/>
          <w:color w:val="auto"/>
          <w:sz w:val="21"/>
          <w:szCs w:val="21"/>
          <w:highlight w:val="none"/>
          <w:lang w:eastAsia="zh-CN"/>
        </w:rPr>
      </w:pPr>
      <w:bookmarkStart w:id="582" w:name="_Toc351203586"/>
      <w:bookmarkStart w:id="583" w:name="_Toc296503106"/>
      <w:bookmarkStart w:id="584" w:name="_Toc322522574"/>
      <w:bookmarkStart w:id="585" w:name="_Toc296346607"/>
      <w:bookmarkStart w:id="586" w:name="_Toc337558804"/>
      <w:r>
        <w:rPr>
          <w:rFonts w:hint="eastAsia" w:ascii="宋体" w:hAnsi="宋体" w:eastAsia="宋体" w:cs="宋体"/>
          <w:b w:val="0"/>
          <w:color w:val="auto"/>
          <w:sz w:val="21"/>
          <w:szCs w:val="21"/>
          <w:highlight w:val="none"/>
          <w:lang w:eastAsia="zh-CN"/>
        </w:rPr>
        <w:t>13. 验收和工程试车</w:t>
      </w:r>
      <w:bookmarkEnd w:id="582"/>
    </w:p>
    <w:bookmarkEnd w:id="583"/>
    <w:bookmarkEnd w:id="584"/>
    <w:bookmarkEnd w:id="585"/>
    <w:bookmarkEnd w:id="586"/>
    <w:p w14:paraId="1AE51FD2">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87" w:name="_Toc351203587"/>
      <w:bookmarkStart w:id="588" w:name="_Toc337558805"/>
      <w:bookmarkStart w:id="589" w:name="_Toc296346611"/>
      <w:bookmarkStart w:id="590" w:name="_Toc296503110"/>
      <w:r>
        <w:rPr>
          <w:rFonts w:hint="eastAsia" w:ascii="宋体" w:hAnsi="宋体" w:eastAsia="宋体" w:cs="宋体"/>
          <w:b w:val="0"/>
          <w:color w:val="auto"/>
          <w:sz w:val="21"/>
          <w:szCs w:val="21"/>
          <w:highlight w:val="none"/>
          <w:lang w:eastAsia="zh-CN"/>
        </w:rPr>
        <w:t>13.1分部分项工程验收</w:t>
      </w:r>
      <w:bookmarkEnd w:id="587"/>
    </w:p>
    <w:bookmarkEnd w:id="588"/>
    <w:p w14:paraId="511CEA2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13.1.1 分部分项工程质量应符合国家有关工程施工验收规范、标准及合同约定，承包人应按照施工组织设计的要求完成分部分项工程施工。</w:t>
      </w:r>
    </w:p>
    <w:p w14:paraId="523BBE1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13.1.2 除专用合同条款另有约定外，分部分项工程经承包人自检合格并具备验收条件的，承包人应提前48小时通知监理人进行验收。监理人不能按时进行验收的，应在验收前24小时向承包人提交书面延期要求，但延期不能超过48小时。监理人未按时进行验收，也未提出延期要求的，承包人有权自行验收，监理人应认可验收结果。分部分项工程未经验收的，不得进入下一道工序施工。</w:t>
      </w:r>
    </w:p>
    <w:p w14:paraId="37B76DB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分部分项工程的验收资料应当作为竣工资料的组成部分。</w:t>
      </w:r>
    </w:p>
    <w:p w14:paraId="481D976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91" w:name="_Toc351203588"/>
      <w:bookmarkStart w:id="592" w:name="_Toc337558806"/>
      <w:r>
        <w:rPr>
          <w:rFonts w:hint="eastAsia" w:ascii="宋体" w:hAnsi="宋体" w:eastAsia="宋体" w:cs="宋体"/>
          <w:b w:val="0"/>
          <w:color w:val="auto"/>
          <w:sz w:val="21"/>
          <w:szCs w:val="21"/>
          <w:highlight w:val="none"/>
          <w:lang w:eastAsia="zh-CN"/>
        </w:rPr>
        <w:t>13.2竣工验收</w:t>
      </w:r>
      <w:bookmarkEnd w:id="591"/>
    </w:p>
    <w:bookmarkEnd w:id="589"/>
    <w:bookmarkEnd w:id="590"/>
    <w:bookmarkEnd w:id="592"/>
    <w:p w14:paraId="5752CA6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13.2.1竣工验收条件</w:t>
      </w:r>
    </w:p>
    <w:p w14:paraId="35BEC76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工程具备以下条件的，承包人可以申请竣工验收：</w:t>
      </w:r>
    </w:p>
    <w:p w14:paraId="54E50F4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（1）除发包人同意的甩项工作和缺陷修补工作外，合同范围内的全部工程以及有关工作，包括合同要求的试验、试运行以及检验均已完成，并符合合同要求；</w:t>
      </w:r>
    </w:p>
    <w:p w14:paraId="153C286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（2）已按合同约定编制了甩项工作和缺陷修补工作清单以及相应的施工计划；</w:t>
      </w:r>
    </w:p>
    <w:p w14:paraId="0D791BF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（3）已按合同约定的内容和份数备齐竣工资料。</w:t>
      </w:r>
    </w:p>
    <w:p w14:paraId="2361FFE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13.2.2竣工验收程序</w:t>
      </w:r>
    </w:p>
    <w:p w14:paraId="68B0DF2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除专用合同条款另有约定外，承包人申请竣工验收的，应当按照以下程序进行：</w:t>
      </w:r>
    </w:p>
    <w:p w14:paraId="0DA2698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向监理人报送竣工验收申请报告，监理人应在收到竣工验收申请报告后14天内完成审查并报送发包人。监理人审查后认为尚不具备验收条件的，应通知承包人在竣工验收前承包人还需完成的工作内容，承包人应在完成监理人通知的全部工作内容后，再次提交竣工验收申请报告。</w:t>
      </w:r>
    </w:p>
    <w:p w14:paraId="48FA962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（2）监理人审查后认为已具备竣工验收条件的，应将竣工验收申请报告提交发包人，发包人应在收到经监理人审核的竣工验收申请报告后28天内审批完毕并组织监理人、承包人、设计人等相关单位完成竣工验收。</w:t>
      </w:r>
    </w:p>
    <w:p w14:paraId="73F31EF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（3）竣工验收合格的，发包人应在验收合格后14天内向承包人签发工程接收证书。发包人无正当理由逾期不颁发工程接收证书的，自验收合格后第15天起视为已颁发工程接收证书。</w:t>
      </w:r>
    </w:p>
    <w:p w14:paraId="7D6BF12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竣工验收不合格的，监理人应按照验收意见发出指示，要求承包人对不合格工程返工、修复或采取其他补救措施，由此增加的费用和（或）延误的工期由承包人承担。承包人在完成不合格工程的返工、修复或采取其他补救措施后，应重新提交竣工验收申请报告，并按本项约定的程序重新进行验收。</w:t>
      </w:r>
    </w:p>
    <w:p w14:paraId="2D2F0C5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（5）工程未经验收或验收不合格，发包人擅自使用的，应在转移占有工程后7天内向承包人颁发工程接收证书；发包人无正当理由逾期不颁发工程接收证书的，自转移占有后第15天起视为已颁发工程接收证书。</w:t>
      </w:r>
    </w:p>
    <w:p w14:paraId="60FF38B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除专用合同条款另有约定外，发包人不按照本项约定组织竣工验收、颁发工程接收证书的，每逾期一天，应以签约合同价为基数，按照中国人民银行发布的同期同类贷款基准利率支付违约金。</w:t>
      </w:r>
    </w:p>
    <w:p w14:paraId="3F3A055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13.2.3竣工日期</w:t>
      </w:r>
    </w:p>
    <w:p w14:paraId="0093072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程经竣工验收合格的，以承包人提交竣工验收申请报告之日为实际竣工日期，并在工程接收证书中载明；因发包人原因，未在监理人收到承包人提交的竣工验收申请报告42天内完成竣工验收，或完成竣工验收不予签发工程接收证书的，以提交竣工验</w:t>
      </w:r>
      <w:bookmarkStart w:id="593" w:name="#go14"/>
      <w:bookmarkEnd w:id="593"/>
      <w:r>
        <w:rPr>
          <w:rFonts w:hint="eastAsia" w:ascii="宋体" w:hAnsi="宋体" w:eastAsia="宋体" w:cs="宋体"/>
          <w:color w:val="auto"/>
          <w:sz w:val="21"/>
          <w:szCs w:val="21"/>
          <w:highlight w:val="none"/>
          <w:lang w:eastAsia="zh-CN"/>
        </w:rPr>
        <w:t>收申请报告的日期为实际竣工日期；工程未经竣工验收，发包人擅自使用的，以转移占有工程之日为实际竣工日期。</w:t>
      </w:r>
    </w:p>
    <w:p w14:paraId="17FBCFDD">
      <w:pPr>
        <w:spacing w:line="360" w:lineRule="auto"/>
        <w:ind w:firstLine="420" w:firstLineChars="200"/>
        <w:outlineLvl w:val="9"/>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13.2.4 拒绝接收全部或部分工程</w:t>
      </w:r>
    </w:p>
    <w:p w14:paraId="397C777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对于竣工验收不合格的工程，承包人完成整改后，应当重新进行竣工验收，经重新组织验收仍不合格的且无法采取措施补救的，则发包人可以拒绝接收不合格工程，因不合格工程导致其他工程不能正常使用的，承包人应采取措施确保相关工程的正常使用，由此增加的费用和（或）延误的工期由承包人承担。</w:t>
      </w:r>
    </w:p>
    <w:p w14:paraId="171855D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13.2.5 移交、接收全部与部分工程</w:t>
      </w:r>
    </w:p>
    <w:p w14:paraId="546B712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除专用合同条款另有约定外，合同当事人应当在颁发工程接收证书后7天内完成工程的移交。</w:t>
      </w:r>
    </w:p>
    <w:p w14:paraId="4973E8B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发包人无正当理由不接收工程的，发包人自应当接收工程之日起，承担工程照管、成品保护、保管等与工程有关的各项费用，合同当事人可以在专用合同条款中另行约定发包人逾期接收工程的违约责任。</w:t>
      </w:r>
    </w:p>
    <w:p w14:paraId="7C45205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承包人无正当理由不移交工程的，承包人应承担工程照管、成品保护、保管等与工程有关的各项费用，合同当事人可以在专用合同条款中另行约定承包人无正当理由不移交工程的违约责任。</w:t>
      </w:r>
    </w:p>
    <w:p w14:paraId="504E7EF7">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94" w:name="_Toc351203589"/>
      <w:bookmarkStart w:id="595" w:name="_Toc296503111"/>
      <w:bookmarkStart w:id="596" w:name="_Toc296346612"/>
      <w:bookmarkStart w:id="597" w:name="_Toc337558807"/>
      <w:r>
        <w:rPr>
          <w:rFonts w:hint="eastAsia" w:ascii="宋体" w:hAnsi="宋体" w:eastAsia="宋体" w:cs="宋体"/>
          <w:b w:val="0"/>
          <w:color w:val="auto"/>
          <w:sz w:val="21"/>
          <w:szCs w:val="21"/>
          <w:highlight w:val="none"/>
          <w:lang w:eastAsia="zh-CN"/>
        </w:rPr>
        <w:t>13.3工程试车</w:t>
      </w:r>
      <w:bookmarkEnd w:id="594"/>
    </w:p>
    <w:bookmarkEnd w:id="595"/>
    <w:bookmarkEnd w:id="596"/>
    <w:bookmarkEnd w:id="597"/>
    <w:p w14:paraId="3E4E0E5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13.3.1试车程序</w:t>
      </w:r>
    </w:p>
    <w:p w14:paraId="2ECFCFA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工程需要试车的，除专用合同条款另有约定外，试车内容应与承包人承包范围相一致，试车费用由承包人承担。工程试车应按如下程序进行：</w:t>
      </w:r>
    </w:p>
    <w:p w14:paraId="3CAEC56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具备单机无负荷试车条件，承包人组织试车，并在试车前48小时书面通知监理人，通知中应载明试车内容、时间、地点。承包人准备试车记录，发包人根据承包人要求为试车提供必要条件。试车合格的，监理人在试车记录上签字。监理人在试车合格后不在试车记录上签字，自试车结束满24小时后视为监理人已经认可试车记录，承包人可继续施工或办理竣工验收手续。</w:t>
      </w:r>
    </w:p>
    <w:p w14:paraId="5C06712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监理人不能按时参加试车，应在试车前24小时以书面形式向承包人提出延期要求，但延期不能超过48小时，由此导致工期延误的，工期应予以顺延。监理人未能在前述期限内提出延期要求，又不参加试车的，视为认可试车记录。</w:t>
      </w:r>
    </w:p>
    <w:p w14:paraId="6070CEF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具备无负荷联动试车条件，发包人组织试车，并在试车前48小时以书面形式通知承包人。通知中应载明试车内容、时间、地点和对承包人的要求，承包人按要求做好准备工作。试车合格，合同当事人在试车记录上签字。承包人无正当理由不参加试车的，视为认可试车记录。</w:t>
      </w:r>
    </w:p>
    <w:p w14:paraId="53EDD80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13.3.2 试车中的责任</w:t>
      </w:r>
    </w:p>
    <w:p w14:paraId="2E9AC4C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设计原因导致试车达不到验收要求，发包人应要求设计人修改设计，承包人按修改后的设计重新安装。发包人承担修改设计、拆除及重新安装的全部费用，工期相应顺延。因承包人原因导致试车达不到验收要求，承包人按监理人要求重新安装和试车，并承担重新安装和试车的费用，工期不予顺延。</w:t>
      </w:r>
    </w:p>
    <w:p w14:paraId="421A958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工程设备制造原因导致试车达不到验收要求的，由采购该工程设备的合同当事人负责重新购置或修理，承包人负责拆除和重新安装，由此增加的修理、重新购置、拆除及重新安装的费用及延误的工期由采购该工程设备的合同当事人承担。</w:t>
      </w:r>
    </w:p>
    <w:p w14:paraId="21309A2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13.3.3 投料试车</w:t>
      </w:r>
    </w:p>
    <w:p w14:paraId="72D06DB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如需进行投料试车的，发包人应在工程竣工验收后组织投料试车。发包人要求在工程竣工验收前进行或需要承包人配合时，应征得承包人同意，并在专用合同条款中约定有关事项。</w:t>
      </w:r>
    </w:p>
    <w:p w14:paraId="34A7E0B4">
      <w:pPr>
        <w:spacing w:line="360" w:lineRule="auto"/>
        <w:ind w:firstLine="420" w:firstLineChars="200"/>
        <w:rPr>
          <w:rFonts w:hint="eastAsia" w:ascii="宋体" w:hAnsi="宋体" w:eastAsia="宋体" w:cs="宋体"/>
          <w:b w:val="0"/>
          <w:color w:val="auto"/>
          <w:sz w:val="21"/>
          <w:szCs w:val="21"/>
          <w:highlight w:val="none"/>
          <w:lang w:eastAsia="zh-CN"/>
        </w:rPr>
      </w:pPr>
      <w:r>
        <w:rPr>
          <w:rFonts w:hint="eastAsia" w:ascii="宋体" w:hAnsi="宋体" w:eastAsia="宋体" w:cs="宋体"/>
          <w:color w:val="auto"/>
          <w:sz w:val="21"/>
          <w:szCs w:val="21"/>
          <w:highlight w:val="none"/>
          <w:lang w:eastAsia="zh-CN"/>
        </w:rPr>
        <w:t>投料试车合格的，费用由发包人承担；因承包人原因造成投料试车不合格的，承包人应按照发包人要求进行整改，由此产生的整改费用由承包人承担；非因承包人原因导致投料试车不合格的，如发包人要求承包人进行整改的，由此产生的费用由发包人承担。</w:t>
      </w:r>
    </w:p>
    <w:p w14:paraId="7E4E66E7">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598" w:name="_Toc351203590"/>
      <w:bookmarkStart w:id="599" w:name="_Toc337558808"/>
      <w:r>
        <w:rPr>
          <w:rFonts w:hint="eastAsia" w:ascii="宋体" w:hAnsi="宋体" w:eastAsia="宋体" w:cs="宋体"/>
          <w:b w:val="0"/>
          <w:color w:val="auto"/>
          <w:sz w:val="21"/>
          <w:szCs w:val="21"/>
          <w:highlight w:val="none"/>
          <w:lang w:eastAsia="zh-CN"/>
        </w:rPr>
        <w:t>13.4提前交付单位工程的验收</w:t>
      </w:r>
      <w:bookmarkEnd w:id="598"/>
    </w:p>
    <w:bookmarkEnd w:id="599"/>
    <w:p w14:paraId="7FFDBB1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13.4.1 发包人需要在工程竣工前使用单位工程的，或承包人提出提前交付已经竣工的单位工程且经发包人同意的，可进行单位工程验收，验收的程序按照第13.2款〔竣工验收〕的约定进行。</w:t>
      </w:r>
    </w:p>
    <w:p w14:paraId="1903088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验收合格后，由监理人向承包人出具经发包人签认的单位工程接收证书。已签发单位工程接收证书的单位工程由发包人负责照管。单位工程的验收成果和结论作为整体工程竣工验收申请报告的附件。</w:t>
      </w:r>
    </w:p>
    <w:p w14:paraId="2ECCDAB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13.4.2 发包人要求在工程竣工前交付单位工程，由此导致承包人费用增加和（或）工期延误的，由发包人承担由此增加的费用和（或）延误的工期，并支付承包人合理的利润。</w:t>
      </w:r>
    </w:p>
    <w:p w14:paraId="2B9A6181">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00" w:name="_Toc351203591"/>
      <w:r>
        <w:rPr>
          <w:rFonts w:hint="eastAsia" w:ascii="宋体" w:hAnsi="宋体" w:eastAsia="宋体" w:cs="宋体"/>
          <w:b w:val="0"/>
          <w:color w:val="auto"/>
          <w:sz w:val="21"/>
          <w:szCs w:val="21"/>
          <w:highlight w:val="none"/>
          <w:lang w:eastAsia="zh-CN"/>
        </w:rPr>
        <w:t>13.5 施工期运行</w:t>
      </w:r>
      <w:bookmarkEnd w:id="600"/>
    </w:p>
    <w:p w14:paraId="2C2434B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13.5.1 施工期运行是指合同工程尚未全部竣工，其中某项或某几项单位工程或工程设备安装已竣工，根据专用合同条款约定，需要投入施工期运行的，经发包人按第13.4款〔提前交付单位工程的验收〕的约定验收合格，证明能确保安全后，才能在施工期投入运行。</w:t>
      </w:r>
    </w:p>
    <w:p w14:paraId="032F8E4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13.5.2 在施工期运行中发现工程或工程设备损坏或存在缺陷的，由承包人按第15.2款〔缺陷责任期〕约定进行修复。</w:t>
      </w:r>
    </w:p>
    <w:p w14:paraId="59753A61">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01" w:name="_Toc296346613"/>
      <w:bookmarkStart w:id="602" w:name="_Toc296503112"/>
      <w:bookmarkStart w:id="603" w:name="_Toc351203592"/>
      <w:bookmarkStart w:id="604" w:name="_Toc337558809"/>
      <w:r>
        <w:rPr>
          <w:rFonts w:hint="eastAsia" w:ascii="宋体" w:hAnsi="宋体" w:eastAsia="宋体" w:cs="宋体"/>
          <w:b w:val="0"/>
          <w:color w:val="auto"/>
          <w:sz w:val="21"/>
          <w:szCs w:val="21"/>
          <w:highlight w:val="none"/>
          <w:lang w:eastAsia="zh-CN"/>
        </w:rPr>
        <w:t>13.6 竣工退</w:t>
      </w:r>
      <w:bookmarkEnd w:id="601"/>
      <w:bookmarkEnd w:id="602"/>
      <w:r>
        <w:rPr>
          <w:rFonts w:hint="eastAsia" w:ascii="宋体" w:hAnsi="宋体" w:eastAsia="宋体" w:cs="宋体"/>
          <w:b w:val="0"/>
          <w:color w:val="auto"/>
          <w:sz w:val="21"/>
          <w:szCs w:val="21"/>
          <w:highlight w:val="none"/>
          <w:lang w:eastAsia="zh-CN"/>
        </w:rPr>
        <w:t>场</w:t>
      </w:r>
      <w:bookmarkEnd w:id="603"/>
    </w:p>
    <w:bookmarkEnd w:id="604"/>
    <w:p w14:paraId="31EF250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13.6.1 竣工退场</w:t>
      </w:r>
    </w:p>
    <w:p w14:paraId="4E6CF1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颁发工程接收证书后，承包人应按以下要求对施工现场进行清理：</w:t>
      </w:r>
    </w:p>
    <w:p w14:paraId="335E7F6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（1）施工现场内残留的垃圾已全部清除出场；</w:t>
      </w:r>
    </w:p>
    <w:p w14:paraId="69F402B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（2）临时工程已拆除，场地已进行清理、平整或复原；</w:t>
      </w:r>
    </w:p>
    <w:p w14:paraId="5285447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（3）按合同约定应撤离的人员、承包人施工设备和剩余的材料，包括废弃的施工设备和材料，已按计划撤离施工现场；</w:t>
      </w:r>
    </w:p>
    <w:p w14:paraId="17ABEB2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（4）施工现场周边及其附近道路、河道的施工堆积物，已全部清理；</w:t>
      </w:r>
    </w:p>
    <w:p w14:paraId="7B6A463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（5）施工现场其他场地清理工作已全部完成。</w:t>
      </w:r>
    </w:p>
    <w:p w14:paraId="01C2EAE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施工现场的竣工退场费用由承包人承担。承包人应在专用合同条款约定的期限内完成竣工退场，逾期未完成的，发包人有权出售或另行处理承包人遗留的物品，由此支出的费用由承包人承担，发包人出售承包人遗留物品所得款项在扣除必要费用后应返还承包人。</w:t>
      </w:r>
    </w:p>
    <w:p w14:paraId="3C369BC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13.6.2 地表还原</w:t>
      </w:r>
    </w:p>
    <w:p w14:paraId="363D906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承包人应按发包人要求恢复临时占地及清理场地，承包人未按发包人的要求恢复临时占地，或者场地清理未达到合同约定要求的，发包人有权委托其他人恢复或清理，所发生的费用由承包人承担。</w:t>
      </w:r>
    </w:p>
    <w:p w14:paraId="760F07B9">
      <w:pPr>
        <w:pStyle w:val="5"/>
        <w:spacing w:before="120" w:after="120"/>
        <w:rPr>
          <w:rFonts w:hint="eastAsia" w:ascii="宋体" w:hAnsi="宋体" w:eastAsia="宋体" w:cs="宋体"/>
          <w:b w:val="0"/>
          <w:color w:val="auto"/>
          <w:sz w:val="21"/>
          <w:szCs w:val="21"/>
          <w:highlight w:val="none"/>
          <w:lang w:eastAsia="zh-CN"/>
        </w:rPr>
      </w:pPr>
      <w:bookmarkStart w:id="605" w:name="_Toc351203593"/>
      <w:bookmarkStart w:id="606" w:name="_Toc337558810"/>
      <w:bookmarkStart w:id="607" w:name="_Toc296503113"/>
      <w:bookmarkStart w:id="608" w:name="_Toc296346614"/>
      <w:r>
        <w:rPr>
          <w:rFonts w:hint="eastAsia" w:ascii="宋体" w:hAnsi="宋体" w:eastAsia="宋体" w:cs="宋体"/>
          <w:b w:val="0"/>
          <w:color w:val="auto"/>
          <w:sz w:val="21"/>
          <w:szCs w:val="21"/>
          <w:highlight w:val="none"/>
          <w:lang w:eastAsia="zh-CN"/>
        </w:rPr>
        <w:t>14. 竣工结算</w:t>
      </w:r>
      <w:bookmarkEnd w:id="605"/>
    </w:p>
    <w:bookmarkEnd w:id="606"/>
    <w:p w14:paraId="7F70A6A5">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09" w:name="_Toc351203594"/>
      <w:bookmarkStart w:id="610" w:name="_Toc337558811"/>
      <w:r>
        <w:rPr>
          <w:rFonts w:hint="eastAsia" w:ascii="宋体" w:hAnsi="宋体" w:eastAsia="宋体" w:cs="宋体"/>
          <w:b w:val="0"/>
          <w:color w:val="auto"/>
          <w:sz w:val="21"/>
          <w:szCs w:val="21"/>
          <w:highlight w:val="none"/>
          <w:lang w:eastAsia="zh-CN"/>
        </w:rPr>
        <w:t>14.1 竣工结算申请</w:t>
      </w:r>
      <w:bookmarkEnd w:id="609"/>
    </w:p>
    <w:bookmarkEnd w:id="610"/>
    <w:p w14:paraId="05C51E2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应在工程竣工验收合格后28天内向发包人和监理人提交竣工结算申请单，并提交完整的结算资料，有关竣工结算申请单的资料清单和份数等要求由合同当事人在专用合同条款中约定。</w:t>
      </w:r>
    </w:p>
    <w:p w14:paraId="033C61E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除专用合同条款另有约定外，竣工结算申请单应包括以下内容：</w:t>
      </w:r>
    </w:p>
    <w:p w14:paraId="2E76EB2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（1）竣工结算合同价格；</w:t>
      </w:r>
    </w:p>
    <w:p w14:paraId="607A527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（2）发包人已支付承包人的款项；</w:t>
      </w:r>
    </w:p>
    <w:p w14:paraId="00AC801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（3）应扣留的质量保证金。已缴纳履约保证金的或提供其他工程质量担保方式的除外； </w:t>
      </w:r>
    </w:p>
    <w:p w14:paraId="2F9F152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（4）发包人应支付承包人的合同价款。</w:t>
      </w:r>
    </w:p>
    <w:p w14:paraId="1B226FA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11" w:name="_Toc351203595"/>
      <w:bookmarkStart w:id="612" w:name="_Toc337558812"/>
      <w:r>
        <w:rPr>
          <w:rFonts w:hint="eastAsia" w:ascii="宋体" w:hAnsi="宋体" w:eastAsia="宋体" w:cs="宋体"/>
          <w:b w:val="0"/>
          <w:color w:val="auto"/>
          <w:sz w:val="21"/>
          <w:szCs w:val="21"/>
          <w:highlight w:val="none"/>
          <w:lang w:eastAsia="zh-CN"/>
        </w:rPr>
        <w:t>14.2 竣工结算审核</w:t>
      </w:r>
      <w:bookmarkEnd w:id="611"/>
    </w:p>
    <w:bookmarkEnd w:id="612"/>
    <w:p w14:paraId="664ED24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专用合同条款另有约定外，监理人应在收到竣工结算申请单后14天内完成核查并报送发包人。发包人应在收到监理人提交的经审核的竣工结算申请单后14天内完成审批，并由监理人向承包人签发经发包人签认的竣工付款证书。监理人或发包人对竣工结算申请单有异议的，有权要求承包人进行修正和提供补充资料，承包人应提交修正后的竣工结算申请单。</w:t>
      </w:r>
    </w:p>
    <w:p w14:paraId="4327C55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发包人在收到承包人提交竣工结算申请书后28天内未完成审批且未提出异议的，视为发包人认可承包人提交的竣工结算申请单，并自发包人收到承包人提交的竣工结算申请单后第29天起视为已签发竣工付款证书。</w:t>
      </w:r>
    </w:p>
    <w:p w14:paraId="5D31E7B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（2）除专用合同条款另有约定外，发包人应在签发竣工付款证书后的14 天内，完成对承包人的竣工付款。发包人逾期支付的，按照中国人民银行发布的同期同类贷款基准利率支付违约金；逾期支付超过56天的，按照中国人民银行发布的同期同类贷款基准利率的两倍支付违约金。</w:t>
      </w:r>
    </w:p>
    <w:p w14:paraId="27161F5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承包人对发包人签认的竣工付款证书有异议的，对于有异议部分应在收到发包人签认的竣工付款证书后7天内提出异议，并由合同当事人按照专用合同条款约定的方式和程序进行复核，或按照第20条〔争议解决〕约定处理。对于无异议部分，发包人应签发临时竣工付款证书，并按本款第（2）项完成付款。承包人逾期未提出异议的，视为认可发包人的审批结果。</w:t>
      </w:r>
    </w:p>
    <w:p w14:paraId="2F960A3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13" w:name="_Toc351203596"/>
      <w:bookmarkStart w:id="614" w:name="_Toc337558813"/>
      <w:r>
        <w:rPr>
          <w:rFonts w:hint="eastAsia" w:ascii="宋体" w:hAnsi="宋体" w:eastAsia="宋体" w:cs="宋体"/>
          <w:b w:val="0"/>
          <w:color w:val="auto"/>
          <w:sz w:val="21"/>
          <w:szCs w:val="21"/>
          <w:highlight w:val="none"/>
          <w:lang w:eastAsia="zh-CN"/>
        </w:rPr>
        <w:t>14.3 甩项竣工协议</w:t>
      </w:r>
      <w:bookmarkEnd w:id="613"/>
    </w:p>
    <w:bookmarkEnd w:id="614"/>
    <w:p w14:paraId="0BE5282C">
      <w:pPr>
        <w:spacing w:line="360" w:lineRule="auto"/>
        <w:ind w:firstLine="411" w:firstLineChars="196"/>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要求甩项竣工的，合同当事人应签订甩项竣工协议。在甩项竣工协议中应明确，合同当事人按照第14.1款〔竣工结算申请〕及14.2款〔竣工结算审核〕的约定，对已完合格工程进行结算，并支付相应合同价款。</w:t>
      </w:r>
    </w:p>
    <w:p w14:paraId="738A467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15" w:name="_Toc351203597"/>
      <w:bookmarkStart w:id="616" w:name="_Toc337558814"/>
      <w:r>
        <w:rPr>
          <w:rFonts w:hint="eastAsia" w:ascii="宋体" w:hAnsi="宋体" w:eastAsia="宋体" w:cs="宋体"/>
          <w:b w:val="0"/>
          <w:color w:val="auto"/>
          <w:sz w:val="21"/>
          <w:szCs w:val="21"/>
          <w:highlight w:val="none"/>
          <w:lang w:eastAsia="zh-CN"/>
        </w:rPr>
        <w:t>14.4 最终结清</w:t>
      </w:r>
      <w:bookmarkEnd w:id="615"/>
    </w:p>
    <w:bookmarkEnd w:id="616"/>
    <w:p w14:paraId="5AAF19C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14.4.1 最终结清申请单</w:t>
      </w:r>
    </w:p>
    <w:p w14:paraId="423991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（1）除专用合同条款另有约定外，承包人应在缺陷责任期终止证书颁发后7天内，按专用合同条款约定的份数向发包人提交最终结清申请单，并提供相关证明材料。</w:t>
      </w:r>
    </w:p>
    <w:p w14:paraId="22F51D6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除专用合同条款另有约定外，最终结清申请单应列明质量保证金、应扣除的质量保证金、缺陷责任期内发生的增减费用。</w:t>
      </w:r>
    </w:p>
    <w:p w14:paraId="7212113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（2）发包人对最终结清申请单内容有异议的，有权要求承包人进行修正和提供补充资料，承包人应向发包人提交修正后的最终结清申请单。</w:t>
      </w:r>
    </w:p>
    <w:p w14:paraId="2D749CC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14.4.2 最终结清证书和支付</w:t>
      </w:r>
    </w:p>
    <w:p w14:paraId="4DD76A0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除专用合同条款另有约定外，发包人应在收到承包人提交的最终结清申请单后14天内完成审批并向承包人颁发最终结清证书。发包人逾期未完成审批，又未提出修改意见的，视为发包人同意承包人提交的最终结清申请单，且自发包人收到承包人提交的最终结清申请单后15天起视为已颁发最终结清证书。</w:t>
      </w:r>
    </w:p>
    <w:p w14:paraId="608DDCA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除专用合同条款另有约定外，发包人应在颁发最终结清证书后7天内完成支付。发包人逾期支付的，按照中国人民银行发布的同期同类贷款基准利率支付违约金；逾期支付超过56天的，按照中国人民银行发布的同期同类贷款基准利率的两倍支付违约金。</w:t>
      </w:r>
    </w:p>
    <w:p w14:paraId="3C919F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（3）承包人对发包人颁发的最终结清证书有异议的，按第20条〔争议解决〕的约定办理。</w:t>
      </w:r>
    </w:p>
    <w:p w14:paraId="6A5C075F">
      <w:pPr>
        <w:pStyle w:val="5"/>
        <w:spacing w:before="120" w:after="120"/>
        <w:rPr>
          <w:rFonts w:hint="eastAsia" w:ascii="宋体" w:hAnsi="宋体" w:eastAsia="宋体" w:cs="宋体"/>
          <w:b w:val="0"/>
          <w:color w:val="auto"/>
          <w:sz w:val="21"/>
          <w:szCs w:val="21"/>
          <w:highlight w:val="none"/>
          <w:lang w:eastAsia="zh-CN"/>
        </w:rPr>
      </w:pPr>
      <w:bookmarkStart w:id="617" w:name="_Toc351203598"/>
      <w:bookmarkStart w:id="618" w:name="_Toc337558815"/>
      <w:r>
        <w:rPr>
          <w:rFonts w:hint="eastAsia" w:ascii="宋体" w:hAnsi="宋体" w:eastAsia="宋体" w:cs="宋体"/>
          <w:b w:val="0"/>
          <w:color w:val="auto"/>
          <w:sz w:val="21"/>
          <w:szCs w:val="21"/>
          <w:highlight w:val="none"/>
          <w:lang w:eastAsia="zh-CN"/>
        </w:rPr>
        <w:t>15. 缺陷责任与保修</w:t>
      </w:r>
      <w:bookmarkEnd w:id="617"/>
    </w:p>
    <w:bookmarkEnd w:id="607"/>
    <w:bookmarkEnd w:id="608"/>
    <w:bookmarkEnd w:id="618"/>
    <w:p w14:paraId="5ADDC2E1">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19" w:name="_Toc351203599"/>
      <w:bookmarkStart w:id="620" w:name="_Toc337558816"/>
      <w:bookmarkStart w:id="621" w:name="_Toc296503114"/>
      <w:bookmarkStart w:id="622" w:name="_Toc296346615"/>
      <w:r>
        <w:rPr>
          <w:rFonts w:hint="eastAsia" w:ascii="宋体" w:hAnsi="宋体" w:eastAsia="宋体" w:cs="宋体"/>
          <w:b w:val="0"/>
          <w:color w:val="auto"/>
          <w:sz w:val="21"/>
          <w:szCs w:val="21"/>
          <w:highlight w:val="none"/>
          <w:lang w:eastAsia="zh-CN"/>
        </w:rPr>
        <w:t>15.1 工程保修的原则</w:t>
      </w:r>
      <w:bookmarkEnd w:id="619"/>
    </w:p>
    <w:bookmarkEnd w:id="620"/>
    <w:p w14:paraId="304E185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在工程移交发包人后，因承包人原因产生的质量缺陷，承包人应承担质量缺陷责任和保修义务。缺陷责任期届满，承包人仍应按合同约定的工程各部位保修年限承担保修义务。</w:t>
      </w:r>
    </w:p>
    <w:p w14:paraId="72D7322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23" w:name="_Toc351203600"/>
      <w:bookmarkStart w:id="624" w:name="_Toc337558817"/>
      <w:r>
        <w:rPr>
          <w:rFonts w:hint="eastAsia" w:ascii="宋体" w:hAnsi="宋体" w:eastAsia="宋体" w:cs="宋体"/>
          <w:b w:val="0"/>
          <w:color w:val="auto"/>
          <w:sz w:val="21"/>
          <w:szCs w:val="21"/>
          <w:highlight w:val="none"/>
          <w:lang w:eastAsia="zh-CN"/>
        </w:rPr>
        <w:t>15.2 缺陷责任期</w:t>
      </w:r>
      <w:bookmarkEnd w:id="621"/>
      <w:bookmarkEnd w:id="622"/>
      <w:bookmarkEnd w:id="623"/>
    </w:p>
    <w:bookmarkEnd w:id="624"/>
    <w:p w14:paraId="72D5D57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15.2.1 缺陷责任期从工程通过竣工验收之日起计算，合同当事人应在专用合同条款约定缺陷责任期的具体期限，但该期限最长不超过24个月。</w:t>
      </w:r>
    </w:p>
    <w:p w14:paraId="692ECB9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单位工程先于全部工程进行验收，经验收合格并交付使用的，该单位工程缺陷责任期自单位工程验收合格之日起算。因承包人原因导致工程无法按合同约定期限进行竣工验收的，缺陷责任期从实际通过竣工验收之日起计算。因发包人原因导致工程无法按合同约定期限进行竣工验收的，在承包人提交竣工验收报告90天后，工程自动进入缺陷责任期；发包人未经竣工验收擅自使用工程的，缺陷责任期自工程转移占有之日起开始计算。</w:t>
      </w:r>
    </w:p>
    <w:p w14:paraId="3FAC69F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15.2.2缺陷责任期内，由承包人原因造成的缺陷，承包人应负责维修，并承担鉴定及维修费用。如承包人不维修也不承担费用，发包人可按合同约定从保证金或银行保函中扣除，费用超出保证金额的，发包人可按合同约定向承包人进行索赔。承包人维修并承担相应费用后，不免除对工程的损失赔偿责任。发包人有权要求承</w:t>
      </w:r>
      <w:r>
        <w:rPr>
          <w:rFonts w:hint="eastAsia" w:ascii="宋体" w:hAnsi="宋体" w:eastAsia="宋体" w:cs="宋体"/>
          <w:bCs/>
          <w:color w:val="auto"/>
          <w:sz w:val="21"/>
          <w:szCs w:val="21"/>
          <w:highlight w:val="none"/>
          <w:lang w:eastAsia="zh-CN"/>
        </w:rPr>
        <w:t>包人延长缺陷责任期，</w:t>
      </w:r>
      <w:r>
        <w:rPr>
          <w:rFonts w:hint="eastAsia" w:ascii="宋体" w:hAnsi="宋体" w:eastAsia="宋体" w:cs="宋体"/>
          <w:color w:val="auto"/>
          <w:sz w:val="21"/>
          <w:szCs w:val="21"/>
          <w:highlight w:val="none"/>
          <w:lang w:eastAsia="zh-CN"/>
        </w:rPr>
        <w:t>并应在原缺陷责任期届满前发出延长通知。</w:t>
      </w:r>
      <w:r>
        <w:rPr>
          <w:rFonts w:hint="eastAsia" w:ascii="宋体" w:hAnsi="宋体" w:eastAsia="宋体" w:cs="宋体"/>
          <w:bCs/>
          <w:color w:val="auto"/>
          <w:sz w:val="21"/>
          <w:szCs w:val="21"/>
          <w:highlight w:val="none"/>
          <w:lang w:eastAsia="zh-CN"/>
        </w:rPr>
        <w:t>但缺陷责任期（含延长部分）最长</w:t>
      </w:r>
      <w:r>
        <w:rPr>
          <w:rFonts w:hint="eastAsia" w:ascii="宋体" w:hAnsi="宋体" w:eastAsia="宋体" w:cs="宋体"/>
          <w:color w:val="auto"/>
          <w:sz w:val="21"/>
          <w:szCs w:val="21"/>
          <w:highlight w:val="none"/>
          <w:lang w:eastAsia="zh-CN"/>
        </w:rPr>
        <w:t>不能超过24个月。</w:t>
      </w:r>
    </w:p>
    <w:p w14:paraId="5C24016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由他人原因造成的缺陷，发包人负责组织维修，承包人不承担费用，且发包人不得从保证金中扣除费用。</w:t>
      </w:r>
    </w:p>
    <w:p w14:paraId="5BEB111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15.2.3 任何一项缺陷或损坏修复后，经检查证明其影响了工程或工程设备的使用性能，承包人应重新进行合同约定的试验和试运行，试验和试运行的全部费用应由责任方承担。</w:t>
      </w:r>
    </w:p>
    <w:p w14:paraId="5293625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15.2.4 除专用合同条款另有约定外，承包人应于缺陷责任期届满后7天内向发包人发出缺陷责任期届满通知，发包人应在收到缺陷责任期满通知后14天内核实承包人是否履行缺陷修复义务，承包人未能履行缺陷修复义务的，发包人有权扣除相应金额的维修费用。发包人应在收到缺陷责任期届满通知后14天内，向承包人颁发缺陷责任期终止证书。</w:t>
      </w:r>
    </w:p>
    <w:p w14:paraId="2CC123B7">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25" w:name="_Toc351203601"/>
      <w:bookmarkStart w:id="626" w:name="_Toc337558818"/>
      <w:bookmarkStart w:id="627" w:name="_Toc296503115"/>
      <w:bookmarkStart w:id="628" w:name="_Toc296346616"/>
      <w:r>
        <w:rPr>
          <w:rFonts w:hint="eastAsia" w:ascii="宋体" w:hAnsi="宋体" w:eastAsia="宋体" w:cs="宋体"/>
          <w:b w:val="0"/>
          <w:color w:val="auto"/>
          <w:sz w:val="21"/>
          <w:szCs w:val="21"/>
          <w:highlight w:val="none"/>
          <w:lang w:eastAsia="zh-CN"/>
        </w:rPr>
        <w:t>15.3 质量保证金</w:t>
      </w:r>
      <w:bookmarkEnd w:id="625"/>
    </w:p>
    <w:bookmarkEnd w:id="626"/>
    <w:p w14:paraId="269BA51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经合同当事人协商一致扣留质量保证金的，应在专用合同条款中予以明确。</w:t>
      </w:r>
    </w:p>
    <w:p w14:paraId="0953FAF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在工程项目竣工前，承包人已经提供履约担保的，发包人不得同时预留工程质量保证金。</w:t>
      </w:r>
    </w:p>
    <w:p w14:paraId="4F53A43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15.3.1 承包人提供质量保证金的方式</w:t>
      </w:r>
    </w:p>
    <w:p w14:paraId="7177CE5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承包人提供质量保证金有以下三种方式：</w:t>
      </w:r>
    </w:p>
    <w:p w14:paraId="4A22E13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（1）质量保证金保函； </w:t>
      </w:r>
    </w:p>
    <w:p w14:paraId="31BF46E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（2）相应比例的工程款；</w:t>
      </w:r>
    </w:p>
    <w:p w14:paraId="2EF680D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（3）双方约定的其他方式。</w:t>
      </w:r>
    </w:p>
    <w:p w14:paraId="3C97979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除专用合同条款另有约定外，质量保证金原则上采用上述第（1）种方式。</w:t>
      </w:r>
    </w:p>
    <w:p w14:paraId="2D07F24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15.3.2 质量保证金的扣留</w:t>
      </w:r>
    </w:p>
    <w:p w14:paraId="12A6442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质量保证金的扣留有以下三种方式：</w:t>
      </w:r>
    </w:p>
    <w:p w14:paraId="7DCBA04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（1）在支付工程进度款时逐次扣留，在此情形下，质量保证金的计算基数不包括预付款的支付、扣回以及价格调整的金额；</w:t>
      </w:r>
    </w:p>
    <w:p w14:paraId="284A5D5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（2）工</w:t>
      </w:r>
      <w:bookmarkStart w:id="629" w:name="#go6"/>
      <w:bookmarkEnd w:id="629"/>
      <w:r>
        <w:rPr>
          <w:rFonts w:hint="eastAsia" w:ascii="宋体" w:hAnsi="宋体" w:eastAsia="宋体" w:cs="宋体"/>
          <w:color w:val="auto"/>
          <w:sz w:val="21"/>
          <w:szCs w:val="21"/>
          <w:highlight w:val="none"/>
          <w:lang w:eastAsia="zh-CN"/>
        </w:rPr>
        <w:t>程竣工结算时一次性扣留质量保证金；</w:t>
      </w:r>
    </w:p>
    <w:p w14:paraId="254EE17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（3）双方约定的其他扣留方式。</w:t>
      </w:r>
    </w:p>
    <w:p w14:paraId="31572D6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除专用合同条款另有约定外，质量保证金的扣留原则上采用上述第（1）种方式。</w:t>
      </w:r>
    </w:p>
    <w:p w14:paraId="108EC4E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w:t>
      </w:r>
      <w:bookmarkStart w:id="630" w:name="#go4"/>
      <w:bookmarkEnd w:id="630"/>
      <w:r>
        <w:rPr>
          <w:rFonts w:hint="eastAsia" w:ascii="宋体" w:hAnsi="宋体" w:eastAsia="宋体" w:cs="宋体"/>
          <w:color w:val="auto"/>
          <w:sz w:val="21"/>
          <w:szCs w:val="21"/>
          <w:highlight w:val="none"/>
          <w:lang w:eastAsia="zh-CN"/>
        </w:rPr>
        <w:t>包人累计扣留的质量保证金不得超过工程价款结算总额的3%。如承包人在发包人签发竣工付款证书后28天内提交质量保证金保函，发包人应同时退还扣留的作为质量保证金的工程价款；保函金额不得超过工程价款结算总额的3%。</w:t>
      </w:r>
    </w:p>
    <w:p w14:paraId="2539328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发包人在退还质量保证金的同时按照中国人民银行发布的同期同类贷款基准利率支付利息。</w:t>
      </w:r>
    </w:p>
    <w:p w14:paraId="6844F39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15.3.3 质量保证金的退还</w:t>
      </w:r>
    </w:p>
    <w:p w14:paraId="518F675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缺陷责任期内，承包人认真履行合同约定的责任，到期后，承包人可向发包人申请返还保证金。</w:t>
      </w:r>
    </w:p>
    <w:p w14:paraId="2638B98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在接到承包人返还保证金申请后，应于14天内会同承包人按照合同约定的内容进行核实。如无异议，发包人应当按照约定将保证金返还给承包人。对返还期限没有约定或者约定不明确的，发包人应当在核实后14天内将保证金返还承包人，逾期未返还的，依法承担违约责任。发包人在接到承包人返还保证金申请后14天内不予答复，经催告后14天内仍不予答复，视同认可承包人的返还保证金申请。</w:t>
      </w:r>
    </w:p>
    <w:p w14:paraId="7998F58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发包人和承包人对保证金预留、返还以及工程维修质量、费用有争议的，按本合同第20条约定的争议和纠纷解决程序处理。</w:t>
      </w:r>
    </w:p>
    <w:p w14:paraId="69AB78DD">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31" w:name="_Toc351203602"/>
      <w:bookmarkStart w:id="632" w:name="_Toc337558819"/>
      <w:r>
        <w:rPr>
          <w:rFonts w:hint="eastAsia" w:ascii="宋体" w:hAnsi="宋体" w:eastAsia="宋体" w:cs="宋体"/>
          <w:b w:val="0"/>
          <w:color w:val="auto"/>
          <w:sz w:val="21"/>
          <w:szCs w:val="21"/>
          <w:highlight w:val="none"/>
          <w:lang w:eastAsia="zh-CN"/>
        </w:rPr>
        <w:t>15.4 保修</w:t>
      </w:r>
      <w:bookmarkEnd w:id="631"/>
    </w:p>
    <w:bookmarkEnd w:id="627"/>
    <w:bookmarkEnd w:id="628"/>
    <w:bookmarkEnd w:id="632"/>
    <w:p w14:paraId="1B36DD9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15.4.1保修责任</w:t>
      </w:r>
    </w:p>
    <w:p w14:paraId="0E7AD8C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程保修期从工程竣工验收合格之日起算，具体分部分项工程的保修期由合同当事人在专用合同条款中约定，但不得低于法定最低保修年限。在工程保修期内，承包人应当根据有关法律规定以及合同约定承担保修责任。</w:t>
      </w:r>
    </w:p>
    <w:p w14:paraId="4E8F915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发包人未经竣工验收擅自使用工程的，保修期自转移占有之日起算。</w:t>
      </w:r>
    </w:p>
    <w:p w14:paraId="74178AC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15.4.2 修复费用</w:t>
      </w:r>
    </w:p>
    <w:p w14:paraId="5F8EF12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保修期内，修复的费用按照以下约定处理：</w:t>
      </w:r>
    </w:p>
    <w:p w14:paraId="1337BBA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（1）保修期内，因承包人原因造成工程的缺陷、损坏，承包人应负责修复，并承担修复的费用以及因工程的缺陷、损坏造成的人身伤害和财产损失；</w:t>
      </w:r>
    </w:p>
    <w:p w14:paraId="16059EE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（2）保修期内，因发包人使用不当造成工程的缺陷、损坏，可以委托承包人修复，但发包人应承担修复的费用，并支付承包人合理利润；</w:t>
      </w:r>
    </w:p>
    <w:p w14:paraId="7AC21EB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（3）因其他原因造成工程的缺陷、损坏，可以委托承包人修复，发包人应承担修复的费用，并支付承包人合理的利润，因工程的缺陷、损坏造成的人身伤害和财产损失由责任方承担。</w:t>
      </w:r>
    </w:p>
    <w:p w14:paraId="2A60454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15.4.3 修复通知</w:t>
      </w:r>
    </w:p>
    <w:p w14:paraId="3E81C72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保修期内，发包人在使用过程中，发现已接收的工程存在缺陷或损坏的，应书面通知承包人予以修复，但情况紧急必须立即修复缺陷或损坏的，发包人可以口头通知承包人并在口头通知后48小时内书面确认，承包人应在专用合同条款约定的合理期限内到达工程现场并修复缺陷或损坏。</w:t>
      </w:r>
    </w:p>
    <w:p w14:paraId="5ED9F8C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15.4.4 未能修复</w:t>
      </w:r>
    </w:p>
    <w:p w14:paraId="0561F38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原因造成工程的缺陷或损坏，承包人拒绝维修或未能在合理期限内修复缺陷或损坏，且经发包人书面催告后仍未修复的，发包人有权自行修复或委托第三方修复，所需费用由承包人承担。但修复范围超出缺陷或损坏范围的，超出范围部分的修复费用由发包人承担。</w:t>
      </w:r>
    </w:p>
    <w:p w14:paraId="44047A9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15.4.5 承包人出入权</w:t>
      </w:r>
    </w:p>
    <w:p w14:paraId="1912576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保修期内，为了修复缺陷或损坏，承包人有权出入工程现场，除情况紧急必须立即修复缺陷或损坏外，承包人应提前24小时通知发包人进场修复的时间。承包人进入工程现场前应获得发包人同意，且不应影响发包人正常的生产经营，并应遵守发包人有关保安和保密等规定。</w:t>
      </w:r>
    </w:p>
    <w:p w14:paraId="1C488251">
      <w:pPr>
        <w:pStyle w:val="5"/>
        <w:spacing w:before="120" w:after="120"/>
        <w:rPr>
          <w:rFonts w:hint="eastAsia" w:ascii="宋体" w:hAnsi="宋体" w:eastAsia="宋体" w:cs="宋体"/>
          <w:b w:val="0"/>
          <w:color w:val="auto"/>
          <w:sz w:val="21"/>
          <w:szCs w:val="21"/>
          <w:highlight w:val="none"/>
          <w:lang w:eastAsia="zh-CN"/>
        </w:rPr>
      </w:pPr>
      <w:bookmarkStart w:id="633" w:name="_Toc351203603"/>
      <w:bookmarkStart w:id="634" w:name="_Toc337558820"/>
      <w:r>
        <w:rPr>
          <w:rFonts w:hint="eastAsia" w:ascii="宋体" w:hAnsi="宋体" w:eastAsia="宋体" w:cs="宋体"/>
          <w:b w:val="0"/>
          <w:color w:val="auto"/>
          <w:sz w:val="21"/>
          <w:szCs w:val="21"/>
          <w:highlight w:val="none"/>
          <w:lang w:eastAsia="zh-CN"/>
        </w:rPr>
        <w:t>16. 违约</w:t>
      </w:r>
      <w:bookmarkEnd w:id="633"/>
    </w:p>
    <w:bookmarkEnd w:id="634"/>
    <w:p w14:paraId="159098CC">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35" w:name="_Toc296346630"/>
      <w:bookmarkStart w:id="636" w:name="_Toc296503129"/>
      <w:bookmarkStart w:id="637" w:name="_Toc351203604"/>
      <w:bookmarkStart w:id="638" w:name="_Toc337558821"/>
      <w:r>
        <w:rPr>
          <w:rFonts w:hint="eastAsia" w:ascii="宋体" w:hAnsi="宋体" w:eastAsia="宋体" w:cs="宋体"/>
          <w:b w:val="0"/>
          <w:color w:val="auto"/>
          <w:sz w:val="21"/>
          <w:szCs w:val="21"/>
          <w:highlight w:val="none"/>
          <w:lang w:eastAsia="zh-CN"/>
        </w:rPr>
        <w:t>16.1 发</w:t>
      </w:r>
      <w:bookmarkEnd w:id="635"/>
      <w:bookmarkEnd w:id="636"/>
      <w:r>
        <w:rPr>
          <w:rFonts w:hint="eastAsia" w:ascii="宋体" w:hAnsi="宋体" w:eastAsia="宋体" w:cs="宋体"/>
          <w:b w:val="0"/>
          <w:color w:val="auto"/>
          <w:sz w:val="21"/>
          <w:szCs w:val="21"/>
          <w:highlight w:val="none"/>
          <w:lang w:eastAsia="zh-CN"/>
        </w:rPr>
        <w:t>包人违约</w:t>
      </w:r>
      <w:bookmarkEnd w:id="637"/>
    </w:p>
    <w:bookmarkEnd w:id="638"/>
    <w:p w14:paraId="616CCF8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16.1.1 发包人违约的情形</w:t>
      </w:r>
    </w:p>
    <w:p w14:paraId="593A4E2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在合同履行过程中发生的下列情形，属于发包人违约：</w:t>
      </w:r>
    </w:p>
    <w:p w14:paraId="0DE8C3A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（1）因发包人原因未能在计划开工日期前7天内下达开工通知的；</w:t>
      </w:r>
    </w:p>
    <w:p w14:paraId="1720F29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（2）因发包人原因未能按合同约定支付合同价款的；</w:t>
      </w:r>
    </w:p>
    <w:p w14:paraId="7C55AC4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（3）发包人违反第10.1款〔变更的范围〕第（2）项约定，自行实施被取消的工作或转由他人实施的；</w:t>
      </w:r>
    </w:p>
    <w:p w14:paraId="7354841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（4）发包人提供的材料、工程设备的规格、数量或质量不符合合同约定，或因发包人原因导致交货日期延误或交货地点变更等情况的；</w:t>
      </w:r>
    </w:p>
    <w:p w14:paraId="3484C3B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（5）因发包人违反合同约定造成暂停施工的；</w:t>
      </w:r>
    </w:p>
    <w:p w14:paraId="1CA9D1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（6）发包人无正当理由没有在约定期限内发出复工指示，导致承包人无法复工的；</w:t>
      </w:r>
    </w:p>
    <w:p w14:paraId="1EC7FDE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（7）发包人明确表示或者以其行为表明不履行合同主要义务的；</w:t>
      </w:r>
    </w:p>
    <w:p w14:paraId="59ABE7C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（8）发包人未能按照合同约定履行其他义务的。</w:t>
      </w:r>
    </w:p>
    <w:p w14:paraId="71E31ED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发生除本项第（7）目以外的违约情况时，承包人可向发包人发出通知，要求发包人采取有效措施纠正违约行为。发包人收到承包人通知后28天内仍不纠正违约行为的，承包人有权暂停相应部位工程施工，并通知监理人。</w:t>
      </w:r>
    </w:p>
    <w:p w14:paraId="3921D9B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16.1.2 发包人违约的责任</w:t>
      </w:r>
    </w:p>
    <w:p w14:paraId="51FD2E6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发包人应承担因其违约给承包人增加的费用和（或）延误的工期，并支付承包人合理的利润。此外，合同当事人可在专用合同条款中另行约定发包人违约责任的承担方式和计算方法。</w:t>
      </w:r>
    </w:p>
    <w:p w14:paraId="3C6D59C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16.1.3 因发包人违约解除合同</w:t>
      </w:r>
    </w:p>
    <w:p w14:paraId="16CB165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按第16.1.1项〔发包人违约的情形〕约定暂停施工满28天后，发包人仍不纠正其违约行为并致使合同目的不能实现的，或出现第16.1.1项〔发包人违约的情形〕第（7）目约定的违约情况，承包人有权解除合同，发包人应承担由此增加的费用，并支付承包人合理的利润。</w:t>
      </w:r>
    </w:p>
    <w:p w14:paraId="1E434BE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16.1.4 因发包人违约解除合同后的付款</w:t>
      </w:r>
    </w:p>
    <w:p w14:paraId="72EA4DB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承包人按照本款约定解除合同的，发包人应在解除合同后28天内支付下列款项，并解除履约担保：</w:t>
      </w:r>
    </w:p>
    <w:p w14:paraId="712D2C8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（1）合同解除前所完成工作的价款；</w:t>
      </w:r>
    </w:p>
    <w:p w14:paraId="57DB8F3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（2）承包人为工程施工订购并已付款的材料、工程设备和其他物品的价款；</w:t>
      </w:r>
    </w:p>
    <w:p w14:paraId="2C03C23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（3）承包人撤离施工现场以及遣散承包人人员的款项；</w:t>
      </w:r>
    </w:p>
    <w:p w14:paraId="22C20DA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（4）按照合同约定在合同解除前应支付的违约金；</w:t>
      </w:r>
    </w:p>
    <w:p w14:paraId="7BE4601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（5）按照合同约定应当支付给承包人的其他款项；</w:t>
      </w:r>
    </w:p>
    <w:p w14:paraId="0022A60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（6）按照合同约定应退还的质量保证金；</w:t>
      </w:r>
    </w:p>
    <w:p w14:paraId="468B893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（7）因解除合同给承包人造成的损失。</w:t>
      </w:r>
    </w:p>
    <w:p w14:paraId="5C67F70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合同当事人未能就解除合同后的结清达成一致的，按照第20条〔争议解决〕的约定处理。</w:t>
      </w:r>
    </w:p>
    <w:p w14:paraId="2AF0346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承包人应妥善做好已完工程和与工程有关的已购材料、工程设备的保护和移交工作，并将施工设备和人员撤出施工现场，发包人应为承包人撤出提供必要条件。</w:t>
      </w:r>
    </w:p>
    <w:p w14:paraId="71E629BD">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39" w:name="_Toc351203605"/>
      <w:bookmarkStart w:id="640" w:name="_Toc296503131"/>
      <w:bookmarkStart w:id="641" w:name="_Toc337558822"/>
      <w:bookmarkStart w:id="642" w:name="_Toc296346632"/>
      <w:r>
        <w:rPr>
          <w:rFonts w:hint="eastAsia" w:ascii="宋体" w:hAnsi="宋体" w:eastAsia="宋体" w:cs="宋体"/>
          <w:b w:val="0"/>
          <w:color w:val="auto"/>
          <w:sz w:val="21"/>
          <w:szCs w:val="21"/>
          <w:highlight w:val="none"/>
          <w:lang w:eastAsia="zh-CN"/>
        </w:rPr>
        <w:t>16.2 承包人违约</w:t>
      </w:r>
      <w:bookmarkEnd w:id="639"/>
    </w:p>
    <w:bookmarkEnd w:id="640"/>
    <w:bookmarkEnd w:id="641"/>
    <w:bookmarkEnd w:id="642"/>
    <w:p w14:paraId="5B0E6FA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16.2.1 承包人违约的情形</w:t>
      </w:r>
    </w:p>
    <w:p w14:paraId="20064AC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在合同履行过程中发生的下列情形，属于承包人违约：</w:t>
      </w:r>
    </w:p>
    <w:p w14:paraId="1BD4467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（1）承包人违反合同约定进行转包或违法分包的；</w:t>
      </w:r>
    </w:p>
    <w:p w14:paraId="06FD430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（2）承包人违反合同约定采购和使用不合格的材料和工程设备的；</w:t>
      </w:r>
    </w:p>
    <w:p w14:paraId="49CE420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（3）因承包人原因导致工程质量不符合合同要求的； </w:t>
      </w:r>
    </w:p>
    <w:p w14:paraId="76FD7FA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（4）承包人违反第8.9款〔材料与设备专用要求〕的约定，未经批准，私自将已按照合同约定进入施工现场的材料或设备撤离施工现场的；</w:t>
      </w:r>
    </w:p>
    <w:p w14:paraId="1457645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（5）承包人未能按施工进度计划及时完成合同约定的工作，造成工期延误的；</w:t>
      </w:r>
    </w:p>
    <w:p w14:paraId="2E1EAA4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（6）承包人在缺陷责任期及保修期内，未能在合理期限对工程缺陷进行修复，或拒绝按发包人要求进行修复的；</w:t>
      </w:r>
    </w:p>
    <w:p w14:paraId="49CD984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（7）承包人明确表示或者以其行为表明不履行合同主要义务的；</w:t>
      </w:r>
    </w:p>
    <w:p w14:paraId="39C3DE8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（8）承包人未能按照合同约定履行其他义务的。</w:t>
      </w:r>
    </w:p>
    <w:p w14:paraId="2B80D14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承包人发生除本项第（7）目约定以外的其他违约情况时，监理人可向承包人发出整改通知，要求其在指定的期限内改正。</w:t>
      </w:r>
    </w:p>
    <w:p w14:paraId="3C72154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16.2.2 承包人违约的责任</w:t>
      </w:r>
    </w:p>
    <w:p w14:paraId="2873B6A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承包人应承担因其违约行为而增加的费用和（或）延误的工期。此外，合同当事人可在专用合同条款中另行约定承包人违约责任的承担方式和计算方法。</w:t>
      </w:r>
    </w:p>
    <w:p w14:paraId="01B9AF9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16.2.3 因承包人违约解除合同</w:t>
      </w:r>
    </w:p>
    <w:p w14:paraId="14F8A12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出现第16.2.1项〔承包人违约的情形〕第（7）目约定的违约情况时，或监理人发出整改通知后，承包人在指定的合理期限内仍不纠正违约行为并致使合同目的不能实现的，发包人有权解除合同。合同解除后，因继续完成工程的需要，发包人有权使用承包人在施工现场的材料、设备、临时工程、承包人文件和由承包人或以其名义编制的其他文件，合同当事人应在专用合同条款约定相应费用的承担方式。发包人继续使用的行为不免除或减轻承包人应承担的违约责任。</w:t>
      </w:r>
    </w:p>
    <w:p w14:paraId="495C1A6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16.2.4因承包人违约解除合同后的处理</w:t>
      </w:r>
    </w:p>
    <w:p w14:paraId="359CB89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因承包人原因导致合同解除的，则合同当事人应在合同解除后28天内完成估价、付款和清算，并按以下约定执行：</w:t>
      </w:r>
    </w:p>
    <w:p w14:paraId="65B8CC0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（1）合同解除后，按第4.4款〔商定或确定〕商定或确定承包人实际完成工作对应的合同价款，以及承包人已提供的材料、工程设备、施工设备和临时工程等的价值；</w:t>
      </w:r>
    </w:p>
    <w:p w14:paraId="291B66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（2）合同解除后，承包人应支付的违约金；</w:t>
      </w:r>
    </w:p>
    <w:p w14:paraId="1B3126D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（3）合同解除后，因解除合同给发包人造成的损失；</w:t>
      </w:r>
    </w:p>
    <w:p w14:paraId="05A225B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（4）合同解除后，承包人应按照发包人要求和监理人的指示完成现场的清理和撤离；</w:t>
      </w:r>
    </w:p>
    <w:p w14:paraId="02A2BE8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（5）发包人和承包人应在合同解除后进行清算，出具最终结清付款证书，结清全部款项。</w:t>
      </w:r>
    </w:p>
    <w:p w14:paraId="43ADD8D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因承包人违约解除合同的，发包人有权暂停对承包人的付款，查清各项付款和已扣款项。发包人和承包人未能就合同解除后的清算和款项支付达成一致的，按照第20条〔争议解决〕的约定处理。</w:t>
      </w:r>
    </w:p>
    <w:p w14:paraId="6B07CA9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16.2.5采购合同权益转让</w:t>
      </w:r>
    </w:p>
    <w:p w14:paraId="5B07FDD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承包人违约解除合同的，发包人有权要求承包人将其为实施合同而签订的材料和设备的采购合同的权益转让给发包人，承包人应在收到解除合同通知后14天内，协助发包人与采购合同的供应商达成相关的转让协议。</w:t>
      </w:r>
    </w:p>
    <w:p w14:paraId="476727E3">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43" w:name="_Toc351203606"/>
      <w:r>
        <w:rPr>
          <w:rFonts w:hint="eastAsia" w:ascii="宋体" w:hAnsi="宋体" w:eastAsia="宋体" w:cs="宋体"/>
          <w:b w:val="0"/>
          <w:color w:val="auto"/>
          <w:sz w:val="21"/>
          <w:szCs w:val="21"/>
          <w:highlight w:val="none"/>
          <w:lang w:eastAsia="zh-CN"/>
        </w:rPr>
        <w:t>16.3 第三人造成的违约</w:t>
      </w:r>
      <w:bookmarkEnd w:id="643"/>
    </w:p>
    <w:p w14:paraId="618914E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在履行合同过程中，一方当事人因第三人的原因造成违约的，应当向对方当事人承担违约责任。一方当事人和第三人之间的纠纷，依照法律规定或者按照约定解决。</w:t>
      </w:r>
    </w:p>
    <w:p w14:paraId="0510C38C">
      <w:pPr>
        <w:pStyle w:val="5"/>
        <w:spacing w:before="120" w:after="120"/>
        <w:rPr>
          <w:rFonts w:hint="eastAsia" w:ascii="宋体" w:hAnsi="宋体" w:eastAsia="宋体" w:cs="宋体"/>
          <w:b w:val="0"/>
          <w:color w:val="auto"/>
          <w:sz w:val="21"/>
          <w:szCs w:val="21"/>
          <w:highlight w:val="none"/>
          <w:lang w:eastAsia="zh-CN"/>
        </w:rPr>
      </w:pPr>
      <w:bookmarkStart w:id="644" w:name="_Toc351203607"/>
      <w:bookmarkStart w:id="645" w:name="_Toc337558823"/>
      <w:bookmarkStart w:id="646" w:name="_Toc296346617"/>
      <w:bookmarkStart w:id="647" w:name="_Toc296503116"/>
      <w:r>
        <w:rPr>
          <w:rFonts w:hint="eastAsia" w:ascii="宋体" w:hAnsi="宋体" w:eastAsia="宋体" w:cs="宋体"/>
          <w:b w:val="0"/>
          <w:color w:val="auto"/>
          <w:sz w:val="21"/>
          <w:szCs w:val="21"/>
          <w:highlight w:val="none"/>
          <w:lang w:eastAsia="zh-CN"/>
        </w:rPr>
        <w:t>17. 不可抗力</w:t>
      </w:r>
      <w:bookmarkEnd w:id="644"/>
      <w:r>
        <w:rPr>
          <w:rFonts w:hint="eastAsia" w:ascii="宋体" w:hAnsi="宋体" w:eastAsia="宋体" w:cs="宋体"/>
          <w:b w:val="0"/>
          <w:color w:val="auto"/>
          <w:sz w:val="21"/>
          <w:szCs w:val="21"/>
          <w:highlight w:val="none"/>
          <w:lang w:eastAsia="zh-CN"/>
        </w:rPr>
        <w:t xml:space="preserve"> </w:t>
      </w:r>
      <w:bookmarkEnd w:id="645"/>
      <w:bookmarkEnd w:id="646"/>
      <w:bookmarkEnd w:id="647"/>
    </w:p>
    <w:p w14:paraId="3B74F39A">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48" w:name="_Toc351203608"/>
      <w:bookmarkStart w:id="649" w:name="_Toc296346618"/>
      <w:bookmarkStart w:id="650" w:name="_Toc337558824"/>
      <w:bookmarkStart w:id="651" w:name="_Toc296503117"/>
      <w:r>
        <w:rPr>
          <w:rFonts w:hint="eastAsia" w:ascii="宋体" w:hAnsi="宋体" w:eastAsia="宋体" w:cs="宋体"/>
          <w:b w:val="0"/>
          <w:color w:val="auto"/>
          <w:sz w:val="21"/>
          <w:szCs w:val="21"/>
          <w:highlight w:val="none"/>
          <w:lang w:eastAsia="zh-CN"/>
        </w:rPr>
        <w:t>17.1 不可抗力的确认</w:t>
      </w:r>
      <w:bookmarkEnd w:id="648"/>
    </w:p>
    <w:bookmarkEnd w:id="649"/>
    <w:bookmarkEnd w:id="650"/>
    <w:bookmarkEnd w:id="651"/>
    <w:p w14:paraId="2656CCE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不可抗力是指合同当事人在签订合同时不可预见，在合同履行过程中不可避免且不能克服的自然灾害和社会性突发事件，如地震、海啸、瘟疫、骚乱、戒严、暴动、战争和专用合同条款中约定的其他情形。</w:t>
      </w:r>
    </w:p>
    <w:p w14:paraId="1F0FFF4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不可抗力发生后，发包人和承包人应收集证明不可抗力发生及不可抗力造成损失的证据，并及时认真统计所造成的损失。合同当事人对是否属于不可抗力或其损失的意见不一致的，由监理人按第4.4款〔商定或确定〕的约定处理。发生争议时，按第20条〔争议解决〕的约定处理。</w:t>
      </w:r>
    </w:p>
    <w:p w14:paraId="1F83B73D">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52" w:name="_Toc351203609"/>
      <w:bookmarkStart w:id="653" w:name="_Toc296503118"/>
      <w:bookmarkStart w:id="654" w:name="_Toc337558825"/>
      <w:bookmarkStart w:id="655" w:name="_Toc296346619"/>
      <w:r>
        <w:rPr>
          <w:rFonts w:hint="eastAsia" w:ascii="宋体" w:hAnsi="宋体" w:eastAsia="宋体" w:cs="宋体"/>
          <w:b w:val="0"/>
          <w:color w:val="auto"/>
          <w:sz w:val="21"/>
          <w:szCs w:val="21"/>
          <w:highlight w:val="none"/>
          <w:lang w:eastAsia="zh-CN"/>
        </w:rPr>
        <w:t>17.2 不可抗力的通知</w:t>
      </w:r>
      <w:bookmarkEnd w:id="652"/>
    </w:p>
    <w:bookmarkEnd w:id="653"/>
    <w:bookmarkEnd w:id="654"/>
    <w:bookmarkEnd w:id="655"/>
    <w:p w14:paraId="6C0C674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合同一方当事人遇到不可抗力事件，使其履行合同义务受到阻碍时，应立即通知合同另一方当事人和监理人，书面说明不可抗力和受阻碍的详细情况，并提供必要的证明。</w:t>
      </w:r>
    </w:p>
    <w:p w14:paraId="450FD88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不可抗力持续发生的，合同一方当事人应及时向合同另一方当事人和监理人提交中间报告，说明不可抗力和履行合同受阻的情况，并于不可抗力事件结束后28天内提交最终报告及有关资料。</w:t>
      </w:r>
    </w:p>
    <w:p w14:paraId="22EFF6C3">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56" w:name="_Toc351203610"/>
      <w:bookmarkStart w:id="657" w:name="_Toc296346620"/>
      <w:bookmarkStart w:id="658" w:name="_Toc337558826"/>
      <w:bookmarkStart w:id="659" w:name="_Toc296503119"/>
      <w:r>
        <w:rPr>
          <w:rFonts w:hint="eastAsia" w:ascii="宋体" w:hAnsi="宋体" w:eastAsia="宋体" w:cs="宋体"/>
          <w:b w:val="0"/>
          <w:color w:val="auto"/>
          <w:sz w:val="21"/>
          <w:szCs w:val="21"/>
          <w:highlight w:val="none"/>
          <w:lang w:eastAsia="zh-CN"/>
        </w:rPr>
        <w:t>17.3 不可抗力后果的承担</w:t>
      </w:r>
      <w:bookmarkEnd w:id="656"/>
    </w:p>
    <w:bookmarkEnd w:id="657"/>
    <w:bookmarkEnd w:id="658"/>
    <w:bookmarkEnd w:id="659"/>
    <w:p w14:paraId="4A94000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17.3.1 不可抗力引起的后果及造成的损失由合同当事人按照法律规定及合同约定各自承担。不可抗力发生前已完成的工程应当按照合同约定进行计量支付。</w:t>
      </w:r>
    </w:p>
    <w:p w14:paraId="483DAE0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17.3.2 不可抗力导致的人员伤亡、财产损失、费用增加和（或）工期延误等后果，由合同当事人按以下原则承担：</w:t>
      </w:r>
    </w:p>
    <w:p w14:paraId="5704AD9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（1）永久工程、已运至施工现场的材料和工程设备的损坏，以及因工程损坏造成的第三人人员伤亡和财产损失由发包人承担；</w:t>
      </w:r>
    </w:p>
    <w:p w14:paraId="045A94D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（2）承包人施工设备的损坏由承包人承担；</w:t>
      </w:r>
    </w:p>
    <w:p w14:paraId="3893BC2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（3）发包人和承包人承担各自人员伤亡和财产的损失；</w:t>
      </w:r>
    </w:p>
    <w:p w14:paraId="52DF4D0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（4）因不可抗力影响承包人履行合同约定的义务，已经引起或将引起工期延误的，应当顺延工期，由此导致承包人停工的费用损失由发包人和承包人合理分担，停工期间必须支付的工人工资由发包人承担；</w:t>
      </w:r>
    </w:p>
    <w:p w14:paraId="55003D3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（5）因不可抗力引起或将引起工期延误，发包人要求赶工的，由此增加的赶工费用由发包人承担；</w:t>
      </w:r>
    </w:p>
    <w:p w14:paraId="08FE0F7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（6）承包人在停工期间按照发包人要求照管、清理和修复工程的费用由发包人承担。</w:t>
      </w:r>
    </w:p>
    <w:p w14:paraId="6017621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不可抗力发生后，合同当事人均应采取措施尽量避免和减少损失的扩大，任何一方当事人没有采取有效措施导致损失扩大的，应对扩大的损失承担责任。</w:t>
      </w:r>
    </w:p>
    <w:p w14:paraId="6F74635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因合同一方迟延履行合同义务，在迟延履行期间遭遇不可抗力的，不免除其违约责任。</w:t>
      </w:r>
    </w:p>
    <w:p w14:paraId="7262424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60" w:name="_Toc351203611"/>
      <w:bookmarkStart w:id="661" w:name="_Toc337558827"/>
      <w:r>
        <w:rPr>
          <w:rFonts w:hint="eastAsia" w:ascii="宋体" w:hAnsi="宋体" w:eastAsia="宋体" w:cs="宋体"/>
          <w:b w:val="0"/>
          <w:color w:val="auto"/>
          <w:sz w:val="21"/>
          <w:szCs w:val="21"/>
          <w:highlight w:val="none"/>
          <w:lang w:eastAsia="zh-CN"/>
        </w:rPr>
        <w:t>17.4 因不可抗力解除合同</w:t>
      </w:r>
      <w:bookmarkEnd w:id="660"/>
    </w:p>
    <w:bookmarkEnd w:id="661"/>
    <w:p w14:paraId="12C1C25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因不可抗力导致合同无法履行连续超过84天或累计超过140天的，发包人和承包人均有权解除合同。合同解除后，由双方当事人按照第4.4款〔商定或确定〕商定或确定发包人应支付的款项，该款项包括：</w:t>
      </w:r>
    </w:p>
    <w:p w14:paraId="3F2B191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（1）合同解除前承包人已完成工作的价款；</w:t>
      </w:r>
    </w:p>
    <w:p w14:paraId="7E6DF79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（2）承包人为工程订购的并已交付给承包人，或承包人有责任接受交付的材料、工程设备和其他物品的价款；</w:t>
      </w:r>
    </w:p>
    <w:p w14:paraId="297D5D8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（3）发包人要求承包人退货或解除订货合同而产生的费用，或因不能退货或解除合同而产生的损失；</w:t>
      </w:r>
    </w:p>
    <w:p w14:paraId="45A1538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（4）承包人撤离施工现场以及遣散承包人人员的费用；</w:t>
      </w:r>
    </w:p>
    <w:p w14:paraId="08B7A5C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（5）按照合同约定在合同解除前应支付给承包人的其他款项；</w:t>
      </w:r>
    </w:p>
    <w:p w14:paraId="1EF8BB5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（6）扣减承包人按照合同约定应向发包人支付的款项；</w:t>
      </w:r>
    </w:p>
    <w:p w14:paraId="15238D0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（7）双方商定或确定的其他款项。</w:t>
      </w:r>
    </w:p>
    <w:p w14:paraId="235B308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除专用合同条款另有约定外，合同解除后，发包人应在商定或确定上述款项后28天内完成上述款项的支付。</w:t>
      </w:r>
    </w:p>
    <w:p w14:paraId="26E924E8">
      <w:pPr>
        <w:pStyle w:val="5"/>
        <w:spacing w:before="120" w:after="120"/>
        <w:rPr>
          <w:rFonts w:hint="eastAsia" w:ascii="宋体" w:hAnsi="宋体" w:eastAsia="宋体" w:cs="宋体"/>
          <w:b w:val="0"/>
          <w:color w:val="auto"/>
          <w:sz w:val="21"/>
          <w:szCs w:val="21"/>
          <w:highlight w:val="none"/>
          <w:lang w:eastAsia="zh-CN"/>
        </w:rPr>
      </w:pPr>
      <w:bookmarkStart w:id="662" w:name="_Toc351203612"/>
      <w:bookmarkStart w:id="663" w:name="_Toc296346621"/>
      <w:bookmarkStart w:id="664" w:name="_Toc337558828"/>
      <w:bookmarkStart w:id="665" w:name="_Toc296503120"/>
      <w:r>
        <w:rPr>
          <w:rFonts w:hint="eastAsia" w:ascii="宋体" w:hAnsi="宋体" w:eastAsia="宋体" w:cs="宋体"/>
          <w:b w:val="0"/>
          <w:color w:val="auto"/>
          <w:sz w:val="21"/>
          <w:szCs w:val="21"/>
          <w:highlight w:val="none"/>
          <w:lang w:eastAsia="zh-CN"/>
        </w:rPr>
        <w:t>18. 保险</w:t>
      </w:r>
      <w:bookmarkEnd w:id="662"/>
    </w:p>
    <w:bookmarkEnd w:id="663"/>
    <w:bookmarkEnd w:id="664"/>
    <w:bookmarkEnd w:id="665"/>
    <w:p w14:paraId="2AC442AF">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66" w:name="_Toc351203613"/>
      <w:bookmarkStart w:id="667" w:name="_Toc337558829"/>
      <w:bookmarkStart w:id="668" w:name="_Toc296346622"/>
      <w:bookmarkStart w:id="669" w:name="_Toc296503121"/>
      <w:r>
        <w:rPr>
          <w:rFonts w:hint="eastAsia" w:ascii="宋体" w:hAnsi="宋体" w:eastAsia="宋体" w:cs="宋体"/>
          <w:b w:val="0"/>
          <w:color w:val="auto"/>
          <w:sz w:val="21"/>
          <w:szCs w:val="21"/>
          <w:highlight w:val="none"/>
          <w:lang w:eastAsia="zh-CN"/>
        </w:rPr>
        <w:t>18.1 工程保险</w:t>
      </w:r>
      <w:bookmarkEnd w:id="666"/>
    </w:p>
    <w:bookmarkEnd w:id="667"/>
    <w:bookmarkEnd w:id="668"/>
    <w:bookmarkEnd w:id="669"/>
    <w:p w14:paraId="5988564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除专用合同条款另有约定外，发包人应投保建筑工程一切险或安装工程一切险；发包人委托承包人投保的，因投保产生的保险费和其他相关费用由发包人承担。</w:t>
      </w:r>
    </w:p>
    <w:p w14:paraId="5F5722A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70" w:name="_Toc351203614"/>
      <w:bookmarkStart w:id="671" w:name="_Toc296503122"/>
      <w:bookmarkStart w:id="672" w:name="_Toc296346623"/>
      <w:bookmarkStart w:id="673" w:name="_Toc337558830"/>
      <w:r>
        <w:rPr>
          <w:rFonts w:hint="eastAsia" w:ascii="宋体" w:hAnsi="宋体" w:eastAsia="宋体" w:cs="宋体"/>
          <w:b w:val="0"/>
          <w:color w:val="auto"/>
          <w:sz w:val="21"/>
          <w:szCs w:val="21"/>
          <w:highlight w:val="none"/>
          <w:lang w:eastAsia="zh-CN"/>
        </w:rPr>
        <w:t>18.2 工伤保险</w:t>
      </w:r>
      <w:bookmarkEnd w:id="670"/>
    </w:p>
    <w:bookmarkEnd w:id="671"/>
    <w:bookmarkEnd w:id="672"/>
    <w:bookmarkEnd w:id="673"/>
    <w:p w14:paraId="283786B6">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18.2.1 发包人应依照法律规定参加工伤保险，并为在施工现场的全部员工办理工伤保险，缴纳工伤保险费，并要求监理人及由发包人为履行合同聘请的第三方依法参加工伤保险。</w:t>
      </w:r>
    </w:p>
    <w:p w14:paraId="609A19E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18.2.2 承包人应依照法律规定参加工伤保险，并为其履行合同的全部员工办理工伤保险，缴纳工伤保险费，并要求分包人及由承包人为履行合同聘请的第三方依法参加工伤保险。</w:t>
      </w:r>
    </w:p>
    <w:p w14:paraId="230072D8">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74" w:name="_Toc351203615"/>
      <w:bookmarkStart w:id="675" w:name="_Toc337558831"/>
      <w:bookmarkStart w:id="676" w:name="_Toc296503125"/>
      <w:bookmarkStart w:id="677" w:name="_Toc296346626"/>
      <w:r>
        <w:rPr>
          <w:rFonts w:hint="eastAsia" w:ascii="宋体" w:hAnsi="宋体" w:eastAsia="宋体" w:cs="宋体"/>
          <w:b w:val="0"/>
          <w:color w:val="auto"/>
          <w:sz w:val="21"/>
          <w:szCs w:val="21"/>
          <w:highlight w:val="none"/>
          <w:lang w:eastAsia="zh-CN"/>
        </w:rPr>
        <w:t>18.3其他保险</w:t>
      </w:r>
      <w:bookmarkEnd w:id="674"/>
    </w:p>
    <w:bookmarkEnd w:id="675"/>
    <w:bookmarkEnd w:id="676"/>
    <w:bookmarkEnd w:id="677"/>
    <w:p w14:paraId="0820F61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发包人和承包人可以为其施工现场的全部人员办理意外伤害保险并支付保险费，包括其员工及为履行合同聘请的第三方的人员，具体事项由合同当事人在专用合同条款约定。</w:t>
      </w:r>
    </w:p>
    <w:p w14:paraId="3443109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除专用合同条款另有约定外，承包人应为其施工设备等办理财产保险。</w:t>
      </w:r>
    </w:p>
    <w:p w14:paraId="62FC7E56">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78" w:name="_Toc351203616"/>
      <w:r>
        <w:rPr>
          <w:rFonts w:hint="eastAsia" w:ascii="宋体" w:hAnsi="宋体" w:eastAsia="宋体" w:cs="宋体"/>
          <w:b w:val="0"/>
          <w:color w:val="auto"/>
          <w:sz w:val="21"/>
          <w:szCs w:val="21"/>
          <w:highlight w:val="none"/>
          <w:lang w:eastAsia="zh-CN"/>
        </w:rPr>
        <w:t>18.4持续保险</w:t>
      </w:r>
      <w:bookmarkEnd w:id="678"/>
    </w:p>
    <w:p w14:paraId="6BF94F2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合同当事人应与保险人保持联系，使保险人能够随时了解工程实施中的变动，并确保按保险合同条款要求持续保险。</w:t>
      </w:r>
    </w:p>
    <w:p w14:paraId="7718957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79" w:name="_Toc351203617"/>
      <w:bookmarkStart w:id="680" w:name="_Toc337558832"/>
      <w:bookmarkStart w:id="681" w:name="_Toc296503126"/>
      <w:bookmarkStart w:id="682" w:name="_Toc296346627"/>
      <w:r>
        <w:rPr>
          <w:rFonts w:hint="eastAsia" w:ascii="宋体" w:hAnsi="宋体" w:eastAsia="宋体" w:cs="宋体"/>
          <w:b w:val="0"/>
          <w:color w:val="auto"/>
          <w:sz w:val="21"/>
          <w:szCs w:val="21"/>
          <w:highlight w:val="none"/>
          <w:lang w:eastAsia="zh-CN"/>
        </w:rPr>
        <w:t>18.5 保险凭证</w:t>
      </w:r>
      <w:bookmarkEnd w:id="679"/>
    </w:p>
    <w:bookmarkEnd w:id="680"/>
    <w:bookmarkEnd w:id="681"/>
    <w:bookmarkEnd w:id="682"/>
    <w:p w14:paraId="04F03EF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合同当事人应及时向另一方当事人提交其已投保的各项保险的凭证和保险单复印件。</w:t>
      </w:r>
    </w:p>
    <w:p w14:paraId="57A95849">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83" w:name="_Toc351203618"/>
      <w:bookmarkStart w:id="684" w:name="_Toc296346628"/>
      <w:bookmarkStart w:id="685" w:name="_Toc296503127"/>
      <w:bookmarkStart w:id="686" w:name="_Toc337558833"/>
      <w:r>
        <w:rPr>
          <w:rFonts w:hint="eastAsia" w:ascii="宋体" w:hAnsi="宋体" w:eastAsia="宋体" w:cs="宋体"/>
          <w:b w:val="0"/>
          <w:color w:val="auto"/>
          <w:sz w:val="21"/>
          <w:szCs w:val="21"/>
          <w:highlight w:val="none"/>
          <w:lang w:eastAsia="zh-CN"/>
        </w:rPr>
        <w:t>18.6 未按约定投保的补救</w:t>
      </w:r>
      <w:bookmarkEnd w:id="683"/>
    </w:p>
    <w:bookmarkEnd w:id="684"/>
    <w:bookmarkEnd w:id="685"/>
    <w:bookmarkEnd w:id="686"/>
    <w:p w14:paraId="2C8EEB0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18.6.1发包人未按合同约定办理保险，或未能使保险持续有效的，则承包人可代为办理，所需费用由发包人承担。发包人未按合同约定办理保险，导致未能得到足额赔偿的，由发包人负责补足。</w:t>
      </w:r>
    </w:p>
    <w:p w14:paraId="1AA8D36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18.6.2承包人未按合同约定办理保险，或未能使保险持续有效的，则发包人可代为办理，所需费用由承包人承担。承包人未按合同约定办理保险，导致未能得到足额赔偿的，由承包人负责补足。</w:t>
      </w:r>
    </w:p>
    <w:p w14:paraId="06D789A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87" w:name="_Toc351203619"/>
      <w:bookmarkStart w:id="688" w:name="_Toc337558834"/>
      <w:r>
        <w:rPr>
          <w:rFonts w:hint="eastAsia" w:ascii="宋体" w:hAnsi="宋体" w:eastAsia="宋体" w:cs="宋体"/>
          <w:b w:val="0"/>
          <w:color w:val="auto"/>
          <w:sz w:val="21"/>
          <w:szCs w:val="21"/>
          <w:highlight w:val="none"/>
          <w:lang w:eastAsia="zh-CN"/>
        </w:rPr>
        <w:t>18.7 通知义务</w:t>
      </w:r>
      <w:bookmarkEnd w:id="687"/>
    </w:p>
    <w:bookmarkEnd w:id="688"/>
    <w:p w14:paraId="769CB0F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除专用合同条款另有约定外，发包人变更除工伤保险之外的保险合同时，应事先征得承包人同意，并通知监理人；承包人变更除工伤保险之外的保险合同时，应事先征得发包人同意，并通知监理人。</w:t>
      </w:r>
    </w:p>
    <w:p w14:paraId="4491C99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保险事故发生时，投保人应按照保险合同规定的条件和期限及时向保险人报告。发包人和承包人应当在知道保险事故发生后及时通知对方。</w:t>
      </w:r>
    </w:p>
    <w:p w14:paraId="3208FA2F">
      <w:pPr>
        <w:pStyle w:val="5"/>
        <w:spacing w:before="120" w:after="120"/>
        <w:rPr>
          <w:rFonts w:hint="eastAsia" w:ascii="宋体" w:hAnsi="宋体" w:eastAsia="宋体" w:cs="宋体"/>
          <w:b w:val="0"/>
          <w:color w:val="auto"/>
          <w:sz w:val="21"/>
          <w:szCs w:val="21"/>
          <w:highlight w:val="none"/>
          <w:lang w:eastAsia="zh-CN"/>
        </w:rPr>
      </w:pPr>
      <w:bookmarkStart w:id="689" w:name="_Toc351203620"/>
      <w:bookmarkStart w:id="690" w:name="_Toc337558835"/>
      <w:bookmarkStart w:id="691" w:name="_Toc296503140"/>
      <w:bookmarkStart w:id="692" w:name="_Toc296346641"/>
      <w:r>
        <w:rPr>
          <w:rFonts w:hint="eastAsia" w:ascii="宋体" w:hAnsi="宋体" w:eastAsia="宋体" w:cs="宋体"/>
          <w:b w:val="0"/>
          <w:color w:val="auto"/>
          <w:sz w:val="21"/>
          <w:szCs w:val="21"/>
          <w:highlight w:val="none"/>
          <w:lang w:eastAsia="zh-CN"/>
        </w:rPr>
        <w:t>19. 索赔</w:t>
      </w:r>
      <w:bookmarkEnd w:id="689"/>
    </w:p>
    <w:bookmarkEnd w:id="690"/>
    <w:bookmarkEnd w:id="691"/>
    <w:bookmarkEnd w:id="692"/>
    <w:p w14:paraId="52579F29">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93" w:name="_Toc351203621"/>
      <w:bookmarkStart w:id="694" w:name="_Toc337558836"/>
      <w:bookmarkStart w:id="695" w:name="_Toc296346642"/>
      <w:bookmarkStart w:id="696" w:name="_Toc296503141"/>
      <w:r>
        <w:rPr>
          <w:rFonts w:hint="eastAsia" w:ascii="宋体" w:hAnsi="宋体" w:eastAsia="宋体" w:cs="宋体"/>
          <w:b w:val="0"/>
          <w:color w:val="auto"/>
          <w:sz w:val="21"/>
          <w:szCs w:val="21"/>
          <w:highlight w:val="none"/>
          <w:lang w:eastAsia="zh-CN"/>
        </w:rPr>
        <w:t>19.1承包人的索赔</w:t>
      </w:r>
      <w:bookmarkEnd w:id="693"/>
    </w:p>
    <w:bookmarkEnd w:id="694"/>
    <w:bookmarkEnd w:id="695"/>
    <w:bookmarkEnd w:id="696"/>
    <w:p w14:paraId="10D261B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根据合同约定，承包人认为有权得到追加付款和（或）延长工期的，应按以下程序向发包人提出索赔：</w:t>
      </w:r>
    </w:p>
    <w:p w14:paraId="18FB391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（1）承包人应在知道或应当知道索赔事件发生后28天内，向监理人递交索赔意向通知书，并说明发生索赔事件的事由；承包人未在前述28天内发出索赔意向通知书的，丧失要求追加付款和（或）延长工期的权利；</w:t>
      </w:r>
    </w:p>
    <w:p w14:paraId="2D76A02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（2）承包人应在发出索赔意向通知书后28天内，向监理人正式递交索赔报告；索赔报告应详细说明索赔理由以及要求追加的付款金额和（或）延长的工期，并附必要的记录和证明材料；</w:t>
      </w:r>
    </w:p>
    <w:p w14:paraId="30861DA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（3）索赔事件具有持续影响的，承包人应按合理时间间隔继续递交延续索赔通知，说明持续影响的实际情况和记录，列出累计的追加付款金额和（或）工期延长天数；</w:t>
      </w:r>
    </w:p>
    <w:p w14:paraId="18C0F1C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（4）在索赔事件影响结束后28天内，承包人应向监理人递交最终索赔报告，说明最终要求索赔的追加付款金额和（或）延长的工期，并附必要的记录和证明材料。</w:t>
      </w:r>
    </w:p>
    <w:p w14:paraId="0F954272">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697" w:name="_Toc351203622"/>
      <w:bookmarkStart w:id="698" w:name="_Toc337558837"/>
      <w:bookmarkStart w:id="699" w:name="_Toc296503142"/>
      <w:bookmarkStart w:id="700" w:name="_Toc296346643"/>
      <w:r>
        <w:rPr>
          <w:rFonts w:hint="eastAsia" w:ascii="宋体" w:hAnsi="宋体" w:eastAsia="宋体" w:cs="宋体"/>
          <w:b w:val="0"/>
          <w:color w:val="auto"/>
          <w:sz w:val="21"/>
          <w:szCs w:val="21"/>
          <w:highlight w:val="none"/>
          <w:lang w:eastAsia="zh-CN"/>
        </w:rPr>
        <w:t>19.2 对承包人索赔的处理</w:t>
      </w:r>
      <w:bookmarkEnd w:id="697"/>
    </w:p>
    <w:bookmarkEnd w:id="698"/>
    <w:bookmarkEnd w:id="699"/>
    <w:bookmarkEnd w:id="700"/>
    <w:p w14:paraId="4D0B719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对承包人索赔的处理如下：</w:t>
      </w:r>
    </w:p>
    <w:p w14:paraId="5764047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（1）监理人应在收到索赔报告后14天内完成审查并报送发包人。监理人对索赔报告存在异议的，有权要求承包人提交全部原始记录副本；</w:t>
      </w:r>
    </w:p>
    <w:p w14:paraId="33C6ACDC">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（2）发包人应在监理人收到索赔报告或有关索赔的进一步证明材料后的28天内，由监理人向承包人出具经发包人签认的索赔处理结果。发包人逾期答复的，则视为认可承包人的索赔要求；</w:t>
      </w:r>
    </w:p>
    <w:p w14:paraId="53A1ECB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（3）承包人接受索赔处理结果的，索赔款项在当期进度款中进行支付；承包人不接受索赔处理结果的，按照第20条〔争议解决〕约定处理。</w:t>
      </w:r>
    </w:p>
    <w:p w14:paraId="1967860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01" w:name="_Toc351203623"/>
      <w:bookmarkStart w:id="702" w:name="_Toc296503143"/>
      <w:bookmarkStart w:id="703" w:name="_Toc337558838"/>
      <w:bookmarkStart w:id="704" w:name="_Toc296346644"/>
      <w:r>
        <w:rPr>
          <w:rFonts w:hint="eastAsia" w:ascii="宋体" w:hAnsi="宋体" w:eastAsia="宋体" w:cs="宋体"/>
          <w:b w:val="0"/>
          <w:color w:val="auto"/>
          <w:sz w:val="21"/>
          <w:szCs w:val="21"/>
          <w:highlight w:val="none"/>
          <w:lang w:eastAsia="zh-CN"/>
        </w:rPr>
        <w:t>19.3发包人的索赔</w:t>
      </w:r>
      <w:bookmarkEnd w:id="701"/>
    </w:p>
    <w:bookmarkEnd w:id="702"/>
    <w:bookmarkEnd w:id="703"/>
    <w:bookmarkEnd w:id="704"/>
    <w:p w14:paraId="102D6E7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根据合同约定，发包人认为有权得到赔付金额和（或）延长缺陷责任期的，监理人应向承包人发出通知并附有详细的证明。</w:t>
      </w:r>
    </w:p>
    <w:p w14:paraId="6C5FF44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发包人应在知道或应当知道索赔事件发生后28天内通过监理人向承包人提出索赔意向通知书，发包人未在前述28天内发出索赔意向通知书的，丧失要求赔付金额和（或）延长缺陷责任期的权利。发包人应在发出索赔意向通知书后28天内，通过监理人向承包人正式递交索赔报告。</w:t>
      </w:r>
    </w:p>
    <w:p w14:paraId="3A062DAB">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05" w:name="_Toc351203624"/>
      <w:bookmarkStart w:id="706" w:name="_Toc296503144"/>
      <w:bookmarkStart w:id="707" w:name="_Toc296346645"/>
      <w:bookmarkStart w:id="708" w:name="_Toc337558839"/>
      <w:r>
        <w:rPr>
          <w:rFonts w:hint="eastAsia" w:ascii="宋体" w:hAnsi="宋体" w:eastAsia="宋体" w:cs="宋体"/>
          <w:b w:val="0"/>
          <w:color w:val="auto"/>
          <w:sz w:val="21"/>
          <w:szCs w:val="21"/>
          <w:highlight w:val="none"/>
          <w:lang w:eastAsia="zh-CN"/>
        </w:rPr>
        <w:t>19.4 对发包人索赔的处理</w:t>
      </w:r>
      <w:bookmarkEnd w:id="705"/>
    </w:p>
    <w:bookmarkEnd w:id="706"/>
    <w:bookmarkEnd w:id="707"/>
    <w:bookmarkEnd w:id="708"/>
    <w:p w14:paraId="7598D5F8">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对发包人索赔的处理如下：</w:t>
      </w:r>
    </w:p>
    <w:p w14:paraId="2B95F4D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（1）承包人收到发包人提交的索赔报告后，应及时审查索赔报告的内容、查验发包人证明材料；</w:t>
      </w:r>
    </w:p>
    <w:p w14:paraId="3C91199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（2）承包人应在收到索赔报告或有关索赔的进一步证明材料后28天内，将索赔处理结果答复发包人。如果承包人未在上述期限内作出答复的，则视为对发包人索赔要求的认可；</w:t>
      </w:r>
    </w:p>
    <w:p w14:paraId="48592C4D">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（3）承包人接受索赔处理结果的，发包人可从应支付给承包人的合同价款中扣除赔付的金额或延长缺陷责任期；发包人不接受索赔处理结果的，按第20条〔争议解决〕约定处理。</w:t>
      </w:r>
    </w:p>
    <w:p w14:paraId="3C2AD3B7">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09" w:name="_Toc351203625"/>
      <w:r>
        <w:rPr>
          <w:rFonts w:hint="eastAsia" w:ascii="宋体" w:hAnsi="宋体" w:eastAsia="宋体" w:cs="宋体"/>
          <w:b w:val="0"/>
          <w:color w:val="auto"/>
          <w:sz w:val="21"/>
          <w:szCs w:val="21"/>
          <w:highlight w:val="none"/>
          <w:lang w:eastAsia="zh-CN"/>
        </w:rPr>
        <w:t>19.5 提出索赔的期限</w:t>
      </w:r>
      <w:bookmarkEnd w:id="709"/>
    </w:p>
    <w:p w14:paraId="264B4B7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（1）承包人按第14.2款〔竣工结算审核〕约定接收竣工付款证书后，应被视为已无权再提出在工程接收证书颁发前所发生的任何索赔。</w:t>
      </w:r>
    </w:p>
    <w:p w14:paraId="48CFF9D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（2）承包人按第14.4款〔最终结清〕提交的最终结清申请单中，只限于提出工程接收证书颁发后发生的索赔。提出索赔的期限自接受最终结清证书时终止。</w:t>
      </w:r>
    </w:p>
    <w:p w14:paraId="31495508">
      <w:pPr>
        <w:pStyle w:val="5"/>
        <w:spacing w:before="120" w:after="120"/>
        <w:rPr>
          <w:rFonts w:hint="eastAsia" w:ascii="宋体" w:hAnsi="宋体" w:eastAsia="宋体" w:cs="宋体"/>
          <w:b w:val="0"/>
          <w:color w:val="auto"/>
          <w:sz w:val="21"/>
          <w:szCs w:val="21"/>
          <w:highlight w:val="none"/>
          <w:lang w:eastAsia="zh-CN"/>
        </w:rPr>
      </w:pPr>
      <w:bookmarkStart w:id="710" w:name="_Toc351203626"/>
      <w:bookmarkStart w:id="711" w:name="_Toc29416"/>
      <w:r>
        <w:rPr>
          <w:rFonts w:hint="eastAsia" w:ascii="宋体" w:hAnsi="宋体" w:eastAsia="宋体" w:cs="宋体"/>
          <w:b w:val="0"/>
          <w:color w:val="auto"/>
          <w:sz w:val="21"/>
          <w:szCs w:val="21"/>
          <w:highlight w:val="none"/>
          <w:lang w:eastAsia="zh-CN"/>
        </w:rPr>
        <w:t>20</w:t>
      </w:r>
      <w:bookmarkStart w:id="712" w:name="_Toc337558840"/>
      <w:bookmarkStart w:id="713" w:name="_Toc296503146"/>
      <w:bookmarkStart w:id="714" w:name="_Toc296346647"/>
      <w:r>
        <w:rPr>
          <w:rFonts w:hint="eastAsia" w:ascii="宋体" w:hAnsi="宋体" w:eastAsia="宋体" w:cs="宋体"/>
          <w:b w:val="0"/>
          <w:color w:val="auto"/>
          <w:sz w:val="21"/>
          <w:szCs w:val="21"/>
          <w:highlight w:val="none"/>
          <w:lang w:eastAsia="zh-CN"/>
        </w:rPr>
        <w:t>. 争议解决</w:t>
      </w:r>
      <w:bookmarkEnd w:id="710"/>
      <w:bookmarkEnd w:id="711"/>
    </w:p>
    <w:bookmarkEnd w:id="712"/>
    <w:bookmarkEnd w:id="713"/>
    <w:bookmarkEnd w:id="714"/>
    <w:p w14:paraId="3AAD5684">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15" w:name="_Toc351203627"/>
      <w:bookmarkStart w:id="716" w:name="_Toc296503147"/>
      <w:bookmarkStart w:id="717" w:name="_Toc296346648"/>
      <w:bookmarkStart w:id="718" w:name="_Toc337558841"/>
      <w:r>
        <w:rPr>
          <w:rFonts w:hint="eastAsia" w:ascii="宋体" w:hAnsi="宋体" w:eastAsia="宋体" w:cs="宋体"/>
          <w:b w:val="0"/>
          <w:color w:val="auto"/>
          <w:sz w:val="21"/>
          <w:szCs w:val="21"/>
          <w:highlight w:val="none"/>
          <w:lang w:eastAsia="zh-CN"/>
        </w:rPr>
        <w:t>20.1和解</w:t>
      </w:r>
      <w:bookmarkEnd w:id="715"/>
    </w:p>
    <w:bookmarkEnd w:id="716"/>
    <w:bookmarkEnd w:id="717"/>
    <w:bookmarkEnd w:id="718"/>
    <w:p w14:paraId="75F856B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合同当事人可以就争议自行和解，自行和解达成协议的经双方签字并盖章后作为合同补充文件，双方均应遵照执行。</w:t>
      </w:r>
    </w:p>
    <w:p w14:paraId="2F5B5B81">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19" w:name="_Toc351203628"/>
      <w:r>
        <w:rPr>
          <w:rFonts w:hint="eastAsia" w:ascii="宋体" w:hAnsi="宋体" w:eastAsia="宋体" w:cs="宋体"/>
          <w:b w:val="0"/>
          <w:color w:val="auto"/>
          <w:sz w:val="21"/>
          <w:szCs w:val="21"/>
          <w:highlight w:val="none"/>
          <w:lang w:eastAsia="zh-CN"/>
        </w:rPr>
        <w:t>20</w:t>
      </w:r>
      <w:bookmarkStart w:id="720" w:name="_Toc296346649"/>
      <w:bookmarkStart w:id="721" w:name="_Toc337558842"/>
      <w:bookmarkStart w:id="722" w:name="_Toc296503148"/>
      <w:r>
        <w:rPr>
          <w:rFonts w:hint="eastAsia" w:ascii="宋体" w:hAnsi="宋体" w:eastAsia="宋体" w:cs="宋体"/>
          <w:b w:val="0"/>
          <w:color w:val="auto"/>
          <w:sz w:val="21"/>
          <w:szCs w:val="21"/>
          <w:highlight w:val="none"/>
          <w:lang w:eastAsia="zh-CN"/>
        </w:rPr>
        <w:t>.2调解</w:t>
      </w:r>
      <w:bookmarkEnd w:id="719"/>
    </w:p>
    <w:bookmarkEnd w:id="720"/>
    <w:bookmarkEnd w:id="721"/>
    <w:bookmarkEnd w:id="722"/>
    <w:p w14:paraId="61C87FF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合同当事人可以就争议请求建设行政主管部门、行业协会或其他第三方进行调解，调解达成协议的，经双方签字并盖章后作为合同补充文件，双方均应遵照执行。</w:t>
      </w:r>
    </w:p>
    <w:p w14:paraId="2540A120">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23" w:name="_Toc351203629"/>
      <w:bookmarkStart w:id="724" w:name="_Toc337558843"/>
      <w:bookmarkStart w:id="725" w:name="_Toc296346650"/>
      <w:bookmarkStart w:id="726" w:name="_Toc296503149"/>
      <w:r>
        <w:rPr>
          <w:rFonts w:hint="eastAsia" w:ascii="宋体" w:hAnsi="宋体" w:eastAsia="宋体" w:cs="宋体"/>
          <w:b w:val="0"/>
          <w:color w:val="auto"/>
          <w:sz w:val="21"/>
          <w:szCs w:val="21"/>
          <w:highlight w:val="none"/>
          <w:lang w:eastAsia="zh-CN"/>
        </w:rPr>
        <w:t>20.3争议评审</w:t>
      </w:r>
      <w:bookmarkEnd w:id="723"/>
    </w:p>
    <w:bookmarkEnd w:id="724"/>
    <w:bookmarkEnd w:id="725"/>
    <w:bookmarkEnd w:id="726"/>
    <w:p w14:paraId="2F419C97">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合同当事人在专用合同条款中约定采取争议评审方式解决争议以及评审规则，并按下列约定执行： </w:t>
      </w:r>
    </w:p>
    <w:p w14:paraId="4BDE0AB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20.3.1 争议评审小组的确定</w:t>
      </w:r>
    </w:p>
    <w:p w14:paraId="17ACAF95">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合同当事人可以共同选择一名或三名争议评审员，组成争议评审小组。除专用合同条款另有约定外，合同当事人应当自合同签订后28天内，或者争议发生后14天内，选定争议评审员。</w:t>
      </w:r>
    </w:p>
    <w:p w14:paraId="0E55EEF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xml:space="preserve">选择一名争议评审员的，由合同当事人共同确定；选择三名争议评审员的，各自选定一名，第三名成员为首席争议评审员，由合同当事人共同确定或由合同当事人委托已选定的争议评审员共同确定，或由专用合同条款约定的评审机构指定第三名首席争议评审员。 </w:t>
      </w:r>
    </w:p>
    <w:p w14:paraId="6FEA7E9E">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除专用合同条款另有约定外，评审员报酬由发包人和承包人各承担一半。</w:t>
      </w:r>
    </w:p>
    <w:p w14:paraId="08C11C81">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20.3.2 争议评审小组的决定</w:t>
      </w:r>
    </w:p>
    <w:p w14:paraId="320C832B">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合同当事人可在任何时间将与合同有关的任何争议共同提请争议评审小组进行评审。争议评审小组应秉持客观、公正原则，充分听取合同当事人的意见，依据相关法律、规范、标准、案例经验及商业惯例等，自收到争议评审申请报告后14天内作出书面决定，并说明理由。合同当事人可以在专用合同条款中对本项事项另行约定。</w:t>
      </w:r>
    </w:p>
    <w:p w14:paraId="3904C0EF">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20.3.3 争议评审小组决定的效力</w:t>
      </w:r>
    </w:p>
    <w:p w14:paraId="3DECA963">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争议评审小组作出的书面决定经合同当事人签字确认后，对双方具有约束力，双方应遵照执行。</w:t>
      </w:r>
    </w:p>
    <w:p w14:paraId="57FA411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任何一方当事人不接受争议评审小组决定或不履行争议评审小组决定的，双方可选择采用其他争议解决方式。</w:t>
      </w:r>
    </w:p>
    <w:p w14:paraId="11988AAF">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27" w:name="_Toc351203630"/>
      <w:bookmarkStart w:id="728" w:name="_Toc296503150"/>
      <w:bookmarkStart w:id="729" w:name="_Toc337558844"/>
      <w:bookmarkStart w:id="730" w:name="_Toc296346651"/>
      <w:r>
        <w:rPr>
          <w:rFonts w:hint="eastAsia" w:ascii="宋体" w:hAnsi="宋体" w:eastAsia="宋体" w:cs="宋体"/>
          <w:b w:val="0"/>
          <w:color w:val="auto"/>
          <w:sz w:val="21"/>
          <w:szCs w:val="21"/>
          <w:highlight w:val="none"/>
          <w:lang w:eastAsia="zh-CN"/>
        </w:rPr>
        <w:t>20.4仲裁或诉讼</w:t>
      </w:r>
      <w:bookmarkEnd w:id="727"/>
    </w:p>
    <w:bookmarkEnd w:id="728"/>
    <w:bookmarkEnd w:id="729"/>
    <w:bookmarkEnd w:id="730"/>
    <w:p w14:paraId="0B874924">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因合同及合同有关事项产生的争议，合同当事人可以在专用合同条款中约定以下一种方式解决争议：</w:t>
      </w:r>
    </w:p>
    <w:p w14:paraId="3CCEF81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（1）向约定的仲裁委员会申请仲裁；</w:t>
      </w:r>
    </w:p>
    <w:p w14:paraId="601FECA9">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（2）向有管辖权的人民法院起诉。</w:t>
      </w:r>
    </w:p>
    <w:p w14:paraId="0C2BA2CE">
      <w:pPr>
        <w:pStyle w:val="6"/>
        <w:spacing w:before="120" w:after="120" w:line="360" w:lineRule="auto"/>
        <w:ind w:firstLine="420" w:firstLineChars="200"/>
        <w:rPr>
          <w:rFonts w:hint="eastAsia" w:ascii="宋体" w:hAnsi="宋体" w:eastAsia="宋体" w:cs="宋体"/>
          <w:b w:val="0"/>
          <w:color w:val="auto"/>
          <w:sz w:val="21"/>
          <w:szCs w:val="21"/>
          <w:highlight w:val="none"/>
          <w:lang w:eastAsia="zh-CN"/>
        </w:rPr>
      </w:pPr>
      <w:bookmarkStart w:id="731" w:name="_Toc351203631"/>
      <w:bookmarkStart w:id="732" w:name="_Toc296503152"/>
      <w:bookmarkStart w:id="733" w:name="_Toc337558845"/>
      <w:bookmarkStart w:id="734" w:name="_Toc296346653"/>
      <w:r>
        <w:rPr>
          <w:rFonts w:hint="eastAsia" w:ascii="宋体" w:hAnsi="宋体" w:eastAsia="宋体" w:cs="宋体"/>
          <w:b w:val="0"/>
          <w:color w:val="auto"/>
          <w:sz w:val="21"/>
          <w:szCs w:val="21"/>
          <w:highlight w:val="none"/>
          <w:lang w:eastAsia="zh-CN"/>
        </w:rPr>
        <w:t>20.5争议解决条款效力</w:t>
      </w:r>
      <w:bookmarkEnd w:id="731"/>
    </w:p>
    <w:bookmarkEnd w:id="732"/>
    <w:bookmarkEnd w:id="733"/>
    <w:bookmarkEnd w:id="734"/>
    <w:p w14:paraId="69A3DA06">
      <w:pPr>
        <w:pStyle w:val="13"/>
        <w:keepNext w:val="0"/>
        <w:keepLines w:val="0"/>
        <w:pageBreakBefore w:val="0"/>
        <w:kinsoku/>
        <w:wordWrap/>
        <w:overflowPunct/>
        <w:topLinePunct w:val="0"/>
        <w:autoSpaceDE/>
        <w:autoSpaceDN/>
        <w:bidi w:val="0"/>
        <w:adjustRightInd/>
        <w:snapToGrid/>
        <w:spacing w:after="0" w:line="360" w:lineRule="auto"/>
        <w:ind w:left="324"/>
        <w:jc w:val="left"/>
        <w:textAlignment w:val="auto"/>
        <w:rPr>
          <w:rFonts w:hint="eastAsia" w:ascii="新宋体" w:hAnsi="新宋体" w:eastAsia="新宋体" w:cs="新宋体"/>
          <w:color w:val="auto"/>
          <w:szCs w:val="21"/>
          <w:highlight w:val="none"/>
        </w:rPr>
      </w:pPr>
      <w:r>
        <w:rPr>
          <w:rFonts w:hint="eastAsia" w:ascii="宋体" w:hAnsi="宋体" w:eastAsia="宋体" w:cs="宋体"/>
          <w:color w:val="auto"/>
          <w:sz w:val="21"/>
          <w:szCs w:val="21"/>
          <w:highlight w:val="none"/>
          <w:lang w:eastAsia="zh-CN"/>
        </w:rPr>
        <w:t xml:space="preserve">合同有关争议解决的条款独立存在，合同的变更、解除、终止、无效或者被撤销均不影响其效力。 </w:t>
      </w:r>
    </w:p>
    <w:p w14:paraId="7EDDCC94">
      <w:pPr>
        <w:rPr>
          <w:rFonts w:hint="eastAsia" w:ascii="Times New Roman" w:hAnsi="Times New Roman" w:eastAsia="宋体" w:cs="宋体"/>
          <w:b/>
          <w:bCs/>
          <w:color w:val="auto"/>
          <w:kern w:val="0"/>
          <w:sz w:val="32"/>
          <w:szCs w:val="32"/>
          <w:highlight w:val="none"/>
          <w:lang w:val="en-US" w:eastAsia="zh-CN" w:bidi="ar-SA"/>
        </w:rPr>
      </w:pPr>
      <w:bookmarkStart w:id="735" w:name="_Toc19660"/>
      <w:bookmarkStart w:id="736" w:name="_Toc6456"/>
      <w:r>
        <w:rPr>
          <w:rFonts w:hint="eastAsia" w:ascii="Times New Roman" w:hAnsi="Times New Roman" w:eastAsia="宋体" w:cs="宋体"/>
          <w:b/>
          <w:bCs/>
          <w:color w:val="auto"/>
          <w:kern w:val="0"/>
          <w:sz w:val="32"/>
          <w:szCs w:val="32"/>
          <w:highlight w:val="none"/>
          <w:lang w:val="en-US" w:eastAsia="zh-CN" w:bidi="ar-SA"/>
        </w:rPr>
        <w:br w:type="page"/>
      </w:r>
    </w:p>
    <w:bookmarkEnd w:id="735"/>
    <w:bookmarkEnd w:id="736"/>
    <w:p w14:paraId="3E792DB3">
      <w:pPr>
        <w:pStyle w:val="95"/>
        <w:pageBreakBefore w:val="0"/>
        <w:kinsoku/>
        <w:wordWrap/>
        <w:overflowPunct/>
        <w:topLinePunct w:val="0"/>
        <w:autoSpaceDE/>
        <w:autoSpaceDN/>
        <w:bidi w:val="0"/>
        <w:adjustRightInd/>
        <w:snapToGrid/>
        <w:spacing w:before="0" w:after="0" w:line="360" w:lineRule="auto"/>
        <w:ind w:left="1260"/>
        <w:jc w:val="center"/>
        <w:textAlignment w:val="auto"/>
        <w:outlineLvl w:val="1"/>
        <w:rPr>
          <w:color w:val="auto"/>
          <w:sz w:val="44"/>
          <w:highlight w:val="none"/>
        </w:rPr>
      </w:pPr>
      <w:bookmarkStart w:id="737" w:name="_Toc23211"/>
      <w:bookmarkStart w:id="738" w:name="_Toc480967525"/>
      <w:bookmarkStart w:id="739" w:name="_Toc406522212"/>
      <w:bookmarkStart w:id="740" w:name="_Toc498945558"/>
      <w:r>
        <w:rPr>
          <w:color w:val="auto"/>
          <w:sz w:val="32"/>
          <w:highlight w:val="none"/>
        </w:rPr>
        <w:t>第三部分 专用合同条款</w:t>
      </w:r>
      <w:bookmarkEnd w:id="737"/>
      <w:bookmarkEnd w:id="738"/>
      <w:bookmarkEnd w:id="739"/>
    </w:p>
    <w:p w14:paraId="3CB35C27">
      <w:pPr>
        <w:keepNext/>
        <w:keepLines/>
        <w:pageBreakBefore w:val="0"/>
        <w:kinsoku/>
        <w:wordWrap/>
        <w:overflowPunct/>
        <w:topLinePunct w:val="0"/>
        <w:autoSpaceDE/>
        <w:autoSpaceDN/>
        <w:bidi w:val="0"/>
        <w:adjustRightInd/>
        <w:snapToGrid/>
        <w:spacing w:line="360" w:lineRule="auto"/>
        <w:textAlignment w:val="auto"/>
        <w:outlineLvl w:val="1"/>
        <w:rPr>
          <w:rFonts w:hint="eastAsia" w:hAnsi="宋体"/>
          <w:b/>
          <w:bCs/>
          <w:color w:val="auto"/>
          <w:kern w:val="44"/>
          <w:highlight w:val="none"/>
          <w:lang w:eastAsia="zh-CN"/>
        </w:rPr>
      </w:pPr>
      <w:bookmarkStart w:id="741" w:name="_Toc406522213"/>
      <w:bookmarkStart w:id="742" w:name="_Toc15140"/>
      <w:bookmarkStart w:id="743" w:name="_Toc480967526"/>
      <w:bookmarkStart w:id="744" w:name="_Toc351203633"/>
      <w:r>
        <w:rPr>
          <w:rFonts w:hAnsi="宋体"/>
          <w:b/>
          <w:bCs/>
          <w:color w:val="auto"/>
          <w:kern w:val="44"/>
          <w:highlight w:val="none"/>
          <w:lang w:eastAsia="zh-CN"/>
        </w:rPr>
        <w:t>1</w:t>
      </w:r>
      <w:bookmarkStart w:id="745" w:name="_Toc297120456"/>
      <w:bookmarkStart w:id="746" w:name="_Toc296944495"/>
      <w:bookmarkStart w:id="747" w:name="_Toc296347155"/>
      <w:bookmarkStart w:id="748" w:name="_Toc296891196"/>
      <w:bookmarkStart w:id="749" w:name="_Toc296346657"/>
      <w:bookmarkStart w:id="750" w:name="_Toc296890984"/>
      <w:bookmarkStart w:id="751" w:name="_Toc297048342"/>
      <w:bookmarkStart w:id="752" w:name="_Toc292559866"/>
      <w:bookmarkStart w:id="753" w:name="_Toc292559361"/>
      <w:bookmarkStart w:id="754" w:name="_Toc296503156"/>
      <w:r>
        <w:rPr>
          <w:rFonts w:hAnsi="宋体"/>
          <w:b/>
          <w:bCs/>
          <w:color w:val="auto"/>
          <w:kern w:val="44"/>
          <w:highlight w:val="none"/>
          <w:lang w:eastAsia="zh-CN"/>
        </w:rPr>
        <w:t>. 一般约定</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Start w:id="755" w:name="_Toc480967527"/>
      <w:bookmarkStart w:id="756" w:name="_Toc406522214"/>
    </w:p>
    <w:p w14:paraId="05B22911">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57" w:name="_Toc9120"/>
      <w:r>
        <w:rPr>
          <w:rFonts w:hAnsi="宋体"/>
          <w:b/>
          <w:bCs/>
          <w:color w:val="auto"/>
          <w:kern w:val="44"/>
          <w:highlight w:val="none"/>
          <w:lang w:eastAsia="zh-CN"/>
        </w:rPr>
        <w:t>1.1 词语定义</w:t>
      </w:r>
      <w:bookmarkEnd w:id="755"/>
      <w:bookmarkEnd w:id="756"/>
      <w:bookmarkEnd w:id="757"/>
    </w:p>
    <w:p w14:paraId="1CAE433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1.1.1合同</w:t>
      </w:r>
    </w:p>
    <w:p w14:paraId="7D292FE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1.1.1.10合同文件包括：</w:t>
      </w:r>
      <w:r>
        <w:rPr>
          <w:rFonts w:ascii="宋体" w:hAnsi="宋体"/>
          <w:color w:val="auto"/>
          <w:highlight w:val="none"/>
          <w:u w:val="single"/>
          <w:lang w:eastAsia="zh-CN"/>
        </w:rPr>
        <w:t>（1）本合同协议书；（2）</w:t>
      </w:r>
      <w:r>
        <w:rPr>
          <w:rFonts w:hint="eastAsia" w:ascii="宋体" w:hAnsi="宋体"/>
          <w:color w:val="auto"/>
          <w:highlight w:val="none"/>
          <w:u w:val="single"/>
          <w:lang w:val="en-US" w:eastAsia="zh-CN"/>
        </w:rPr>
        <w:t>成交</w:t>
      </w:r>
      <w:r>
        <w:rPr>
          <w:rFonts w:ascii="宋体" w:hAnsi="宋体"/>
          <w:color w:val="auto"/>
          <w:highlight w:val="none"/>
          <w:u w:val="single"/>
          <w:lang w:eastAsia="zh-CN"/>
        </w:rPr>
        <w:t>通知书；（3）</w:t>
      </w:r>
      <w:r>
        <w:rPr>
          <w:rFonts w:hint="eastAsia" w:ascii="宋体" w:hAnsi="宋体"/>
          <w:color w:val="auto"/>
          <w:highlight w:val="none"/>
          <w:u w:val="single"/>
          <w:lang w:val="en-US" w:eastAsia="zh-CN"/>
        </w:rPr>
        <w:t>响应</w:t>
      </w:r>
      <w:r>
        <w:rPr>
          <w:rFonts w:hint="eastAsia" w:ascii="宋体" w:hAnsi="宋体"/>
          <w:color w:val="auto"/>
          <w:highlight w:val="none"/>
          <w:u w:val="single"/>
          <w:lang w:eastAsia="zh-CN"/>
        </w:rPr>
        <w:t>函</w:t>
      </w:r>
      <w:r>
        <w:rPr>
          <w:rFonts w:ascii="宋体" w:hAnsi="宋体"/>
          <w:color w:val="auto"/>
          <w:highlight w:val="none"/>
          <w:u w:val="single"/>
          <w:lang w:eastAsia="zh-CN"/>
        </w:rPr>
        <w:t>及其附</w:t>
      </w:r>
      <w:r>
        <w:rPr>
          <w:rFonts w:hint="eastAsia" w:ascii="宋体" w:hAnsi="宋体"/>
          <w:color w:val="auto"/>
          <w:highlight w:val="none"/>
          <w:u w:val="single"/>
          <w:lang w:eastAsia="zh-CN"/>
        </w:rPr>
        <w:t>录</w:t>
      </w:r>
      <w:r>
        <w:rPr>
          <w:rFonts w:ascii="宋体" w:hAnsi="宋体"/>
          <w:color w:val="auto"/>
          <w:highlight w:val="none"/>
          <w:u w:val="single"/>
          <w:lang w:eastAsia="zh-CN"/>
        </w:rPr>
        <w:t>；（4）专用合同条款及其附件；（5）通用合同条款；（6）技术标准和要求；（7）已标价工程量清单或预算书；（8）图纸；（9）</w:t>
      </w:r>
      <w:r>
        <w:rPr>
          <w:rFonts w:hint="eastAsia" w:ascii="宋体" w:hAnsi="宋体"/>
          <w:color w:val="auto"/>
          <w:highlight w:val="none"/>
          <w:u w:val="single"/>
          <w:lang w:eastAsia="zh-CN"/>
        </w:rPr>
        <w:t>其他合同文件</w:t>
      </w:r>
      <w:r>
        <w:rPr>
          <w:rFonts w:ascii="宋体" w:hAnsi="宋体"/>
          <w:color w:val="auto"/>
          <w:highlight w:val="none"/>
          <w:u w:val="single"/>
          <w:lang w:eastAsia="zh-CN"/>
        </w:rPr>
        <w:t>。</w:t>
      </w:r>
    </w:p>
    <w:p w14:paraId="5490566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1.1.2 合同当事人及其他相关方</w:t>
      </w:r>
    </w:p>
    <w:p w14:paraId="53DA178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1.1.2.4监理人：</w:t>
      </w:r>
    </w:p>
    <w:p w14:paraId="01B44613">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none"/>
          <w:lang w:eastAsia="zh-CN"/>
        </w:rPr>
        <w:t>名    称：</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p>
    <w:p w14:paraId="0F974B6F">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none"/>
          <w:lang w:eastAsia="zh-CN"/>
        </w:rPr>
        <w:t>资质类别和等级：</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p>
    <w:p w14:paraId="18077ACC">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none"/>
          <w:lang w:eastAsia="zh-CN"/>
        </w:rPr>
        <w:t>联系电话：</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p>
    <w:p w14:paraId="606DEF8E">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none"/>
          <w:lang w:eastAsia="zh-CN"/>
        </w:rPr>
        <w:t>电子信箱：</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p>
    <w:p w14:paraId="795543C2">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none"/>
          <w:lang w:eastAsia="zh-CN"/>
        </w:rPr>
        <w:t>通信地址：</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p>
    <w:p w14:paraId="0870E1E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1.1.2.5 设计人：</w:t>
      </w:r>
    </w:p>
    <w:p w14:paraId="1297EE8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名    称：</w:t>
      </w:r>
      <w:r>
        <w:rPr>
          <w:rFonts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ascii="宋体" w:hAnsi="宋体"/>
          <w:color w:val="auto"/>
          <w:highlight w:val="none"/>
          <w:u w:val="single"/>
          <w:lang w:eastAsia="zh-CN"/>
        </w:rPr>
        <w:t xml:space="preserve">   </w:t>
      </w:r>
      <w:r>
        <w:rPr>
          <w:rFonts w:ascii="宋体" w:hAnsi="宋体"/>
          <w:color w:val="auto"/>
          <w:highlight w:val="none"/>
          <w:lang w:eastAsia="zh-CN"/>
        </w:rPr>
        <w:t>；</w:t>
      </w:r>
    </w:p>
    <w:p w14:paraId="5A92EDA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资质类别和等级：</w:t>
      </w:r>
      <w:r>
        <w:rPr>
          <w:rFonts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ascii="宋体" w:hAnsi="宋体"/>
          <w:color w:val="auto"/>
          <w:highlight w:val="none"/>
          <w:u w:val="single"/>
          <w:lang w:eastAsia="zh-CN"/>
        </w:rPr>
        <w:t xml:space="preserve">       </w:t>
      </w:r>
      <w:r>
        <w:rPr>
          <w:rFonts w:ascii="宋体" w:hAnsi="宋体"/>
          <w:color w:val="auto"/>
          <w:highlight w:val="none"/>
          <w:lang w:eastAsia="zh-CN"/>
        </w:rPr>
        <w:t>；</w:t>
      </w:r>
    </w:p>
    <w:p w14:paraId="2E2C594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联系电话：</w:t>
      </w:r>
      <w:r>
        <w:rPr>
          <w:rFonts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ascii="宋体" w:hAnsi="宋体"/>
          <w:color w:val="auto"/>
          <w:highlight w:val="none"/>
          <w:u w:val="single"/>
          <w:lang w:eastAsia="zh-CN"/>
        </w:rPr>
        <w:t xml:space="preserve">         </w:t>
      </w:r>
      <w:r>
        <w:rPr>
          <w:rFonts w:ascii="宋体" w:hAnsi="宋体"/>
          <w:color w:val="auto"/>
          <w:highlight w:val="none"/>
          <w:lang w:eastAsia="zh-CN"/>
        </w:rPr>
        <w:t>；</w:t>
      </w:r>
    </w:p>
    <w:p w14:paraId="70EDD78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电子信箱：</w:t>
      </w:r>
      <w:r>
        <w:rPr>
          <w:rFonts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ascii="宋体" w:hAnsi="宋体"/>
          <w:color w:val="auto"/>
          <w:highlight w:val="none"/>
          <w:u w:val="single"/>
          <w:lang w:eastAsia="zh-CN"/>
        </w:rPr>
        <w:t xml:space="preserve">               </w:t>
      </w:r>
      <w:r>
        <w:rPr>
          <w:rFonts w:ascii="宋体" w:hAnsi="宋体"/>
          <w:color w:val="auto"/>
          <w:highlight w:val="none"/>
          <w:lang w:eastAsia="zh-CN"/>
        </w:rPr>
        <w:t>；</w:t>
      </w:r>
    </w:p>
    <w:p w14:paraId="2A32DDE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通信地址：</w:t>
      </w:r>
      <w:r>
        <w:rPr>
          <w:rFonts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ascii="宋体" w:hAnsi="宋体"/>
          <w:color w:val="auto"/>
          <w:highlight w:val="none"/>
          <w:u w:val="single"/>
          <w:lang w:eastAsia="zh-CN"/>
        </w:rPr>
        <w:t xml:space="preserve">            </w:t>
      </w:r>
      <w:r>
        <w:rPr>
          <w:rFonts w:ascii="宋体" w:hAnsi="宋体"/>
          <w:color w:val="auto"/>
          <w:highlight w:val="none"/>
          <w:lang w:eastAsia="zh-CN"/>
        </w:rPr>
        <w:t>。</w:t>
      </w:r>
    </w:p>
    <w:p w14:paraId="6532959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1.1.3 工程和设备</w:t>
      </w:r>
    </w:p>
    <w:p w14:paraId="2D77E44B">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lang w:eastAsia="zh-CN"/>
        </w:rPr>
        <w:t>1.1.3.7 作为施工现场组成部分的其他场所包括：</w:t>
      </w:r>
      <w:r>
        <w:rPr>
          <w:rFonts w:ascii="宋体" w:hAnsi="宋体"/>
          <w:color w:val="auto"/>
          <w:highlight w:val="none"/>
          <w:u w:val="single"/>
          <w:lang w:eastAsia="zh-CN"/>
        </w:rPr>
        <w:t xml:space="preserve"> 临时设施和临时用地。</w:t>
      </w:r>
    </w:p>
    <w:p w14:paraId="233D4C4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1.1.3.9 永久占地包括：建、构筑物用地</w:t>
      </w:r>
      <w:r>
        <w:rPr>
          <w:rFonts w:hint="eastAsia" w:ascii="宋体" w:hAnsi="宋体"/>
          <w:color w:val="auto"/>
          <w:highlight w:val="none"/>
          <w:u w:val="single"/>
          <w:lang w:eastAsia="zh-CN"/>
        </w:rPr>
        <w:t xml:space="preserve">  同通用条款，无特殊约定  </w:t>
      </w:r>
      <w:r>
        <w:rPr>
          <w:rFonts w:ascii="宋体" w:hAnsi="宋体"/>
          <w:color w:val="auto"/>
          <w:highlight w:val="none"/>
          <w:lang w:eastAsia="zh-CN"/>
        </w:rPr>
        <w:t>。</w:t>
      </w:r>
    </w:p>
    <w:p w14:paraId="7471605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1.1.3.10 临时占地包括：</w:t>
      </w:r>
      <w:r>
        <w:rPr>
          <w:rFonts w:ascii="宋体" w:hAnsi="宋体"/>
          <w:color w:val="auto"/>
          <w:highlight w:val="none"/>
          <w:u w:val="single"/>
          <w:lang w:eastAsia="zh-CN"/>
        </w:rPr>
        <w:t>临时设施和临时用地</w:t>
      </w:r>
      <w:r>
        <w:rPr>
          <w:rFonts w:ascii="宋体" w:hAnsi="宋体"/>
          <w:color w:val="auto"/>
          <w:highlight w:val="none"/>
          <w:lang w:eastAsia="zh-CN"/>
        </w:rPr>
        <w:t>。</w:t>
      </w:r>
    </w:p>
    <w:p w14:paraId="29F8830C">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58" w:name="_Toc480967528"/>
      <w:bookmarkStart w:id="759" w:name="_Toc6370"/>
      <w:bookmarkStart w:id="760" w:name="_Toc406522215"/>
      <w:r>
        <w:rPr>
          <w:rFonts w:hAnsi="宋体"/>
          <w:b/>
          <w:bCs/>
          <w:color w:val="auto"/>
          <w:kern w:val="44"/>
          <w:highlight w:val="none"/>
          <w:lang w:eastAsia="zh-CN"/>
        </w:rPr>
        <w:t>1.3法律</w:t>
      </w:r>
      <w:bookmarkEnd w:id="758"/>
      <w:bookmarkEnd w:id="759"/>
      <w:bookmarkEnd w:id="760"/>
      <w:r>
        <w:rPr>
          <w:rFonts w:hAnsi="宋体"/>
          <w:b/>
          <w:bCs/>
          <w:color w:val="auto"/>
          <w:kern w:val="44"/>
          <w:highlight w:val="none"/>
          <w:lang w:eastAsia="zh-CN"/>
        </w:rPr>
        <w:t xml:space="preserve"> </w:t>
      </w:r>
    </w:p>
    <w:p w14:paraId="3FDF7E8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适用于合同的其他规范性文件：</w:t>
      </w:r>
      <w:r>
        <w:rPr>
          <w:rFonts w:ascii="宋体" w:hAnsi="宋体"/>
          <w:color w:val="auto"/>
          <w:highlight w:val="none"/>
          <w:u w:val="single"/>
          <w:lang w:eastAsia="zh-CN"/>
        </w:rPr>
        <w:t xml:space="preserve"> 国家、广西壮族自治区、桂林市有关工程建设的法规及规范性文件</w:t>
      </w:r>
      <w:r>
        <w:rPr>
          <w:rFonts w:ascii="宋体" w:hAnsi="宋体"/>
          <w:color w:val="auto"/>
          <w:highlight w:val="none"/>
          <w:lang w:eastAsia="zh-CN"/>
        </w:rPr>
        <w:t>。</w:t>
      </w:r>
    </w:p>
    <w:p w14:paraId="41C50A1A">
      <w:pPr>
        <w:keepNext/>
        <w:keepLines/>
        <w:pageBreakBefore w:val="0"/>
        <w:kinsoku/>
        <w:wordWrap/>
        <w:overflowPunct/>
        <w:topLinePunct w:val="0"/>
        <w:autoSpaceDE/>
        <w:autoSpaceDN/>
        <w:bidi w:val="0"/>
        <w:adjustRightInd/>
        <w:snapToGrid/>
        <w:spacing w:line="360" w:lineRule="auto"/>
        <w:textAlignment w:val="auto"/>
        <w:outlineLvl w:val="1"/>
        <w:rPr>
          <w:rFonts w:hint="eastAsia" w:hAnsi="宋体"/>
          <w:b/>
          <w:bCs/>
          <w:color w:val="auto"/>
          <w:kern w:val="44"/>
          <w:highlight w:val="none"/>
          <w:lang w:eastAsia="zh-CN"/>
        </w:rPr>
      </w:pPr>
      <w:bookmarkStart w:id="761" w:name="_Toc406522216"/>
      <w:bookmarkStart w:id="762" w:name="_Toc480967529"/>
      <w:bookmarkStart w:id="763" w:name="_Toc1961"/>
      <w:r>
        <w:rPr>
          <w:rFonts w:hAnsi="宋体"/>
          <w:b/>
          <w:bCs/>
          <w:color w:val="auto"/>
          <w:kern w:val="44"/>
          <w:highlight w:val="none"/>
          <w:lang w:eastAsia="zh-CN"/>
        </w:rPr>
        <w:t>1.4 标准和规范</w:t>
      </w:r>
      <w:bookmarkEnd w:id="761"/>
      <w:bookmarkEnd w:id="762"/>
      <w:bookmarkEnd w:id="763"/>
    </w:p>
    <w:p w14:paraId="4819EB6B">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Theme="minorEastAsia"/>
          <w:color w:val="auto"/>
          <w:highlight w:val="none"/>
          <w:lang w:eastAsia="zh-CN"/>
        </w:rPr>
      </w:pPr>
      <w:r>
        <w:rPr>
          <w:rFonts w:ascii="宋体" w:hAnsi="宋体"/>
          <w:color w:val="auto"/>
          <w:highlight w:val="none"/>
          <w:lang w:eastAsia="zh-CN"/>
        </w:rPr>
        <w:t>1.4.1适用于工程的标准规范包括：</w:t>
      </w:r>
      <w:r>
        <w:rPr>
          <w:rFonts w:ascii="宋体" w:hAnsi="宋体"/>
          <w:color w:val="auto"/>
          <w:highlight w:val="none"/>
          <w:u w:val="single"/>
          <w:lang w:eastAsia="zh-CN"/>
        </w:rPr>
        <w:t>国家、广西壮族自治区、桂林市有关工程建设的法规及规范性文件</w:t>
      </w:r>
      <w:r>
        <w:rPr>
          <w:rFonts w:ascii="宋体" w:hAnsi="宋体"/>
          <w:color w:val="auto"/>
          <w:highlight w:val="none"/>
          <w:lang w:eastAsia="zh-CN"/>
        </w:rPr>
        <w:t>。</w:t>
      </w:r>
    </w:p>
    <w:p w14:paraId="252EF51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1.4.2 发包人提供国外标准、规范的名称：</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5274FD8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发包人提供国外标准、规范的份数：</w:t>
      </w:r>
      <w:r>
        <w:rPr>
          <w:rFonts w:ascii="宋体" w:hAnsi="宋体"/>
          <w:color w:val="auto"/>
          <w:highlight w:val="none"/>
          <w:u w:val="single"/>
          <w:lang w:eastAsia="zh-CN"/>
        </w:rPr>
        <w:t xml:space="preserve">  无         </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w:t>
      </w:r>
    </w:p>
    <w:p w14:paraId="1CCAF79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发包人提供国外标准、规范的名称：</w:t>
      </w:r>
      <w:r>
        <w:rPr>
          <w:rFonts w:ascii="宋体" w:hAnsi="宋体"/>
          <w:color w:val="auto"/>
          <w:highlight w:val="none"/>
          <w:u w:val="single"/>
          <w:lang w:eastAsia="zh-CN"/>
        </w:rPr>
        <w:t xml:space="preserve">   无        </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w:t>
      </w:r>
    </w:p>
    <w:p w14:paraId="421DDBF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1.4.3发包人对工程的技术标准和功能要求的特殊要求：</w:t>
      </w:r>
      <w:r>
        <w:rPr>
          <w:rFonts w:ascii="宋体" w:hAnsi="宋体"/>
          <w:color w:val="auto"/>
          <w:highlight w:val="none"/>
          <w:u w:val="single"/>
          <w:lang w:eastAsia="zh-CN"/>
        </w:rPr>
        <w:t>无</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0AC394B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64" w:name="_Toc406522217"/>
      <w:bookmarkStart w:id="765" w:name="_Toc480967530"/>
      <w:bookmarkStart w:id="766" w:name="_Toc32673"/>
      <w:r>
        <w:rPr>
          <w:rFonts w:hAnsi="宋体"/>
          <w:b/>
          <w:bCs/>
          <w:color w:val="auto"/>
          <w:kern w:val="44"/>
          <w:highlight w:val="none"/>
          <w:lang w:eastAsia="zh-CN"/>
        </w:rPr>
        <w:t>1.5 合同文件的优先顺序</w:t>
      </w:r>
      <w:bookmarkEnd w:id="764"/>
      <w:bookmarkEnd w:id="765"/>
      <w:bookmarkEnd w:id="766"/>
    </w:p>
    <w:p w14:paraId="7E585BD1">
      <w:pPr>
        <w:pageBreakBefore w:val="0"/>
        <w:kinsoku/>
        <w:wordWrap/>
        <w:overflowPunct/>
        <w:topLinePunct w:val="0"/>
        <w:autoSpaceDE/>
        <w:autoSpaceDN/>
        <w:bidi w:val="0"/>
        <w:adjustRightInd/>
        <w:snapToGrid/>
        <w:spacing w:line="360" w:lineRule="auto"/>
        <w:ind w:firstLine="440" w:firstLineChars="200"/>
        <w:textAlignment w:val="auto"/>
        <w:rPr>
          <w:rFonts w:hint="eastAsia"/>
          <w:color w:val="auto"/>
          <w:sz w:val="22"/>
          <w:highlight w:val="none"/>
          <w:u w:val="single"/>
          <w:lang w:eastAsia="zh-CN"/>
        </w:rPr>
      </w:pPr>
      <w:r>
        <w:rPr>
          <w:color w:val="auto"/>
          <w:sz w:val="22"/>
          <w:szCs w:val="22"/>
          <w:highlight w:val="none"/>
          <w:lang w:eastAsia="zh-CN"/>
        </w:rPr>
        <w:t>合同文件组成及优先顺序为：</w:t>
      </w:r>
      <w:r>
        <w:rPr>
          <w:color w:val="auto"/>
          <w:sz w:val="22"/>
          <w:highlight w:val="none"/>
          <w:u w:val="single"/>
          <w:lang w:eastAsia="zh-CN"/>
        </w:rPr>
        <w:t>（1）合同协议书；（2）中标通知书；（3）</w:t>
      </w:r>
      <w:r>
        <w:rPr>
          <w:color w:val="auto"/>
          <w:sz w:val="22"/>
          <w:szCs w:val="22"/>
          <w:highlight w:val="none"/>
          <w:u w:val="single"/>
          <w:lang w:eastAsia="zh-CN"/>
        </w:rPr>
        <w:t>投标</w:t>
      </w:r>
      <w:r>
        <w:rPr>
          <w:rFonts w:hint="eastAsia"/>
          <w:color w:val="auto"/>
          <w:sz w:val="22"/>
          <w:szCs w:val="22"/>
          <w:highlight w:val="none"/>
          <w:u w:val="single"/>
          <w:lang w:eastAsia="zh-CN"/>
        </w:rPr>
        <w:t>函</w:t>
      </w:r>
      <w:r>
        <w:rPr>
          <w:color w:val="auto"/>
          <w:sz w:val="22"/>
          <w:szCs w:val="22"/>
          <w:highlight w:val="none"/>
          <w:u w:val="single"/>
          <w:lang w:eastAsia="zh-CN"/>
        </w:rPr>
        <w:t>及其附</w:t>
      </w:r>
      <w:r>
        <w:rPr>
          <w:rFonts w:hint="eastAsia"/>
          <w:color w:val="auto"/>
          <w:sz w:val="22"/>
          <w:szCs w:val="22"/>
          <w:highlight w:val="none"/>
          <w:u w:val="single"/>
          <w:lang w:eastAsia="zh-CN"/>
        </w:rPr>
        <w:t>录</w:t>
      </w:r>
      <w:r>
        <w:rPr>
          <w:color w:val="auto"/>
          <w:sz w:val="22"/>
          <w:highlight w:val="none"/>
          <w:u w:val="single"/>
          <w:lang w:eastAsia="zh-CN"/>
        </w:rPr>
        <w:t>；（4）专用合同条款及其附件；（5）通用合同条款；（6）技术标准和要求；（7）已标价工程量清单或预算书；（8）图纸；（9）其他合同文件。</w:t>
      </w:r>
    </w:p>
    <w:p w14:paraId="136ED352">
      <w:pPr>
        <w:pageBreakBefore w:val="0"/>
        <w:kinsoku/>
        <w:wordWrap/>
        <w:overflowPunct/>
        <w:topLinePunct w:val="0"/>
        <w:autoSpaceDE/>
        <w:autoSpaceDN/>
        <w:bidi w:val="0"/>
        <w:adjustRightInd/>
        <w:snapToGrid/>
        <w:spacing w:line="360" w:lineRule="auto"/>
        <w:ind w:firstLine="550" w:firstLineChars="250"/>
        <w:textAlignment w:val="auto"/>
        <w:rPr>
          <w:rFonts w:hint="eastAsia"/>
          <w:color w:val="auto"/>
          <w:sz w:val="22"/>
          <w:szCs w:val="22"/>
          <w:highlight w:val="none"/>
          <w:u w:val="single"/>
          <w:lang w:eastAsia="zh-CN"/>
        </w:rPr>
      </w:pPr>
      <w:r>
        <w:rPr>
          <w:rFonts w:hint="eastAsia" w:ascii="宋体" w:hAnsi="宋体"/>
          <w:color w:val="auto"/>
          <w:sz w:val="22"/>
          <w:highlight w:val="none"/>
          <w:lang w:eastAsia="zh-CN"/>
        </w:rPr>
        <w:t>合同协议书中约定采用</w:t>
      </w:r>
      <w:r>
        <w:rPr>
          <w:rFonts w:hint="eastAsia" w:ascii="宋体" w:hAnsi="宋体"/>
          <w:color w:val="auto"/>
          <w:sz w:val="22"/>
          <w:highlight w:val="none"/>
          <w:u w:val="single"/>
          <w:lang w:eastAsia="zh-CN"/>
        </w:rPr>
        <w:t>单价合同</w:t>
      </w:r>
      <w:r>
        <w:rPr>
          <w:rFonts w:hint="eastAsia" w:ascii="宋体" w:hAnsi="宋体"/>
          <w:color w:val="auto"/>
          <w:sz w:val="22"/>
          <w:highlight w:val="none"/>
          <w:lang w:eastAsia="zh-CN"/>
        </w:rPr>
        <w:t>形式的。图纸与技术标准和要求之间有矛盾或者不一致的，以其中要求较严格的标准为准。</w:t>
      </w:r>
      <w:r>
        <w:rPr>
          <w:rFonts w:hint="eastAsia"/>
          <w:color w:val="auto"/>
          <w:sz w:val="22"/>
          <w:szCs w:val="22"/>
          <w:highlight w:val="none"/>
          <w:lang w:eastAsia="zh-CN"/>
        </w:rPr>
        <w:t>合同双方在合同履行过程中签订的补充协议亦构成合同文件的组成部分，其解释顺序视其内容与其他合同文件的相互关系而定。</w:t>
      </w:r>
    </w:p>
    <w:p w14:paraId="2D4FD062">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67" w:name="_Toc480967531"/>
      <w:bookmarkStart w:id="768" w:name="_Toc406522218"/>
      <w:bookmarkStart w:id="769" w:name="_Toc31485"/>
      <w:r>
        <w:rPr>
          <w:rFonts w:hAnsi="宋体"/>
          <w:b/>
          <w:bCs/>
          <w:color w:val="auto"/>
          <w:kern w:val="44"/>
          <w:highlight w:val="none"/>
          <w:lang w:eastAsia="zh-CN"/>
        </w:rPr>
        <w:t>1.6 图纸和承包人文件</w:t>
      </w:r>
      <w:bookmarkEnd w:id="767"/>
      <w:bookmarkEnd w:id="768"/>
      <w:bookmarkEnd w:id="769"/>
      <w:r>
        <w:rPr>
          <w:rFonts w:hAnsi="宋体"/>
          <w:b/>
          <w:bCs/>
          <w:color w:val="auto"/>
          <w:kern w:val="44"/>
          <w:highlight w:val="none"/>
          <w:lang w:eastAsia="zh-CN"/>
        </w:rPr>
        <w:tab/>
      </w:r>
    </w:p>
    <w:p w14:paraId="07078FC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1.6.1 图纸的提供</w:t>
      </w:r>
    </w:p>
    <w:p w14:paraId="3205902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发包人向承包人提供图纸的期限：</w:t>
      </w:r>
      <w:r>
        <w:rPr>
          <w:rFonts w:hint="eastAsia" w:ascii="宋体" w:hAnsi="宋体"/>
          <w:color w:val="auto"/>
          <w:highlight w:val="none"/>
          <w:u w:val="single"/>
          <w:lang w:eastAsia="zh-CN"/>
        </w:rPr>
        <w:t>合同签订生效后7天内</w:t>
      </w:r>
      <w:r>
        <w:rPr>
          <w:rFonts w:ascii="宋体" w:hAnsi="宋体"/>
          <w:color w:val="auto"/>
          <w:highlight w:val="none"/>
          <w:u w:val="single"/>
          <w:lang w:eastAsia="zh-CN"/>
        </w:rPr>
        <w:t xml:space="preserve">  </w:t>
      </w:r>
      <w:r>
        <w:rPr>
          <w:rFonts w:ascii="宋体" w:hAnsi="宋体"/>
          <w:color w:val="auto"/>
          <w:highlight w:val="none"/>
          <w:lang w:eastAsia="zh-CN"/>
        </w:rPr>
        <w:t>；</w:t>
      </w:r>
    </w:p>
    <w:p w14:paraId="1DE12C6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发包人向承包人提供图纸的数量：</w:t>
      </w:r>
      <w:r>
        <w:rPr>
          <w:rFonts w:hint="eastAsia" w:ascii="宋体" w:hAnsi="宋体"/>
          <w:color w:val="auto"/>
          <w:highlight w:val="none"/>
          <w:u w:val="single"/>
          <w:lang w:eastAsia="zh-CN"/>
        </w:rPr>
        <w:t>合同签订生效后五天内向承包人免费提供施工图叁份</w:t>
      </w:r>
      <w:r>
        <w:rPr>
          <w:rFonts w:ascii="宋体" w:hAnsi="宋体"/>
          <w:color w:val="auto"/>
          <w:highlight w:val="none"/>
          <w:u w:val="single"/>
          <w:lang w:eastAsia="zh-CN"/>
        </w:rPr>
        <w:t xml:space="preserve">   </w:t>
      </w:r>
      <w:r>
        <w:rPr>
          <w:rFonts w:ascii="宋体" w:hAnsi="宋体"/>
          <w:color w:val="auto"/>
          <w:highlight w:val="none"/>
          <w:lang w:eastAsia="zh-CN"/>
        </w:rPr>
        <w:t>；</w:t>
      </w:r>
    </w:p>
    <w:p w14:paraId="6675C0D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发包人向承包人提供图纸的内容：</w:t>
      </w:r>
      <w:r>
        <w:rPr>
          <w:rFonts w:ascii="宋体" w:hAnsi="宋体"/>
          <w:color w:val="auto"/>
          <w:highlight w:val="none"/>
          <w:u w:val="single"/>
          <w:lang w:eastAsia="zh-CN"/>
        </w:rPr>
        <w:t>工程承包范围内的各专业施工图</w:t>
      </w:r>
      <w:r>
        <w:rPr>
          <w:rFonts w:hint="eastAsia" w:ascii="宋体" w:hAnsi="宋体" w:eastAsiaTheme="minorEastAsia"/>
          <w:color w:val="auto"/>
          <w:highlight w:val="none"/>
          <w:u w:val="single"/>
          <w:lang w:eastAsia="zh-CN"/>
        </w:rPr>
        <w:t xml:space="preserve">   </w:t>
      </w:r>
      <w:r>
        <w:rPr>
          <w:rFonts w:ascii="宋体" w:hAnsi="宋体"/>
          <w:color w:val="auto"/>
          <w:highlight w:val="none"/>
          <w:lang w:eastAsia="zh-CN"/>
        </w:rPr>
        <w:t>。</w:t>
      </w:r>
    </w:p>
    <w:p w14:paraId="006996B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1.6.4 承包人文件</w:t>
      </w:r>
    </w:p>
    <w:p w14:paraId="6F93204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需要由承包人提供的文件，包括：</w:t>
      </w:r>
      <w:r>
        <w:rPr>
          <w:rFonts w:hint="eastAsia" w:ascii="宋体" w:hAnsi="宋体"/>
          <w:color w:val="auto"/>
          <w:highlight w:val="none"/>
          <w:u w:val="single"/>
          <w:lang w:eastAsia="zh-CN"/>
        </w:rPr>
        <w:t xml:space="preserve"> 1、施工组织设计；2、工程进度计划；3、管理人员名单、职称、职务、上岗证等；4、安全文明施工措施；5、质量保证体系；6、施工图以外的大样图、加工图、标准图、以及建筑装饰深化设计图纸设计优化建议等，但设计成果文件需经原设计单位审核及认可；最终设计成果归发包人所有。</w:t>
      </w:r>
    </w:p>
    <w:p w14:paraId="57F6EF0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承包人提供的文件的期限为：构件开始施工前</w:t>
      </w:r>
      <w:r>
        <w:rPr>
          <w:rFonts w:hint="eastAsia" w:ascii="宋体" w:hAnsi="宋体"/>
          <w:color w:val="auto"/>
          <w:highlight w:val="none"/>
          <w:lang w:eastAsia="zh-CN"/>
        </w:rPr>
        <w:t>7天内</w:t>
      </w:r>
      <w:r>
        <w:rPr>
          <w:rFonts w:ascii="宋体" w:hAnsi="宋体"/>
          <w:color w:val="auto"/>
          <w:highlight w:val="none"/>
          <w:u w:val="single"/>
          <w:lang w:eastAsia="zh-CN"/>
        </w:rPr>
        <w:t xml:space="preserve"> </w:t>
      </w:r>
      <w:r>
        <w:rPr>
          <w:rFonts w:ascii="宋体" w:hAnsi="宋体"/>
          <w:color w:val="auto"/>
          <w:highlight w:val="none"/>
          <w:lang w:eastAsia="zh-CN"/>
        </w:rPr>
        <w:t>；</w:t>
      </w:r>
    </w:p>
    <w:p w14:paraId="1074C93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承包人提供的文件的数量为：</w:t>
      </w:r>
      <w:r>
        <w:rPr>
          <w:rFonts w:ascii="宋体" w:hAnsi="宋体"/>
          <w:color w:val="auto"/>
          <w:highlight w:val="none"/>
          <w:u w:val="single"/>
          <w:lang w:eastAsia="zh-CN"/>
        </w:rPr>
        <w:t xml:space="preserve"> 肆份</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379A7FA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承包人提供的文件的形式为：</w:t>
      </w:r>
      <w:r>
        <w:rPr>
          <w:rFonts w:ascii="宋体" w:hAnsi="宋体"/>
          <w:color w:val="auto"/>
          <w:highlight w:val="none"/>
          <w:u w:val="single"/>
          <w:lang w:eastAsia="zh-CN"/>
        </w:rPr>
        <w:t xml:space="preserve"> 纸质版 </w:t>
      </w:r>
      <w:r>
        <w:rPr>
          <w:rFonts w:ascii="宋体" w:hAnsi="宋体"/>
          <w:color w:val="auto"/>
          <w:highlight w:val="none"/>
          <w:lang w:eastAsia="zh-CN"/>
        </w:rPr>
        <w:t>；</w:t>
      </w:r>
    </w:p>
    <w:p w14:paraId="3A09B83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发包人审批承包人文件的期限：</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7天</w:t>
      </w:r>
      <w:r>
        <w:rPr>
          <w:rFonts w:ascii="宋体" w:hAnsi="宋体"/>
          <w:color w:val="auto"/>
          <w:highlight w:val="none"/>
          <w:u w:val="single"/>
          <w:lang w:eastAsia="zh-CN"/>
        </w:rPr>
        <w:t xml:space="preserve"> </w:t>
      </w:r>
      <w:r>
        <w:rPr>
          <w:rFonts w:ascii="宋体" w:hAnsi="宋体"/>
          <w:color w:val="auto"/>
          <w:highlight w:val="none"/>
          <w:lang w:eastAsia="zh-CN"/>
        </w:rPr>
        <w:t>。</w:t>
      </w:r>
    </w:p>
    <w:p w14:paraId="7E67065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1.6.5 现场图纸准备</w:t>
      </w:r>
    </w:p>
    <w:p w14:paraId="505C9A0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关于现场图纸准备的约定：</w:t>
      </w:r>
      <w:r>
        <w:rPr>
          <w:rFonts w:ascii="宋体" w:hAnsi="宋体"/>
          <w:color w:val="auto"/>
          <w:highlight w:val="none"/>
          <w:u w:val="single"/>
          <w:lang w:eastAsia="zh-CN"/>
        </w:rPr>
        <w:t xml:space="preserve"> 承包人在施工现场保存至少</w:t>
      </w:r>
      <w:r>
        <w:rPr>
          <w:rFonts w:hint="eastAsia" w:ascii="宋体" w:hAnsi="宋体"/>
          <w:color w:val="auto"/>
          <w:highlight w:val="none"/>
          <w:u w:val="single"/>
          <w:lang w:eastAsia="zh-CN"/>
        </w:rPr>
        <w:t>贰</w:t>
      </w:r>
      <w:r>
        <w:rPr>
          <w:rFonts w:ascii="宋体" w:hAnsi="宋体"/>
          <w:color w:val="auto"/>
          <w:highlight w:val="none"/>
          <w:u w:val="single"/>
          <w:lang w:eastAsia="zh-CN"/>
        </w:rPr>
        <w:t xml:space="preserve">套完整施工图 </w:t>
      </w:r>
      <w:r>
        <w:rPr>
          <w:rFonts w:ascii="宋体" w:hAnsi="宋体"/>
          <w:color w:val="auto"/>
          <w:highlight w:val="none"/>
          <w:lang w:eastAsia="zh-CN"/>
        </w:rPr>
        <w:t>。</w:t>
      </w:r>
    </w:p>
    <w:p w14:paraId="075DF044">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70" w:name="_Toc3723"/>
      <w:bookmarkStart w:id="771" w:name="_Toc480967532"/>
      <w:bookmarkStart w:id="772" w:name="_Toc406522219"/>
      <w:r>
        <w:rPr>
          <w:rFonts w:hAnsi="宋体"/>
          <w:b/>
          <w:bCs/>
          <w:color w:val="auto"/>
          <w:kern w:val="44"/>
          <w:highlight w:val="none"/>
          <w:lang w:eastAsia="zh-CN"/>
        </w:rPr>
        <w:t>1.7 联络</w:t>
      </w:r>
      <w:bookmarkEnd w:id="770"/>
      <w:bookmarkEnd w:id="771"/>
      <w:bookmarkEnd w:id="772"/>
    </w:p>
    <w:p w14:paraId="1440985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1.7.1发包人和承包人应当在</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3</w:t>
      </w:r>
      <w:r>
        <w:rPr>
          <w:rFonts w:ascii="宋体" w:hAnsi="宋体"/>
          <w:color w:val="auto"/>
          <w:highlight w:val="none"/>
          <w:u w:val="single"/>
          <w:lang w:eastAsia="zh-CN"/>
        </w:rPr>
        <w:t xml:space="preserve"> </w:t>
      </w:r>
      <w:r>
        <w:rPr>
          <w:rFonts w:ascii="宋体" w:hAnsi="宋体"/>
          <w:color w:val="auto"/>
          <w:highlight w:val="none"/>
          <w:lang w:eastAsia="zh-CN"/>
        </w:rPr>
        <w:t>天内将与合同有关的通知、批准、证明、证书、指示、指令、要求、请求、同意、意见、确定和决定等书面函件送达对方当事人。</w:t>
      </w:r>
    </w:p>
    <w:p w14:paraId="38135A7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1.7.2 发包人接收文件的地点：</w:t>
      </w:r>
      <w:r>
        <w:rPr>
          <w:rFonts w:ascii="宋体" w:hAnsi="宋体"/>
          <w:color w:val="auto"/>
          <w:highlight w:val="none"/>
          <w:u w:val="single"/>
          <w:lang w:eastAsia="zh-CN"/>
        </w:rPr>
        <w:t xml:space="preserve">双方按实际情况现场约定  </w:t>
      </w:r>
      <w:r>
        <w:rPr>
          <w:rFonts w:ascii="宋体" w:hAnsi="宋体"/>
          <w:color w:val="auto"/>
          <w:highlight w:val="none"/>
          <w:lang w:eastAsia="zh-CN"/>
        </w:rPr>
        <w:t>；</w:t>
      </w:r>
    </w:p>
    <w:p w14:paraId="0CC08FA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发包人指定的接收人为：</w:t>
      </w:r>
      <w:r>
        <w:rPr>
          <w:rFonts w:ascii="宋体" w:hAnsi="宋体"/>
          <w:color w:val="auto"/>
          <w:highlight w:val="none"/>
          <w:u w:val="single"/>
          <w:lang w:eastAsia="zh-CN"/>
        </w:rPr>
        <w:t>双方按实际情况现场约定</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w:t>
      </w:r>
    </w:p>
    <w:p w14:paraId="6385886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承包人接收文件的地点：</w:t>
      </w:r>
      <w:r>
        <w:rPr>
          <w:rFonts w:ascii="宋体" w:hAnsi="宋体"/>
          <w:color w:val="auto"/>
          <w:highlight w:val="none"/>
          <w:u w:val="single"/>
          <w:lang w:eastAsia="zh-CN"/>
        </w:rPr>
        <w:t xml:space="preserve"> 发包人指定地点</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w:t>
      </w:r>
    </w:p>
    <w:p w14:paraId="62AD017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承包人指定的接收人为：</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w:t>
      </w:r>
    </w:p>
    <w:p w14:paraId="7967417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监理人接收文件的地点：</w:t>
      </w:r>
      <w:r>
        <w:rPr>
          <w:rFonts w:ascii="宋体" w:hAnsi="宋体"/>
          <w:color w:val="auto"/>
          <w:highlight w:val="none"/>
          <w:u w:val="single"/>
          <w:lang w:eastAsia="zh-CN"/>
        </w:rPr>
        <w:t>发包人指定地点</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w:t>
      </w:r>
    </w:p>
    <w:p w14:paraId="7C061DC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监理人指定的接收人为：</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w:t>
      </w:r>
    </w:p>
    <w:p w14:paraId="049EDBA8">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73" w:name="_Toc480967533"/>
      <w:bookmarkStart w:id="774" w:name="_Toc29872"/>
      <w:bookmarkStart w:id="775" w:name="_Toc406522220"/>
      <w:r>
        <w:rPr>
          <w:rFonts w:hAnsi="宋体"/>
          <w:b/>
          <w:bCs/>
          <w:color w:val="auto"/>
          <w:kern w:val="44"/>
          <w:highlight w:val="none"/>
          <w:lang w:eastAsia="zh-CN"/>
        </w:rPr>
        <w:t>1.10 交通运输</w:t>
      </w:r>
      <w:bookmarkEnd w:id="773"/>
      <w:bookmarkEnd w:id="774"/>
      <w:bookmarkEnd w:id="775"/>
    </w:p>
    <w:p w14:paraId="11E1FA8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w:t>
      </w:r>
      <w:bookmarkStart w:id="776" w:name="_Toc300934943"/>
      <w:bookmarkStart w:id="777" w:name="_Toc312677986"/>
      <w:bookmarkStart w:id="778" w:name="_Toc304295521"/>
      <w:bookmarkStart w:id="779" w:name="_Toc303539100"/>
      <w:bookmarkStart w:id="780" w:name="_Toc318581155"/>
      <w:r>
        <w:rPr>
          <w:rFonts w:ascii="宋体" w:hAnsi="宋体"/>
          <w:color w:val="auto"/>
          <w:highlight w:val="none"/>
          <w:lang w:eastAsia="zh-CN"/>
        </w:rPr>
        <w:t>.10.1 出入现场的权利</w:t>
      </w:r>
    </w:p>
    <w:p w14:paraId="43F2DAAA">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关于出入现场的权利的约定：</w:t>
      </w:r>
      <w:r>
        <w:rPr>
          <w:rFonts w:ascii="宋体" w:hAnsi="宋体"/>
          <w:color w:val="auto"/>
          <w:highlight w:val="none"/>
          <w:u w:val="single"/>
          <w:lang w:eastAsia="zh-CN"/>
        </w:rPr>
        <w:t xml:space="preserve"> 按通用条款执行。</w:t>
      </w:r>
      <w:r>
        <w:rPr>
          <w:rFonts w:hint="eastAsia" w:ascii="宋体" w:hAnsi="宋体"/>
          <w:color w:val="auto"/>
          <w:highlight w:val="none"/>
          <w:u w:val="single"/>
          <w:lang w:eastAsia="zh-CN"/>
        </w:rPr>
        <w:t xml:space="preserve"> </w:t>
      </w:r>
    </w:p>
    <w:bookmarkEnd w:id="776"/>
    <w:bookmarkEnd w:id="777"/>
    <w:bookmarkEnd w:id="778"/>
    <w:bookmarkEnd w:id="779"/>
    <w:bookmarkEnd w:id="780"/>
    <w:p w14:paraId="2BC5793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w:t>
      </w:r>
      <w:bookmarkStart w:id="781" w:name="_Toc318581156"/>
      <w:bookmarkStart w:id="782" w:name="_Toc303539101"/>
      <w:bookmarkStart w:id="783" w:name="_Toc300934944"/>
      <w:bookmarkStart w:id="784" w:name="_Toc312677987"/>
      <w:bookmarkStart w:id="785" w:name="_Toc304295522"/>
      <w:r>
        <w:rPr>
          <w:rFonts w:ascii="宋体" w:hAnsi="宋体"/>
          <w:color w:val="auto"/>
          <w:highlight w:val="none"/>
          <w:lang w:eastAsia="zh-CN"/>
        </w:rPr>
        <w:t>.10.3 场内交通</w:t>
      </w:r>
    </w:p>
    <w:p w14:paraId="71B3B5A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关于场外交通和场内交通的边界的约定：</w:t>
      </w:r>
      <w:r>
        <w:rPr>
          <w:rFonts w:hint="eastAsia" w:ascii="宋体" w:hAnsi="宋体"/>
          <w:color w:val="auto"/>
          <w:highlight w:val="none"/>
          <w:u w:val="single"/>
          <w:lang w:eastAsia="zh-CN"/>
        </w:rPr>
        <w:t>本项目施工现场围墙为界</w:t>
      </w:r>
      <w:r>
        <w:rPr>
          <w:rFonts w:ascii="宋体" w:hAnsi="宋体"/>
          <w:color w:val="auto"/>
          <w:highlight w:val="none"/>
          <w:u w:val="single"/>
          <w:lang w:eastAsia="zh-CN"/>
        </w:rPr>
        <w:t xml:space="preserve"> </w:t>
      </w:r>
      <w:r>
        <w:rPr>
          <w:rFonts w:ascii="宋体" w:hAnsi="宋体"/>
          <w:color w:val="auto"/>
          <w:highlight w:val="none"/>
          <w:lang w:eastAsia="zh-CN"/>
        </w:rPr>
        <w:t>。</w:t>
      </w:r>
    </w:p>
    <w:p w14:paraId="325F806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关于发包人向承包人免费提供满足工程施工需要的场内道路和交通设施的约定：</w:t>
      </w:r>
      <w:r>
        <w:rPr>
          <w:rFonts w:hint="eastAsia" w:ascii="宋体" w:hAnsi="宋体"/>
          <w:color w:val="auto"/>
          <w:highlight w:val="none"/>
          <w:u w:val="single"/>
          <w:lang w:eastAsia="zh-CN"/>
        </w:rPr>
        <w:t>由承包人负责场内道路和交通设施的修建并承担相应费用</w:t>
      </w:r>
      <w:r>
        <w:rPr>
          <w:rFonts w:hint="eastAsia" w:ascii="宋体" w:hAnsi="宋体"/>
          <w:color w:val="auto"/>
          <w:highlight w:val="none"/>
          <w:lang w:eastAsia="zh-CN"/>
        </w:rPr>
        <w:t>。</w:t>
      </w:r>
      <w:r>
        <w:rPr>
          <w:rFonts w:ascii="宋体" w:hAnsi="宋体"/>
          <w:color w:val="auto"/>
          <w:highlight w:val="none"/>
          <w:lang w:eastAsia="zh-CN"/>
        </w:rPr>
        <w:t xml:space="preserve">  </w:t>
      </w:r>
    </w:p>
    <w:bookmarkEnd w:id="781"/>
    <w:bookmarkEnd w:id="782"/>
    <w:bookmarkEnd w:id="783"/>
    <w:bookmarkEnd w:id="784"/>
    <w:bookmarkEnd w:id="785"/>
    <w:p w14:paraId="067F045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1.10.4超大件和超重件的运输</w:t>
      </w:r>
    </w:p>
    <w:p w14:paraId="5B47651A">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运输超大件或超重件所需的道路和桥梁临时加固改造费用和其他有关费用由</w:t>
      </w:r>
      <w:r>
        <w:rPr>
          <w:rFonts w:hint="eastAsia" w:ascii="宋体" w:hAnsi="宋体"/>
          <w:color w:val="auto"/>
          <w:highlight w:val="none"/>
          <w:u w:val="single"/>
          <w:lang w:eastAsia="zh-CN"/>
        </w:rPr>
        <w:t>承包人</w:t>
      </w:r>
      <w:r>
        <w:rPr>
          <w:rFonts w:ascii="宋体" w:hAnsi="宋体"/>
          <w:color w:val="auto"/>
          <w:highlight w:val="none"/>
          <w:lang w:eastAsia="zh-CN"/>
        </w:rPr>
        <w:t>承担。</w:t>
      </w:r>
    </w:p>
    <w:p w14:paraId="786C10F5">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86" w:name="_Toc480967534"/>
      <w:bookmarkStart w:id="787" w:name="_Toc2758"/>
      <w:bookmarkStart w:id="788" w:name="_Toc19187"/>
      <w:r>
        <w:rPr>
          <w:rFonts w:hAnsi="宋体"/>
          <w:b/>
          <w:bCs/>
          <w:color w:val="auto"/>
          <w:kern w:val="44"/>
          <w:highlight w:val="none"/>
          <w:lang w:eastAsia="zh-CN"/>
        </w:rPr>
        <w:t>1.11 知识产权</w:t>
      </w:r>
      <w:bookmarkEnd w:id="786"/>
      <w:bookmarkEnd w:id="787"/>
      <w:bookmarkEnd w:id="788"/>
    </w:p>
    <w:p w14:paraId="219F80D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1.11.1关于发包人提供给承包人的图纸、发包人为实施工程自行编制或委托编制的技术规范以及反映发包人关于合同要求或其他类似性质的文件的著作权的归属：</w:t>
      </w:r>
      <w:r>
        <w:rPr>
          <w:rFonts w:hint="eastAsia" w:ascii="宋体" w:hAnsi="宋体"/>
          <w:color w:val="auto"/>
          <w:highlight w:val="none"/>
          <w:u w:val="single"/>
          <w:lang w:eastAsia="zh-CN"/>
        </w:rPr>
        <w:t>发包人</w:t>
      </w:r>
      <w:r>
        <w:rPr>
          <w:rFonts w:ascii="宋体" w:hAnsi="宋体"/>
          <w:color w:val="auto"/>
          <w:highlight w:val="none"/>
          <w:lang w:eastAsia="zh-CN"/>
        </w:rPr>
        <w:t>。</w:t>
      </w:r>
    </w:p>
    <w:p w14:paraId="05CF7DB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关于发包人提供的上述文件的使用限制的要求：</w:t>
      </w:r>
      <w:r>
        <w:rPr>
          <w:rFonts w:hint="eastAsia" w:ascii="宋体" w:hAnsi="宋体"/>
          <w:color w:val="auto"/>
          <w:highlight w:val="none"/>
          <w:u w:val="single"/>
          <w:lang w:eastAsia="zh-CN"/>
        </w:rPr>
        <w:t>只能用于本工地，未经批准不得转给第三方</w:t>
      </w:r>
      <w:r>
        <w:rPr>
          <w:rFonts w:ascii="宋体" w:hAnsi="宋体"/>
          <w:color w:val="auto"/>
          <w:highlight w:val="none"/>
          <w:lang w:eastAsia="zh-CN"/>
        </w:rPr>
        <w:t>。</w:t>
      </w:r>
    </w:p>
    <w:p w14:paraId="1562F0A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1.11.2 关于承包人为实施工程所编制文件的著作权的归属</w:t>
      </w:r>
      <w:r>
        <w:rPr>
          <w:rFonts w:hint="eastAsia" w:ascii="宋体" w:hAnsi="宋体"/>
          <w:color w:val="auto"/>
          <w:highlight w:val="none"/>
          <w:lang w:eastAsia="zh-CN"/>
        </w:rPr>
        <w:t>：</w:t>
      </w:r>
      <w:r>
        <w:rPr>
          <w:rFonts w:hint="eastAsia" w:ascii="宋体" w:hAnsi="宋体"/>
          <w:color w:val="auto"/>
          <w:highlight w:val="none"/>
          <w:u w:val="single"/>
          <w:lang w:eastAsia="zh-CN"/>
        </w:rPr>
        <w:t>发包人</w:t>
      </w:r>
      <w:r>
        <w:rPr>
          <w:rFonts w:ascii="宋体" w:hAnsi="宋体"/>
          <w:color w:val="auto"/>
          <w:highlight w:val="none"/>
          <w:lang w:eastAsia="zh-CN"/>
        </w:rPr>
        <w:t>。</w:t>
      </w:r>
    </w:p>
    <w:p w14:paraId="6F13067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关于承包人提供的上述文件的使用限制的要求：</w:t>
      </w:r>
      <w:r>
        <w:rPr>
          <w:rFonts w:hint="eastAsia" w:ascii="宋体" w:hAnsi="宋体"/>
          <w:color w:val="auto"/>
          <w:highlight w:val="none"/>
          <w:u w:val="single"/>
          <w:lang w:eastAsia="zh-CN"/>
        </w:rPr>
        <w:t>只能用于本工地施工、保修，未经承包人同意不得向第三方提供</w:t>
      </w:r>
      <w:r>
        <w:rPr>
          <w:rFonts w:ascii="宋体" w:hAnsi="宋体"/>
          <w:color w:val="auto"/>
          <w:highlight w:val="none"/>
          <w:lang w:eastAsia="zh-CN"/>
        </w:rPr>
        <w:t>。</w:t>
      </w:r>
    </w:p>
    <w:p w14:paraId="419A671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1.11.4 承包人在施工过程中所采用的专利、专有技术、技术秘密的使用费的承担方式：</w:t>
      </w:r>
      <w:r>
        <w:rPr>
          <w:rFonts w:hint="eastAsia" w:ascii="宋体" w:hAnsi="宋体"/>
          <w:color w:val="auto"/>
          <w:highlight w:val="none"/>
          <w:u w:val="single"/>
          <w:lang w:eastAsia="zh-CN"/>
        </w:rPr>
        <w:t>承包人承担</w:t>
      </w:r>
      <w:r>
        <w:rPr>
          <w:rFonts w:ascii="宋体" w:hAnsi="宋体"/>
          <w:color w:val="auto"/>
          <w:highlight w:val="none"/>
          <w:lang w:eastAsia="zh-CN"/>
        </w:rPr>
        <w:t>。</w:t>
      </w:r>
    </w:p>
    <w:p w14:paraId="0ACEE6E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1.13工程量清单错误的修正</w:t>
      </w:r>
    </w:p>
    <w:p w14:paraId="2F98ABF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bookmarkStart w:id="789" w:name="_Toc480967535"/>
      <w:bookmarkStart w:id="790" w:name="_Toc27759"/>
      <w:r>
        <w:rPr>
          <w:rFonts w:ascii="宋体" w:hAnsi="宋体"/>
          <w:color w:val="auto"/>
          <w:highlight w:val="none"/>
          <w:lang w:eastAsia="zh-CN"/>
        </w:rPr>
        <w:t>出现工程量清单错误时，是否调整合同价格：</w:t>
      </w:r>
      <w:r>
        <w:rPr>
          <w:rFonts w:hint="eastAsia" w:ascii="宋体" w:hAnsi="宋体"/>
          <w:color w:val="auto"/>
          <w:highlight w:val="none"/>
          <w:u w:val="single"/>
          <w:lang w:eastAsia="zh-CN"/>
        </w:rPr>
        <w:t>允许调整</w:t>
      </w:r>
      <w:r>
        <w:rPr>
          <w:rFonts w:ascii="宋体" w:hAnsi="宋体"/>
          <w:color w:val="auto"/>
          <w:highlight w:val="none"/>
          <w:lang w:eastAsia="zh-CN"/>
        </w:rPr>
        <w:t>。</w:t>
      </w:r>
    </w:p>
    <w:p w14:paraId="02D04208">
      <w:pPr>
        <w:pStyle w:val="11"/>
        <w:pageBreakBefore w:val="0"/>
        <w:kinsoku/>
        <w:wordWrap/>
        <w:overflowPunct/>
        <w:topLinePunct w:val="0"/>
        <w:autoSpaceDE/>
        <w:autoSpaceDN/>
        <w:bidi w:val="0"/>
        <w:adjustRightInd/>
        <w:snapToGrid/>
        <w:spacing w:line="360" w:lineRule="auto"/>
        <w:textAlignment w:val="auto"/>
        <w:rPr>
          <w:rFonts w:hint="eastAsia" w:ascii="宋体" w:hAnsi="宋体"/>
          <w:color w:val="auto"/>
          <w:highlight w:val="none"/>
          <w:u w:val="single"/>
        </w:rPr>
      </w:pPr>
      <w:r>
        <w:rPr>
          <w:rFonts w:ascii="宋体" w:hAnsi="宋体"/>
          <w:color w:val="auto"/>
          <w:highlight w:val="none"/>
        </w:rPr>
        <w:t>允许调整合同价格的工程量偏差范围</w:t>
      </w:r>
      <w:r>
        <w:rPr>
          <w:rFonts w:hint="eastAsia" w:ascii="宋体" w:hAnsi="宋体"/>
          <w:color w:val="auto"/>
          <w:highlight w:val="none"/>
        </w:rPr>
        <w:t>及调整方法</w:t>
      </w:r>
      <w:r>
        <w:rPr>
          <w:rFonts w:ascii="宋体" w:hAnsi="宋体"/>
          <w:color w:val="auto"/>
          <w:highlight w:val="none"/>
        </w:rPr>
        <w:t>：</w:t>
      </w:r>
      <w:r>
        <w:rPr>
          <w:rFonts w:hint="eastAsia" w:ascii="宋体" w:hAnsi="宋体"/>
          <w:color w:val="auto"/>
          <w:highlight w:val="none"/>
          <w:u w:val="single"/>
        </w:rPr>
        <w:t>执行现行标准</w:t>
      </w:r>
      <w:r>
        <w:rPr>
          <w:rFonts w:hint="eastAsia"/>
          <w:color w:val="auto"/>
          <w:highlight w:val="none"/>
          <w:u w:val="single"/>
        </w:rPr>
        <w:t>《建设工程工程量清单计价标准》（GB/T 50500-2024）</w:t>
      </w:r>
      <w:r>
        <w:rPr>
          <w:rFonts w:hint="eastAsia" w:ascii="宋体" w:hAnsi="宋体"/>
          <w:color w:val="auto"/>
          <w:highlight w:val="none"/>
          <w:u w:val="single"/>
        </w:rPr>
        <w:t xml:space="preserve">                          </w:t>
      </w:r>
      <w:r>
        <w:rPr>
          <w:rFonts w:ascii="宋体" w:hAnsi="宋体"/>
          <w:color w:val="auto"/>
          <w:highlight w:val="none"/>
          <w:u w:val="single"/>
        </w:rPr>
        <w:t>。</w:t>
      </w:r>
    </w:p>
    <w:p w14:paraId="596CF5B2">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91" w:name="_Toc11811"/>
      <w:r>
        <w:rPr>
          <w:rFonts w:hAnsi="宋体"/>
          <w:b/>
          <w:bCs/>
          <w:color w:val="auto"/>
          <w:kern w:val="44"/>
          <w:highlight w:val="none"/>
          <w:lang w:eastAsia="zh-CN"/>
        </w:rPr>
        <w:t>2. 发包人</w:t>
      </w:r>
      <w:bookmarkEnd w:id="789"/>
      <w:bookmarkEnd w:id="790"/>
      <w:bookmarkEnd w:id="791"/>
    </w:p>
    <w:p w14:paraId="57E8E9C0">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92" w:name="_Toc480967536"/>
      <w:bookmarkStart w:id="793" w:name="_Toc25861"/>
      <w:bookmarkStart w:id="794" w:name="_Toc5539"/>
      <w:r>
        <w:rPr>
          <w:rFonts w:hAnsi="宋体"/>
          <w:b/>
          <w:bCs/>
          <w:color w:val="auto"/>
          <w:kern w:val="44"/>
          <w:highlight w:val="none"/>
          <w:lang w:eastAsia="zh-CN"/>
        </w:rPr>
        <w:t>2.2 发包人代表</w:t>
      </w:r>
      <w:bookmarkEnd w:id="792"/>
      <w:bookmarkEnd w:id="793"/>
      <w:bookmarkEnd w:id="794"/>
    </w:p>
    <w:p w14:paraId="549AD39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发包人代表：</w:t>
      </w:r>
    </w:p>
    <w:p w14:paraId="647BE32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姓    名：</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213128E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身份证号：</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7FAADCA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职    务：</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1794201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联系电话：</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1AC46AE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电子信箱：</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15449E6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通信地址：</w:t>
      </w:r>
      <w:r>
        <w:rPr>
          <w:rFonts w:hint="eastAsia" w:ascii="宋体" w:hAnsi="宋体"/>
          <w:color w:val="auto"/>
          <w:highlight w:val="none"/>
          <w:u w:val="single"/>
          <w:lang w:eastAsia="zh-CN"/>
        </w:rPr>
        <w:t xml:space="preserve"> 桂林市七星区金鸡路2号桂林航天工业学院  </w:t>
      </w:r>
      <w:r>
        <w:rPr>
          <w:rFonts w:ascii="宋体" w:hAnsi="宋体"/>
          <w:color w:val="auto"/>
          <w:highlight w:val="none"/>
          <w:lang w:eastAsia="zh-CN"/>
        </w:rPr>
        <w:t>。</w:t>
      </w:r>
    </w:p>
    <w:p w14:paraId="395D9E8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
          <w:color w:val="auto"/>
          <w:highlight w:val="none"/>
          <w:lang w:eastAsia="zh-CN"/>
        </w:rPr>
      </w:pPr>
      <w:r>
        <w:rPr>
          <w:rFonts w:ascii="宋体" w:hAnsi="宋体"/>
          <w:color w:val="auto"/>
          <w:highlight w:val="none"/>
          <w:lang w:eastAsia="zh-CN"/>
        </w:rPr>
        <w:t>发包人对发包人代表的授权范围如下：</w:t>
      </w:r>
      <w:r>
        <w:rPr>
          <w:rFonts w:hint="eastAsia" w:ascii="宋体" w:hAnsi="宋体"/>
          <w:color w:val="auto"/>
          <w:highlight w:val="none"/>
          <w:u w:val="single"/>
          <w:lang w:eastAsia="zh-CN"/>
        </w:rPr>
        <w:t xml:space="preserve">  对工程进度、质量进行监督、办理工程验收手续，负责现场签证，解决由发包人授权处理的事宜  </w:t>
      </w:r>
      <w:r>
        <w:rPr>
          <w:rFonts w:ascii="宋体" w:hAnsi="宋体"/>
          <w:color w:val="auto"/>
          <w:highlight w:val="none"/>
          <w:lang w:eastAsia="zh-CN"/>
        </w:rPr>
        <w:t>。</w:t>
      </w:r>
    </w:p>
    <w:p w14:paraId="71FDCCE9">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95" w:name="_Toc8975"/>
      <w:bookmarkStart w:id="796" w:name="_Toc464"/>
      <w:bookmarkStart w:id="797" w:name="_Toc480967537"/>
      <w:r>
        <w:rPr>
          <w:rFonts w:hAnsi="宋体"/>
          <w:b/>
          <w:bCs/>
          <w:color w:val="auto"/>
          <w:kern w:val="44"/>
          <w:highlight w:val="none"/>
          <w:lang w:eastAsia="zh-CN"/>
        </w:rPr>
        <w:t>2.4 施工现场、施工条件和基础资料的提供</w:t>
      </w:r>
      <w:bookmarkEnd w:id="795"/>
      <w:bookmarkEnd w:id="796"/>
      <w:bookmarkEnd w:id="797"/>
    </w:p>
    <w:p w14:paraId="3F6EDE4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2.4.1 提供施工现场</w:t>
      </w:r>
    </w:p>
    <w:p w14:paraId="360F44A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关于发包人移交施工现场的期限要求：</w:t>
      </w:r>
      <w:r>
        <w:rPr>
          <w:rFonts w:hint="eastAsia" w:ascii="宋体" w:hAnsi="宋体"/>
          <w:color w:val="auto"/>
          <w:highlight w:val="none"/>
          <w:u w:val="single"/>
          <w:lang w:eastAsia="zh-CN"/>
        </w:rPr>
        <w:t>除专用合同条款另有约定外，发包人应最迟于开工日期7天前向承包人移交施工现场</w:t>
      </w:r>
      <w:r>
        <w:rPr>
          <w:rFonts w:ascii="宋体" w:hAnsi="宋体"/>
          <w:color w:val="auto"/>
          <w:highlight w:val="none"/>
          <w:lang w:eastAsia="zh-CN"/>
        </w:rPr>
        <w:t>。</w:t>
      </w:r>
    </w:p>
    <w:p w14:paraId="7FC895E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2.4.2 提供施工条件</w:t>
      </w:r>
    </w:p>
    <w:p w14:paraId="480A80EC">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关于发包人应负责提供施工所需要的条件，</w:t>
      </w:r>
      <w:r>
        <w:rPr>
          <w:rFonts w:hint="eastAsia" w:ascii="宋体" w:hAnsi="宋体"/>
          <w:color w:val="auto"/>
          <w:highlight w:val="none"/>
          <w:lang w:eastAsia="zh-CN"/>
        </w:rPr>
        <w:t>包括：</w:t>
      </w:r>
    </w:p>
    <w:p w14:paraId="0A76B050">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1、</w:t>
      </w:r>
      <w:r>
        <w:rPr>
          <w:rFonts w:hint="eastAsia" w:ascii="宋体" w:hAnsi="宋体"/>
          <w:color w:val="auto"/>
          <w:highlight w:val="none"/>
          <w:u w:val="single"/>
          <w:lang w:eastAsia="zh-CN"/>
        </w:rPr>
        <w:t>发包人最迟应当在移交施工场地的同时向承包人提供施工场地内地下管线和地下设施等有关资料，并保证资料的真实、准确和完整，组织设计交底等</w:t>
      </w:r>
      <w:r>
        <w:rPr>
          <w:rFonts w:ascii="宋体" w:hAnsi="宋体"/>
          <w:color w:val="auto"/>
          <w:highlight w:val="none"/>
          <w:lang w:eastAsia="zh-CN"/>
        </w:rPr>
        <w:t>。</w:t>
      </w:r>
    </w:p>
    <w:p w14:paraId="790AC87C">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single"/>
          <w:lang w:eastAsia="zh-CN"/>
        </w:rPr>
        <w:t>2、发包人负责提供电源，距离项目地块红线500米距离内，由本工程承包人接入施工现场，设置分电源箱，并单独装表计量。从发包人提供的电源至施工用电设备线路的安装由承包人负责实施，安装费、线路、设备购置费及施工过程中发生的所有电费，无论承包人是否在投标报价中单独列支，发包人均认为此项费用包含在投标报价中。结算时，发包人将按照向供电部门缴纳电费的单价和承包人的实际用电数量扣回用电费用（含分摊的线路损耗费用）。</w:t>
      </w:r>
    </w:p>
    <w:p w14:paraId="3F6EBCE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hint="eastAsia" w:ascii="宋体" w:hAnsi="宋体"/>
          <w:color w:val="auto"/>
          <w:highlight w:val="none"/>
          <w:u w:val="single"/>
          <w:lang w:eastAsia="zh-CN"/>
        </w:rPr>
        <w:t>3、发包人负责提供水源，距离项目地块红线500米距离内，由本工程承包人接入施工现场，并单独装表计量。从水源至施工各用水点的管路安装、布置由承包人负责实施，其安装费、管材、设备购置费及施工过程中发生的所有水费，无论承包人是否在投标报价中单独列支，发包人均认为此项费用包含在投标报价中。结算时，发包人将按照向供水部门缴纳水费的单价和承包人的实际用电数量扣回用水费用（含分摊的损耗费用）。</w:t>
      </w:r>
    </w:p>
    <w:p w14:paraId="056A8302">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798" w:name="_Toc32440"/>
      <w:bookmarkStart w:id="799" w:name="_Toc17653"/>
      <w:bookmarkStart w:id="800" w:name="_Toc480967538"/>
      <w:r>
        <w:rPr>
          <w:rFonts w:hAnsi="宋体"/>
          <w:b/>
          <w:bCs/>
          <w:color w:val="auto"/>
          <w:kern w:val="44"/>
          <w:highlight w:val="none"/>
          <w:lang w:eastAsia="zh-CN"/>
        </w:rPr>
        <w:t>2.5 资金来源证明及支付担保</w:t>
      </w:r>
      <w:bookmarkEnd w:id="798"/>
      <w:bookmarkEnd w:id="799"/>
      <w:bookmarkEnd w:id="800"/>
    </w:p>
    <w:p w14:paraId="10E96D1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发包人提供资金来源证明的期限要求：</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65072C1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发包人是否提供支付担保：</w:t>
      </w:r>
      <w:r>
        <w:rPr>
          <w:rFonts w:hint="eastAsia" w:ascii="宋体" w:hAnsi="宋体"/>
          <w:color w:val="auto"/>
          <w:highlight w:val="none"/>
          <w:u w:val="single"/>
          <w:lang w:eastAsia="zh-CN"/>
        </w:rPr>
        <w:t xml:space="preserve"> 不提供  </w:t>
      </w:r>
      <w:r>
        <w:rPr>
          <w:rFonts w:ascii="宋体" w:hAnsi="宋体"/>
          <w:color w:val="auto"/>
          <w:highlight w:val="none"/>
          <w:lang w:eastAsia="zh-CN"/>
        </w:rPr>
        <w:t>。</w:t>
      </w:r>
    </w:p>
    <w:p w14:paraId="3EC7310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发包人提供支付担保的形式：</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45E2625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01" w:name="_Toc6487"/>
      <w:bookmarkStart w:id="802" w:name="_Toc32502"/>
      <w:bookmarkStart w:id="803" w:name="_Toc480967539"/>
      <w:r>
        <w:rPr>
          <w:rFonts w:hAnsi="宋体"/>
          <w:b/>
          <w:bCs/>
          <w:color w:val="auto"/>
          <w:kern w:val="44"/>
          <w:highlight w:val="none"/>
          <w:lang w:eastAsia="zh-CN"/>
        </w:rPr>
        <w:t>3. 承包人</w:t>
      </w:r>
      <w:bookmarkEnd w:id="801"/>
      <w:bookmarkEnd w:id="802"/>
      <w:bookmarkEnd w:id="803"/>
    </w:p>
    <w:p w14:paraId="6801FFEA">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04" w:name="_Toc480967540"/>
      <w:bookmarkStart w:id="805" w:name="_Toc14154"/>
      <w:bookmarkStart w:id="806" w:name="_Toc13291"/>
      <w:r>
        <w:rPr>
          <w:rFonts w:hAnsi="宋体"/>
          <w:b/>
          <w:bCs/>
          <w:color w:val="auto"/>
          <w:kern w:val="44"/>
          <w:highlight w:val="none"/>
          <w:lang w:eastAsia="zh-CN"/>
        </w:rPr>
        <w:t>3.1 承包人的一般义务</w:t>
      </w:r>
      <w:bookmarkEnd w:id="804"/>
      <w:bookmarkEnd w:id="805"/>
      <w:bookmarkEnd w:id="806"/>
    </w:p>
    <w:p w14:paraId="47105EE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（9）承包人提交的竣工资料的内容：</w:t>
      </w:r>
      <w:r>
        <w:rPr>
          <w:rFonts w:hint="eastAsia" w:ascii="宋体" w:hAnsi="宋体"/>
          <w:color w:val="auto"/>
          <w:highlight w:val="none"/>
          <w:u w:val="single"/>
          <w:lang w:eastAsia="zh-CN"/>
        </w:rPr>
        <w:t xml:space="preserve">按桂林市城建档案馆相关规定 </w:t>
      </w:r>
      <w:r>
        <w:rPr>
          <w:rFonts w:ascii="宋体" w:hAnsi="宋体"/>
          <w:color w:val="auto"/>
          <w:highlight w:val="none"/>
          <w:lang w:eastAsia="zh-CN"/>
        </w:rPr>
        <w:t>。</w:t>
      </w:r>
    </w:p>
    <w:p w14:paraId="43836D7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承包人需要提交的竣工资料套数：</w:t>
      </w:r>
      <w:r>
        <w:rPr>
          <w:rFonts w:hint="eastAsia" w:ascii="宋体" w:hAnsi="宋体"/>
          <w:color w:val="auto"/>
          <w:highlight w:val="none"/>
          <w:u w:val="single"/>
          <w:lang w:eastAsia="zh-CN"/>
        </w:rPr>
        <w:t>叁套</w:t>
      </w:r>
      <w:r>
        <w:rPr>
          <w:rFonts w:ascii="宋体" w:hAnsi="宋体"/>
          <w:color w:val="auto"/>
          <w:highlight w:val="none"/>
          <w:lang w:eastAsia="zh-CN"/>
        </w:rPr>
        <w:t>。</w:t>
      </w:r>
    </w:p>
    <w:p w14:paraId="7B72A65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承包人提交的竣工资料的费用承担：</w:t>
      </w:r>
      <w:r>
        <w:rPr>
          <w:rFonts w:hint="eastAsia" w:ascii="宋体" w:hAnsi="宋体"/>
          <w:color w:val="auto"/>
          <w:highlight w:val="none"/>
          <w:u w:val="single"/>
          <w:lang w:eastAsia="zh-CN"/>
        </w:rPr>
        <w:t>由承包人自行承担</w:t>
      </w:r>
      <w:r>
        <w:rPr>
          <w:rFonts w:ascii="宋体" w:hAnsi="宋体"/>
          <w:color w:val="auto"/>
          <w:highlight w:val="none"/>
          <w:lang w:eastAsia="zh-CN"/>
        </w:rPr>
        <w:t>。</w:t>
      </w:r>
    </w:p>
    <w:p w14:paraId="17745B3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承包人提交的竣工资料移交时间：</w:t>
      </w:r>
      <w:r>
        <w:rPr>
          <w:rFonts w:hint="eastAsia" w:ascii="宋体" w:hAnsi="宋体"/>
          <w:color w:val="auto"/>
          <w:highlight w:val="none"/>
          <w:u w:val="single"/>
          <w:lang w:eastAsia="zh-CN"/>
        </w:rPr>
        <w:t>双方按实际情况现场约定</w:t>
      </w:r>
      <w:r>
        <w:rPr>
          <w:rFonts w:ascii="宋体" w:hAnsi="宋体"/>
          <w:color w:val="auto"/>
          <w:highlight w:val="none"/>
          <w:lang w:eastAsia="zh-CN"/>
        </w:rPr>
        <w:t>。</w:t>
      </w:r>
    </w:p>
    <w:p w14:paraId="20572E1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承包人提交的竣工资料形式要求：</w:t>
      </w:r>
      <w:r>
        <w:rPr>
          <w:rFonts w:hint="eastAsia" w:ascii="宋体" w:hAnsi="宋体"/>
          <w:color w:val="auto"/>
          <w:highlight w:val="none"/>
          <w:u w:val="single"/>
          <w:lang w:eastAsia="zh-CN"/>
        </w:rPr>
        <w:t>纸质版</w:t>
      </w:r>
      <w:r>
        <w:rPr>
          <w:rFonts w:ascii="宋体" w:hAnsi="宋体"/>
          <w:color w:val="auto"/>
          <w:highlight w:val="none"/>
          <w:lang w:eastAsia="zh-CN"/>
        </w:rPr>
        <w:t>。</w:t>
      </w:r>
    </w:p>
    <w:p w14:paraId="1B073BE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（10）承包人应履行的其他义务：</w:t>
      </w:r>
      <w:r>
        <w:rPr>
          <w:rFonts w:hint="eastAsia" w:ascii="宋体" w:hAnsi="宋体"/>
          <w:color w:val="auto"/>
          <w:highlight w:val="none"/>
          <w:u w:val="single"/>
          <w:lang w:eastAsia="zh-CN"/>
        </w:rPr>
        <w:t>1、</w:t>
      </w:r>
      <w:r>
        <w:rPr>
          <w:rFonts w:ascii="宋体" w:hAnsi="宋体"/>
          <w:color w:val="auto"/>
          <w:highlight w:val="none"/>
          <w:u w:val="single"/>
          <w:lang w:eastAsia="zh-CN"/>
        </w:rPr>
        <w:t>承包人应当</w:t>
      </w:r>
      <w:r>
        <w:rPr>
          <w:rFonts w:hint="eastAsia" w:ascii="宋体" w:hAnsi="宋体"/>
          <w:color w:val="auto"/>
          <w:highlight w:val="none"/>
          <w:u w:val="single"/>
          <w:lang w:eastAsia="zh-CN"/>
        </w:rPr>
        <w:t>主动配合发包人</w:t>
      </w:r>
      <w:r>
        <w:rPr>
          <w:rFonts w:ascii="宋体" w:hAnsi="宋体"/>
          <w:color w:val="auto"/>
          <w:highlight w:val="none"/>
          <w:u w:val="single"/>
          <w:lang w:eastAsia="zh-CN"/>
        </w:rPr>
        <w:t>协调与施工现场周边农村及村民的关系，确保项目施工顺利进行</w:t>
      </w:r>
      <w:r>
        <w:rPr>
          <w:rFonts w:hint="eastAsia" w:ascii="宋体" w:hAnsi="宋体"/>
          <w:color w:val="auto"/>
          <w:highlight w:val="none"/>
          <w:u w:val="single"/>
          <w:lang w:eastAsia="zh-CN"/>
        </w:rPr>
        <w:t>；为发包人依法发包的专业工程承包商提供一切施工方便；2、农民工工资按国家法律法规、《保障农民工工资支付条例》和广西区的相关文件执行，承包人应按时足额支付农民工工资</w:t>
      </w:r>
      <w:r>
        <w:rPr>
          <w:rFonts w:ascii="宋体" w:hAnsi="宋体"/>
          <w:color w:val="auto"/>
          <w:highlight w:val="none"/>
          <w:u w:val="single"/>
          <w:lang w:eastAsia="zh-CN"/>
        </w:rPr>
        <w:t>。</w:t>
      </w:r>
      <w:r>
        <w:rPr>
          <w:rFonts w:hint="eastAsia" w:ascii="宋体" w:hAnsi="宋体"/>
          <w:color w:val="auto"/>
          <w:highlight w:val="none"/>
          <w:u w:val="single"/>
          <w:lang w:eastAsia="zh-CN"/>
        </w:rPr>
        <w:t>3、承包人应按发包人的指令，完成发包人要求的对工程内容的任何增加和删减。4、承包人应积极主动核对图纸中的标高、轴线等技术数据，充分理解设计意图。若由于明显的设计图纸问题（例如尺寸标注不闭合、文字标识相互矛盾等）和发包人（包括监理）不正确的指令，承包人发现后有书面告知义务，否则造成工程质量、安全、进度损失，也不能免除承包人的责任。5、承包人应按照政府相关规定，建立健全的雇员工资发放和劳动保障制度。</w:t>
      </w:r>
    </w:p>
    <w:p w14:paraId="7295E2B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07" w:name="_Toc19190"/>
      <w:bookmarkStart w:id="808" w:name="_Toc2443"/>
      <w:bookmarkStart w:id="809" w:name="_Toc480967541"/>
      <w:r>
        <w:rPr>
          <w:rFonts w:hAnsi="宋体"/>
          <w:b/>
          <w:bCs/>
          <w:color w:val="auto"/>
          <w:kern w:val="44"/>
          <w:highlight w:val="none"/>
          <w:lang w:eastAsia="zh-CN"/>
        </w:rPr>
        <w:t>3.2 项目经理</w:t>
      </w:r>
      <w:bookmarkEnd w:id="807"/>
      <w:bookmarkEnd w:id="808"/>
      <w:bookmarkEnd w:id="809"/>
    </w:p>
    <w:p w14:paraId="6EC91FC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3.2.1 项目经理：</w:t>
      </w:r>
    </w:p>
    <w:p w14:paraId="0E3733F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姓    名：</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554CAD7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身份证号：</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70DD41B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建造师执业资格等级：</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7045F69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建造师注册证书号：</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5E113DC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建造师执业印章号：</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5A21615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安全生产考核合格证书号：</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31E0118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联系电话：</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2D4BC89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电子信箱：</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304E365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通信地址：</w:t>
      </w:r>
      <w:r>
        <w:rPr>
          <w:rFonts w:hint="eastAsia" w:ascii="宋体" w:hAnsi="宋体"/>
          <w:color w:val="auto"/>
          <w:highlight w:val="none"/>
          <w:u w:val="single"/>
          <w:lang w:eastAsia="zh-CN"/>
        </w:rPr>
        <w:t xml:space="preserve"> </w:t>
      </w:r>
      <w:r>
        <w:rPr>
          <w:rFonts w:hint="eastAsia" w:ascii="宋体" w:hAnsi="宋体"/>
          <w:bCs/>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bCs/>
          <w:color w:val="auto"/>
          <w:highlight w:val="none"/>
          <w:u w:val="single"/>
          <w:lang w:eastAsia="zh-CN"/>
        </w:rPr>
        <w:t xml:space="preserve">             </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3CAC0237">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olor w:val="auto"/>
          <w:sz w:val="22"/>
          <w:szCs w:val="22"/>
          <w:highlight w:val="none"/>
          <w:u w:val="single"/>
          <w:lang w:eastAsia="zh-CN"/>
        </w:rPr>
      </w:pPr>
      <w:r>
        <w:rPr>
          <w:color w:val="auto"/>
          <w:sz w:val="22"/>
          <w:szCs w:val="22"/>
          <w:highlight w:val="none"/>
          <w:lang w:eastAsia="zh-CN"/>
        </w:rPr>
        <w:t>承包人对项目经理的授权范围如下：</w:t>
      </w:r>
      <w:r>
        <w:rPr>
          <w:rFonts w:hint="eastAsia" w:ascii="宋体" w:hAnsi="宋体"/>
          <w:color w:val="auto"/>
          <w:sz w:val="22"/>
          <w:szCs w:val="22"/>
          <w:highlight w:val="none"/>
          <w:u w:val="single"/>
          <w:lang w:eastAsia="zh-CN"/>
        </w:rPr>
        <w:t xml:space="preserve">  （1）对本工程的建设进行全面管理，行使合同约定的权利，履行合同约定的义务；（2）负责本工程的施工组织方案制定和施工组织设计；（3）负责本工程的劳动力组织和机械设备组织；（4）合同约定由承包人采购的材料、工程设备，项目经理参与选择物资供应单位；（5）在授权范围内协调与项目有关的内、外部关系；（6）负责与发包人、监理人办理设计变更、现场签证等手续，及时办理本工程相关索赔；（7）负责签收发包人、监理人往来函件，承包人的要求、通知均应以书面形式由承包人项目经理签字并加盖承包人公司公章后递交发包人；</w:t>
      </w:r>
      <w:r>
        <w:rPr>
          <w:rFonts w:hint="eastAsia" w:ascii="宋体" w:hAnsi="宋体" w:eastAsiaTheme="minorEastAsia"/>
          <w:color w:val="auto"/>
          <w:sz w:val="22"/>
          <w:szCs w:val="22"/>
          <w:highlight w:val="none"/>
          <w:u w:val="single"/>
          <w:lang w:eastAsia="zh-CN"/>
        </w:rPr>
        <w:t xml:space="preserve"> </w:t>
      </w:r>
      <w:r>
        <w:rPr>
          <w:rFonts w:hint="eastAsia" w:ascii="宋体" w:hAnsi="宋体"/>
          <w:color w:val="auto"/>
          <w:sz w:val="22"/>
          <w:szCs w:val="22"/>
          <w:highlight w:val="none"/>
          <w:u w:val="single"/>
          <w:lang w:eastAsia="zh-CN"/>
        </w:rPr>
        <w:t xml:space="preserve">（8）代表承包人接受监理工程师或发包人现场代表发出的指示和指令。  </w:t>
      </w:r>
    </w:p>
    <w:p w14:paraId="47A8FF75">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s="宋体"/>
          <w:color w:val="auto"/>
          <w:sz w:val="22"/>
          <w:highlight w:val="none"/>
          <w:u w:val="single"/>
          <w:lang w:eastAsia="zh-CN"/>
        </w:rPr>
      </w:pPr>
      <w:r>
        <w:rPr>
          <w:rFonts w:hint="eastAsia" w:ascii="宋体" w:hAnsi="宋体"/>
          <w:color w:val="auto"/>
          <w:sz w:val="22"/>
          <w:szCs w:val="22"/>
          <w:highlight w:val="none"/>
          <w:lang w:eastAsia="zh-CN"/>
        </w:rPr>
        <w:t>但未经承包人盖章同意不得以承包人名义向外融资、采购材料设备、租用建筑周转材料、雇佣劳动力、签订分包合同等从事一切为承包人设立义务或责任的行为。</w:t>
      </w:r>
    </w:p>
    <w:p w14:paraId="288EB85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关于项目经理每月在施工现场的时间要求：</w:t>
      </w:r>
      <w:r>
        <w:rPr>
          <w:rFonts w:hint="eastAsia" w:ascii="宋体" w:hAnsi="宋体"/>
          <w:color w:val="auto"/>
          <w:highlight w:val="none"/>
          <w:u w:val="single"/>
          <w:lang w:eastAsia="zh-CN"/>
        </w:rPr>
        <w:t>不得少于22个工作日，若项目经理每月在岗时间少于22个工作日，发包人有权更换项目经理，由此造成的一切损失由承包人承担。</w:t>
      </w:r>
    </w:p>
    <w:p w14:paraId="7682B1F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项目经理未经批准，擅自离开施工现场的违约责任：</w:t>
      </w:r>
      <w:r>
        <w:rPr>
          <w:rFonts w:ascii="宋体" w:hAnsi="宋体"/>
          <w:color w:val="auto"/>
          <w:highlight w:val="none"/>
          <w:u w:val="single"/>
          <w:lang w:eastAsia="zh-CN"/>
        </w:rPr>
        <w:t>项目经理每月在岗带班时间不得少于</w:t>
      </w:r>
      <w:r>
        <w:rPr>
          <w:rFonts w:hint="eastAsia" w:ascii="宋体" w:hAnsi="宋体"/>
          <w:color w:val="auto"/>
          <w:highlight w:val="none"/>
          <w:u w:val="single"/>
          <w:lang w:eastAsia="zh-CN"/>
        </w:rPr>
        <w:t>当月施工时间的80%。</w:t>
      </w:r>
      <w:r>
        <w:rPr>
          <w:rFonts w:ascii="宋体" w:hAnsi="宋体"/>
          <w:color w:val="auto"/>
          <w:highlight w:val="none"/>
          <w:u w:val="single"/>
          <w:lang w:eastAsia="zh-CN"/>
        </w:rPr>
        <w:t>未经发包人同意或正当理由，项目经理每月在岗带班时间少于</w:t>
      </w:r>
      <w:r>
        <w:rPr>
          <w:rFonts w:hint="eastAsia" w:ascii="宋体" w:hAnsi="宋体"/>
          <w:color w:val="auto"/>
          <w:highlight w:val="none"/>
          <w:u w:val="single"/>
          <w:lang w:eastAsia="zh-CN"/>
        </w:rPr>
        <w:t>当月施工时间80%的</w:t>
      </w:r>
      <w:r>
        <w:rPr>
          <w:rFonts w:ascii="宋体" w:hAnsi="宋体"/>
          <w:color w:val="auto"/>
          <w:highlight w:val="none"/>
          <w:u w:val="single"/>
          <w:lang w:eastAsia="zh-CN"/>
        </w:rPr>
        <w:t>，</w:t>
      </w:r>
      <w:r>
        <w:rPr>
          <w:rFonts w:hint="eastAsia" w:ascii="宋体" w:hAnsi="宋体"/>
          <w:color w:val="auto"/>
          <w:position w:val="-2"/>
          <w:highlight w:val="none"/>
          <w:u w:val="single"/>
          <w:lang w:eastAsia="zh-CN"/>
        </w:rPr>
        <w:t>少在岗带班一天，发包人有权处违约金500元/日（人民币）</w:t>
      </w:r>
      <w:r>
        <w:rPr>
          <w:rFonts w:ascii="宋体" w:hAnsi="宋体"/>
          <w:color w:val="auto"/>
          <w:highlight w:val="none"/>
          <w:lang w:eastAsia="zh-CN"/>
        </w:rPr>
        <w:t>。</w:t>
      </w:r>
    </w:p>
    <w:p w14:paraId="1AFA70F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承包人未提交劳动合同，以及没有为项目经理缴纳社会保险证明的违约责任：</w:t>
      </w:r>
      <w:r>
        <w:rPr>
          <w:rFonts w:hint="eastAsia" w:ascii="宋体" w:hAnsi="宋体"/>
          <w:color w:val="auto"/>
          <w:highlight w:val="none"/>
          <w:u w:val="single"/>
          <w:lang w:eastAsia="zh-CN"/>
        </w:rPr>
        <w:t>若经发包人检查发现承包人违约则扣款1万元，若承包人不按要求及时整改，发包人有权解除合同</w:t>
      </w:r>
      <w:r>
        <w:rPr>
          <w:rFonts w:ascii="宋体" w:hAnsi="宋体"/>
          <w:color w:val="auto"/>
          <w:highlight w:val="none"/>
          <w:u w:val="single"/>
          <w:lang w:eastAsia="zh-CN"/>
        </w:rPr>
        <w:t xml:space="preserve">  </w:t>
      </w:r>
      <w:r>
        <w:rPr>
          <w:rFonts w:ascii="宋体" w:hAnsi="宋体"/>
          <w:color w:val="auto"/>
          <w:highlight w:val="none"/>
          <w:lang w:eastAsia="zh-CN"/>
        </w:rPr>
        <w:t>。</w:t>
      </w:r>
    </w:p>
    <w:p w14:paraId="6E284BC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3.2.3 承包人擅自更换项目经理的违约责任：</w:t>
      </w:r>
      <w:r>
        <w:rPr>
          <w:rFonts w:ascii="宋体" w:hAnsi="宋体"/>
          <w:color w:val="auto"/>
          <w:highlight w:val="none"/>
          <w:u w:val="single"/>
          <w:lang w:eastAsia="zh-CN"/>
        </w:rPr>
        <w:t>承包人项目经理必须与承包人投标时所承诺的人员一致，并在</w:t>
      </w:r>
      <w:r>
        <w:rPr>
          <w:rFonts w:hint="eastAsia" w:ascii="宋体" w:hAnsi="宋体"/>
          <w:color w:val="auto"/>
          <w:highlight w:val="none"/>
          <w:u w:val="single"/>
          <w:lang w:eastAsia="zh-CN"/>
        </w:rPr>
        <w:t>约定开工日期</w:t>
      </w:r>
      <w:r>
        <w:rPr>
          <w:rFonts w:ascii="宋体" w:hAnsi="宋体"/>
          <w:color w:val="auto"/>
          <w:highlight w:val="none"/>
          <w:u w:val="single"/>
          <w:lang w:eastAsia="zh-CN"/>
        </w:rPr>
        <w:t>前到任。在监理人向承包人颁发</w:t>
      </w:r>
      <w:r>
        <w:rPr>
          <w:rFonts w:hint="eastAsia" w:ascii="宋体" w:hAnsi="宋体"/>
          <w:color w:val="auto"/>
          <w:highlight w:val="none"/>
          <w:u w:val="single"/>
          <w:lang w:eastAsia="zh-CN"/>
        </w:rPr>
        <w:t>竣工证明材料名称前</w:t>
      </w:r>
      <w:r>
        <w:rPr>
          <w:rFonts w:ascii="宋体" w:hAnsi="宋体"/>
          <w:color w:val="auto"/>
          <w:highlight w:val="none"/>
          <w:u w:val="single"/>
          <w:lang w:eastAsia="zh-CN"/>
        </w:rPr>
        <w:t>，项目经理不得同时兼任其他任何项目的项目经理（符合桂建管﹝2013﹞17号和桂建管﹝2014﹞25号文除外）。未经发包人书面同意，承包人擅自更换项目经理的视为违约，违约金处</w:t>
      </w:r>
      <w:r>
        <w:rPr>
          <w:rFonts w:hint="eastAsia" w:ascii="宋体" w:hAnsi="宋体"/>
          <w:color w:val="auto"/>
          <w:highlight w:val="none"/>
          <w:u w:val="single"/>
          <w:lang w:eastAsia="zh-CN"/>
        </w:rPr>
        <w:t>10000.00</w:t>
      </w:r>
      <w:r>
        <w:rPr>
          <w:rFonts w:ascii="宋体" w:hAnsi="宋体"/>
          <w:color w:val="auto"/>
          <w:highlight w:val="none"/>
          <w:u w:val="single"/>
          <w:lang w:eastAsia="zh-CN"/>
        </w:rPr>
        <w:t>元/人•次（人民币）</w:t>
      </w:r>
      <w:r>
        <w:rPr>
          <w:rFonts w:ascii="宋体" w:hAnsi="宋体"/>
          <w:color w:val="auto"/>
          <w:highlight w:val="none"/>
          <w:lang w:eastAsia="zh-CN"/>
        </w:rPr>
        <w:t>。</w:t>
      </w:r>
    </w:p>
    <w:p w14:paraId="17FA46F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3.2.4 承包人无正当理由拒绝更换项目经理的违约责任：</w:t>
      </w:r>
      <w:r>
        <w:rPr>
          <w:rFonts w:ascii="宋体" w:hAnsi="宋体"/>
          <w:color w:val="auto"/>
          <w:highlight w:val="none"/>
          <w:u w:val="single"/>
          <w:lang w:eastAsia="zh-CN"/>
        </w:rPr>
        <w:t>因承包人项目经理不称职，发包人要求调换而未及时调换的，视为承包人违约，必须向发包人交纳处罚金</w:t>
      </w:r>
      <w:r>
        <w:rPr>
          <w:rFonts w:hint="eastAsia" w:ascii="宋体" w:hAnsi="宋体"/>
          <w:color w:val="auto"/>
          <w:highlight w:val="none"/>
          <w:u w:val="single"/>
          <w:lang w:eastAsia="zh-CN"/>
        </w:rPr>
        <w:t>5000.00</w:t>
      </w:r>
      <w:r>
        <w:rPr>
          <w:rFonts w:ascii="宋体" w:hAnsi="宋体"/>
          <w:color w:val="auto"/>
          <w:highlight w:val="none"/>
          <w:u w:val="single"/>
          <w:lang w:eastAsia="zh-CN"/>
        </w:rPr>
        <w:t>元/人•次（人民币）</w:t>
      </w:r>
      <w:r>
        <w:rPr>
          <w:rFonts w:ascii="宋体" w:hAnsi="宋体"/>
          <w:color w:val="auto"/>
          <w:highlight w:val="none"/>
          <w:lang w:eastAsia="zh-CN"/>
        </w:rPr>
        <w:t>。</w:t>
      </w:r>
    </w:p>
    <w:p w14:paraId="7E509D02">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10" w:name="_Toc480967542"/>
      <w:bookmarkStart w:id="811" w:name="_Toc19178"/>
      <w:bookmarkStart w:id="812" w:name="_Toc10887"/>
      <w:r>
        <w:rPr>
          <w:rFonts w:hAnsi="宋体"/>
          <w:b/>
          <w:bCs/>
          <w:color w:val="auto"/>
          <w:kern w:val="44"/>
          <w:highlight w:val="none"/>
          <w:lang w:eastAsia="zh-CN"/>
        </w:rPr>
        <w:t>3.3 承包人人员</w:t>
      </w:r>
      <w:bookmarkEnd w:id="810"/>
      <w:bookmarkEnd w:id="811"/>
      <w:bookmarkEnd w:id="812"/>
    </w:p>
    <w:p w14:paraId="2D959D1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3.3.1 承包人提交项目管理机构及施工现场管理人员安排报告（格式见合同附件</w:t>
      </w:r>
      <w:r>
        <w:rPr>
          <w:rFonts w:hint="eastAsia" w:ascii="宋体" w:hAnsi="宋体"/>
          <w:color w:val="auto"/>
          <w:highlight w:val="none"/>
          <w:lang w:eastAsia="zh-CN"/>
        </w:rPr>
        <w:t>3</w:t>
      </w:r>
      <w:r>
        <w:rPr>
          <w:rFonts w:ascii="宋体" w:hAnsi="宋体"/>
          <w:color w:val="auto"/>
          <w:highlight w:val="none"/>
          <w:lang w:eastAsia="zh-CN"/>
        </w:rPr>
        <w:t>）的期限：</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合同签订后14天内 </w:t>
      </w:r>
      <w:r>
        <w:rPr>
          <w:rFonts w:ascii="宋体" w:hAnsi="宋体"/>
          <w:color w:val="auto"/>
          <w:highlight w:val="none"/>
          <w:lang w:eastAsia="zh-CN"/>
        </w:rPr>
        <w:t>。</w:t>
      </w:r>
    </w:p>
    <w:p w14:paraId="0B27757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3.3.3 承包人无正当理由拒绝撤换主要施工管理人员的违约责任：</w:t>
      </w:r>
      <w:r>
        <w:rPr>
          <w:rFonts w:hint="eastAsia" w:ascii="宋体" w:hAnsi="宋体"/>
          <w:color w:val="auto"/>
          <w:highlight w:val="none"/>
          <w:lang w:eastAsia="zh-CN"/>
        </w:rPr>
        <w:t xml:space="preserve"> </w:t>
      </w:r>
      <w:r>
        <w:rPr>
          <w:rFonts w:ascii="宋体" w:hAnsi="宋体"/>
          <w:color w:val="auto"/>
          <w:highlight w:val="none"/>
          <w:u w:val="single"/>
          <w:lang w:eastAsia="zh-CN"/>
        </w:rPr>
        <w:t>因承包人主要施工管理人员不称职，发包人要求调换而无正当理由拒绝撤换或未及时调换的，视为承包人违约，必须向发包人交纳处罚金，处罚标准：技术负责人</w:t>
      </w:r>
      <w:r>
        <w:rPr>
          <w:rFonts w:hint="eastAsia" w:ascii="宋体" w:hAnsi="宋体"/>
          <w:color w:val="auto"/>
          <w:highlight w:val="none"/>
          <w:u w:val="single"/>
          <w:lang w:eastAsia="zh-CN"/>
        </w:rPr>
        <w:t>5000</w:t>
      </w:r>
      <w:r>
        <w:rPr>
          <w:rFonts w:ascii="宋体" w:hAnsi="宋体"/>
          <w:color w:val="auto"/>
          <w:highlight w:val="none"/>
          <w:u w:val="single"/>
          <w:lang w:eastAsia="zh-CN"/>
        </w:rPr>
        <w:t>元/人•次（人民币）；专业工程师</w:t>
      </w:r>
      <w:r>
        <w:rPr>
          <w:rFonts w:hint="eastAsia" w:ascii="宋体" w:hAnsi="宋体"/>
          <w:color w:val="auto"/>
          <w:highlight w:val="none"/>
          <w:u w:val="single"/>
          <w:lang w:eastAsia="zh-CN"/>
        </w:rPr>
        <w:t>2000</w:t>
      </w:r>
      <w:r>
        <w:rPr>
          <w:rFonts w:ascii="宋体" w:hAnsi="宋体"/>
          <w:color w:val="auto"/>
          <w:highlight w:val="none"/>
          <w:u w:val="single"/>
          <w:lang w:eastAsia="zh-CN"/>
        </w:rPr>
        <w:t>元/人•次（人民币）</w:t>
      </w:r>
      <w:r>
        <w:rPr>
          <w:rFonts w:ascii="宋体" w:hAnsi="宋体"/>
          <w:color w:val="auto"/>
          <w:highlight w:val="none"/>
          <w:lang w:eastAsia="zh-CN"/>
        </w:rPr>
        <w:t>。</w:t>
      </w:r>
    </w:p>
    <w:p w14:paraId="1761492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3.3.4 承包人主要施工管理人员离开施工现场的批准要求：</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向发包人书面申请 </w:t>
      </w:r>
      <w:r>
        <w:rPr>
          <w:rFonts w:ascii="宋体" w:hAnsi="宋体"/>
          <w:color w:val="auto"/>
          <w:highlight w:val="none"/>
          <w:lang w:eastAsia="zh-CN"/>
        </w:rPr>
        <w:t>。</w:t>
      </w:r>
    </w:p>
    <w:p w14:paraId="6AAA084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3.3.5 承包人擅自更换主要施工管理人员的违约责任：</w:t>
      </w:r>
      <w:r>
        <w:rPr>
          <w:rFonts w:ascii="宋体" w:hAnsi="宋体"/>
          <w:color w:val="auto"/>
          <w:highlight w:val="none"/>
          <w:u w:val="single"/>
          <w:lang w:eastAsia="zh-CN"/>
        </w:rPr>
        <w:t>项目技术负责人、专职安全员及其承诺的其它在场管理人员未经发包人书面同意不准擅自更换，擅自更换项目技术负责人处</w:t>
      </w:r>
      <w:r>
        <w:rPr>
          <w:rFonts w:hint="eastAsia" w:ascii="宋体" w:hAnsi="宋体"/>
          <w:color w:val="auto"/>
          <w:highlight w:val="none"/>
          <w:u w:val="single"/>
          <w:lang w:eastAsia="zh-CN"/>
        </w:rPr>
        <w:t>2000</w:t>
      </w:r>
      <w:r>
        <w:rPr>
          <w:rFonts w:ascii="宋体" w:hAnsi="宋体"/>
          <w:color w:val="auto"/>
          <w:highlight w:val="none"/>
          <w:u w:val="single"/>
          <w:lang w:eastAsia="zh-CN"/>
        </w:rPr>
        <w:t>元/人•次（人民币）违约金；擅自更换专职安全员处</w:t>
      </w:r>
      <w:r>
        <w:rPr>
          <w:rFonts w:hint="eastAsia" w:ascii="宋体" w:hAnsi="宋体"/>
          <w:color w:val="auto"/>
          <w:highlight w:val="none"/>
          <w:u w:val="single"/>
          <w:lang w:eastAsia="zh-CN"/>
        </w:rPr>
        <w:t>3000</w:t>
      </w:r>
      <w:r>
        <w:rPr>
          <w:rFonts w:ascii="宋体" w:hAnsi="宋体"/>
          <w:color w:val="auto"/>
          <w:highlight w:val="none"/>
          <w:u w:val="single"/>
          <w:lang w:eastAsia="zh-CN"/>
        </w:rPr>
        <w:t>元/人•次（人民币）违约金；擅自更换其它在场管理人员处</w:t>
      </w:r>
      <w:r>
        <w:rPr>
          <w:rFonts w:hint="eastAsia" w:ascii="宋体" w:hAnsi="宋体"/>
          <w:color w:val="auto"/>
          <w:highlight w:val="none"/>
          <w:u w:val="single"/>
          <w:lang w:eastAsia="zh-CN"/>
        </w:rPr>
        <w:t>2000</w:t>
      </w:r>
      <w:r>
        <w:rPr>
          <w:rFonts w:ascii="宋体" w:hAnsi="宋体"/>
          <w:color w:val="auto"/>
          <w:highlight w:val="none"/>
          <w:u w:val="single"/>
          <w:lang w:eastAsia="zh-CN"/>
        </w:rPr>
        <w:t>元/人•次（人民币）违约金</w:t>
      </w:r>
      <w:r>
        <w:rPr>
          <w:rFonts w:ascii="宋体" w:hAnsi="宋体"/>
          <w:color w:val="auto"/>
          <w:highlight w:val="none"/>
          <w:lang w:eastAsia="zh-CN"/>
        </w:rPr>
        <w:t>。</w:t>
      </w:r>
    </w:p>
    <w:p w14:paraId="5213EDB9">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承包人主要施工管理人员擅自离开施工现场的违约责任：</w:t>
      </w:r>
      <w:r>
        <w:rPr>
          <w:rFonts w:ascii="宋体" w:hAnsi="宋体"/>
          <w:color w:val="auto"/>
          <w:highlight w:val="none"/>
          <w:u w:val="single"/>
          <w:lang w:eastAsia="zh-CN"/>
        </w:rPr>
        <w:t>未经发包人同意，项目技术负责人擅自离岗的，视为承包人违约，发包人有权处违约金</w:t>
      </w:r>
      <w:r>
        <w:rPr>
          <w:rFonts w:hint="eastAsia" w:ascii="宋体" w:hAnsi="宋体"/>
          <w:color w:val="auto"/>
          <w:highlight w:val="none"/>
          <w:u w:val="single"/>
          <w:lang w:eastAsia="zh-CN"/>
        </w:rPr>
        <w:t>2000</w:t>
      </w:r>
      <w:r>
        <w:rPr>
          <w:rFonts w:ascii="宋体" w:hAnsi="宋体"/>
          <w:color w:val="auto"/>
          <w:highlight w:val="none"/>
          <w:u w:val="single"/>
          <w:lang w:eastAsia="zh-CN"/>
        </w:rPr>
        <w:t>元/人•次（人民币）；未经发包人同意，专职安全员擅自离岗的，视为承包人违约，发包人有权处违约金</w:t>
      </w:r>
      <w:r>
        <w:rPr>
          <w:rFonts w:hint="eastAsia" w:ascii="宋体" w:hAnsi="宋体"/>
          <w:color w:val="auto"/>
          <w:highlight w:val="none"/>
          <w:u w:val="single"/>
          <w:lang w:eastAsia="zh-CN"/>
        </w:rPr>
        <w:t>1000</w:t>
      </w:r>
      <w:r>
        <w:rPr>
          <w:rFonts w:ascii="宋体" w:hAnsi="宋体"/>
          <w:color w:val="auto"/>
          <w:highlight w:val="none"/>
          <w:u w:val="single"/>
          <w:lang w:eastAsia="zh-CN"/>
        </w:rPr>
        <w:t>元/人•次（人民币）；其它在场管理人员擅自离岗的，视为承包人违约，发包人有权处违约金</w:t>
      </w:r>
      <w:r>
        <w:rPr>
          <w:rFonts w:hint="eastAsia" w:ascii="宋体" w:hAnsi="宋体"/>
          <w:color w:val="auto"/>
          <w:highlight w:val="none"/>
          <w:u w:val="single"/>
          <w:lang w:eastAsia="zh-CN"/>
        </w:rPr>
        <w:t>500</w:t>
      </w:r>
      <w:r>
        <w:rPr>
          <w:rFonts w:ascii="宋体" w:hAnsi="宋体"/>
          <w:color w:val="auto"/>
          <w:highlight w:val="none"/>
          <w:u w:val="single"/>
          <w:lang w:eastAsia="zh-CN"/>
        </w:rPr>
        <w:t>元/人•次（人民币）</w:t>
      </w:r>
      <w:r>
        <w:rPr>
          <w:rFonts w:ascii="宋体" w:hAnsi="宋体"/>
          <w:color w:val="auto"/>
          <w:highlight w:val="none"/>
          <w:lang w:eastAsia="zh-CN"/>
        </w:rPr>
        <w:t>。</w:t>
      </w:r>
      <w:bookmarkStart w:id="813" w:name="_Toc20371"/>
    </w:p>
    <w:p w14:paraId="5777B784">
      <w:pPr>
        <w:pageBreakBefore w:val="0"/>
        <w:kinsoku/>
        <w:wordWrap/>
        <w:overflowPunct/>
        <w:topLinePunct w:val="0"/>
        <w:autoSpaceDE/>
        <w:autoSpaceDN/>
        <w:bidi w:val="0"/>
        <w:adjustRightInd/>
        <w:snapToGrid/>
        <w:spacing w:line="360" w:lineRule="auto"/>
        <w:ind w:firstLine="422" w:firstLineChars="200"/>
        <w:textAlignment w:val="auto"/>
        <w:rPr>
          <w:rFonts w:ascii="宋体" w:hAnsi="宋体"/>
          <w:b/>
          <w:bCs/>
          <w:color w:val="auto"/>
          <w:highlight w:val="none"/>
          <w:lang w:eastAsia="zh-CN"/>
        </w:rPr>
      </w:pPr>
      <w:r>
        <w:rPr>
          <w:rFonts w:ascii="宋体" w:hAnsi="宋体"/>
          <w:b/>
          <w:bCs/>
          <w:color w:val="auto"/>
          <w:highlight w:val="none"/>
          <w:lang w:eastAsia="zh-CN"/>
        </w:rPr>
        <w:t>3.6 工程照管与成品、半成品保护</w:t>
      </w:r>
      <w:bookmarkEnd w:id="813"/>
    </w:p>
    <w:p w14:paraId="6880742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承包人负责照管工程及工程相关的材料、工程设备的起始时间：</w:t>
      </w:r>
      <w:r>
        <w:rPr>
          <w:rFonts w:hint="eastAsia" w:ascii="宋体" w:hAnsi="宋体"/>
          <w:color w:val="auto"/>
          <w:highlight w:val="none"/>
          <w:u w:val="single"/>
          <w:lang w:eastAsia="zh-CN"/>
        </w:rPr>
        <w:t xml:space="preserve">按通用条款 </w:t>
      </w:r>
      <w:r>
        <w:rPr>
          <w:rFonts w:ascii="宋体" w:hAnsi="宋体"/>
          <w:color w:val="auto"/>
          <w:highlight w:val="none"/>
          <w:lang w:eastAsia="zh-CN"/>
        </w:rPr>
        <w:t>。</w:t>
      </w:r>
    </w:p>
    <w:p w14:paraId="05A2C3EA">
      <w:pPr>
        <w:pageBreakBefore w:val="0"/>
        <w:kinsoku/>
        <w:wordWrap/>
        <w:overflowPunct/>
        <w:topLinePunct w:val="0"/>
        <w:autoSpaceDE/>
        <w:autoSpaceDN/>
        <w:bidi w:val="0"/>
        <w:adjustRightInd/>
        <w:snapToGrid/>
        <w:spacing w:line="360" w:lineRule="auto"/>
        <w:ind w:firstLine="422" w:firstLineChars="200"/>
        <w:textAlignment w:val="auto"/>
        <w:rPr>
          <w:rFonts w:hint="eastAsia" w:ascii="宋体" w:hAnsi="宋体"/>
          <w:b/>
          <w:bCs/>
          <w:color w:val="auto"/>
          <w:highlight w:val="none"/>
          <w:lang w:eastAsia="zh-CN"/>
        </w:rPr>
      </w:pPr>
      <w:bookmarkStart w:id="814" w:name="_Toc23566"/>
      <w:bookmarkStart w:id="815" w:name="_Toc480967543"/>
      <w:r>
        <w:rPr>
          <w:rFonts w:ascii="宋体" w:hAnsi="宋体"/>
          <w:b/>
          <w:bCs/>
          <w:color w:val="auto"/>
          <w:highlight w:val="none"/>
          <w:lang w:eastAsia="zh-CN"/>
        </w:rPr>
        <w:t>3.7 履约</w:t>
      </w:r>
      <w:bookmarkEnd w:id="814"/>
      <w:r>
        <w:rPr>
          <w:rFonts w:hint="eastAsia" w:ascii="宋体" w:hAnsi="宋体"/>
          <w:b/>
          <w:bCs/>
          <w:color w:val="auto"/>
          <w:highlight w:val="none"/>
          <w:lang w:eastAsia="zh-CN"/>
        </w:rPr>
        <w:t>担保</w:t>
      </w:r>
      <w:bookmarkEnd w:id="815"/>
      <w:bookmarkStart w:id="816" w:name="_Toc480967544"/>
    </w:p>
    <w:p w14:paraId="29A41F61">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highlight w:val="none"/>
          <w:lang w:eastAsia="zh-CN"/>
        </w:rPr>
      </w:pPr>
      <w:r>
        <w:rPr>
          <w:rFonts w:hint="eastAsia" w:hAnsi="宋体"/>
          <w:color w:val="auto"/>
          <w:kern w:val="44"/>
          <w:highlight w:val="none"/>
          <w:lang w:eastAsia="zh-CN"/>
        </w:rPr>
        <w:t>承包人是否提供履约担保：</w:t>
      </w:r>
      <w:r>
        <w:rPr>
          <w:rFonts w:hint="eastAsia" w:hAnsi="宋体"/>
          <w:color w:val="auto"/>
          <w:kern w:val="44"/>
          <w:highlight w:val="none"/>
          <w:u w:val="single"/>
          <w:lang w:eastAsia="zh-CN"/>
        </w:rPr>
        <w:t xml:space="preserve">      否         </w:t>
      </w:r>
      <w:r>
        <w:rPr>
          <w:rFonts w:hint="eastAsia" w:hAnsi="宋体"/>
          <w:color w:val="auto"/>
          <w:kern w:val="44"/>
          <w:highlight w:val="none"/>
          <w:lang w:eastAsia="zh-CN"/>
        </w:rPr>
        <w:t>。</w:t>
      </w:r>
      <w:bookmarkEnd w:id="816"/>
    </w:p>
    <w:p w14:paraId="4EEB61F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17" w:name="_Toc480967545"/>
      <w:bookmarkStart w:id="818" w:name="_Toc1873"/>
      <w:bookmarkStart w:id="819" w:name="_Toc12281"/>
      <w:r>
        <w:rPr>
          <w:rFonts w:hAnsi="宋体"/>
          <w:b/>
          <w:bCs/>
          <w:color w:val="auto"/>
          <w:kern w:val="44"/>
          <w:highlight w:val="none"/>
          <w:lang w:eastAsia="zh-CN"/>
        </w:rPr>
        <w:t>4. 监理人</w:t>
      </w:r>
      <w:bookmarkEnd w:id="817"/>
      <w:bookmarkEnd w:id="818"/>
      <w:bookmarkEnd w:id="819"/>
    </w:p>
    <w:p w14:paraId="28DAC13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20" w:name="_Toc480967546"/>
      <w:bookmarkStart w:id="821" w:name="_Toc23705"/>
      <w:bookmarkStart w:id="822" w:name="_Toc5570"/>
      <w:r>
        <w:rPr>
          <w:rFonts w:hAnsi="宋体"/>
          <w:b/>
          <w:bCs/>
          <w:color w:val="auto"/>
          <w:kern w:val="44"/>
          <w:highlight w:val="none"/>
          <w:lang w:eastAsia="zh-CN"/>
        </w:rPr>
        <w:t>4.1监理人的一般规定</w:t>
      </w:r>
      <w:bookmarkEnd w:id="820"/>
      <w:bookmarkEnd w:id="821"/>
      <w:bookmarkEnd w:id="822"/>
    </w:p>
    <w:p w14:paraId="53FECEF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关于监理人的监理内容：</w:t>
      </w:r>
      <w:r>
        <w:rPr>
          <w:rFonts w:hint="eastAsia" w:ascii="宋体" w:hAnsi="宋体"/>
          <w:color w:val="auto"/>
          <w:highlight w:val="none"/>
          <w:u w:val="single"/>
          <w:lang w:eastAsia="zh-CN"/>
        </w:rPr>
        <w:t xml:space="preserve"> 详见监理合同   </w:t>
      </w:r>
      <w:r>
        <w:rPr>
          <w:rFonts w:ascii="宋体" w:hAnsi="宋体"/>
          <w:color w:val="auto"/>
          <w:highlight w:val="none"/>
          <w:lang w:eastAsia="zh-CN"/>
        </w:rPr>
        <w:t>。</w:t>
      </w:r>
    </w:p>
    <w:p w14:paraId="17A5E9F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关于监理人的监理权限：</w:t>
      </w:r>
      <w:r>
        <w:rPr>
          <w:rFonts w:hint="eastAsia" w:ascii="宋体" w:hAnsi="宋体"/>
          <w:color w:val="auto"/>
          <w:highlight w:val="none"/>
          <w:u w:val="single"/>
          <w:lang w:eastAsia="zh-CN"/>
        </w:rPr>
        <w:t xml:space="preserve">详见监理合同   </w:t>
      </w:r>
      <w:r>
        <w:rPr>
          <w:rFonts w:ascii="宋体" w:hAnsi="宋体"/>
          <w:color w:val="auto"/>
          <w:highlight w:val="none"/>
          <w:lang w:eastAsia="zh-CN"/>
        </w:rPr>
        <w:t xml:space="preserve"> </w:t>
      </w:r>
      <w:r>
        <w:rPr>
          <w:rFonts w:hint="eastAsia" w:ascii="宋体" w:hAnsi="宋体"/>
          <w:color w:val="auto"/>
          <w:highlight w:val="none"/>
          <w:lang w:eastAsia="zh-CN"/>
        </w:rPr>
        <w:t>。</w:t>
      </w:r>
    </w:p>
    <w:p w14:paraId="1EC5326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关于监理人在施工现场的办公场所、生活场所的提供和费用承担的约定：</w:t>
      </w:r>
      <w:r>
        <w:rPr>
          <w:rFonts w:hint="eastAsia" w:ascii="宋体" w:hAnsi="宋体"/>
          <w:color w:val="auto"/>
          <w:highlight w:val="none"/>
          <w:u w:val="single"/>
          <w:lang w:eastAsia="zh-CN"/>
        </w:rPr>
        <w:t>承包人提供并承担费用</w:t>
      </w:r>
      <w:r>
        <w:rPr>
          <w:rFonts w:ascii="宋体" w:hAnsi="宋体"/>
          <w:color w:val="auto"/>
          <w:highlight w:val="none"/>
          <w:lang w:eastAsia="zh-CN"/>
        </w:rPr>
        <w:t>。</w:t>
      </w:r>
    </w:p>
    <w:p w14:paraId="5597FD12">
      <w:pPr>
        <w:keepNext/>
        <w:keepLines/>
        <w:pageBreakBefore w:val="0"/>
        <w:kinsoku/>
        <w:wordWrap/>
        <w:overflowPunct/>
        <w:topLinePunct w:val="0"/>
        <w:autoSpaceDE/>
        <w:autoSpaceDN/>
        <w:bidi w:val="0"/>
        <w:adjustRightInd/>
        <w:snapToGrid/>
        <w:spacing w:line="360" w:lineRule="auto"/>
        <w:textAlignment w:val="auto"/>
        <w:outlineLvl w:val="1"/>
        <w:rPr>
          <w:rFonts w:hint="eastAsia" w:hAnsi="宋体"/>
          <w:b/>
          <w:bCs/>
          <w:color w:val="auto"/>
          <w:kern w:val="44"/>
          <w:highlight w:val="none"/>
          <w:lang w:eastAsia="zh-CN"/>
        </w:rPr>
      </w:pPr>
      <w:bookmarkStart w:id="823" w:name="_Toc30254"/>
      <w:bookmarkStart w:id="824" w:name="_Toc24645"/>
      <w:bookmarkStart w:id="825" w:name="_Toc480967547"/>
      <w:r>
        <w:rPr>
          <w:rFonts w:hAnsi="宋体"/>
          <w:b/>
          <w:bCs/>
          <w:color w:val="auto"/>
          <w:kern w:val="44"/>
          <w:highlight w:val="none"/>
          <w:lang w:eastAsia="zh-CN"/>
        </w:rPr>
        <w:t>4.2 监理人员</w:t>
      </w:r>
      <w:bookmarkEnd w:id="823"/>
      <w:bookmarkEnd w:id="824"/>
      <w:bookmarkEnd w:id="825"/>
    </w:p>
    <w:p w14:paraId="16B01A7A">
      <w:pPr>
        <w:pStyle w:val="13"/>
        <w:pageBreakBefore w:val="0"/>
        <w:kinsoku/>
        <w:wordWrap/>
        <w:overflowPunct/>
        <w:topLinePunct w:val="0"/>
        <w:autoSpaceDE/>
        <w:autoSpaceDN/>
        <w:bidi w:val="0"/>
        <w:adjustRightInd/>
        <w:snapToGrid/>
        <w:spacing w:after="0" w:line="360" w:lineRule="auto"/>
        <w:ind w:left="63" w:right="63"/>
        <w:jc w:val="both"/>
        <w:textAlignment w:val="auto"/>
        <w:rPr>
          <w:rFonts w:hint="eastAsia"/>
          <w:color w:val="auto"/>
          <w:highlight w:val="none"/>
        </w:rPr>
      </w:pPr>
      <w:r>
        <w:rPr>
          <w:rFonts w:hint="eastAsia"/>
          <w:color w:val="auto"/>
          <w:highlight w:val="none"/>
        </w:rPr>
        <w:t xml:space="preserve">   总监理工程师：</w:t>
      </w:r>
    </w:p>
    <w:p w14:paraId="2A2D5590">
      <w:pPr>
        <w:pStyle w:val="13"/>
        <w:pageBreakBefore w:val="0"/>
        <w:kinsoku/>
        <w:wordWrap/>
        <w:overflowPunct/>
        <w:topLinePunct w:val="0"/>
        <w:autoSpaceDE/>
        <w:autoSpaceDN/>
        <w:bidi w:val="0"/>
        <w:adjustRightInd/>
        <w:snapToGrid/>
        <w:spacing w:after="0" w:line="360" w:lineRule="auto"/>
        <w:ind w:left="63" w:right="63"/>
        <w:jc w:val="both"/>
        <w:textAlignment w:val="auto"/>
        <w:rPr>
          <w:rFonts w:hint="eastAsia"/>
          <w:color w:val="auto"/>
          <w:highlight w:val="none"/>
        </w:rPr>
      </w:pPr>
      <w:r>
        <w:rPr>
          <w:rFonts w:hint="eastAsia"/>
          <w:color w:val="auto"/>
          <w:highlight w:val="none"/>
        </w:rPr>
        <w:t xml:space="preserve">   姓     名：</w:t>
      </w:r>
      <w:r>
        <w:rPr>
          <w:rFonts w:hint="eastAsia"/>
          <w:color w:val="auto"/>
          <w:szCs w:val="21"/>
          <w:highlight w:val="none"/>
          <w:u w:val="single"/>
        </w:rPr>
        <w:t xml:space="preserve">    </w:t>
      </w:r>
      <w:r>
        <w:rPr>
          <w:rFonts w:hint="eastAsia" w:ascii="新宋体" w:hAnsi="新宋体" w:eastAsia="新宋体" w:cs="新宋体"/>
          <w:color w:val="auto"/>
          <w:spacing w:val="7"/>
          <w:szCs w:val="21"/>
          <w:highlight w:val="none"/>
          <w:u w:val="single"/>
        </w:rPr>
        <w:t>(成交后填写)</w:t>
      </w:r>
      <w:r>
        <w:rPr>
          <w:rFonts w:hint="eastAsia"/>
          <w:color w:val="auto"/>
          <w:szCs w:val="21"/>
          <w:highlight w:val="none"/>
          <w:u w:val="single"/>
        </w:rPr>
        <w:t xml:space="preserve">             </w:t>
      </w:r>
    </w:p>
    <w:p w14:paraId="6AE2737A">
      <w:pPr>
        <w:pStyle w:val="13"/>
        <w:pageBreakBefore w:val="0"/>
        <w:kinsoku/>
        <w:wordWrap/>
        <w:overflowPunct/>
        <w:topLinePunct w:val="0"/>
        <w:autoSpaceDE/>
        <w:autoSpaceDN/>
        <w:bidi w:val="0"/>
        <w:adjustRightInd/>
        <w:snapToGrid/>
        <w:spacing w:after="0" w:line="360" w:lineRule="auto"/>
        <w:ind w:left="63" w:right="63"/>
        <w:jc w:val="both"/>
        <w:textAlignment w:val="auto"/>
        <w:rPr>
          <w:color w:val="auto"/>
          <w:highlight w:val="none"/>
        </w:rPr>
      </w:pPr>
      <w:r>
        <w:rPr>
          <w:rFonts w:hint="eastAsia"/>
          <w:color w:val="auto"/>
          <w:highlight w:val="none"/>
        </w:rPr>
        <w:t xml:space="preserve">   职     务：</w:t>
      </w:r>
      <w:r>
        <w:rPr>
          <w:rFonts w:hint="eastAsia"/>
          <w:color w:val="auto"/>
          <w:highlight w:val="none"/>
          <w:u w:val="single"/>
        </w:rPr>
        <w:t xml:space="preserve">总监理工程师     </w:t>
      </w:r>
    </w:p>
    <w:p w14:paraId="3B2727A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hint="eastAsia" w:ascii="宋体" w:hAnsi="宋体"/>
          <w:color w:val="auto"/>
          <w:highlight w:val="none"/>
          <w:lang w:eastAsia="zh-CN"/>
        </w:rPr>
        <w:t>监理</w:t>
      </w:r>
      <w:r>
        <w:rPr>
          <w:rFonts w:ascii="宋体" w:hAnsi="宋体"/>
          <w:color w:val="auto"/>
          <w:highlight w:val="none"/>
          <w:lang w:eastAsia="zh-CN"/>
        </w:rPr>
        <w:t>工程师执业资格证书号：</w:t>
      </w:r>
      <w:r>
        <w:rPr>
          <w:rFonts w:hint="eastAsia"/>
          <w:color w:val="auto"/>
          <w:sz w:val="22"/>
          <w:szCs w:val="20"/>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color w:val="auto"/>
          <w:sz w:val="22"/>
          <w:szCs w:val="20"/>
          <w:highlight w:val="none"/>
          <w:u w:val="single"/>
          <w:lang w:eastAsia="zh-CN"/>
        </w:rPr>
        <w:t xml:space="preserve">     </w:t>
      </w:r>
      <w:r>
        <w:rPr>
          <w:color w:val="auto"/>
          <w:sz w:val="22"/>
          <w:szCs w:val="20"/>
          <w:highlight w:val="none"/>
          <w:u w:val="single"/>
          <w:lang w:eastAsia="zh-CN"/>
        </w:rPr>
        <w:t>；</w:t>
      </w:r>
    </w:p>
    <w:p w14:paraId="409CEE4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联系电话：</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7D92B30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电子信箱：</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41C2186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通信地址：</w:t>
      </w:r>
      <w:r>
        <w:rPr>
          <w:rFonts w:hint="eastAsia" w:ascii="宋体" w:hAnsi="宋体"/>
          <w:color w:val="auto"/>
          <w:highlight w:val="none"/>
          <w:u w:val="single"/>
          <w:lang w:eastAsia="zh-CN"/>
        </w:rPr>
        <w:t xml:space="preserve"> </w:t>
      </w:r>
      <w:r>
        <w:rPr>
          <w:rFonts w:hint="eastAsia" w:ascii="新宋体" w:hAnsi="新宋体" w:eastAsia="新宋体" w:cs="新宋体"/>
          <w:color w:val="auto"/>
          <w:spacing w:val="7"/>
          <w:szCs w:val="21"/>
          <w:highlight w:val="none"/>
          <w:u w:val="single"/>
        </w:rPr>
        <w:t>(成交后填写)</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0DAE11D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关于监理人的其他约定：</w:t>
      </w:r>
      <w:r>
        <w:rPr>
          <w:rFonts w:hint="eastAsia" w:ascii="宋体" w:hAnsi="宋体"/>
          <w:color w:val="auto"/>
          <w:highlight w:val="none"/>
          <w:u w:val="single"/>
          <w:lang w:eastAsia="zh-CN"/>
        </w:rPr>
        <w:t xml:space="preserve">  详见监理合同  </w:t>
      </w:r>
      <w:r>
        <w:rPr>
          <w:rFonts w:ascii="宋体" w:hAnsi="宋体"/>
          <w:color w:val="auto"/>
          <w:highlight w:val="none"/>
          <w:lang w:eastAsia="zh-CN"/>
        </w:rPr>
        <w:t>。</w:t>
      </w:r>
    </w:p>
    <w:p w14:paraId="686208C1">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26" w:name="_Toc480967548"/>
      <w:bookmarkStart w:id="827" w:name="_Toc28808"/>
      <w:bookmarkStart w:id="828" w:name="_Toc28065"/>
      <w:r>
        <w:rPr>
          <w:rFonts w:hAnsi="宋体"/>
          <w:b/>
          <w:bCs/>
          <w:color w:val="auto"/>
          <w:kern w:val="44"/>
          <w:highlight w:val="none"/>
          <w:lang w:eastAsia="zh-CN"/>
        </w:rPr>
        <w:t>4.4 商定或确定</w:t>
      </w:r>
      <w:bookmarkEnd w:id="826"/>
      <w:bookmarkEnd w:id="827"/>
      <w:bookmarkEnd w:id="828"/>
    </w:p>
    <w:p w14:paraId="379AFF1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在发包人和承包人不能通过协商达成一致意见时，发包人授权监理人对以下事项进行确定：</w:t>
      </w:r>
    </w:p>
    <w:p w14:paraId="69DEF488">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olor w:val="auto"/>
          <w:sz w:val="22"/>
          <w:highlight w:val="none"/>
          <w:lang w:eastAsia="zh-CN"/>
        </w:rPr>
      </w:pPr>
      <w:r>
        <w:rPr>
          <w:rFonts w:hint="eastAsia" w:ascii="宋体" w:hAnsi="宋体"/>
          <w:color w:val="auto"/>
          <w:sz w:val="22"/>
          <w:highlight w:val="none"/>
          <w:lang w:eastAsia="zh-CN"/>
        </w:rPr>
        <w:t xml:space="preserve">  </w:t>
      </w:r>
      <w:r>
        <w:rPr>
          <w:rFonts w:hint="eastAsia" w:ascii="宋体" w:hAnsi="宋体"/>
          <w:color w:val="auto"/>
          <w:highlight w:val="none"/>
          <w:u w:val="single"/>
          <w:lang w:eastAsia="zh-CN"/>
        </w:rPr>
        <w:t xml:space="preserve">详见监理合同  </w:t>
      </w:r>
      <w:r>
        <w:rPr>
          <w:rFonts w:ascii="宋体" w:hAnsi="宋体"/>
          <w:color w:val="auto"/>
          <w:highlight w:val="none"/>
          <w:lang w:eastAsia="zh-CN"/>
        </w:rPr>
        <w:t>。</w:t>
      </w:r>
    </w:p>
    <w:p w14:paraId="4F2F1E0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29" w:name="_Toc18774"/>
      <w:bookmarkStart w:id="830" w:name="_Toc1560"/>
      <w:bookmarkStart w:id="831" w:name="_Toc480967549"/>
      <w:r>
        <w:rPr>
          <w:rFonts w:hAnsi="宋体"/>
          <w:b/>
          <w:bCs/>
          <w:color w:val="auto"/>
          <w:kern w:val="44"/>
          <w:highlight w:val="none"/>
          <w:lang w:eastAsia="zh-CN"/>
        </w:rPr>
        <w:t>5. 工程质量</w:t>
      </w:r>
      <w:bookmarkEnd w:id="829"/>
      <w:bookmarkEnd w:id="830"/>
      <w:bookmarkEnd w:id="831"/>
    </w:p>
    <w:p w14:paraId="0906A163">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32" w:name="_Toc480967550"/>
      <w:bookmarkStart w:id="833" w:name="_Toc2935"/>
      <w:bookmarkStart w:id="834" w:name="_Toc27088"/>
      <w:r>
        <w:rPr>
          <w:rFonts w:hAnsi="宋体"/>
          <w:b/>
          <w:bCs/>
          <w:color w:val="auto"/>
          <w:kern w:val="44"/>
          <w:highlight w:val="none"/>
          <w:lang w:eastAsia="zh-CN"/>
        </w:rPr>
        <w:t>5.1 质量要求</w:t>
      </w:r>
      <w:bookmarkEnd w:id="832"/>
      <w:bookmarkEnd w:id="833"/>
      <w:bookmarkEnd w:id="834"/>
    </w:p>
    <w:p w14:paraId="6C39384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5.1.1 特殊质量标准和要求：</w:t>
      </w:r>
      <w:r>
        <w:rPr>
          <w:rFonts w:hint="eastAsia" w:ascii="宋体" w:hAnsi="宋体"/>
          <w:color w:val="auto"/>
          <w:highlight w:val="none"/>
          <w:u w:val="single"/>
          <w:lang w:eastAsia="zh-CN"/>
        </w:rPr>
        <w:t xml:space="preserve">按国家规定  </w:t>
      </w:r>
      <w:r>
        <w:rPr>
          <w:rFonts w:ascii="宋体" w:hAnsi="宋体"/>
          <w:color w:val="auto"/>
          <w:highlight w:val="none"/>
          <w:lang w:eastAsia="zh-CN"/>
        </w:rPr>
        <w:t>。</w:t>
      </w:r>
    </w:p>
    <w:p w14:paraId="7C02487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关于工程奖项的约定：</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无  </w:t>
      </w:r>
      <w:r>
        <w:rPr>
          <w:rFonts w:ascii="宋体" w:hAnsi="宋体"/>
          <w:color w:val="auto"/>
          <w:highlight w:val="none"/>
          <w:lang w:eastAsia="zh-CN"/>
        </w:rPr>
        <w:t>。</w:t>
      </w:r>
    </w:p>
    <w:p w14:paraId="7A3E4C43">
      <w:pPr>
        <w:keepNext/>
        <w:keepLines/>
        <w:pageBreakBefore w:val="0"/>
        <w:kinsoku/>
        <w:wordWrap/>
        <w:overflowPunct/>
        <w:topLinePunct w:val="0"/>
        <w:autoSpaceDE/>
        <w:autoSpaceDN/>
        <w:bidi w:val="0"/>
        <w:adjustRightInd/>
        <w:snapToGrid/>
        <w:spacing w:line="360" w:lineRule="auto"/>
        <w:textAlignment w:val="auto"/>
        <w:outlineLvl w:val="1"/>
        <w:rPr>
          <w:rFonts w:hAnsi="宋体"/>
          <w:color w:val="auto"/>
          <w:kern w:val="44"/>
          <w:highlight w:val="none"/>
          <w:lang w:eastAsia="zh-CN"/>
        </w:rPr>
      </w:pPr>
      <w:bookmarkStart w:id="835" w:name="_Toc13062"/>
      <w:bookmarkStart w:id="836" w:name="_Toc11032"/>
      <w:bookmarkStart w:id="837" w:name="_Toc480967551"/>
      <w:r>
        <w:rPr>
          <w:rFonts w:hAnsi="宋体"/>
          <w:b/>
          <w:bCs/>
          <w:color w:val="auto"/>
          <w:kern w:val="44"/>
          <w:highlight w:val="none"/>
          <w:lang w:eastAsia="zh-CN"/>
        </w:rPr>
        <w:t>5.3 隐蔽工程检查</w:t>
      </w:r>
      <w:bookmarkEnd w:id="835"/>
      <w:bookmarkEnd w:id="836"/>
      <w:bookmarkEnd w:id="837"/>
    </w:p>
    <w:p w14:paraId="475B409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5.3.2承包人提前通知监理人隐蔽工程检查的期限的约定：</w:t>
      </w:r>
      <w:r>
        <w:rPr>
          <w:rFonts w:hint="eastAsia" w:ascii="宋体" w:hAnsi="宋体"/>
          <w:color w:val="auto"/>
          <w:highlight w:val="none"/>
          <w:u w:val="single"/>
          <w:lang w:eastAsia="zh-CN"/>
        </w:rPr>
        <w:t>工程隐蔽或中间验收前12小时以书面形式通知发包人和监理工程师验收的内容、时间、地点，承包人准备验收记录单（最好是印制的表格）由双方签证。验收合格，承包人可进行隐蔽和继续施工；验收不合格，双方商订时限内修改后按上述顺序重新验收</w:t>
      </w:r>
      <w:r>
        <w:rPr>
          <w:rFonts w:ascii="宋体" w:hAnsi="宋体"/>
          <w:color w:val="auto"/>
          <w:highlight w:val="none"/>
          <w:u w:val="single"/>
          <w:lang w:eastAsia="zh-CN"/>
        </w:rPr>
        <w:t>。</w:t>
      </w:r>
    </w:p>
    <w:p w14:paraId="5D4D81B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监理人不能按时进行检查时，应提前</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24</w:t>
      </w:r>
      <w:r>
        <w:rPr>
          <w:rFonts w:ascii="宋体" w:hAnsi="宋体"/>
          <w:color w:val="auto"/>
          <w:highlight w:val="none"/>
          <w:lang w:eastAsia="zh-CN"/>
        </w:rPr>
        <w:t>小时提交书面延期要求。</w:t>
      </w:r>
    </w:p>
    <w:p w14:paraId="4660BC2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关于延期最长不得超过：</w:t>
      </w:r>
      <w:r>
        <w:rPr>
          <w:rFonts w:hint="eastAsia" w:ascii="宋体" w:hAnsi="宋体"/>
          <w:color w:val="auto"/>
          <w:highlight w:val="none"/>
          <w:u w:val="single"/>
          <w:lang w:eastAsia="zh-CN"/>
        </w:rPr>
        <w:t>48</w:t>
      </w:r>
      <w:r>
        <w:rPr>
          <w:rFonts w:ascii="宋体" w:hAnsi="宋体"/>
          <w:color w:val="auto"/>
          <w:highlight w:val="none"/>
          <w:u w:val="single"/>
          <w:lang w:eastAsia="zh-CN"/>
        </w:rPr>
        <w:t xml:space="preserve"> </w:t>
      </w:r>
      <w:r>
        <w:rPr>
          <w:rFonts w:ascii="宋体" w:hAnsi="宋体"/>
          <w:color w:val="auto"/>
          <w:highlight w:val="none"/>
          <w:lang w:eastAsia="zh-CN"/>
        </w:rPr>
        <w:t>小时。</w:t>
      </w:r>
    </w:p>
    <w:p w14:paraId="6F693B61">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38" w:name="_Toc26996"/>
      <w:bookmarkStart w:id="839" w:name="_Toc21729"/>
      <w:bookmarkStart w:id="840" w:name="_Toc480967552"/>
      <w:r>
        <w:rPr>
          <w:rFonts w:hAnsi="宋体"/>
          <w:b/>
          <w:bCs/>
          <w:color w:val="auto"/>
          <w:kern w:val="44"/>
          <w:highlight w:val="none"/>
          <w:lang w:eastAsia="zh-CN"/>
        </w:rPr>
        <w:t>6. 安全文明施工与环境保护</w:t>
      </w:r>
      <w:bookmarkEnd w:id="838"/>
      <w:bookmarkEnd w:id="839"/>
      <w:bookmarkEnd w:id="840"/>
    </w:p>
    <w:p w14:paraId="38D5514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41" w:name="_Toc13784"/>
      <w:bookmarkStart w:id="842" w:name="_Toc480967553"/>
      <w:bookmarkStart w:id="843" w:name="_Toc6659"/>
      <w:r>
        <w:rPr>
          <w:rFonts w:hAnsi="宋体"/>
          <w:b/>
          <w:bCs/>
          <w:color w:val="auto"/>
          <w:kern w:val="44"/>
          <w:highlight w:val="none"/>
          <w:lang w:eastAsia="zh-CN"/>
        </w:rPr>
        <w:t>6.1安全文明施工</w:t>
      </w:r>
      <w:bookmarkEnd w:id="841"/>
      <w:bookmarkEnd w:id="842"/>
      <w:bookmarkEnd w:id="843"/>
    </w:p>
    <w:p w14:paraId="25CC1F1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6.1.1 项目安全生产的达标目标及相应事项的约定：</w:t>
      </w:r>
      <w:r>
        <w:rPr>
          <w:rFonts w:hint="eastAsia" w:ascii="宋体" w:hAnsi="宋体"/>
          <w:color w:val="auto"/>
          <w:highlight w:val="none"/>
          <w:u w:val="single"/>
          <w:lang w:eastAsia="zh-CN"/>
        </w:rPr>
        <w:t>按国家及其地方安全文明施工的有关规定</w:t>
      </w:r>
      <w:r>
        <w:rPr>
          <w:rFonts w:ascii="宋体" w:hAnsi="宋体"/>
          <w:color w:val="auto"/>
          <w:highlight w:val="none"/>
          <w:lang w:eastAsia="zh-CN"/>
        </w:rPr>
        <w:t>。</w:t>
      </w:r>
    </w:p>
    <w:p w14:paraId="376C1EE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6.1.4 关于治安保卫的特别约定：</w:t>
      </w:r>
      <w:r>
        <w:rPr>
          <w:rFonts w:ascii="宋体" w:hAnsi="宋体"/>
          <w:color w:val="auto"/>
          <w:highlight w:val="none"/>
          <w:u w:val="single"/>
          <w:lang w:eastAsia="zh-CN"/>
        </w:rPr>
        <w:t xml:space="preserve"> 承包人应承担施工安全保卫工作及非夜间施工照明的责任，承包人应采取一切合理的预防措施，防止人员伤亡、财产损失事故，费用由承包人承担。承包人生活设施及施工场应自费配备消防设备，防止火灾发生。</w:t>
      </w:r>
    </w:p>
    <w:p w14:paraId="4ED9C93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关于编制施工场地治安管理计划的约定：</w:t>
      </w:r>
      <w:r>
        <w:rPr>
          <w:rFonts w:hint="eastAsia" w:ascii="宋体" w:hAnsi="宋体"/>
          <w:color w:val="auto"/>
          <w:highlight w:val="none"/>
          <w:u w:val="single"/>
          <w:lang w:eastAsia="zh-CN"/>
        </w:rPr>
        <w:t xml:space="preserve">合同签订后14天内 </w:t>
      </w:r>
      <w:r>
        <w:rPr>
          <w:rFonts w:ascii="宋体" w:hAnsi="宋体"/>
          <w:color w:val="auto"/>
          <w:highlight w:val="none"/>
          <w:lang w:eastAsia="zh-CN"/>
        </w:rPr>
        <w:t>。</w:t>
      </w:r>
    </w:p>
    <w:p w14:paraId="1446456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6.1.5 文明施工</w:t>
      </w:r>
    </w:p>
    <w:p w14:paraId="7C20079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合同当事人对文明施工的要求：</w:t>
      </w:r>
      <w:r>
        <w:rPr>
          <w:rFonts w:hint="eastAsia" w:ascii="宋体" w:hAnsi="宋体"/>
          <w:color w:val="auto"/>
          <w:highlight w:val="none"/>
          <w:u w:val="single"/>
          <w:lang w:eastAsia="zh-CN"/>
        </w:rPr>
        <w:t>按照国家及地方安全文明施工的有关规定执行，此外承包人需自行办理的有关施工场地交通、环卫和施工噪音管理等手续，并应符合国家相关规定，并自行承担其费用；对施工中的地上地下建筑物（构筑物）管线、电力设施等应按有关规定加强监控测量和保护，相应的费用或因保护不当造成的损失及法律责任由承包人承担；环境保护工作由承包方全权负责，执行国家和地方相关规定。施工现场内不得随地抛洒剩饭及生活垃圾等，更不能将其随意倒至施工区外，施工区内不得随处大小便。做到工完场地清；施工机械设备进场前，应做好清洁、保养和维护工作。出场车辆应有专人打扫、清洗。有密封要求的按规定必须达到；施工期间必须保证周边单位的正常工作及居民的正常生活，尽量减少粉尘、噪声、振动等污染的扰民。必须按市委、市人大、市政府及有关部门的临时要求，调整作业方式，停止高粉尘、高噪音作业或爆破作业等；保证周围建（构）筑物、地下及地上管线、地下人防等设施安全；做到进入现场的施工和作业人员，配证上岗，文明施工；按规定做好施工区域封闭及场地硬化工作，施工围墙（围挡）等维护设施应安全、美观、耐久，非施工相关人员不许入内；上述增加列项涉及的费用由承包人承担</w:t>
      </w:r>
      <w:r>
        <w:rPr>
          <w:rFonts w:ascii="宋体" w:hAnsi="宋体"/>
          <w:color w:val="auto"/>
          <w:highlight w:val="none"/>
          <w:lang w:eastAsia="zh-CN"/>
        </w:rPr>
        <w:t>。</w:t>
      </w:r>
    </w:p>
    <w:p w14:paraId="141AD56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6.1.6 关于安全文明施工费支付比例和支付期限的约定：</w:t>
      </w:r>
      <w:r>
        <w:rPr>
          <w:rFonts w:ascii="宋体" w:hAnsi="宋体"/>
          <w:color w:val="auto"/>
          <w:highlight w:val="none"/>
          <w:u w:val="single"/>
          <w:lang w:eastAsia="zh-CN"/>
        </w:rPr>
        <w:t>使用要求：专款专用。具体按</w:t>
      </w:r>
      <w:r>
        <w:rPr>
          <w:rFonts w:hint="eastAsia" w:ascii="宋体" w:hAnsi="宋体"/>
          <w:color w:val="auto"/>
          <w:highlight w:val="none"/>
          <w:u w:val="single"/>
          <w:lang w:eastAsia="zh-CN"/>
        </w:rPr>
        <w:t xml:space="preserve"> </w:t>
      </w:r>
      <w:r>
        <w:rPr>
          <w:rFonts w:hint="eastAsia"/>
          <w:color w:val="auto"/>
          <w:highlight w:val="none"/>
          <w:u w:val="single"/>
          <w:lang w:eastAsia="zh-CN"/>
        </w:rPr>
        <w:t>《广西壮族自治区住房和城乡建设厅关于印发&lt;广西壮族自治区建设工程安全文明施工费使用管理细则&gt;的通知》（桂建发〔2022〕9号）及桂林市</w:t>
      </w:r>
      <w:r>
        <w:rPr>
          <w:rFonts w:ascii="宋体" w:hAnsi="宋体"/>
          <w:color w:val="auto"/>
          <w:highlight w:val="none"/>
          <w:u w:val="single"/>
          <w:lang w:eastAsia="zh-CN"/>
        </w:rPr>
        <w:t>相关规定执行。</w:t>
      </w:r>
    </w:p>
    <w:p w14:paraId="24B5C38D">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44" w:name="_Toc480967554"/>
      <w:bookmarkStart w:id="845" w:name="_Toc15164"/>
      <w:bookmarkStart w:id="846" w:name="_Toc17011"/>
      <w:r>
        <w:rPr>
          <w:rFonts w:hAnsi="宋体"/>
          <w:b/>
          <w:bCs/>
          <w:color w:val="auto"/>
          <w:kern w:val="44"/>
          <w:highlight w:val="none"/>
          <w:lang w:eastAsia="zh-CN"/>
        </w:rPr>
        <w:t>7. 工期和进度</w:t>
      </w:r>
      <w:bookmarkEnd w:id="844"/>
      <w:bookmarkEnd w:id="845"/>
      <w:bookmarkEnd w:id="846"/>
    </w:p>
    <w:p w14:paraId="6D1DD2AB">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47" w:name="_Toc29585"/>
      <w:bookmarkStart w:id="848" w:name="_Toc480967555"/>
      <w:r>
        <w:rPr>
          <w:rFonts w:hAnsi="宋体"/>
          <w:b/>
          <w:bCs/>
          <w:color w:val="auto"/>
          <w:kern w:val="44"/>
          <w:highlight w:val="none"/>
          <w:lang w:eastAsia="zh-CN"/>
        </w:rPr>
        <w:t>7.1 施工组织设计</w:t>
      </w:r>
      <w:bookmarkEnd w:id="847"/>
      <w:bookmarkEnd w:id="848"/>
    </w:p>
    <w:p w14:paraId="28E5B99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7.1.1 合同当事人约定的施工组织设计应包括的其他内容：</w:t>
      </w:r>
      <w:r>
        <w:rPr>
          <w:rFonts w:hint="eastAsia" w:ascii="宋体" w:hAnsi="宋体"/>
          <w:color w:val="auto"/>
          <w:highlight w:val="none"/>
          <w:u w:val="single"/>
          <w:lang w:eastAsia="zh-CN"/>
        </w:rPr>
        <w:t xml:space="preserve">按规范要求 </w:t>
      </w:r>
      <w:r>
        <w:rPr>
          <w:rFonts w:hint="eastAsia" w:ascii="宋体" w:hAnsi="宋体"/>
          <w:color w:val="auto"/>
          <w:highlight w:val="none"/>
          <w:lang w:eastAsia="zh-CN"/>
        </w:rPr>
        <w:t>。</w:t>
      </w:r>
    </w:p>
    <w:p w14:paraId="0F815DE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7.1.2 施工组织设计的提交和修改</w:t>
      </w:r>
    </w:p>
    <w:p w14:paraId="7D9BF4E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承包人提交详细施工组织设计的期限的约定：</w:t>
      </w:r>
      <w:r>
        <w:rPr>
          <w:rFonts w:hint="eastAsia" w:ascii="宋体" w:hAnsi="宋体"/>
          <w:color w:val="auto"/>
          <w:highlight w:val="none"/>
          <w:u w:val="single"/>
          <w:lang w:eastAsia="zh-CN"/>
        </w:rPr>
        <w:t xml:space="preserve">合同签订后14天内 </w:t>
      </w:r>
      <w:r>
        <w:rPr>
          <w:rFonts w:ascii="宋体" w:hAnsi="宋体"/>
          <w:color w:val="auto"/>
          <w:highlight w:val="none"/>
          <w:lang w:eastAsia="zh-CN"/>
        </w:rPr>
        <w:t>。</w:t>
      </w:r>
    </w:p>
    <w:p w14:paraId="0FDF8A8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发包人和监理人在收到详细的施工组织设计后确认或提出修改意见的期限：</w:t>
      </w:r>
      <w:r>
        <w:rPr>
          <w:rFonts w:hint="eastAsia" w:ascii="宋体" w:hAnsi="宋体"/>
          <w:color w:val="auto"/>
          <w:highlight w:val="none"/>
          <w:u w:val="single"/>
          <w:lang w:eastAsia="zh-CN"/>
        </w:rPr>
        <w:t xml:space="preserve">7天内 </w:t>
      </w:r>
      <w:r>
        <w:rPr>
          <w:rFonts w:ascii="宋体" w:hAnsi="宋体"/>
          <w:color w:val="auto"/>
          <w:highlight w:val="none"/>
          <w:lang w:eastAsia="zh-CN"/>
        </w:rPr>
        <w:t>。</w:t>
      </w:r>
    </w:p>
    <w:p w14:paraId="19335BE0">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49" w:name="_Toc4378"/>
      <w:bookmarkStart w:id="850" w:name="_Toc6277"/>
      <w:bookmarkStart w:id="851" w:name="_Toc480967556"/>
      <w:r>
        <w:rPr>
          <w:rFonts w:hAnsi="宋体"/>
          <w:b/>
          <w:bCs/>
          <w:color w:val="auto"/>
          <w:kern w:val="44"/>
          <w:highlight w:val="none"/>
          <w:lang w:eastAsia="zh-CN"/>
        </w:rPr>
        <w:t>7.2 施工进度计划</w:t>
      </w:r>
      <w:bookmarkEnd w:id="849"/>
      <w:bookmarkEnd w:id="850"/>
      <w:bookmarkEnd w:id="851"/>
    </w:p>
    <w:p w14:paraId="559B2CF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7.2.2 施工进度计划的修订</w:t>
      </w:r>
    </w:p>
    <w:p w14:paraId="15196F2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发包人和监理人在收到修订的施工进度计划后确认或提出修改意见的期限：</w:t>
      </w:r>
      <w:r>
        <w:rPr>
          <w:rFonts w:hint="eastAsia" w:ascii="宋体" w:hAnsi="宋体"/>
          <w:color w:val="auto"/>
          <w:highlight w:val="none"/>
          <w:u w:val="single"/>
          <w:lang w:eastAsia="zh-CN"/>
        </w:rPr>
        <w:t xml:space="preserve">收到修订合同进度计划后7天 </w:t>
      </w:r>
      <w:r>
        <w:rPr>
          <w:rFonts w:ascii="宋体" w:hAnsi="宋体"/>
          <w:color w:val="auto"/>
          <w:highlight w:val="none"/>
          <w:lang w:eastAsia="zh-CN"/>
        </w:rPr>
        <w:t>。</w:t>
      </w:r>
    </w:p>
    <w:p w14:paraId="2B1AF5D5">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52" w:name="_Toc6722"/>
      <w:bookmarkStart w:id="853" w:name="_Toc480967557"/>
      <w:bookmarkStart w:id="854" w:name="_Toc6662"/>
      <w:r>
        <w:rPr>
          <w:rFonts w:hAnsi="宋体"/>
          <w:b/>
          <w:bCs/>
          <w:color w:val="auto"/>
          <w:kern w:val="44"/>
          <w:highlight w:val="none"/>
          <w:lang w:eastAsia="zh-CN"/>
        </w:rPr>
        <w:t>7.3 开工</w:t>
      </w:r>
      <w:bookmarkEnd w:id="852"/>
      <w:bookmarkEnd w:id="853"/>
      <w:bookmarkEnd w:id="854"/>
    </w:p>
    <w:p w14:paraId="2CC571F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7.3.1 开工准备</w:t>
      </w:r>
    </w:p>
    <w:p w14:paraId="6E5CAF4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关于承包人提交工程开工报审表的期限：</w:t>
      </w:r>
      <w:r>
        <w:rPr>
          <w:rFonts w:hint="eastAsia" w:ascii="宋体" w:hAnsi="宋体"/>
          <w:color w:val="auto"/>
          <w:highlight w:val="none"/>
          <w:u w:val="single"/>
          <w:lang w:eastAsia="zh-CN"/>
        </w:rPr>
        <w:t xml:space="preserve">合同签订后14天 </w:t>
      </w:r>
      <w:r>
        <w:rPr>
          <w:rFonts w:ascii="宋体" w:hAnsi="宋体"/>
          <w:color w:val="auto"/>
          <w:highlight w:val="none"/>
          <w:lang w:eastAsia="zh-CN"/>
        </w:rPr>
        <w:t>。</w:t>
      </w:r>
    </w:p>
    <w:p w14:paraId="24415EB3">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lang w:eastAsia="zh-CN"/>
        </w:rPr>
        <w:t>关于发包人应完成的其他开工准备工作及期限：</w:t>
      </w:r>
      <w:r>
        <w:rPr>
          <w:rFonts w:hint="eastAsia" w:ascii="宋体" w:hAnsi="宋体"/>
          <w:color w:val="auto"/>
          <w:highlight w:val="none"/>
          <w:u w:val="single"/>
          <w:lang w:eastAsia="zh-CN"/>
        </w:rPr>
        <w:t xml:space="preserve">合同签订后14天 </w:t>
      </w:r>
      <w:r>
        <w:rPr>
          <w:rFonts w:ascii="宋体" w:hAnsi="宋体"/>
          <w:color w:val="auto"/>
          <w:highlight w:val="none"/>
          <w:lang w:eastAsia="zh-CN"/>
        </w:rPr>
        <w:t>。</w:t>
      </w:r>
    </w:p>
    <w:p w14:paraId="5E7E7EB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关于承包人应完成的其他开工准备工作及期限：</w:t>
      </w:r>
      <w:r>
        <w:rPr>
          <w:rFonts w:hint="eastAsia" w:ascii="宋体" w:hAnsi="宋体"/>
          <w:color w:val="auto"/>
          <w:highlight w:val="none"/>
          <w:u w:val="single"/>
          <w:lang w:eastAsia="zh-CN"/>
        </w:rPr>
        <w:t xml:space="preserve">合同签订后14天 </w:t>
      </w:r>
      <w:r>
        <w:rPr>
          <w:rFonts w:ascii="宋体" w:hAnsi="宋体"/>
          <w:color w:val="auto"/>
          <w:highlight w:val="none"/>
          <w:lang w:eastAsia="zh-CN"/>
        </w:rPr>
        <w:t>。</w:t>
      </w:r>
    </w:p>
    <w:p w14:paraId="123DBA3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7.3.2开工通知</w:t>
      </w:r>
    </w:p>
    <w:p w14:paraId="0BE909C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因发包人原因造成监理人未能在计划开工日期之日起</w:t>
      </w:r>
      <w:r>
        <w:rPr>
          <w:rFonts w:hint="eastAsia" w:ascii="宋体" w:hAnsi="宋体"/>
          <w:color w:val="auto"/>
          <w:highlight w:val="none"/>
          <w:u w:val="single"/>
          <w:lang w:eastAsia="zh-CN"/>
        </w:rPr>
        <w:t>180</w:t>
      </w:r>
      <w:r>
        <w:rPr>
          <w:rFonts w:ascii="宋体" w:hAnsi="宋体"/>
          <w:color w:val="auto"/>
          <w:highlight w:val="none"/>
          <w:lang w:eastAsia="zh-CN"/>
        </w:rPr>
        <w:t>天内发出开工通知的，承包人有权提出价格调整要求，或者解除合同。</w:t>
      </w:r>
    </w:p>
    <w:p w14:paraId="4F0967A8">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55" w:name="_Toc30168"/>
      <w:bookmarkStart w:id="856" w:name="_Toc480967558"/>
      <w:bookmarkStart w:id="857" w:name="_Toc15405"/>
      <w:r>
        <w:rPr>
          <w:rFonts w:hAnsi="宋体"/>
          <w:b/>
          <w:bCs/>
          <w:color w:val="auto"/>
          <w:kern w:val="44"/>
          <w:highlight w:val="none"/>
          <w:lang w:eastAsia="zh-CN"/>
        </w:rPr>
        <w:t>7.4 测量放线</w:t>
      </w:r>
      <w:bookmarkEnd w:id="855"/>
      <w:bookmarkEnd w:id="856"/>
      <w:bookmarkEnd w:id="857"/>
    </w:p>
    <w:p w14:paraId="4F99442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7.4.1发包人通过监理人向承包人提供测量基准点、基准线和水准点及其书面资料的期限：</w:t>
      </w:r>
      <w:r>
        <w:rPr>
          <w:rFonts w:hint="eastAsia" w:ascii="宋体" w:hAnsi="宋体"/>
          <w:color w:val="auto"/>
          <w:highlight w:val="none"/>
          <w:u w:val="single"/>
          <w:lang w:eastAsia="zh-CN"/>
        </w:rPr>
        <w:t xml:space="preserve">合同签订后14天 </w:t>
      </w:r>
      <w:r>
        <w:rPr>
          <w:rFonts w:ascii="宋体" w:hAnsi="宋体"/>
          <w:color w:val="auto"/>
          <w:highlight w:val="none"/>
          <w:lang w:eastAsia="zh-CN"/>
        </w:rPr>
        <w:t>。</w:t>
      </w:r>
    </w:p>
    <w:p w14:paraId="064014E4">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58" w:name="_Toc480967559"/>
      <w:bookmarkStart w:id="859" w:name="_Toc27918"/>
      <w:bookmarkStart w:id="860" w:name="_Toc13814"/>
      <w:r>
        <w:rPr>
          <w:rFonts w:hAnsi="宋体"/>
          <w:b/>
          <w:bCs/>
          <w:color w:val="auto"/>
          <w:kern w:val="44"/>
          <w:highlight w:val="none"/>
          <w:lang w:eastAsia="zh-CN"/>
        </w:rPr>
        <w:t>7.5 工期延误</w:t>
      </w:r>
      <w:bookmarkEnd w:id="858"/>
      <w:bookmarkEnd w:id="859"/>
      <w:bookmarkEnd w:id="860"/>
    </w:p>
    <w:p w14:paraId="49144500">
      <w:pPr>
        <w:pageBreakBefore w:val="0"/>
        <w:kinsoku/>
        <w:wordWrap/>
        <w:overflowPunct/>
        <w:topLinePunct w:val="0"/>
        <w:autoSpaceDE/>
        <w:autoSpaceDN/>
        <w:bidi w:val="0"/>
        <w:adjustRightInd/>
        <w:snapToGrid/>
        <w:spacing w:line="360" w:lineRule="auto"/>
        <w:ind w:firstLine="420" w:firstLineChars="200"/>
        <w:textAlignment w:val="auto"/>
        <w:outlineLvl w:val="1"/>
        <w:rPr>
          <w:rFonts w:ascii="宋体" w:hAnsi="宋体"/>
          <w:color w:val="auto"/>
          <w:highlight w:val="none"/>
          <w:lang w:eastAsia="zh-CN"/>
        </w:rPr>
      </w:pPr>
      <w:bookmarkStart w:id="861" w:name="_Toc9307"/>
      <w:bookmarkStart w:id="862" w:name="_Toc8944"/>
      <w:r>
        <w:rPr>
          <w:rFonts w:ascii="宋体" w:hAnsi="宋体"/>
          <w:color w:val="auto"/>
          <w:highlight w:val="none"/>
          <w:lang w:eastAsia="zh-CN"/>
        </w:rPr>
        <w:t>7.5.1 因发包人原因导致工期延误</w:t>
      </w:r>
      <w:bookmarkEnd w:id="861"/>
      <w:bookmarkEnd w:id="862"/>
    </w:p>
    <w:p w14:paraId="19E043F4">
      <w:pPr>
        <w:pageBreakBefore w:val="0"/>
        <w:numPr>
          <w:ilvl w:val="0"/>
          <w:numId w:val="5"/>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lang w:eastAsia="zh-CN"/>
        </w:rPr>
        <w:t>因发包人原因导致工期延误的其他情形：</w:t>
      </w:r>
      <w:r>
        <w:rPr>
          <w:rFonts w:hint="eastAsia" w:ascii="宋体" w:hAnsi="宋体"/>
          <w:color w:val="auto"/>
          <w:highlight w:val="none"/>
          <w:u w:val="single"/>
          <w:lang w:eastAsia="zh-CN"/>
        </w:rPr>
        <w:t xml:space="preserve"> ①未按合同约定期限提供施工场地的，工期顺延；②由于设计变更导致工程量增加的，工期顺延，顺延时间按现场签证确定</w:t>
      </w:r>
      <w:r>
        <w:rPr>
          <w:rFonts w:ascii="宋体" w:hAnsi="宋体"/>
          <w:color w:val="auto"/>
          <w:highlight w:val="none"/>
          <w:u w:val="single"/>
          <w:lang w:eastAsia="zh-CN"/>
        </w:rPr>
        <w:t>。</w:t>
      </w:r>
      <w:r>
        <w:rPr>
          <w:rFonts w:hint="eastAsia" w:ascii="宋体" w:hAnsi="宋体"/>
          <w:color w:val="auto"/>
          <w:highlight w:val="none"/>
          <w:u w:val="single"/>
          <w:lang w:eastAsia="zh-CN"/>
        </w:rPr>
        <w:t>③由于征地拆迁的影响，致使施工不能正常进行的，工期顺延。④不可抗力等延误承包人关键线路工作的情况工期按时顺延，由上述情况引起的相关费用发包人不予承担，承包人也不能因此提出任何索赔。</w:t>
      </w:r>
    </w:p>
    <w:p w14:paraId="36BAF2D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7.5.2 因承包人原因导致工期延误</w:t>
      </w:r>
    </w:p>
    <w:p w14:paraId="60EA064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因承包人原因造成工期延误，逾期竣工违约金的计算方法为：</w:t>
      </w:r>
      <w:r>
        <w:rPr>
          <w:rFonts w:ascii="宋体" w:hAnsi="宋体"/>
          <w:color w:val="auto"/>
          <w:highlight w:val="none"/>
          <w:u w:val="single"/>
          <w:lang w:eastAsia="zh-CN"/>
        </w:rPr>
        <w:t>非</w:t>
      </w:r>
      <w:r>
        <w:rPr>
          <w:rFonts w:hint="eastAsia" w:ascii="宋体" w:hAnsi="宋体"/>
          <w:color w:val="auto"/>
          <w:highlight w:val="none"/>
          <w:u w:val="single"/>
          <w:lang w:eastAsia="zh-CN"/>
        </w:rPr>
        <w:t>7.5.1</w:t>
      </w:r>
      <w:r>
        <w:rPr>
          <w:rFonts w:ascii="宋体" w:hAnsi="宋体"/>
          <w:color w:val="auto"/>
          <w:highlight w:val="none"/>
          <w:u w:val="single"/>
          <w:lang w:eastAsia="zh-CN"/>
        </w:rPr>
        <w:t>原因，承包人不能按合同约定的时间竣工，承包人应承担违约责任</w:t>
      </w:r>
      <w:r>
        <w:rPr>
          <w:rFonts w:hint="eastAsia" w:ascii="宋体" w:hAnsi="宋体"/>
          <w:color w:val="auto"/>
          <w:highlight w:val="none"/>
          <w:u w:val="single"/>
          <w:lang w:eastAsia="zh-CN"/>
        </w:rPr>
        <w:t>。应向</w:t>
      </w:r>
      <w:r>
        <w:rPr>
          <w:rFonts w:ascii="宋体" w:hAnsi="宋体"/>
          <w:color w:val="auto"/>
          <w:highlight w:val="none"/>
          <w:u w:val="single"/>
          <w:lang w:eastAsia="zh-CN"/>
        </w:rPr>
        <w:t>发包人支付误期赔偿费</w:t>
      </w:r>
      <w:r>
        <w:rPr>
          <w:rFonts w:hint="eastAsia" w:ascii="宋体" w:hAnsi="宋体"/>
          <w:color w:val="auto"/>
          <w:highlight w:val="none"/>
          <w:u w:val="single"/>
          <w:lang w:eastAsia="zh-CN"/>
        </w:rPr>
        <w:t>（每天赔偿金额为合同价款扣除社会保险费、发包人材料价款、暂估专业工程、暂列金额后的万分之四），</w:t>
      </w:r>
      <w:r>
        <w:rPr>
          <w:rFonts w:ascii="宋体" w:hAnsi="宋体"/>
          <w:color w:val="auto"/>
          <w:highlight w:val="none"/>
          <w:u w:val="single"/>
          <w:lang w:eastAsia="zh-CN"/>
        </w:rPr>
        <w:t>误期时间从规定竣工日期起直到全部工程或相应部分工程竣工验收各方签章日期之间的天数（扣除发包人批准顺延的工期）。发包人可从应向承包人支付的任何金额中扣除此项赔款费或其他方式收回此款，此赔偿款的支付并不能解除承包人应完成工程的责任或合同规定的其他责任。</w:t>
      </w:r>
    </w:p>
    <w:p w14:paraId="458A0B13">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因承包人原因造成工期延误，逾期竣工违约金的上限：</w:t>
      </w:r>
      <w:r>
        <w:rPr>
          <w:rFonts w:ascii="宋体" w:hAnsi="宋体"/>
          <w:color w:val="auto"/>
          <w:highlight w:val="none"/>
          <w:u w:val="single"/>
          <w:lang w:eastAsia="zh-CN"/>
        </w:rPr>
        <w:t>合同价扣除建安劳保费、发包人材料价款、暂估专业工程、暂列金额后的</w:t>
      </w:r>
      <w:r>
        <w:rPr>
          <w:rFonts w:hint="eastAsia" w:ascii="宋体" w:hAnsi="宋体"/>
          <w:color w:val="auto"/>
          <w:highlight w:val="none"/>
          <w:u w:val="single"/>
          <w:lang w:eastAsia="zh-CN"/>
        </w:rPr>
        <w:t xml:space="preserve">2%，超过2个月，按合同通用条款执行 </w:t>
      </w:r>
      <w:r>
        <w:rPr>
          <w:rFonts w:ascii="宋体" w:hAnsi="宋体"/>
          <w:color w:val="auto"/>
          <w:highlight w:val="none"/>
          <w:lang w:eastAsia="zh-CN"/>
        </w:rPr>
        <w:t>。</w:t>
      </w:r>
    </w:p>
    <w:p w14:paraId="4A81DB09">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63" w:name="_Toc480967560"/>
      <w:bookmarkStart w:id="864" w:name="_Toc8759"/>
      <w:bookmarkStart w:id="865" w:name="_Toc12499"/>
      <w:r>
        <w:rPr>
          <w:rFonts w:hAnsi="宋体"/>
          <w:b/>
          <w:bCs/>
          <w:color w:val="auto"/>
          <w:kern w:val="44"/>
          <w:highlight w:val="none"/>
          <w:lang w:eastAsia="zh-CN"/>
        </w:rPr>
        <w:t>7.6 不利物质条件</w:t>
      </w:r>
      <w:bookmarkEnd w:id="863"/>
      <w:bookmarkEnd w:id="864"/>
      <w:bookmarkEnd w:id="865"/>
    </w:p>
    <w:p w14:paraId="70DE0DC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不利物质条件的其他情形和有关约定：</w:t>
      </w:r>
      <w:r>
        <w:rPr>
          <w:rFonts w:hint="eastAsia" w:ascii="宋体" w:hAnsi="宋体"/>
          <w:color w:val="auto"/>
          <w:highlight w:val="none"/>
          <w:u w:val="single"/>
          <w:lang w:eastAsia="zh-CN"/>
        </w:rPr>
        <w:t>一周内非承包人原因，停水、停电、停气造成停工连续超过8小时；重大设计变更和工程量增加；发包人手续不全致使施工不能正常进行；发包人未能按约定时间支付工程款致使施工不能正常进行的；非承包人原因的政府及发包人有关的停工通知，以上不利物质条件延误工期的相应延长工期，因发包人原因给承包人造成损失的由发包人相应赔偿承包人，属政府和环境等原因的，双方协商处理</w:t>
      </w:r>
      <w:r>
        <w:rPr>
          <w:rFonts w:ascii="宋体" w:hAnsi="宋体"/>
          <w:color w:val="auto"/>
          <w:highlight w:val="none"/>
          <w:lang w:eastAsia="zh-CN"/>
        </w:rPr>
        <w:t>。</w:t>
      </w:r>
    </w:p>
    <w:p w14:paraId="40F1F33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66" w:name="_Toc6337"/>
      <w:bookmarkStart w:id="867" w:name="_Toc480967561"/>
      <w:bookmarkStart w:id="868" w:name="_Toc4657"/>
      <w:r>
        <w:rPr>
          <w:rFonts w:hAnsi="宋体"/>
          <w:b/>
          <w:bCs/>
          <w:color w:val="auto"/>
          <w:kern w:val="44"/>
          <w:highlight w:val="none"/>
          <w:lang w:eastAsia="zh-CN"/>
        </w:rPr>
        <w:t>7.7异常恶劣的气候条件</w:t>
      </w:r>
      <w:bookmarkEnd w:id="866"/>
      <w:bookmarkEnd w:id="867"/>
      <w:bookmarkEnd w:id="868"/>
    </w:p>
    <w:p w14:paraId="6C567DDD">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发包人和承包人同意以下情形视为异常恶劣的气候条件：（</w:t>
      </w:r>
      <w:r>
        <w:rPr>
          <w:rFonts w:ascii="宋体" w:hAnsi="宋体"/>
          <w:color w:val="auto"/>
          <w:highlight w:val="none"/>
          <w:u w:val="single"/>
          <w:lang w:eastAsia="zh-CN"/>
        </w:rPr>
        <w:t>1）</w:t>
      </w:r>
      <w:r>
        <w:rPr>
          <w:rFonts w:hint="eastAsia" w:ascii="宋体" w:hAnsi="宋体"/>
          <w:color w:val="auto"/>
          <w:highlight w:val="none"/>
          <w:u w:val="single"/>
          <w:lang w:eastAsia="zh-CN"/>
        </w:rPr>
        <w:t>10级及以上持续1天的大风</w:t>
      </w:r>
      <w:r>
        <w:rPr>
          <w:rFonts w:ascii="宋体" w:hAnsi="宋体"/>
          <w:color w:val="auto"/>
          <w:highlight w:val="none"/>
          <w:u w:val="single"/>
          <w:lang w:eastAsia="zh-CN"/>
        </w:rPr>
        <w:t>；（2）</w:t>
      </w:r>
      <w:r>
        <w:rPr>
          <w:rFonts w:hint="eastAsia" w:ascii="宋体" w:hAnsi="宋体"/>
          <w:color w:val="auto"/>
          <w:highlight w:val="none"/>
          <w:u w:val="single"/>
          <w:lang w:eastAsia="zh-CN"/>
        </w:rPr>
        <w:t>暴雨级以上持续1天的大雨天；</w:t>
      </w:r>
      <w:r>
        <w:rPr>
          <w:rFonts w:ascii="宋体" w:hAnsi="宋体"/>
          <w:color w:val="auto"/>
          <w:highlight w:val="none"/>
          <w:u w:val="single"/>
          <w:lang w:eastAsia="zh-CN"/>
        </w:rPr>
        <w:t>（3）</w:t>
      </w:r>
      <w:r>
        <w:rPr>
          <w:rFonts w:hint="eastAsia" w:ascii="宋体" w:hAnsi="宋体"/>
          <w:color w:val="auto"/>
          <w:highlight w:val="none"/>
          <w:u w:val="single"/>
          <w:lang w:eastAsia="zh-CN"/>
        </w:rPr>
        <w:t>50年及以上未发生过，持续2天的高温天气；（4）50年及以上未发生过，持续2天的低温天气。</w:t>
      </w:r>
    </w:p>
    <w:p w14:paraId="171C2DFF">
      <w:pPr>
        <w:keepNext/>
        <w:keepLines/>
        <w:pageBreakBefore w:val="0"/>
        <w:numPr>
          <w:ilvl w:val="0"/>
          <w:numId w:val="6"/>
        </w:numPr>
        <w:kinsoku/>
        <w:wordWrap/>
        <w:overflowPunct/>
        <w:topLinePunct w:val="0"/>
        <w:autoSpaceDE/>
        <w:autoSpaceDN/>
        <w:bidi w:val="0"/>
        <w:adjustRightInd/>
        <w:snapToGrid/>
        <w:spacing w:line="360" w:lineRule="auto"/>
        <w:textAlignment w:val="auto"/>
        <w:outlineLvl w:val="1"/>
        <w:rPr>
          <w:rFonts w:hAnsi="宋体"/>
          <w:b/>
          <w:bCs/>
          <w:color w:val="auto"/>
          <w:kern w:val="44"/>
          <w:highlight w:val="none"/>
        </w:rPr>
      </w:pPr>
      <w:bookmarkStart w:id="869" w:name="_Toc480967564"/>
      <w:bookmarkStart w:id="870" w:name="_Toc27576"/>
      <w:bookmarkStart w:id="871" w:name="_Toc2984"/>
      <w:r>
        <w:rPr>
          <w:rFonts w:hAnsi="宋体"/>
          <w:b/>
          <w:bCs/>
          <w:color w:val="auto"/>
          <w:kern w:val="44"/>
          <w:highlight w:val="none"/>
        </w:rPr>
        <w:t>材料与设备</w:t>
      </w:r>
      <w:bookmarkEnd w:id="869"/>
      <w:bookmarkEnd w:id="870"/>
      <w:bookmarkEnd w:id="871"/>
    </w:p>
    <w:p w14:paraId="55CB133D">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72" w:name="_Toc480967565"/>
      <w:bookmarkStart w:id="873" w:name="_Toc5823"/>
      <w:bookmarkStart w:id="874" w:name="_Toc31440"/>
      <w:r>
        <w:rPr>
          <w:rFonts w:hAnsi="宋体"/>
          <w:b/>
          <w:bCs/>
          <w:color w:val="auto"/>
          <w:kern w:val="44"/>
          <w:highlight w:val="none"/>
          <w:lang w:eastAsia="zh-CN"/>
        </w:rPr>
        <w:t>8.4材料与工程设备的保管与使用</w:t>
      </w:r>
      <w:bookmarkEnd w:id="872"/>
      <w:bookmarkEnd w:id="873"/>
      <w:bookmarkEnd w:id="874"/>
    </w:p>
    <w:p w14:paraId="4E0A285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8.4.1发包人供应的材料设备的保管费用的承担：</w:t>
      </w:r>
      <w:r>
        <w:rPr>
          <w:rFonts w:hint="eastAsia" w:ascii="宋体" w:hAnsi="宋体"/>
          <w:color w:val="auto"/>
          <w:highlight w:val="none"/>
          <w:u w:val="single"/>
          <w:lang w:eastAsia="zh-CN"/>
        </w:rPr>
        <w:t>承包人承担</w:t>
      </w:r>
      <w:r>
        <w:rPr>
          <w:rFonts w:ascii="宋体" w:hAnsi="宋体"/>
          <w:color w:val="auto"/>
          <w:highlight w:val="none"/>
          <w:lang w:eastAsia="zh-CN"/>
        </w:rPr>
        <w:t>。</w:t>
      </w:r>
    </w:p>
    <w:p w14:paraId="67BF969D">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75" w:name="_Toc480967566"/>
      <w:bookmarkStart w:id="876" w:name="_Toc15859"/>
      <w:bookmarkStart w:id="877" w:name="_Toc25141"/>
      <w:r>
        <w:rPr>
          <w:rFonts w:hAnsi="宋体"/>
          <w:b/>
          <w:bCs/>
          <w:color w:val="auto"/>
          <w:kern w:val="44"/>
          <w:highlight w:val="none"/>
          <w:lang w:eastAsia="zh-CN"/>
        </w:rPr>
        <w:t>8.6 样品</w:t>
      </w:r>
      <w:bookmarkEnd w:id="875"/>
      <w:bookmarkEnd w:id="876"/>
      <w:bookmarkEnd w:id="877"/>
    </w:p>
    <w:p w14:paraId="32F5B6D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8.6.1样品的报送与封存</w:t>
      </w:r>
    </w:p>
    <w:p w14:paraId="09C6CBC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需要承包人报送样品的材料或工程设备，样品的种类、名称、规格、数量要求：</w:t>
      </w:r>
      <w:r>
        <w:rPr>
          <w:rFonts w:hint="eastAsia"/>
          <w:color w:val="auto"/>
          <w:highlight w:val="none"/>
          <w:u w:val="single"/>
          <w:lang w:eastAsia="zh-CN"/>
        </w:rPr>
        <w:t>材料或工程设备的品牌、规格、型号、颜色、外观质感等方面的内容，承包人应在计划采购前将材料样品报送监理人，并经发包人最终确认后方能采购</w:t>
      </w:r>
      <w:r>
        <w:rPr>
          <w:color w:val="auto"/>
          <w:highlight w:val="none"/>
          <w:u w:val="single"/>
          <w:lang w:eastAsia="zh-CN"/>
        </w:rPr>
        <w:t>。</w:t>
      </w:r>
      <w:r>
        <w:rPr>
          <w:rFonts w:hint="eastAsia"/>
          <w:color w:val="auto"/>
          <w:highlight w:val="none"/>
          <w:u w:val="single"/>
          <w:lang w:eastAsia="zh-CN"/>
        </w:rPr>
        <w:t>承包人使用的上述主要材料的品牌</w:t>
      </w:r>
      <w:r>
        <w:rPr>
          <w:rFonts w:hint="eastAsia" w:cs="宋体"/>
          <w:color w:val="auto"/>
          <w:highlight w:val="none"/>
          <w:u w:val="single"/>
          <w:lang w:eastAsia="zh-CN"/>
        </w:rPr>
        <w:t>应从工程量清单中给定的品牌中选定。承包人因特殊原因需要从工程量清单以外选择品牌时，</w:t>
      </w:r>
      <w:r>
        <w:rPr>
          <w:rFonts w:hint="eastAsia"/>
          <w:color w:val="auto"/>
          <w:highlight w:val="none"/>
          <w:u w:val="single"/>
          <w:lang w:eastAsia="zh-CN"/>
        </w:rPr>
        <w:t>必须选择相当于或优于工程量清单中参考品牌</w:t>
      </w:r>
      <w:r>
        <w:rPr>
          <w:rFonts w:hint="eastAsia" w:cs="宋体"/>
          <w:color w:val="auto"/>
          <w:highlight w:val="none"/>
          <w:u w:val="single"/>
          <w:lang w:eastAsia="zh-CN"/>
        </w:rPr>
        <w:t>且需征得发包人书面批准</w:t>
      </w:r>
      <w:r>
        <w:rPr>
          <w:rFonts w:hint="eastAsia"/>
          <w:color w:val="auto"/>
          <w:highlight w:val="none"/>
          <w:u w:val="single"/>
          <w:lang w:eastAsia="zh-CN"/>
        </w:rPr>
        <w:t>，并且材料价格按原报价价格不变，否则按不合格材料处理并不予计量计价</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4DD0EC6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78" w:name="_Toc12260"/>
      <w:bookmarkStart w:id="879" w:name="_Toc18983"/>
      <w:bookmarkStart w:id="880" w:name="_Toc480967567"/>
      <w:r>
        <w:rPr>
          <w:rFonts w:hAnsi="宋体"/>
          <w:b/>
          <w:bCs/>
          <w:color w:val="auto"/>
          <w:kern w:val="44"/>
          <w:highlight w:val="none"/>
          <w:lang w:eastAsia="zh-CN"/>
        </w:rPr>
        <w:t>8.8 施工设备和临时设施</w:t>
      </w:r>
      <w:bookmarkEnd w:id="878"/>
      <w:bookmarkEnd w:id="879"/>
      <w:bookmarkEnd w:id="880"/>
    </w:p>
    <w:p w14:paraId="68C7891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8.8.1 承包人提供的施工设备和临时设施</w:t>
      </w:r>
      <w:r>
        <w:rPr>
          <w:rFonts w:hint="eastAsia" w:ascii="宋体" w:hAnsi="宋体"/>
          <w:color w:val="auto"/>
          <w:highlight w:val="none"/>
          <w:lang w:eastAsia="zh-CN"/>
        </w:rPr>
        <w:t>：</w:t>
      </w:r>
      <w:r>
        <w:rPr>
          <w:rFonts w:ascii="宋体" w:hAnsi="宋体"/>
          <w:color w:val="auto"/>
          <w:highlight w:val="none"/>
          <w:lang w:eastAsia="zh-CN"/>
        </w:rPr>
        <w:t>承包人运入施工场地的所有施工设备以及在施工场地建设的临时设施仅限于用于合同工程。承包人用于本工程的主要机械设备清单见合同附件</w:t>
      </w:r>
      <w:r>
        <w:rPr>
          <w:rFonts w:hint="eastAsia" w:ascii="宋体" w:hAnsi="宋体"/>
          <w:color w:val="auto"/>
          <w:highlight w:val="none"/>
          <w:lang w:eastAsia="zh-CN"/>
        </w:rPr>
        <w:t>6</w:t>
      </w:r>
      <w:r>
        <w:rPr>
          <w:rFonts w:ascii="宋体" w:hAnsi="宋体"/>
          <w:color w:val="auto"/>
          <w:highlight w:val="none"/>
          <w:lang w:eastAsia="zh-CN"/>
        </w:rPr>
        <w:t>。</w:t>
      </w:r>
    </w:p>
    <w:p w14:paraId="70ED596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关于修建临时设施费用承担的约定：</w:t>
      </w:r>
    </w:p>
    <w:p w14:paraId="60A63129">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u w:val="single"/>
          <w:lang w:eastAsia="zh-CN"/>
        </w:rPr>
        <w:t xml:space="preserve"> </w:t>
      </w:r>
      <w:r>
        <w:rPr>
          <w:rFonts w:hint="eastAsia" w:ascii="宋体" w:hAnsi="宋体"/>
          <w:color w:val="auto"/>
          <w:highlight w:val="none"/>
          <w:u w:val="single"/>
          <w:lang w:eastAsia="zh-CN"/>
        </w:rPr>
        <w:t>①承包人的临时用地（含项目部驻地等）租用费（含拆迁补偿）、临时用地的环保、恢复、临时用地的青苗补偿及地面附着物拆除等费用均由承包人负责，以上费用在投标报价中综合考虑。</w:t>
      </w:r>
    </w:p>
    <w:p w14:paraId="7BACE1F6">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single"/>
          <w:lang w:eastAsia="zh-CN"/>
        </w:rPr>
        <w:t>②承包人负责合同实施期间其合同段内临时交通道路（含场内外连接公共交通道路）和交通设施的修建、维修、养护和交通管理工作，并承担一切费用 。</w:t>
      </w:r>
    </w:p>
    <w:p w14:paraId="5D777480">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hint="eastAsia" w:ascii="宋体" w:hAnsi="宋体"/>
          <w:color w:val="auto"/>
          <w:highlight w:val="none"/>
          <w:u w:val="single"/>
          <w:lang w:eastAsia="zh-CN"/>
        </w:rPr>
        <w:t>③承包人修建的临时道路和交通设施，应免费提供给发包人、监理工程师和其他合同段的承包人使用，如共同使用的路基损坏严重，发包人或监理工程师将负责通知有关承包人共同出资修复，若使用频率相差悬殊，则按比例分摊。</w:t>
      </w:r>
    </w:p>
    <w:p w14:paraId="5F8CA041">
      <w:pPr>
        <w:pageBreakBefore w:val="0"/>
        <w:kinsoku/>
        <w:wordWrap/>
        <w:overflowPunct/>
        <w:topLinePunct w:val="0"/>
        <w:autoSpaceDE/>
        <w:autoSpaceDN/>
        <w:bidi w:val="0"/>
        <w:adjustRightInd/>
        <w:snapToGrid/>
        <w:spacing w:line="360" w:lineRule="auto"/>
        <w:ind w:firstLine="440" w:firstLineChars="200"/>
        <w:textAlignment w:val="auto"/>
        <w:rPr>
          <w:color w:val="auto"/>
          <w:sz w:val="22"/>
          <w:highlight w:val="none"/>
          <w:lang w:eastAsia="zh-CN"/>
        </w:rPr>
      </w:pPr>
      <w:r>
        <w:rPr>
          <w:color w:val="auto"/>
          <w:sz w:val="22"/>
          <w:highlight w:val="none"/>
          <w:lang w:eastAsia="zh-CN"/>
        </w:rPr>
        <w:t xml:space="preserve">8.8.2 </w:t>
      </w:r>
      <w:r>
        <w:rPr>
          <w:rFonts w:hAnsi="宋体"/>
          <w:color w:val="auto"/>
          <w:sz w:val="22"/>
          <w:highlight w:val="none"/>
          <w:lang w:eastAsia="zh-CN"/>
        </w:rPr>
        <w:t>发包人提供的施工设备和临时设施</w:t>
      </w:r>
    </w:p>
    <w:p w14:paraId="027E7CAE">
      <w:pPr>
        <w:pageBreakBefore w:val="0"/>
        <w:kinsoku/>
        <w:wordWrap/>
        <w:overflowPunct/>
        <w:topLinePunct w:val="0"/>
        <w:autoSpaceDE/>
        <w:autoSpaceDN/>
        <w:bidi w:val="0"/>
        <w:adjustRightInd/>
        <w:snapToGrid/>
        <w:spacing w:line="360" w:lineRule="auto"/>
        <w:ind w:firstLine="440" w:firstLineChars="200"/>
        <w:textAlignment w:val="auto"/>
        <w:rPr>
          <w:color w:val="auto"/>
          <w:sz w:val="22"/>
          <w:highlight w:val="none"/>
          <w:lang w:eastAsia="zh-CN"/>
        </w:rPr>
      </w:pPr>
      <w:r>
        <w:rPr>
          <w:rFonts w:hAnsi="宋体"/>
          <w:color w:val="auto"/>
          <w:sz w:val="22"/>
          <w:highlight w:val="none"/>
          <w:lang w:eastAsia="zh-CN"/>
        </w:rPr>
        <w:t>发包人提供的施工设备和临时设施：</w:t>
      </w:r>
      <w:r>
        <w:rPr>
          <w:rFonts w:hint="eastAsia" w:ascii="宋体" w:hAnsi="宋体"/>
          <w:color w:val="auto"/>
          <w:sz w:val="22"/>
          <w:szCs w:val="22"/>
          <w:highlight w:val="none"/>
          <w:u w:val="single"/>
          <w:lang w:eastAsia="zh-CN"/>
        </w:rPr>
        <w:t xml:space="preserve">  无 </w:t>
      </w:r>
      <w:r>
        <w:rPr>
          <w:rFonts w:hAnsi="宋体"/>
          <w:color w:val="auto"/>
          <w:sz w:val="22"/>
          <w:highlight w:val="none"/>
          <w:lang w:eastAsia="zh-CN"/>
        </w:rPr>
        <w:t>。</w:t>
      </w:r>
    </w:p>
    <w:p w14:paraId="5505F2EB">
      <w:pPr>
        <w:pageBreakBefore w:val="0"/>
        <w:kinsoku/>
        <w:wordWrap/>
        <w:overflowPunct/>
        <w:topLinePunct w:val="0"/>
        <w:autoSpaceDE/>
        <w:autoSpaceDN/>
        <w:bidi w:val="0"/>
        <w:adjustRightInd/>
        <w:snapToGrid/>
        <w:spacing w:line="360" w:lineRule="auto"/>
        <w:ind w:firstLine="440" w:firstLineChars="200"/>
        <w:textAlignment w:val="auto"/>
        <w:rPr>
          <w:color w:val="auto"/>
          <w:sz w:val="22"/>
          <w:highlight w:val="none"/>
          <w:lang w:eastAsia="zh-CN"/>
        </w:rPr>
      </w:pPr>
      <w:r>
        <w:rPr>
          <w:rFonts w:hAnsi="宋体"/>
          <w:color w:val="auto"/>
          <w:sz w:val="22"/>
          <w:highlight w:val="none"/>
          <w:lang w:eastAsia="zh-CN"/>
        </w:rPr>
        <w:t>发包人提供的施工设备和临时设施的运行、维护、拆除、清运费用的承担人：</w:t>
      </w:r>
      <w:r>
        <w:rPr>
          <w:rFonts w:hint="eastAsia" w:ascii="宋体" w:hAnsi="宋体"/>
          <w:color w:val="auto"/>
          <w:sz w:val="22"/>
          <w:szCs w:val="22"/>
          <w:highlight w:val="none"/>
          <w:u w:val="single"/>
          <w:lang w:eastAsia="zh-CN"/>
        </w:rPr>
        <w:t xml:space="preserve"> 无 </w:t>
      </w:r>
      <w:r>
        <w:rPr>
          <w:color w:val="auto"/>
          <w:sz w:val="22"/>
          <w:szCs w:val="22"/>
          <w:highlight w:val="none"/>
          <w:lang w:eastAsia="zh-CN"/>
        </w:rPr>
        <w:t>。</w:t>
      </w:r>
    </w:p>
    <w:p w14:paraId="1AEF0AD1">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81" w:name="_Toc480967568"/>
      <w:bookmarkStart w:id="882" w:name="_Toc20064"/>
      <w:bookmarkStart w:id="883" w:name="_Toc13710"/>
      <w:r>
        <w:rPr>
          <w:rFonts w:hAnsi="宋体"/>
          <w:b/>
          <w:bCs/>
          <w:color w:val="auto"/>
          <w:kern w:val="44"/>
          <w:highlight w:val="none"/>
          <w:lang w:eastAsia="zh-CN"/>
        </w:rPr>
        <w:t>9. 试验与检验</w:t>
      </w:r>
      <w:bookmarkEnd w:id="881"/>
      <w:bookmarkEnd w:id="882"/>
      <w:bookmarkEnd w:id="883"/>
    </w:p>
    <w:p w14:paraId="23A4C640">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84" w:name="_Toc7069"/>
      <w:bookmarkStart w:id="885" w:name="_Toc2602"/>
      <w:bookmarkStart w:id="886" w:name="_Toc480967569"/>
      <w:r>
        <w:rPr>
          <w:rFonts w:hAnsi="宋体"/>
          <w:b/>
          <w:bCs/>
          <w:color w:val="auto"/>
          <w:kern w:val="44"/>
          <w:highlight w:val="none"/>
          <w:lang w:eastAsia="zh-CN"/>
        </w:rPr>
        <w:t>9.1试验设备与试验人员</w:t>
      </w:r>
      <w:bookmarkEnd w:id="884"/>
      <w:bookmarkEnd w:id="885"/>
      <w:bookmarkEnd w:id="886"/>
    </w:p>
    <w:p w14:paraId="4863280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9.1.2 试验设备</w:t>
      </w:r>
    </w:p>
    <w:p w14:paraId="6366C9B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施工现场需要配置的试验场所：</w:t>
      </w:r>
      <w:r>
        <w:rPr>
          <w:rFonts w:hint="eastAsia" w:ascii="宋体" w:hAnsi="宋体"/>
          <w:color w:val="auto"/>
          <w:highlight w:val="none"/>
          <w:u w:val="single"/>
          <w:lang w:eastAsia="zh-CN"/>
        </w:rPr>
        <w:t>由承包人承担，所需费用包含在投标报价中</w:t>
      </w:r>
      <w:r>
        <w:rPr>
          <w:rFonts w:ascii="宋体" w:hAnsi="宋体"/>
          <w:color w:val="auto"/>
          <w:highlight w:val="none"/>
          <w:lang w:eastAsia="zh-CN"/>
        </w:rPr>
        <w:t xml:space="preserve">。 </w:t>
      </w:r>
    </w:p>
    <w:p w14:paraId="5C77FE6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施工现场需要配备的试验设备：</w:t>
      </w:r>
      <w:r>
        <w:rPr>
          <w:rFonts w:hint="eastAsia" w:ascii="宋体" w:hAnsi="宋体"/>
          <w:color w:val="auto"/>
          <w:highlight w:val="none"/>
          <w:u w:val="single"/>
          <w:lang w:eastAsia="zh-CN"/>
        </w:rPr>
        <w:t>由承包人承担，所需费用包含在投标报价中</w:t>
      </w:r>
      <w:r>
        <w:rPr>
          <w:rFonts w:ascii="宋体" w:hAnsi="宋体"/>
          <w:color w:val="auto"/>
          <w:highlight w:val="none"/>
          <w:lang w:eastAsia="zh-CN"/>
        </w:rPr>
        <w:t>。</w:t>
      </w:r>
    </w:p>
    <w:p w14:paraId="25B39F4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施工现场需要具备的其他试验条件：</w:t>
      </w:r>
      <w:r>
        <w:rPr>
          <w:rFonts w:hint="eastAsia" w:ascii="宋体" w:hAnsi="宋体"/>
          <w:color w:val="auto"/>
          <w:highlight w:val="none"/>
          <w:u w:val="single"/>
          <w:lang w:eastAsia="zh-CN"/>
        </w:rPr>
        <w:t>由承包人承担，所需费用包含在投标报价中</w:t>
      </w:r>
      <w:r>
        <w:rPr>
          <w:rFonts w:ascii="宋体" w:hAnsi="宋体"/>
          <w:color w:val="auto"/>
          <w:highlight w:val="none"/>
          <w:lang w:eastAsia="zh-CN"/>
        </w:rPr>
        <w:t>。</w:t>
      </w:r>
    </w:p>
    <w:p w14:paraId="2F34AF14">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87" w:name="_Toc480967570"/>
      <w:bookmarkStart w:id="888" w:name="_Toc31422"/>
      <w:bookmarkStart w:id="889" w:name="_Toc29855"/>
      <w:r>
        <w:rPr>
          <w:rFonts w:hAnsi="宋体"/>
          <w:b/>
          <w:bCs/>
          <w:color w:val="auto"/>
          <w:kern w:val="44"/>
          <w:highlight w:val="none"/>
          <w:lang w:eastAsia="zh-CN"/>
        </w:rPr>
        <w:t>9.4 现场工艺试验</w:t>
      </w:r>
      <w:bookmarkEnd w:id="887"/>
      <w:bookmarkEnd w:id="888"/>
      <w:bookmarkEnd w:id="889"/>
      <w:r>
        <w:rPr>
          <w:rFonts w:hAnsi="宋体"/>
          <w:b/>
          <w:bCs/>
          <w:color w:val="auto"/>
          <w:kern w:val="44"/>
          <w:highlight w:val="none"/>
          <w:lang w:eastAsia="zh-CN"/>
        </w:rPr>
        <w:t xml:space="preserve"> </w:t>
      </w:r>
    </w:p>
    <w:p w14:paraId="698C84F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现场工艺试验的有关约定：</w:t>
      </w:r>
      <w:r>
        <w:rPr>
          <w:rFonts w:hint="eastAsia" w:ascii="宋体" w:hAnsi="宋体"/>
          <w:color w:val="auto"/>
          <w:highlight w:val="none"/>
          <w:u w:val="single"/>
          <w:lang w:eastAsia="zh-CN"/>
        </w:rPr>
        <w:t>按实际需要和国家规定</w:t>
      </w:r>
      <w:r>
        <w:rPr>
          <w:rFonts w:ascii="宋体" w:hAnsi="宋体"/>
          <w:color w:val="auto"/>
          <w:highlight w:val="none"/>
          <w:lang w:eastAsia="zh-CN"/>
        </w:rPr>
        <w:t>。</w:t>
      </w:r>
    </w:p>
    <w:p w14:paraId="08BCB722">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90" w:name="_Toc1564"/>
      <w:bookmarkStart w:id="891" w:name="_Toc480967571"/>
      <w:bookmarkStart w:id="892" w:name="_Toc13876"/>
      <w:r>
        <w:rPr>
          <w:rFonts w:hAnsi="宋体"/>
          <w:b/>
          <w:bCs/>
          <w:color w:val="auto"/>
          <w:kern w:val="44"/>
          <w:highlight w:val="none"/>
          <w:lang w:eastAsia="zh-CN"/>
        </w:rPr>
        <w:t>9.5 检验费用</w:t>
      </w:r>
      <w:bookmarkEnd w:id="890"/>
      <w:bookmarkEnd w:id="891"/>
      <w:bookmarkEnd w:id="892"/>
    </w:p>
    <w:p w14:paraId="6A6DC627">
      <w:pPr>
        <w:pStyle w:val="11"/>
        <w:pageBreakBefore w:val="0"/>
        <w:kinsoku/>
        <w:wordWrap/>
        <w:overflowPunct/>
        <w:topLinePunct w:val="0"/>
        <w:autoSpaceDE/>
        <w:autoSpaceDN/>
        <w:bidi w:val="0"/>
        <w:adjustRightInd/>
        <w:snapToGrid/>
        <w:spacing w:line="360" w:lineRule="auto"/>
        <w:ind w:firstLine="420" w:firstLineChars="200"/>
        <w:textAlignment w:val="auto"/>
        <w:rPr>
          <w:rFonts w:hint="eastAsia" w:hAnsi="宋体"/>
          <w:color w:val="auto"/>
          <w:sz w:val="21"/>
          <w:szCs w:val="21"/>
          <w:highlight w:val="none"/>
        </w:rPr>
      </w:pPr>
      <w:r>
        <w:rPr>
          <w:rFonts w:hAnsi="宋体"/>
          <w:color w:val="auto"/>
          <w:sz w:val="21"/>
          <w:szCs w:val="21"/>
          <w:highlight w:val="none"/>
        </w:rPr>
        <w:t>根据</w:t>
      </w:r>
      <w:r>
        <w:rPr>
          <w:rFonts w:hint="eastAsia" w:hAnsi="宋体"/>
          <w:color w:val="auto"/>
          <w:sz w:val="21"/>
          <w:szCs w:val="21"/>
          <w:highlight w:val="none"/>
        </w:rPr>
        <w:t>《建设工程质量检测管理办法》（住房和城乡建设部令第57号）</w:t>
      </w:r>
      <w:r>
        <w:rPr>
          <w:rFonts w:hAnsi="宋体"/>
          <w:color w:val="auto"/>
          <w:sz w:val="21"/>
          <w:szCs w:val="21"/>
          <w:highlight w:val="none"/>
        </w:rPr>
        <w:t>以及</w:t>
      </w:r>
      <w:r>
        <w:rPr>
          <w:rFonts w:hint="eastAsia" w:hAnsi="宋体"/>
          <w:color w:val="auto"/>
          <w:sz w:val="21"/>
          <w:szCs w:val="21"/>
          <w:highlight w:val="none"/>
          <w:lang w:val="en-US" w:eastAsia="zh-CN"/>
        </w:rPr>
        <w:t>《广西壮族自治区建设工程质量检测管理实施细则》（桂建发〔2025〕5号）</w:t>
      </w:r>
      <w:r>
        <w:rPr>
          <w:rFonts w:hAnsi="宋体"/>
          <w:color w:val="auto"/>
          <w:sz w:val="21"/>
          <w:szCs w:val="21"/>
          <w:highlight w:val="none"/>
        </w:rPr>
        <w:t>规定，工程质量检测业务由</w:t>
      </w:r>
      <w:r>
        <w:rPr>
          <w:rFonts w:hint="eastAsia" w:hAnsi="宋体"/>
          <w:color w:val="auto"/>
          <w:sz w:val="21"/>
          <w:szCs w:val="21"/>
          <w:highlight w:val="none"/>
          <w:lang w:eastAsia="zh-CN"/>
        </w:rPr>
        <w:t>采购人</w:t>
      </w:r>
      <w:r>
        <w:rPr>
          <w:rFonts w:hAnsi="宋体"/>
          <w:color w:val="auto"/>
          <w:sz w:val="21"/>
          <w:szCs w:val="21"/>
          <w:highlight w:val="none"/>
        </w:rPr>
        <w:t>委托有相应资质的检测机构检测。费用</w:t>
      </w:r>
      <w:r>
        <w:rPr>
          <w:rFonts w:hint="eastAsia" w:hAnsi="宋体"/>
          <w:color w:val="auto"/>
          <w:sz w:val="21"/>
          <w:szCs w:val="21"/>
          <w:highlight w:val="none"/>
        </w:rPr>
        <w:t>从</w:t>
      </w:r>
      <w:r>
        <w:rPr>
          <w:rFonts w:hint="eastAsia" w:hAnsi="宋体"/>
          <w:color w:val="auto"/>
          <w:sz w:val="21"/>
          <w:szCs w:val="21"/>
          <w:highlight w:val="none"/>
          <w:lang w:eastAsia="zh-CN"/>
        </w:rPr>
        <w:t>采购人</w:t>
      </w:r>
      <w:r>
        <w:rPr>
          <w:rFonts w:hint="eastAsia" w:hAnsi="宋体"/>
          <w:color w:val="auto"/>
          <w:sz w:val="21"/>
          <w:szCs w:val="21"/>
          <w:highlight w:val="none"/>
        </w:rPr>
        <w:t>的项目建设经费中支出并</w:t>
      </w:r>
      <w:r>
        <w:rPr>
          <w:rFonts w:hAnsi="宋体"/>
          <w:color w:val="auto"/>
          <w:sz w:val="21"/>
          <w:szCs w:val="21"/>
          <w:highlight w:val="none"/>
        </w:rPr>
        <w:t>直接支付给检测机构，不计入合同价款内。</w:t>
      </w:r>
      <w:bookmarkStart w:id="893" w:name="_Toc480967572"/>
      <w:bookmarkStart w:id="894" w:name="_Toc5038"/>
    </w:p>
    <w:p w14:paraId="4948DB16">
      <w:pPr>
        <w:pageBreakBefore w:val="0"/>
        <w:kinsoku/>
        <w:wordWrap/>
        <w:overflowPunct/>
        <w:topLinePunct w:val="0"/>
        <w:autoSpaceDE/>
        <w:autoSpaceDN/>
        <w:bidi w:val="0"/>
        <w:adjustRightInd/>
        <w:snapToGrid/>
        <w:spacing w:line="360" w:lineRule="auto"/>
        <w:textAlignment w:val="auto"/>
        <w:rPr>
          <w:rFonts w:hAnsi="宋体"/>
          <w:b/>
          <w:bCs/>
          <w:color w:val="auto"/>
          <w:kern w:val="44"/>
          <w:highlight w:val="none"/>
          <w:lang w:eastAsia="zh-CN"/>
        </w:rPr>
      </w:pPr>
      <w:r>
        <w:rPr>
          <w:rFonts w:hAnsi="宋体"/>
          <w:b/>
          <w:bCs/>
          <w:color w:val="auto"/>
          <w:kern w:val="44"/>
          <w:highlight w:val="none"/>
          <w:lang w:eastAsia="zh-CN"/>
        </w:rPr>
        <w:t>10. 变更</w:t>
      </w:r>
      <w:bookmarkEnd w:id="893"/>
      <w:bookmarkEnd w:id="894"/>
    </w:p>
    <w:p w14:paraId="46FE6783">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95" w:name="_Toc8007"/>
      <w:bookmarkStart w:id="896" w:name="_Toc480967573"/>
      <w:bookmarkStart w:id="897" w:name="_Toc7719"/>
      <w:r>
        <w:rPr>
          <w:rFonts w:hAnsi="宋体"/>
          <w:b/>
          <w:bCs/>
          <w:color w:val="auto"/>
          <w:kern w:val="44"/>
          <w:highlight w:val="none"/>
          <w:lang w:eastAsia="zh-CN"/>
        </w:rPr>
        <w:t>10.1变更的范围</w:t>
      </w:r>
      <w:bookmarkEnd w:id="895"/>
      <w:bookmarkEnd w:id="896"/>
      <w:bookmarkEnd w:id="897"/>
    </w:p>
    <w:p w14:paraId="5DD46999">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lang w:eastAsia="zh-CN"/>
        </w:rPr>
        <w:t>关于变更的范围的约定：</w:t>
      </w:r>
      <w:r>
        <w:rPr>
          <w:rFonts w:ascii="宋体" w:hAnsi="宋体"/>
          <w:color w:val="auto"/>
          <w:highlight w:val="none"/>
          <w:u w:val="single"/>
          <w:lang w:eastAsia="zh-CN"/>
        </w:rPr>
        <w:t>增加或减少合同中任何工作，或追加额外的工作；改变合同中任何工作的质量标准或其他特性</w:t>
      </w:r>
      <w:r>
        <w:rPr>
          <w:rFonts w:ascii="宋体" w:hAnsi="宋体"/>
          <w:color w:val="auto"/>
          <w:highlight w:val="none"/>
          <w:lang w:eastAsia="zh-CN"/>
        </w:rPr>
        <w:t>。</w:t>
      </w:r>
    </w:p>
    <w:p w14:paraId="2E88FAA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898" w:name="_Toc20803"/>
      <w:bookmarkStart w:id="899" w:name="_Toc480967574"/>
      <w:bookmarkStart w:id="900" w:name="_Toc2184"/>
      <w:r>
        <w:rPr>
          <w:rFonts w:hAnsi="宋体"/>
          <w:b/>
          <w:bCs/>
          <w:color w:val="auto"/>
          <w:kern w:val="44"/>
          <w:highlight w:val="none"/>
          <w:lang w:eastAsia="zh-CN"/>
        </w:rPr>
        <w:t>10.3 变更程序</w:t>
      </w:r>
      <w:bookmarkEnd w:id="898"/>
      <w:bookmarkEnd w:id="899"/>
      <w:bookmarkEnd w:id="900"/>
    </w:p>
    <w:p w14:paraId="1926CFF6">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highlight w:val="none"/>
          <w:u w:val="single"/>
          <w:lang w:eastAsia="zh-CN"/>
        </w:rPr>
      </w:pPr>
      <w:r>
        <w:rPr>
          <w:rFonts w:ascii="宋体" w:hAnsi="宋体"/>
          <w:bCs/>
          <w:color w:val="auto"/>
          <w:highlight w:val="none"/>
          <w:lang w:eastAsia="zh-CN"/>
        </w:rPr>
        <w:t>10.3.1 国有投资项目：</w:t>
      </w:r>
    </w:p>
    <w:p w14:paraId="3ECCFA8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hint="eastAsia" w:ascii="宋体" w:hAnsi="宋体" w:cs="宋体"/>
          <w:bCs/>
          <w:color w:val="auto"/>
          <w:highlight w:val="none"/>
          <w:lang w:eastAsia="zh-CN"/>
        </w:rPr>
        <w:t>⑴</w:t>
      </w:r>
      <w:r>
        <w:rPr>
          <w:rFonts w:ascii="宋体" w:hAnsi="宋体"/>
          <w:bCs/>
          <w:color w:val="auto"/>
          <w:highlight w:val="none"/>
          <w:lang w:eastAsia="zh-CN"/>
        </w:rPr>
        <w:t>设计变更和工程签证，按各市政府或相关部门的规定办理。属不可抗力（自然灾害、突发事件等）造成变更的，按特事特办原则予以办理。</w:t>
      </w:r>
    </w:p>
    <w:p w14:paraId="74D5011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hint="eastAsia" w:ascii="宋体" w:hAnsi="宋体" w:cs="宋体"/>
          <w:bCs/>
          <w:color w:val="auto"/>
          <w:highlight w:val="none"/>
          <w:lang w:eastAsia="zh-CN"/>
        </w:rPr>
        <w:t>⑵</w:t>
      </w:r>
      <w:r>
        <w:rPr>
          <w:rFonts w:ascii="宋体" w:hAnsi="宋体"/>
          <w:bCs/>
          <w:color w:val="auto"/>
          <w:highlight w:val="none"/>
          <w:lang w:eastAsia="zh-CN"/>
        </w:rPr>
        <w:t>建设单位在实施项目过程中，若发生单价变动，由建设单位、监理单位、施工单位及其他相关单位共同商定并签字确认。</w:t>
      </w:r>
    </w:p>
    <w:p w14:paraId="36ACE46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hint="eastAsia" w:ascii="宋体" w:hAnsi="宋体" w:cs="宋体"/>
          <w:bCs/>
          <w:color w:val="auto"/>
          <w:highlight w:val="none"/>
          <w:lang w:eastAsia="zh-CN"/>
        </w:rPr>
        <w:t>⑶</w:t>
      </w:r>
      <w:r>
        <w:rPr>
          <w:rFonts w:ascii="宋体" w:hAnsi="宋体"/>
          <w:bCs/>
          <w:color w:val="auto"/>
          <w:highlight w:val="none"/>
          <w:lang w:eastAsia="zh-CN"/>
        </w:rPr>
        <w:t xml:space="preserve"> 当合同规定的合同价款调整情况发生后，承包人未在规定时间内通知发包人，或者未在规定时间内提出调整报告，发包人可以根据有关资料，决定是否调整和调整的金额，并书面通知承包人。</w:t>
      </w:r>
    </w:p>
    <w:p w14:paraId="46BB3A4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ascii="宋体" w:hAnsi="宋体"/>
          <w:bCs/>
          <w:color w:val="auto"/>
          <w:highlight w:val="none"/>
          <w:lang w:eastAsia="zh-CN"/>
        </w:rPr>
        <w:t>10.3.2 非国有投资项目：</w:t>
      </w:r>
      <w:r>
        <w:rPr>
          <w:rFonts w:hint="eastAsia" w:ascii="宋体" w:hAnsi="宋体"/>
          <w:bCs/>
          <w:color w:val="auto"/>
          <w:highlight w:val="none"/>
          <w:u w:val="single"/>
          <w:lang w:eastAsia="zh-CN"/>
        </w:rPr>
        <w:t xml:space="preserve">       无        </w:t>
      </w:r>
      <w:r>
        <w:rPr>
          <w:rFonts w:ascii="宋体" w:hAnsi="宋体"/>
          <w:bCs/>
          <w:color w:val="auto"/>
          <w:highlight w:val="none"/>
          <w:lang w:eastAsia="zh-CN"/>
        </w:rPr>
        <w:t>。</w:t>
      </w:r>
    </w:p>
    <w:p w14:paraId="43F1B501">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01" w:name="_Toc8738"/>
      <w:bookmarkStart w:id="902" w:name="_Toc480967575"/>
      <w:bookmarkStart w:id="903" w:name="_Toc5517"/>
      <w:r>
        <w:rPr>
          <w:rFonts w:hAnsi="宋体"/>
          <w:b/>
          <w:bCs/>
          <w:color w:val="auto"/>
          <w:kern w:val="44"/>
          <w:highlight w:val="none"/>
          <w:lang w:eastAsia="zh-CN"/>
        </w:rPr>
        <w:t>10.4 变更估价</w:t>
      </w:r>
      <w:bookmarkEnd w:id="901"/>
      <w:bookmarkEnd w:id="902"/>
      <w:bookmarkEnd w:id="903"/>
    </w:p>
    <w:p w14:paraId="12EEF8D8">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lang w:eastAsia="zh-CN"/>
        </w:rPr>
        <w:t>10.4.1 变更估价原则</w:t>
      </w:r>
      <w:r>
        <w:rPr>
          <w:rFonts w:hint="eastAsia" w:ascii="宋体" w:hAnsi="宋体"/>
          <w:color w:val="auto"/>
          <w:highlight w:val="none"/>
          <w:lang w:eastAsia="zh-CN"/>
        </w:rPr>
        <w:t>：</w:t>
      </w:r>
      <w:r>
        <w:rPr>
          <w:rFonts w:ascii="宋体" w:hAnsi="宋体"/>
          <w:bCs/>
          <w:color w:val="auto"/>
          <w:highlight w:val="none"/>
          <w:u w:val="single"/>
          <w:lang w:eastAsia="zh-CN"/>
        </w:rPr>
        <w:t>因设计变更、相关签证引起工程项目、工程量任何变化的，变更合同价款按下列方法进行：</w:t>
      </w:r>
      <w:r>
        <w:rPr>
          <w:rFonts w:hint="eastAsia" w:ascii="宋体" w:hAnsi="宋体"/>
          <w:color w:val="auto"/>
          <w:highlight w:val="none"/>
          <w:u w:val="single"/>
          <w:lang w:eastAsia="zh-CN"/>
        </w:rPr>
        <w:t xml:space="preserve">（1）合同中已有相同清单项目的，按合同该清单项目价格进行计算；（2）合同中只有类似清单项目的，参照该类似清单项目价格进行计算；（3）合同中没有适用或类似清单项目的价格计算方法：有定额的套定额，并乘以下浮系数（中标的投标报价/本项目招标控制价）计算，其中材料价格按施工期间的 《桂林市建设工程造价信息》相应价格信息进行计算；《桂林市建设工程造价信息》没有相应价格信息的按市场价计算；无定额可套的，根据市场价格协商确定综合价格；对于国有资产投资的项目，新增项目的单价必须经发包人委托的第三方审核机构审定。             </w:t>
      </w:r>
    </w:p>
    <w:p w14:paraId="47C64951">
      <w:pPr>
        <w:pageBreakBefore w:val="0"/>
        <w:kinsoku/>
        <w:wordWrap/>
        <w:overflowPunct/>
        <w:topLinePunct w:val="0"/>
        <w:autoSpaceDE/>
        <w:autoSpaceDN/>
        <w:bidi w:val="0"/>
        <w:adjustRightInd/>
        <w:snapToGrid/>
        <w:spacing w:line="360" w:lineRule="auto"/>
        <w:ind w:firstLine="567" w:firstLineChars="270"/>
        <w:textAlignment w:val="auto"/>
        <w:rPr>
          <w:rFonts w:hint="eastAsia" w:ascii="宋体" w:hAnsi="宋体"/>
          <w:color w:val="auto"/>
          <w:highlight w:val="none"/>
          <w:u w:val="single"/>
          <w:lang w:eastAsia="zh-CN"/>
        </w:rPr>
      </w:pPr>
      <w:r>
        <w:rPr>
          <w:rFonts w:hint="eastAsia" w:ascii="宋体" w:hAnsi="宋体"/>
          <w:color w:val="auto"/>
          <w:highlight w:val="none"/>
          <w:u w:val="single"/>
          <w:lang w:eastAsia="zh-CN"/>
        </w:rPr>
        <w:t>关于变更估价的约定：（1）投标报价中已有适用于变更工程的综合单价，按已有的综合单价，综合单价不随工程量的增减而变化，（2）投标报价中有类似变更工程的综合单价，可参照投标报价中类似的综合单价确定（3）投标报价中没有适用或类似于变更工程的综合单价，则有定额的套定额计算，执行本工程编制招标控制价的参考依据，其中材料价格有信息价的按合同该新增子项实施期间《桂林市建设工程造价信息》的平均值计取，无信息价的，按市场价格由发包人、承包人、发包人工地代表、发包人委托的造价咨询机构、现场监管代表及监理协商确定材料价，不在下浮范围之内；新增结算综合单价=定额计算的综合单价×（中标的投标报价/本项目招标控制价），新增项目无定额可套时，由发包人、承包人驻现场代表（包括发包人工地代表、发包人委托的造价咨询机构）及监理三方共同协商确定包干价，不在下浮范围之内。暂定价调整方法为：暂定材料价格部分仅调整合同实施期间材料市场价与暂定价之间的价差并计相应的规费和增值税，投标书中相应的综合单价不再调整。本工程最终结算经发包人委托的中介机构审定并经甲乙双方签字确认为准。</w:t>
      </w:r>
    </w:p>
    <w:p w14:paraId="5CBE3CD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04" w:name="_Toc12691"/>
      <w:bookmarkStart w:id="905" w:name="_Toc9812"/>
      <w:bookmarkStart w:id="906" w:name="_Toc480967576"/>
      <w:r>
        <w:rPr>
          <w:rFonts w:hAnsi="宋体"/>
          <w:b/>
          <w:bCs/>
          <w:color w:val="auto"/>
          <w:kern w:val="44"/>
          <w:highlight w:val="none"/>
          <w:lang w:eastAsia="zh-CN"/>
        </w:rPr>
        <w:t>10.5承包人的合理化建议</w:t>
      </w:r>
      <w:bookmarkEnd w:id="904"/>
      <w:bookmarkEnd w:id="905"/>
      <w:bookmarkEnd w:id="906"/>
    </w:p>
    <w:p w14:paraId="7347082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监理人审查承包人合理化建议的期限：</w:t>
      </w:r>
      <w:r>
        <w:rPr>
          <w:rFonts w:hint="eastAsia" w:ascii="宋体" w:hAnsi="宋体"/>
          <w:color w:val="auto"/>
          <w:highlight w:val="none"/>
          <w:u w:val="single"/>
          <w:lang w:eastAsia="zh-CN"/>
        </w:rPr>
        <w:t>7天内</w:t>
      </w:r>
      <w:r>
        <w:rPr>
          <w:rFonts w:ascii="宋体" w:hAnsi="宋体"/>
          <w:color w:val="auto"/>
          <w:highlight w:val="none"/>
          <w:lang w:eastAsia="zh-CN"/>
        </w:rPr>
        <w:t>。</w:t>
      </w:r>
    </w:p>
    <w:p w14:paraId="16E4E75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发包人审批承包人合理化建议的期限：</w:t>
      </w:r>
      <w:r>
        <w:rPr>
          <w:rFonts w:hint="eastAsia" w:ascii="宋体" w:hAnsi="宋体"/>
          <w:color w:val="auto"/>
          <w:highlight w:val="none"/>
          <w:u w:val="single"/>
          <w:lang w:eastAsia="zh-CN"/>
        </w:rPr>
        <w:t>7天内</w:t>
      </w:r>
      <w:r>
        <w:rPr>
          <w:rFonts w:ascii="宋体" w:hAnsi="宋体"/>
          <w:color w:val="auto"/>
          <w:highlight w:val="none"/>
          <w:lang w:eastAsia="zh-CN"/>
        </w:rPr>
        <w:t>。</w:t>
      </w:r>
    </w:p>
    <w:p w14:paraId="0B9E7AE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承包人提出的合理化建议降低了合同价格或者提高了工程经济效益的奖励的方法和金额为：</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无  </w:t>
      </w:r>
      <w:r>
        <w:rPr>
          <w:rFonts w:ascii="宋体" w:hAnsi="宋体"/>
          <w:color w:val="auto"/>
          <w:highlight w:val="none"/>
          <w:lang w:eastAsia="zh-CN"/>
        </w:rPr>
        <w:t>。</w:t>
      </w:r>
    </w:p>
    <w:p w14:paraId="4ECA9615">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07" w:name="_Toc8636"/>
      <w:bookmarkStart w:id="908" w:name="_Toc31728"/>
      <w:bookmarkStart w:id="909" w:name="_Toc480967577"/>
      <w:r>
        <w:rPr>
          <w:rFonts w:hAnsi="宋体"/>
          <w:b/>
          <w:bCs/>
          <w:color w:val="auto"/>
          <w:kern w:val="44"/>
          <w:highlight w:val="none"/>
          <w:lang w:eastAsia="zh-CN"/>
        </w:rPr>
        <w:t>10.7 暂估价</w:t>
      </w:r>
      <w:bookmarkEnd w:id="907"/>
      <w:bookmarkEnd w:id="908"/>
      <w:bookmarkEnd w:id="909"/>
    </w:p>
    <w:p w14:paraId="0A17C57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暂估价材料和工程设备的明细详见</w:t>
      </w:r>
      <w:r>
        <w:rPr>
          <w:rFonts w:hint="eastAsia" w:ascii="宋体" w:hAnsi="宋体"/>
          <w:color w:val="auto"/>
          <w:highlight w:val="none"/>
          <w:lang w:eastAsia="zh-CN"/>
        </w:rPr>
        <w:t>附件11：</w:t>
      </w:r>
      <w:r>
        <w:rPr>
          <w:rFonts w:ascii="宋体" w:hAnsi="宋体"/>
          <w:color w:val="auto"/>
          <w:highlight w:val="none"/>
          <w:lang w:eastAsia="zh-CN"/>
        </w:rPr>
        <w:t>《暂估价</w:t>
      </w:r>
      <w:r>
        <w:rPr>
          <w:rFonts w:hint="eastAsia" w:ascii="宋体" w:hAnsi="宋体"/>
          <w:color w:val="auto"/>
          <w:highlight w:val="none"/>
          <w:lang w:eastAsia="zh-CN"/>
        </w:rPr>
        <w:t>一览</w:t>
      </w:r>
      <w:r>
        <w:rPr>
          <w:rFonts w:ascii="宋体" w:hAnsi="宋体"/>
          <w:color w:val="auto"/>
          <w:highlight w:val="none"/>
          <w:lang w:eastAsia="zh-CN"/>
        </w:rPr>
        <w:t>表》</w:t>
      </w:r>
      <w:r>
        <w:rPr>
          <w:rFonts w:hint="eastAsia" w:ascii="宋体" w:hAnsi="宋体"/>
          <w:color w:val="auto"/>
          <w:highlight w:val="none"/>
          <w:lang w:eastAsia="zh-CN"/>
        </w:rPr>
        <w:t xml:space="preserve"> </w:t>
      </w:r>
      <w:r>
        <w:rPr>
          <w:rFonts w:ascii="宋体" w:hAnsi="宋体"/>
          <w:color w:val="auto"/>
          <w:highlight w:val="none"/>
          <w:lang w:eastAsia="zh-CN"/>
        </w:rPr>
        <w:t>。</w:t>
      </w:r>
    </w:p>
    <w:p w14:paraId="2B755707">
      <w:pPr>
        <w:pageBreakBefore w:val="0"/>
        <w:kinsoku/>
        <w:wordWrap/>
        <w:overflowPunct/>
        <w:topLinePunct w:val="0"/>
        <w:autoSpaceDE/>
        <w:autoSpaceDN/>
        <w:bidi w:val="0"/>
        <w:adjustRightInd/>
        <w:snapToGrid/>
        <w:spacing w:line="360" w:lineRule="auto"/>
        <w:ind w:firstLine="420" w:firstLineChars="200"/>
        <w:textAlignment w:val="auto"/>
        <w:outlineLvl w:val="9"/>
        <w:rPr>
          <w:rFonts w:ascii="宋体" w:hAnsi="宋体"/>
          <w:color w:val="auto"/>
          <w:highlight w:val="none"/>
          <w:lang w:eastAsia="zh-CN"/>
        </w:rPr>
      </w:pPr>
      <w:r>
        <w:rPr>
          <w:rFonts w:ascii="宋体" w:hAnsi="宋体"/>
          <w:color w:val="auto"/>
          <w:highlight w:val="none"/>
          <w:lang w:eastAsia="zh-CN"/>
        </w:rPr>
        <w:t>10.7.1 依法必须招标的暂估价项目</w:t>
      </w:r>
    </w:p>
    <w:p w14:paraId="69382CD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对于依法必须招标的暂估价项目的确认和批准采取第</w:t>
      </w:r>
      <w:r>
        <w:rPr>
          <w:rFonts w:hint="eastAsia" w:ascii="宋体" w:hAnsi="宋体"/>
          <w:color w:val="auto"/>
          <w:highlight w:val="none"/>
          <w:u w:val="single"/>
          <w:lang w:eastAsia="zh-CN"/>
        </w:rPr>
        <w:t xml:space="preserve"> </w:t>
      </w:r>
      <w:r>
        <w:rPr>
          <w:rFonts w:hint="eastAsia" w:ascii="宋体" w:hAnsi="宋体"/>
          <w:bCs/>
          <w:color w:val="auto"/>
          <w:highlight w:val="none"/>
          <w:u w:val="single"/>
          <w:lang w:val="en-US" w:eastAsia="zh-CN"/>
        </w:rPr>
        <w:t>/</w:t>
      </w:r>
      <w:r>
        <w:rPr>
          <w:rFonts w:ascii="宋体" w:hAnsi="宋体"/>
          <w:color w:val="auto"/>
          <w:highlight w:val="none"/>
          <w:u w:val="single"/>
          <w:lang w:eastAsia="zh-CN"/>
        </w:rPr>
        <w:t xml:space="preserve"> </w:t>
      </w:r>
      <w:r>
        <w:rPr>
          <w:rFonts w:ascii="宋体" w:hAnsi="宋体"/>
          <w:color w:val="auto"/>
          <w:highlight w:val="none"/>
          <w:lang w:eastAsia="zh-CN"/>
        </w:rPr>
        <w:t>种方式确定。</w:t>
      </w:r>
    </w:p>
    <w:p w14:paraId="360964E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10.7.2 不属于依法必须招标的暂估价项目</w:t>
      </w:r>
    </w:p>
    <w:p w14:paraId="20ACFC9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对于不属于依法必须招标的暂估价项目的确认和批准采取第</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3</w:t>
      </w:r>
      <w:r>
        <w:rPr>
          <w:rFonts w:ascii="宋体" w:hAnsi="宋体"/>
          <w:color w:val="auto"/>
          <w:highlight w:val="none"/>
          <w:u w:val="single"/>
          <w:lang w:eastAsia="zh-CN"/>
        </w:rPr>
        <w:t xml:space="preserve"> </w:t>
      </w:r>
      <w:r>
        <w:rPr>
          <w:rFonts w:ascii="宋体" w:hAnsi="宋体"/>
          <w:color w:val="auto"/>
          <w:highlight w:val="none"/>
          <w:lang w:eastAsia="zh-CN"/>
        </w:rPr>
        <w:t xml:space="preserve"> 种方式确定。</w:t>
      </w:r>
    </w:p>
    <w:p w14:paraId="6C6E1421">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第3种方式：承包人直接实施的暂估价项目</w:t>
      </w:r>
    </w:p>
    <w:p w14:paraId="02C18CD0">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承包人直接实施的暂估价项目的约定：</w:t>
      </w:r>
      <w:r>
        <w:rPr>
          <w:rFonts w:ascii="宋体" w:hAnsi="宋体"/>
          <w:color w:val="auto"/>
          <w:highlight w:val="none"/>
          <w:u w:val="single"/>
          <w:lang w:eastAsia="zh-CN"/>
        </w:rPr>
        <w:t>承包人具备实施暂估价项目的资格和条件的，经发包人和承包人协商一致后，可由承包人自行实施暂估价项目</w:t>
      </w:r>
      <w:r>
        <w:rPr>
          <w:rFonts w:hint="eastAsia" w:ascii="宋体" w:hAnsi="宋体"/>
          <w:color w:val="auto"/>
          <w:highlight w:val="none"/>
          <w:u w:val="single"/>
          <w:lang w:eastAsia="zh-CN"/>
        </w:rPr>
        <w:t>，合同当事人可以在合同条款约定具体事项 。</w:t>
      </w:r>
    </w:p>
    <w:p w14:paraId="4718052A">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10" w:name="_Toc19072"/>
      <w:bookmarkStart w:id="911" w:name="_Toc26782"/>
      <w:bookmarkStart w:id="912" w:name="_Toc480967578"/>
      <w:r>
        <w:rPr>
          <w:rFonts w:hAnsi="宋体"/>
          <w:b/>
          <w:bCs/>
          <w:color w:val="auto"/>
          <w:kern w:val="44"/>
          <w:highlight w:val="none"/>
          <w:lang w:eastAsia="zh-CN"/>
        </w:rPr>
        <w:t>10.8 暂列金额</w:t>
      </w:r>
      <w:bookmarkEnd w:id="910"/>
      <w:bookmarkEnd w:id="911"/>
      <w:bookmarkEnd w:id="912"/>
    </w:p>
    <w:p w14:paraId="4F8DF62A">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olor w:val="auto"/>
          <w:sz w:val="22"/>
          <w:highlight w:val="none"/>
          <w:lang w:eastAsia="zh-CN"/>
        </w:rPr>
      </w:pPr>
      <w:r>
        <w:rPr>
          <w:color w:val="auto"/>
          <w:sz w:val="22"/>
          <w:szCs w:val="22"/>
          <w:highlight w:val="none"/>
          <w:lang w:eastAsia="zh-CN"/>
        </w:rPr>
        <w:t>合同当事人关于暂列金额使用的约定：</w:t>
      </w:r>
      <w:r>
        <w:rPr>
          <w:rFonts w:hint="eastAsia"/>
          <w:color w:val="auto"/>
          <w:sz w:val="22"/>
          <w:highlight w:val="none"/>
          <w:u w:val="single"/>
          <w:lang w:eastAsia="zh-CN"/>
        </w:rPr>
        <w:t>（1）已签约合同价中的暂列金额由发包人掌握使用。（2）发包人按照规定所作支付后，暂列金额如有余额归发包人</w:t>
      </w:r>
      <w:r>
        <w:rPr>
          <w:rFonts w:hint="eastAsia"/>
          <w:color w:val="auto"/>
          <w:sz w:val="22"/>
          <w:szCs w:val="22"/>
          <w:highlight w:val="none"/>
          <w:lang w:eastAsia="zh-CN"/>
        </w:rPr>
        <w:t>。</w:t>
      </w:r>
    </w:p>
    <w:p w14:paraId="1A33DD24">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13" w:name="_Toc31498"/>
      <w:bookmarkStart w:id="914" w:name="_Toc15895"/>
      <w:bookmarkStart w:id="915" w:name="_Toc480967579"/>
      <w:r>
        <w:rPr>
          <w:rFonts w:hAnsi="宋体"/>
          <w:b/>
          <w:bCs/>
          <w:color w:val="auto"/>
          <w:kern w:val="44"/>
          <w:highlight w:val="none"/>
          <w:lang w:eastAsia="zh-CN"/>
        </w:rPr>
        <w:t>11. 价格调整</w:t>
      </w:r>
      <w:bookmarkEnd w:id="913"/>
      <w:bookmarkEnd w:id="914"/>
      <w:bookmarkEnd w:id="915"/>
    </w:p>
    <w:p w14:paraId="4DD2FE3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16" w:name="_Toc25903"/>
      <w:bookmarkStart w:id="917" w:name="_Toc788"/>
      <w:bookmarkStart w:id="918" w:name="_Toc480967580"/>
      <w:r>
        <w:rPr>
          <w:rFonts w:hAnsi="宋体"/>
          <w:b/>
          <w:bCs/>
          <w:color w:val="auto"/>
          <w:kern w:val="44"/>
          <w:highlight w:val="none"/>
          <w:lang w:eastAsia="zh-CN"/>
        </w:rPr>
        <w:t>11.1 市场价格波动引起的调整</w:t>
      </w:r>
      <w:bookmarkEnd w:id="916"/>
      <w:bookmarkEnd w:id="917"/>
      <w:bookmarkEnd w:id="918"/>
    </w:p>
    <w:p w14:paraId="0EBEFF7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市场价格波动是否调整合同价格的约定：</w:t>
      </w:r>
      <w:r>
        <w:rPr>
          <w:rFonts w:hint="eastAsia" w:ascii="宋体" w:hAnsi="宋体"/>
          <w:color w:val="auto"/>
          <w:highlight w:val="none"/>
          <w:u w:val="single"/>
          <w:lang w:eastAsia="zh-CN"/>
        </w:rPr>
        <w:t xml:space="preserve"> </w:t>
      </w:r>
      <w:r>
        <w:rPr>
          <w:rFonts w:hint="eastAsia" w:ascii="宋体" w:hAnsi="宋体"/>
          <w:b/>
          <w:color w:val="auto"/>
          <w:highlight w:val="none"/>
          <w:u w:val="single"/>
          <w:lang w:eastAsia="zh-CN"/>
        </w:rPr>
        <w:t xml:space="preserve">不调整 </w:t>
      </w:r>
      <w:r>
        <w:rPr>
          <w:rFonts w:hint="eastAsia" w:ascii="宋体" w:hAnsi="宋体"/>
          <w:color w:val="auto"/>
          <w:highlight w:val="none"/>
          <w:u w:val="single"/>
          <w:lang w:eastAsia="zh-CN"/>
        </w:rPr>
        <w:t xml:space="preserve">    </w:t>
      </w:r>
      <w:r>
        <w:rPr>
          <w:rFonts w:ascii="宋体" w:hAnsi="宋体"/>
          <w:color w:val="auto"/>
          <w:highlight w:val="none"/>
          <w:lang w:eastAsia="zh-CN"/>
        </w:rPr>
        <w:t>。</w:t>
      </w:r>
    </w:p>
    <w:p w14:paraId="4B21737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因市场价格波动调整合同价格，采用以下第</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种方式对合同价格进行调整：</w:t>
      </w:r>
    </w:p>
    <w:p w14:paraId="72D73C0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第1种方式：采用价格指数进行价格调整。</w:t>
      </w:r>
    </w:p>
    <w:p w14:paraId="1B993CB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关于各可调因子、定值和变值权重，以及基本价格指数及其来源的约定：</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无</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 xml:space="preserve">； </w:t>
      </w:r>
    </w:p>
    <w:p w14:paraId="05B329F7">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第2种方式：采用造价信息进行价格调整。</w:t>
      </w:r>
    </w:p>
    <w:p w14:paraId="0E6FFC7C">
      <w:pPr>
        <w:pageBreakBefore w:val="0"/>
        <w:numPr>
          <w:ilvl w:val="0"/>
          <w:numId w:val="7"/>
        </w:numPr>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hint="eastAsia" w:ascii="宋体" w:hAnsi="宋体"/>
          <w:color w:val="auto"/>
          <w:highlight w:val="none"/>
          <w:lang w:eastAsia="zh-CN"/>
        </w:rPr>
        <w:t>关于基准价格的约定</w:t>
      </w:r>
      <w:r>
        <w:rPr>
          <w:rFonts w:ascii="宋体" w:hAnsi="宋体"/>
          <w:color w:val="auto"/>
          <w:highlight w:val="none"/>
          <w:lang w:eastAsia="zh-CN"/>
        </w:rPr>
        <w:t>：</w:t>
      </w:r>
      <w:r>
        <w:rPr>
          <w:rFonts w:hint="eastAsia" w:ascii="宋体" w:hAnsi="宋体"/>
          <w:color w:val="auto"/>
          <w:highlight w:val="none"/>
          <w:u w:val="single"/>
          <w:lang w:eastAsia="zh-CN"/>
        </w:rPr>
        <w:t xml:space="preserve">    无      </w:t>
      </w:r>
      <w:r>
        <w:rPr>
          <w:rFonts w:hint="eastAsia" w:ascii="宋体" w:hAnsi="宋体"/>
          <w:color w:val="auto"/>
          <w:highlight w:val="none"/>
          <w:lang w:eastAsia="zh-CN"/>
        </w:rPr>
        <w:t>。</w:t>
      </w:r>
    </w:p>
    <w:p w14:paraId="3D2C1F5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hint="eastAsia" w:ascii="宋体" w:hAnsi="宋体"/>
          <w:color w:val="auto"/>
          <w:highlight w:val="none"/>
          <w:lang w:eastAsia="zh-CN"/>
        </w:rPr>
        <w:t xml:space="preserve"> </w:t>
      </w:r>
      <w:r>
        <w:rPr>
          <w:rFonts w:ascii="宋体" w:hAnsi="宋体"/>
          <w:color w:val="auto"/>
          <w:highlight w:val="none"/>
          <w:lang w:eastAsia="zh-CN"/>
        </w:rPr>
        <w:t>专用合同条款</w:t>
      </w:r>
      <w:r>
        <w:rPr>
          <w:rFonts w:hint="eastAsia" w:ascii="宋体" w:hAnsi="宋体" w:cs="宋体"/>
          <w:color w:val="auto"/>
          <w:highlight w:val="none"/>
          <w:lang w:eastAsia="zh-CN"/>
        </w:rPr>
        <w:t>①</w:t>
      </w:r>
      <w:r>
        <w:rPr>
          <w:rFonts w:ascii="宋体" w:hAnsi="宋体"/>
          <w:color w:val="auto"/>
          <w:highlight w:val="none"/>
          <w:lang w:eastAsia="zh-CN"/>
        </w:rPr>
        <w:t>承包人在已标价工程量清单或预算书中载明的材料单价低于基准价格的：专用合同条款合同履行期间材料单价涨幅以基准价格为基础超过</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%时，或材料单价跌幅以已标价工程量清单或预算书中载明材料单价为基础超过</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w:t>
      </w:r>
      <w:r>
        <w:rPr>
          <w:rFonts w:ascii="宋体" w:hAnsi="宋体"/>
          <w:color w:val="auto"/>
          <w:highlight w:val="none"/>
          <w:u w:val="single"/>
          <w:lang w:eastAsia="zh-CN"/>
        </w:rPr>
        <w:t xml:space="preserve"> </w:t>
      </w:r>
      <w:r>
        <w:rPr>
          <w:rFonts w:ascii="宋体" w:hAnsi="宋体"/>
          <w:color w:val="auto"/>
          <w:highlight w:val="none"/>
          <w:lang w:eastAsia="zh-CN"/>
        </w:rPr>
        <w:t>%时，其超过部分据实调整。</w:t>
      </w:r>
    </w:p>
    <w:p w14:paraId="5DAC31B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hint="eastAsia" w:ascii="宋体" w:hAnsi="宋体" w:cs="宋体"/>
          <w:color w:val="auto"/>
          <w:highlight w:val="none"/>
          <w:lang w:eastAsia="zh-CN"/>
        </w:rPr>
        <w:t>②</w:t>
      </w:r>
      <w:r>
        <w:rPr>
          <w:rFonts w:ascii="宋体" w:hAnsi="宋体"/>
          <w:color w:val="auto"/>
          <w:highlight w:val="none"/>
          <w:lang w:eastAsia="zh-CN"/>
        </w:rPr>
        <w:t>承包人在已标价工程量清单或预算书中载明的材料单价高于基准价格的：专用合同条款合同履行期间材料单价跌幅以基准价格为基础超过</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%时，材料单价涨幅以已标价工程量清单或预算书中载明材料单价为基础超过</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w:t>
      </w:r>
      <w:r>
        <w:rPr>
          <w:rFonts w:ascii="宋体" w:hAnsi="宋体"/>
          <w:color w:val="auto"/>
          <w:highlight w:val="none"/>
          <w:u w:val="single"/>
          <w:lang w:eastAsia="zh-CN"/>
        </w:rPr>
        <w:t xml:space="preserve"> </w:t>
      </w:r>
      <w:r>
        <w:rPr>
          <w:rFonts w:ascii="宋体" w:hAnsi="宋体"/>
          <w:color w:val="auto"/>
          <w:highlight w:val="none"/>
          <w:lang w:eastAsia="zh-CN"/>
        </w:rPr>
        <w:t>%时，其超过部分据实调整。</w:t>
      </w:r>
    </w:p>
    <w:p w14:paraId="3EFFAF2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hint="eastAsia" w:ascii="宋体" w:hAnsi="宋体" w:cs="宋体"/>
          <w:color w:val="auto"/>
          <w:highlight w:val="none"/>
          <w:lang w:eastAsia="zh-CN"/>
        </w:rPr>
        <w:t>③</w:t>
      </w:r>
      <w:r>
        <w:rPr>
          <w:rFonts w:ascii="宋体" w:hAnsi="宋体"/>
          <w:color w:val="auto"/>
          <w:highlight w:val="none"/>
          <w:lang w:eastAsia="zh-CN"/>
        </w:rPr>
        <w:t>承包人在已标价工程量清单或预算书中载明的材料单价等于基准单价的：专用合同条款合同履行期间材料单价涨跌幅以基准单价为基础超过±</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w:t>
      </w:r>
      <w:r>
        <w:rPr>
          <w:rFonts w:ascii="宋体" w:hAnsi="宋体"/>
          <w:color w:val="auto"/>
          <w:highlight w:val="none"/>
          <w:u w:val="single"/>
          <w:lang w:eastAsia="zh-CN"/>
        </w:rPr>
        <w:t xml:space="preserve"> </w:t>
      </w:r>
      <w:r>
        <w:rPr>
          <w:rFonts w:ascii="宋体" w:hAnsi="宋体"/>
          <w:color w:val="auto"/>
          <w:highlight w:val="none"/>
          <w:lang w:eastAsia="zh-CN"/>
        </w:rPr>
        <w:t>%时，其超过部分据实调整。</w:t>
      </w:r>
    </w:p>
    <w:p w14:paraId="749C1A6D">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19" w:name="_Toc13714"/>
      <w:bookmarkStart w:id="920" w:name="_Toc549"/>
      <w:bookmarkStart w:id="921" w:name="_Toc480967581"/>
      <w:r>
        <w:rPr>
          <w:rFonts w:hAnsi="宋体"/>
          <w:b/>
          <w:bCs/>
          <w:color w:val="auto"/>
          <w:kern w:val="44"/>
          <w:highlight w:val="none"/>
          <w:lang w:eastAsia="zh-CN"/>
        </w:rPr>
        <w:t>12. 合同价格、计量与支付</w:t>
      </w:r>
      <w:bookmarkEnd w:id="919"/>
      <w:bookmarkEnd w:id="920"/>
      <w:bookmarkEnd w:id="921"/>
    </w:p>
    <w:p w14:paraId="68FD62C9">
      <w:pPr>
        <w:keepNext/>
        <w:keepLines/>
        <w:pageBreakBefore w:val="0"/>
        <w:kinsoku/>
        <w:wordWrap/>
        <w:overflowPunct/>
        <w:topLinePunct w:val="0"/>
        <w:autoSpaceDE/>
        <w:autoSpaceDN/>
        <w:bidi w:val="0"/>
        <w:adjustRightInd/>
        <w:snapToGrid/>
        <w:spacing w:line="360" w:lineRule="auto"/>
        <w:textAlignment w:val="auto"/>
        <w:outlineLvl w:val="1"/>
        <w:rPr>
          <w:rFonts w:hint="eastAsia" w:hAnsi="宋体"/>
          <w:b/>
          <w:bCs/>
          <w:color w:val="auto"/>
          <w:kern w:val="44"/>
          <w:highlight w:val="none"/>
          <w:lang w:eastAsia="zh-CN"/>
        </w:rPr>
      </w:pPr>
      <w:bookmarkStart w:id="922" w:name="_Toc27910"/>
      <w:bookmarkStart w:id="923" w:name="_Toc480967582"/>
      <w:bookmarkStart w:id="924" w:name="_Toc25768"/>
      <w:r>
        <w:rPr>
          <w:rFonts w:hAnsi="宋体"/>
          <w:b/>
          <w:bCs/>
          <w:color w:val="auto"/>
          <w:kern w:val="44"/>
          <w:highlight w:val="none"/>
          <w:lang w:eastAsia="zh-CN"/>
        </w:rPr>
        <w:t>12.1 合同价格形式</w:t>
      </w:r>
      <w:bookmarkEnd w:id="922"/>
      <w:bookmarkEnd w:id="923"/>
      <w:bookmarkEnd w:id="924"/>
    </w:p>
    <w:p w14:paraId="1E3D3C83">
      <w:pPr>
        <w:pageBreakBefore w:val="0"/>
        <w:numPr>
          <w:ilvl w:val="0"/>
          <w:numId w:val="8"/>
        </w:numPr>
        <w:kinsoku/>
        <w:wordWrap/>
        <w:overflowPunct/>
        <w:topLinePunct w:val="0"/>
        <w:autoSpaceDE/>
        <w:autoSpaceDN/>
        <w:bidi w:val="0"/>
        <w:adjustRightInd/>
        <w:snapToGrid/>
        <w:spacing w:line="360" w:lineRule="auto"/>
        <w:ind w:firstLine="440" w:firstLineChars="200"/>
        <w:textAlignment w:val="auto"/>
        <w:rPr>
          <w:rFonts w:hAnsi="宋体"/>
          <w:color w:val="auto"/>
          <w:sz w:val="22"/>
          <w:highlight w:val="none"/>
        </w:rPr>
      </w:pPr>
      <w:r>
        <w:rPr>
          <w:rFonts w:hAnsi="宋体"/>
          <w:color w:val="auto"/>
          <w:sz w:val="22"/>
          <w:highlight w:val="none"/>
        </w:rPr>
        <w:t>单价合同。</w:t>
      </w:r>
    </w:p>
    <w:p w14:paraId="31A7E025">
      <w:pPr>
        <w:pageBreakBefore w:val="0"/>
        <w:kinsoku/>
        <w:wordWrap/>
        <w:overflowPunct/>
        <w:topLinePunct w:val="0"/>
        <w:autoSpaceDE/>
        <w:autoSpaceDN/>
        <w:bidi w:val="0"/>
        <w:adjustRightInd/>
        <w:snapToGrid/>
        <w:spacing w:line="360" w:lineRule="auto"/>
        <w:ind w:firstLine="440" w:firstLineChars="200"/>
        <w:textAlignment w:val="auto"/>
        <w:rPr>
          <w:rFonts w:hAnsi="宋体"/>
          <w:color w:val="auto"/>
          <w:sz w:val="22"/>
          <w:highlight w:val="none"/>
          <w:lang w:eastAsia="zh-CN"/>
        </w:rPr>
      </w:pPr>
      <w:r>
        <w:rPr>
          <w:rFonts w:hint="eastAsia" w:hAnsi="宋体"/>
          <w:color w:val="auto"/>
          <w:sz w:val="22"/>
          <w:highlight w:val="none"/>
          <w:lang w:eastAsia="zh-CN"/>
        </w:rPr>
        <w:t>本合同价款</w:t>
      </w:r>
      <w:r>
        <w:rPr>
          <w:rFonts w:hAnsi="宋体"/>
          <w:color w:val="auto"/>
          <w:sz w:val="22"/>
          <w:highlight w:val="none"/>
          <w:lang w:eastAsia="zh-CN"/>
        </w:rPr>
        <w:t>采用</w:t>
      </w:r>
      <w:r>
        <w:rPr>
          <w:rFonts w:hint="eastAsia" w:hAnsi="宋体"/>
          <w:color w:val="auto"/>
          <w:sz w:val="22"/>
          <w:highlight w:val="none"/>
          <w:lang w:eastAsia="zh-CN"/>
        </w:rPr>
        <w:t>固定</w:t>
      </w:r>
      <w:r>
        <w:rPr>
          <w:rFonts w:hAnsi="宋体"/>
          <w:color w:val="auto"/>
          <w:sz w:val="22"/>
          <w:highlight w:val="none"/>
          <w:lang w:eastAsia="zh-CN"/>
        </w:rPr>
        <w:t>综合单价方式确定。</w:t>
      </w:r>
    </w:p>
    <w:p w14:paraId="15A9E2C9">
      <w:pPr>
        <w:pageBreakBefore w:val="0"/>
        <w:kinsoku/>
        <w:wordWrap/>
        <w:overflowPunct/>
        <w:topLinePunct w:val="0"/>
        <w:autoSpaceDE/>
        <w:autoSpaceDN/>
        <w:bidi w:val="0"/>
        <w:adjustRightInd/>
        <w:snapToGrid/>
        <w:spacing w:line="360" w:lineRule="auto"/>
        <w:ind w:firstLine="440" w:firstLineChars="200"/>
        <w:textAlignment w:val="auto"/>
        <w:rPr>
          <w:rFonts w:hAnsi="宋体"/>
          <w:color w:val="auto"/>
          <w:sz w:val="22"/>
          <w:highlight w:val="none"/>
          <w:u w:val="single"/>
          <w:lang w:eastAsia="zh-CN"/>
        </w:rPr>
      </w:pPr>
      <w:r>
        <w:rPr>
          <w:rFonts w:hAnsi="宋体"/>
          <w:color w:val="auto"/>
          <w:sz w:val="22"/>
          <w:highlight w:val="none"/>
          <w:lang w:eastAsia="zh-CN"/>
        </w:rPr>
        <w:t>综合单价包含的风险范围：</w:t>
      </w:r>
      <w:r>
        <w:rPr>
          <w:rFonts w:hAnsi="宋体"/>
          <w:color w:val="auto"/>
          <w:sz w:val="22"/>
          <w:highlight w:val="none"/>
          <w:u w:val="single"/>
          <w:lang w:eastAsia="zh-CN"/>
        </w:rPr>
        <w:t>除工程变更、政策性调整</w:t>
      </w:r>
      <w:r>
        <w:rPr>
          <w:rFonts w:hint="eastAsia" w:hAnsi="宋体"/>
          <w:color w:val="auto"/>
          <w:sz w:val="22"/>
          <w:highlight w:val="none"/>
          <w:u w:val="single"/>
          <w:lang w:eastAsia="zh-CN"/>
        </w:rPr>
        <w:t>、</w:t>
      </w:r>
      <w:r>
        <w:rPr>
          <w:rFonts w:hAnsi="宋体"/>
          <w:color w:val="auto"/>
          <w:sz w:val="22"/>
          <w:highlight w:val="none"/>
          <w:u w:val="single"/>
          <w:lang w:eastAsia="zh-CN"/>
        </w:rPr>
        <w:t>11.1约定的材料价格风险以外因素。</w:t>
      </w:r>
    </w:p>
    <w:p w14:paraId="1FCCA31D">
      <w:pPr>
        <w:pageBreakBefore w:val="0"/>
        <w:kinsoku/>
        <w:wordWrap/>
        <w:overflowPunct/>
        <w:topLinePunct w:val="0"/>
        <w:autoSpaceDE/>
        <w:autoSpaceDN/>
        <w:bidi w:val="0"/>
        <w:adjustRightInd/>
        <w:snapToGrid/>
        <w:spacing w:line="360" w:lineRule="auto"/>
        <w:ind w:firstLine="440" w:firstLineChars="200"/>
        <w:textAlignment w:val="auto"/>
        <w:rPr>
          <w:rFonts w:hint="eastAsia" w:hAnsi="宋体"/>
          <w:color w:val="auto"/>
          <w:sz w:val="22"/>
          <w:highlight w:val="none"/>
          <w:lang w:eastAsia="zh-CN"/>
        </w:rPr>
      </w:pPr>
      <w:r>
        <w:rPr>
          <w:rFonts w:hint="eastAsia" w:hAnsi="宋体"/>
          <w:color w:val="auto"/>
          <w:sz w:val="22"/>
          <w:highlight w:val="none"/>
          <w:lang w:eastAsia="zh-CN"/>
        </w:rPr>
        <w:t>风险范围以外合同价格的调整方法：</w:t>
      </w:r>
    </w:p>
    <w:p w14:paraId="3E61C959">
      <w:pPr>
        <w:pageBreakBefore w:val="0"/>
        <w:kinsoku/>
        <w:wordWrap/>
        <w:overflowPunct/>
        <w:topLinePunct w:val="0"/>
        <w:autoSpaceDE/>
        <w:autoSpaceDN/>
        <w:bidi w:val="0"/>
        <w:adjustRightInd/>
        <w:snapToGrid/>
        <w:spacing w:line="360" w:lineRule="auto"/>
        <w:ind w:firstLine="220" w:firstLineChars="100"/>
        <w:textAlignment w:val="auto"/>
        <w:rPr>
          <w:rFonts w:hAnsi="宋体"/>
          <w:color w:val="auto"/>
          <w:sz w:val="22"/>
          <w:highlight w:val="none"/>
          <w:lang w:eastAsia="zh-CN"/>
        </w:rPr>
      </w:pPr>
      <w:r>
        <w:rPr>
          <w:rFonts w:hint="eastAsia" w:hAnsi="宋体"/>
          <w:color w:val="auto"/>
          <w:sz w:val="22"/>
          <w:highlight w:val="none"/>
          <w:lang w:eastAsia="zh-CN"/>
        </w:rPr>
        <w:t>　</w:t>
      </w:r>
      <w:r>
        <w:rPr>
          <w:rFonts w:hAnsi="宋体"/>
          <w:color w:val="auto"/>
          <w:sz w:val="22"/>
          <w:highlight w:val="none"/>
          <w:lang w:eastAsia="zh-CN"/>
        </w:rPr>
        <w:t>①工程变更：按10.4.1变更估价原则的约定调整。</w:t>
      </w:r>
    </w:p>
    <w:p w14:paraId="5535D799">
      <w:pPr>
        <w:pageBreakBefore w:val="0"/>
        <w:kinsoku/>
        <w:wordWrap/>
        <w:overflowPunct/>
        <w:topLinePunct w:val="0"/>
        <w:autoSpaceDE/>
        <w:autoSpaceDN/>
        <w:bidi w:val="0"/>
        <w:adjustRightInd/>
        <w:snapToGrid/>
        <w:spacing w:line="360" w:lineRule="auto"/>
        <w:ind w:firstLine="462" w:firstLineChars="210"/>
        <w:textAlignment w:val="auto"/>
        <w:rPr>
          <w:rFonts w:hAnsi="宋体"/>
          <w:color w:val="auto"/>
          <w:sz w:val="22"/>
          <w:highlight w:val="none"/>
          <w:lang w:eastAsia="zh-CN"/>
        </w:rPr>
      </w:pPr>
      <w:r>
        <w:rPr>
          <w:rFonts w:hAnsi="宋体"/>
          <w:color w:val="auto"/>
          <w:sz w:val="22"/>
          <w:highlight w:val="none"/>
          <w:lang w:eastAsia="zh-CN"/>
        </w:rPr>
        <w:t>②政策性调整：按自治区建设行政主管部门颁布的文件执行。</w:t>
      </w:r>
    </w:p>
    <w:p w14:paraId="4D140E14">
      <w:pPr>
        <w:pageBreakBefore w:val="0"/>
        <w:kinsoku/>
        <w:wordWrap/>
        <w:overflowPunct/>
        <w:topLinePunct w:val="0"/>
        <w:autoSpaceDE/>
        <w:autoSpaceDN/>
        <w:bidi w:val="0"/>
        <w:adjustRightInd/>
        <w:snapToGrid/>
        <w:spacing w:line="360" w:lineRule="auto"/>
        <w:ind w:firstLine="462" w:firstLineChars="210"/>
        <w:textAlignment w:val="auto"/>
        <w:rPr>
          <w:rFonts w:hAnsi="宋体"/>
          <w:color w:val="auto"/>
          <w:sz w:val="22"/>
          <w:highlight w:val="none"/>
          <w:lang w:eastAsia="zh-CN"/>
        </w:rPr>
      </w:pPr>
      <w:r>
        <w:rPr>
          <w:rFonts w:hAnsi="宋体"/>
          <w:color w:val="auto"/>
          <w:sz w:val="22"/>
          <w:highlight w:val="none"/>
          <w:lang w:eastAsia="zh-CN"/>
        </w:rPr>
        <w:t>③材料价格风险：按11.1的约定调整。</w:t>
      </w:r>
    </w:p>
    <w:p w14:paraId="5A1A5718">
      <w:pPr>
        <w:pageBreakBefore w:val="0"/>
        <w:kinsoku/>
        <w:wordWrap/>
        <w:overflowPunct/>
        <w:topLinePunct w:val="0"/>
        <w:autoSpaceDE/>
        <w:autoSpaceDN/>
        <w:bidi w:val="0"/>
        <w:adjustRightInd/>
        <w:snapToGrid/>
        <w:spacing w:line="360" w:lineRule="auto"/>
        <w:ind w:firstLine="440" w:firstLineChars="200"/>
        <w:textAlignment w:val="auto"/>
        <w:rPr>
          <w:rFonts w:hAnsi="宋体"/>
          <w:color w:val="auto"/>
          <w:sz w:val="22"/>
          <w:highlight w:val="none"/>
        </w:rPr>
      </w:pPr>
      <w:r>
        <w:rPr>
          <w:rFonts w:hAnsi="宋体"/>
          <w:color w:val="auto"/>
          <w:sz w:val="22"/>
          <w:highlight w:val="none"/>
        </w:rPr>
        <w:t>④其它：</w:t>
      </w:r>
      <w:r>
        <w:rPr>
          <w:rFonts w:hAnsi="宋体"/>
          <w:color w:val="auto"/>
          <w:sz w:val="22"/>
          <w:highlight w:val="none"/>
          <w:u w:val="single"/>
        </w:rPr>
        <w:t xml:space="preserve">  </w:t>
      </w:r>
      <w:r>
        <w:rPr>
          <w:rFonts w:hint="eastAsia" w:hAnsi="宋体"/>
          <w:color w:val="auto"/>
          <w:sz w:val="22"/>
          <w:highlight w:val="none"/>
          <w:u w:val="single"/>
        </w:rPr>
        <w:t xml:space="preserve">  无    </w:t>
      </w:r>
      <w:r>
        <w:rPr>
          <w:rFonts w:hAnsi="宋体"/>
          <w:color w:val="auto"/>
          <w:sz w:val="22"/>
          <w:highlight w:val="none"/>
        </w:rPr>
        <w:t>。</w:t>
      </w:r>
    </w:p>
    <w:p w14:paraId="26FE3CF8">
      <w:pPr>
        <w:pageBreakBefore w:val="0"/>
        <w:numPr>
          <w:ilvl w:val="0"/>
          <w:numId w:val="9"/>
        </w:numPr>
        <w:kinsoku/>
        <w:wordWrap/>
        <w:overflowPunct/>
        <w:topLinePunct w:val="0"/>
        <w:autoSpaceDE/>
        <w:autoSpaceDN/>
        <w:bidi w:val="0"/>
        <w:adjustRightInd/>
        <w:snapToGrid/>
        <w:spacing w:line="360" w:lineRule="auto"/>
        <w:ind w:firstLine="440" w:firstLineChars="200"/>
        <w:textAlignment w:val="auto"/>
        <w:rPr>
          <w:rFonts w:hint="eastAsia" w:hAnsi="宋体"/>
          <w:color w:val="auto"/>
          <w:sz w:val="22"/>
          <w:highlight w:val="none"/>
        </w:rPr>
      </w:pPr>
      <w:r>
        <w:rPr>
          <w:rFonts w:hint="eastAsia" w:hAnsi="宋体"/>
          <w:color w:val="auto"/>
          <w:sz w:val="22"/>
          <w:highlight w:val="none"/>
        </w:rPr>
        <w:t>总价合同。</w:t>
      </w:r>
    </w:p>
    <w:p w14:paraId="0004DA23">
      <w:pPr>
        <w:pageBreakBefore w:val="0"/>
        <w:kinsoku/>
        <w:wordWrap/>
        <w:overflowPunct/>
        <w:topLinePunct w:val="0"/>
        <w:autoSpaceDE/>
        <w:autoSpaceDN/>
        <w:bidi w:val="0"/>
        <w:adjustRightInd/>
        <w:snapToGrid/>
        <w:spacing w:line="360" w:lineRule="auto"/>
        <w:ind w:firstLine="440" w:firstLineChars="200"/>
        <w:textAlignment w:val="auto"/>
        <w:rPr>
          <w:rFonts w:hint="eastAsia" w:hAnsi="宋体"/>
          <w:color w:val="auto"/>
          <w:sz w:val="22"/>
          <w:highlight w:val="none"/>
          <w:lang w:eastAsia="zh-CN"/>
        </w:rPr>
      </w:pPr>
      <w:r>
        <w:rPr>
          <w:rFonts w:hint="eastAsia" w:hAnsi="宋体"/>
          <w:color w:val="auto"/>
          <w:sz w:val="22"/>
          <w:highlight w:val="none"/>
          <w:lang w:eastAsia="zh-CN"/>
        </w:rPr>
        <w:t>总价包含的风险范围：</w:t>
      </w:r>
      <w:r>
        <w:rPr>
          <w:rFonts w:hint="eastAsia" w:hAnsi="宋体"/>
          <w:color w:val="auto"/>
          <w:sz w:val="22"/>
          <w:highlight w:val="none"/>
          <w:u w:val="single"/>
          <w:lang w:eastAsia="zh-CN"/>
        </w:rPr>
        <w:t xml:space="preserve">  按国家规定  </w:t>
      </w:r>
      <w:r>
        <w:rPr>
          <w:rFonts w:hAnsi="宋体"/>
          <w:color w:val="auto"/>
          <w:sz w:val="22"/>
          <w:highlight w:val="none"/>
          <w:lang w:eastAsia="zh-CN"/>
        </w:rPr>
        <w:t>。</w:t>
      </w:r>
    </w:p>
    <w:p w14:paraId="4D1C386D">
      <w:pPr>
        <w:pageBreakBefore w:val="0"/>
        <w:kinsoku/>
        <w:wordWrap/>
        <w:overflowPunct/>
        <w:topLinePunct w:val="0"/>
        <w:autoSpaceDE/>
        <w:autoSpaceDN/>
        <w:bidi w:val="0"/>
        <w:adjustRightInd/>
        <w:snapToGrid/>
        <w:spacing w:line="360" w:lineRule="auto"/>
        <w:ind w:firstLine="440" w:firstLineChars="200"/>
        <w:textAlignment w:val="auto"/>
        <w:rPr>
          <w:rFonts w:hAnsi="宋体"/>
          <w:color w:val="auto"/>
          <w:sz w:val="22"/>
          <w:highlight w:val="none"/>
          <w:lang w:eastAsia="zh-CN"/>
        </w:rPr>
      </w:pPr>
      <w:r>
        <w:rPr>
          <w:rFonts w:hAnsi="宋体"/>
          <w:color w:val="auto"/>
          <w:sz w:val="22"/>
          <w:highlight w:val="none"/>
          <w:lang w:eastAsia="zh-CN"/>
        </w:rPr>
        <w:t>风险范围以外合同价格的调整方法：</w:t>
      </w:r>
      <w:r>
        <w:rPr>
          <w:rFonts w:hint="eastAsia" w:hAnsi="宋体"/>
          <w:color w:val="auto"/>
          <w:sz w:val="22"/>
          <w:highlight w:val="none"/>
          <w:u w:val="single"/>
          <w:lang w:eastAsia="zh-CN"/>
        </w:rPr>
        <w:t xml:space="preserve">   按国家规定   </w:t>
      </w:r>
      <w:r>
        <w:rPr>
          <w:rFonts w:hAnsi="宋体"/>
          <w:color w:val="auto"/>
          <w:sz w:val="22"/>
          <w:highlight w:val="none"/>
          <w:lang w:eastAsia="zh-CN"/>
        </w:rPr>
        <w:t>。</w:t>
      </w:r>
    </w:p>
    <w:p w14:paraId="76C22203">
      <w:pPr>
        <w:pageBreakBefore w:val="0"/>
        <w:kinsoku/>
        <w:wordWrap/>
        <w:overflowPunct/>
        <w:topLinePunct w:val="0"/>
        <w:autoSpaceDE/>
        <w:autoSpaceDN/>
        <w:bidi w:val="0"/>
        <w:adjustRightInd/>
        <w:snapToGrid/>
        <w:spacing w:line="360" w:lineRule="auto"/>
        <w:ind w:firstLine="440" w:firstLineChars="200"/>
        <w:textAlignment w:val="auto"/>
        <w:rPr>
          <w:rFonts w:hAnsi="宋体"/>
          <w:color w:val="auto"/>
          <w:sz w:val="22"/>
          <w:highlight w:val="none"/>
          <w:lang w:eastAsia="zh-CN"/>
        </w:rPr>
      </w:pPr>
      <w:r>
        <w:rPr>
          <w:rFonts w:hint="eastAsia" w:hAnsi="宋体"/>
          <w:color w:val="auto"/>
          <w:sz w:val="22"/>
          <w:highlight w:val="none"/>
          <w:lang w:eastAsia="zh-CN"/>
        </w:rPr>
        <w:t>（3）其他价格方式：</w:t>
      </w:r>
      <w:r>
        <w:rPr>
          <w:rFonts w:hAnsi="宋体"/>
          <w:color w:val="auto"/>
          <w:sz w:val="22"/>
          <w:highlight w:val="none"/>
          <w:u w:val="single"/>
          <w:lang w:eastAsia="zh-CN"/>
        </w:rPr>
        <w:t xml:space="preserve">  </w:t>
      </w:r>
      <w:r>
        <w:rPr>
          <w:rFonts w:hint="eastAsia" w:hAnsi="宋体"/>
          <w:color w:val="auto"/>
          <w:sz w:val="22"/>
          <w:highlight w:val="none"/>
          <w:u w:val="single"/>
          <w:lang w:eastAsia="zh-CN"/>
        </w:rPr>
        <w:t xml:space="preserve">   无        </w:t>
      </w:r>
      <w:r>
        <w:rPr>
          <w:rFonts w:hAnsi="宋体"/>
          <w:color w:val="auto"/>
          <w:sz w:val="22"/>
          <w:highlight w:val="none"/>
          <w:lang w:eastAsia="zh-CN"/>
        </w:rPr>
        <w:t>。</w:t>
      </w:r>
    </w:p>
    <w:p w14:paraId="59670218">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25" w:name="_Toc480967583"/>
      <w:bookmarkStart w:id="926" w:name="_Toc11081"/>
      <w:r>
        <w:rPr>
          <w:rFonts w:hAnsi="宋体"/>
          <w:b/>
          <w:bCs/>
          <w:color w:val="auto"/>
          <w:kern w:val="44"/>
          <w:highlight w:val="none"/>
          <w:lang w:eastAsia="zh-CN"/>
        </w:rPr>
        <w:t>12.2 预付款</w:t>
      </w:r>
      <w:bookmarkEnd w:id="925"/>
      <w:bookmarkEnd w:id="926"/>
      <w:r>
        <w:rPr>
          <w:rFonts w:hint="eastAsia" w:hAnsi="宋体"/>
          <w:b/>
          <w:bCs/>
          <w:color w:val="auto"/>
          <w:kern w:val="44"/>
          <w:highlight w:val="none"/>
          <w:lang w:eastAsia="zh-CN"/>
        </w:rPr>
        <w:t xml:space="preserve"> </w:t>
      </w:r>
    </w:p>
    <w:p w14:paraId="740ED84C">
      <w:pPr>
        <w:pageBreakBefore w:val="0"/>
        <w:kinsoku/>
        <w:wordWrap/>
        <w:overflowPunct/>
        <w:topLinePunct w:val="0"/>
        <w:autoSpaceDE/>
        <w:autoSpaceDN/>
        <w:bidi w:val="0"/>
        <w:adjustRightInd/>
        <w:snapToGrid/>
        <w:spacing w:line="360" w:lineRule="auto"/>
        <w:textAlignment w:val="auto"/>
        <w:rPr>
          <w:rFonts w:hint="eastAsia" w:ascii="宋体" w:hAnsi="宋体"/>
          <w:color w:val="auto"/>
          <w:sz w:val="22"/>
          <w:szCs w:val="22"/>
          <w:highlight w:val="none"/>
          <w:lang w:eastAsia="zh-CN"/>
        </w:rPr>
      </w:pPr>
      <w:r>
        <w:rPr>
          <w:rFonts w:hint="eastAsia" w:ascii="宋体" w:hAnsi="宋体"/>
          <w:color w:val="auto"/>
          <w:spacing w:val="1"/>
          <w:sz w:val="22"/>
          <w:szCs w:val="22"/>
          <w:highlight w:val="none"/>
          <w:lang w:eastAsia="zh-CN"/>
        </w:rPr>
        <w:t>12</w:t>
      </w:r>
      <w:r>
        <w:rPr>
          <w:rFonts w:hint="eastAsia" w:ascii="宋体" w:hAnsi="宋体"/>
          <w:color w:val="auto"/>
          <w:spacing w:val="-1"/>
          <w:sz w:val="22"/>
          <w:szCs w:val="22"/>
          <w:highlight w:val="none"/>
          <w:lang w:eastAsia="zh-CN"/>
        </w:rPr>
        <w:t>.</w:t>
      </w:r>
      <w:r>
        <w:rPr>
          <w:rFonts w:hint="eastAsia" w:ascii="宋体" w:hAnsi="宋体"/>
          <w:color w:val="auto"/>
          <w:spacing w:val="1"/>
          <w:sz w:val="22"/>
          <w:szCs w:val="22"/>
          <w:highlight w:val="none"/>
          <w:lang w:eastAsia="zh-CN"/>
        </w:rPr>
        <w:t>2</w:t>
      </w:r>
      <w:r>
        <w:rPr>
          <w:rFonts w:hint="eastAsia" w:ascii="宋体" w:hAnsi="宋体"/>
          <w:color w:val="auto"/>
          <w:spacing w:val="-1"/>
          <w:sz w:val="22"/>
          <w:szCs w:val="22"/>
          <w:highlight w:val="none"/>
          <w:lang w:eastAsia="zh-CN"/>
        </w:rPr>
        <w:t>.</w:t>
      </w:r>
      <w:r>
        <w:rPr>
          <w:rFonts w:hint="eastAsia" w:ascii="宋体" w:hAnsi="宋体"/>
          <w:color w:val="auto"/>
          <w:sz w:val="22"/>
          <w:szCs w:val="22"/>
          <w:highlight w:val="none"/>
          <w:lang w:eastAsia="zh-CN"/>
        </w:rPr>
        <w:t xml:space="preserve">1 </w:t>
      </w:r>
      <w:r>
        <w:rPr>
          <w:rFonts w:hint="eastAsia" w:ascii="宋体" w:hAnsi="宋体"/>
          <w:color w:val="auto"/>
          <w:spacing w:val="1"/>
          <w:sz w:val="22"/>
          <w:szCs w:val="22"/>
          <w:highlight w:val="none"/>
          <w:lang w:eastAsia="zh-CN"/>
        </w:rPr>
        <w:t xml:space="preserve"> </w:t>
      </w:r>
      <w:r>
        <w:rPr>
          <w:rFonts w:hint="eastAsia" w:ascii="宋体" w:hAnsi="宋体"/>
          <w:color w:val="auto"/>
          <w:sz w:val="22"/>
          <w:szCs w:val="22"/>
          <w:highlight w:val="none"/>
          <w:lang w:eastAsia="zh-CN"/>
        </w:rPr>
        <w:t>预</w:t>
      </w:r>
      <w:r>
        <w:rPr>
          <w:rFonts w:hint="eastAsia" w:ascii="宋体" w:hAnsi="宋体"/>
          <w:color w:val="auto"/>
          <w:spacing w:val="-1"/>
          <w:sz w:val="22"/>
          <w:szCs w:val="22"/>
          <w:highlight w:val="none"/>
          <w:lang w:eastAsia="zh-CN"/>
        </w:rPr>
        <w:t>付</w:t>
      </w:r>
      <w:r>
        <w:rPr>
          <w:rFonts w:hint="eastAsia" w:ascii="宋体" w:hAnsi="宋体"/>
          <w:color w:val="auto"/>
          <w:sz w:val="22"/>
          <w:szCs w:val="22"/>
          <w:highlight w:val="none"/>
          <w:lang w:eastAsia="zh-CN"/>
        </w:rPr>
        <w:t>款的支付</w:t>
      </w:r>
    </w:p>
    <w:p w14:paraId="1034A49E">
      <w:pPr>
        <w:pageBreakBefore w:val="0"/>
        <w:kinsoku/>
        <w:wordWrap/>
        <w:overflowPunct/>
        <w:topLinePunct w:val="0"/>
        <w:autoSpaceDE/>
        <w:autoSpaceDN/>
        <w:bidi w:val="0"/>
        <w:adjustRightInd/>
        <w:snapToGrid/>
        <w:spacing w:line="360" w:lineRule="auto"/>
        <w:textAlignment w:val="auto"/>
        <w:rPr>
          <w:rFonts w:hint="eastAsia" w:ascii="宋体" w:hAnsi="宋体"/>
          <w:color w:val="auto"/>
          <w:sz w:val="22"/>
          <w:szCs w:val="22"/>
          <w:highlight w:val="none"/>
          <w:lang w:eastAsia="zh-CN"/>
        </w:rPr>
      </w:pPr>
      <w:r>
        <w:rPr>
          <w:rFonts w:hint="eastAsia" w:ascii="宋体" w:hAnsi="宋体"/>
          <w:color w:val="auto"/>
          <w:sz w:val="22"/>
          <w:szCs w:val="22"/>
          <w:highlight w:val="none"/>
          <w:lang w:eastAsia="zh-CN"/>
        </w:rPr>
        <w:t xml:space="preserve"> </w:t>
      </w:r>
      <w:r>
        <w:rPr>
          <w:rFonts w:hint="eastAsia" w:ascii="宋体" w:hAnsi="宋体"/>
          <w:color w:val="auto"/>
          <w:spacing w:val="1"/>
          <w:sz w:val="22"/>
          <w:szCs w:val="22"/>
          <w:highlight w:val="none"/>
          <w:lang w:eastAsia="zh-CN"/>
        </w:rPr>
        <w:t>12</w:t>
      </w:r>
      <w:r>
        <w:rPr>
          <w:rFonts w:hint="eastAsia" w:ascii="宋体" w:hAnsi="宋体"/>
          <w:color w:val="auto"/>
          <w:spacing w:val="-1"/>
          <w:sz w:val="22"/>
          <w:szCs w:val="22"/>
          <w:highlight w:val="none"/>
          <w:lang w:eastAsia="zh-CN"/>
        </w:rPr>
        <w:t>.</w:t>
      </w:r>
      <w:r>
        <w:rPr>
          <w:rFonts w:hint="eastAsia" w:ascii="宋体" w:hAnsi="宋体"/>
          <w:color w:val="auto"/>
          <w:spacing w:val="1"/>
          <w:sz w:val="22"/>
          <w:szCs w:val="22"/>
          <w:highlight w:val="none"/>
          <w:lang w:eastAsia="zh-CN"/>
        </w:rPr>
        <w:t>2</w:t>
      </w:r>
      <w:r>
        <w:rPr>
          <w:rFonts w:hint="eastAsia" w:ascii="宋体" w:hAnsi="宋体"/>
          <w:color w:val="auto"/>
          <w:spacing w:val="-1"/>
          <w:sz w:val="22"/>
          <w:szCs w:val="22"/>
          <w:highlight w:val="none"/>
          <w:lang w:eastAsia="zh-CN"/>
        </w:rPr>
        <w:t>.</w:t>
      </w:r>
      <w:r>
        <w:rPr>
          <w:rFonts w:hint="eastAsia" w:ascii="宋体" w:hAnsi="宋体"/>
          <w:color w:val="auto"/>
          <w:sz w:val="22"/>
          <w:szCs w:val="22"/>
          <w:highlight w:val="none"/>
          <w:lang w:eastAsia="zh-CN"/>
        </w:rPr>
        <w:t xml:space="preserve">1 </w:t>
      </w:r>
      <w:r>
        <w:rPr>
          <w:rFonts w:hint="eastAsia" w:ascii="宋体" w:hAnsi="宋体"/>
          <w:color w:val="auto"/>
          <w:spacing w:val="1"/>
          <w:sz w:val="22"/>
          <w:szCs w:val="22"/>
          <w:highlight w:val="none"/>
          <w:lang w:eastAsia="zh-CN"/>
        </w:rPr>
        <w:t xml:space="preserve"> </w:t>
      </w:r>
      <w:r>
        <w:rPr>
          <w:rFonts w:hint="eastAsia" w:ascii="宋体" w:hAnsi="宋体"/>
          <w:color w:val="auto"/>
          <w:sz w:val="22"/>
          <w:szCs w:val="22"/>
          <w:highlight w:val="none"/>
          <w:lang w:eastAsia="zh-CN"/>
        </w:rPr>
        <w:t>预</w:t>
      </w:r>
      <w:r>
        <w:rPr>
          <w:rFonts w:hint="eastAsia" w:ascii="宋体" w:hAnsi="宋体"/>
          <w:color w:val="auto"/>
          <w:spacing w:val="-1"/>
          <w:sz w:val="22"/>
          <w:szCs w:val="22"/>
          <w:highlight w:val="none"/>
          <w:lang w:eastAsia="zh-CN"/>
        </w:rPr>
        <w:t>付</w:t>
      </w:r>
      <w:r>
        <w:rPr>
          <w:rFonts w:hint="eastAsia" w:ascii="宋体" w:hAnsi="宋体"/>
          <w:color w:val="auto"/>
          <w:sz w:val="22"/>
          <w:szCs w:val="22"/>
          <w:highlight w:val="none"/>
          <w:lang w:eastAsia="zh-CN"/>
        </w:rPr>
        <w:t>款的支付</w:t>
      </w:r>
    </w:p>
    <w:p w14:paraId="1DDD07BF">
      <w:pPr>
        <w:pageBreakBefore w:val="0"/>
        <w:kinsoku/>
        <w:wordWrap/>
        <w:overflowPunct/>
        <w:topLinePunct w:val="0"/>
        <w:autoSpaceDE/>
        <w:autoSpaceDN/>
        <w:bidi w:val="0"/>
        <w:adjustRightInd/>
        <w:snapToGrid/>
        <w:spacing w:line="360" w:lineRule="auto"/>
        <w:textAlignment w:val="auto"/>
        <w:rPr>
          <w:rFonts w:hint="eastAsia" w:ascii="宋体" w:hAnsi="宋体"/>
          <w:color w:val="auto"/>
          <w:sz w:val="22"/>
          <w:szCs w:val="22"/>
          <w:highlight w:val="none"/>
          <w:lang w:eastAsia="zh-CN"/>
        </w:rPr>
      </w:pPr>
      <w:r>
        <w:rPr>
          <w:rFonts w:hint="eastAsia" w:ascii="宋体" w:hAnsi="宋体"/>
          <w:color w:val="auto"/>
          <w:sz w:val="22"/>
          <w:szCs w:val="22"/>
          <w:highlight w:val="none"/>
          <w:lang w:eastAsia="zh-CN"/>
        </w:rPr>
        <w:t xml:space="preserve">    预付款支付比例或金额：</w:t>
      </w:r>
      <w:r>
        <w:rPr>
          <w:rFonts w:hint="eastAsia" w:ascii="宋体" w:hAnsi="宋体"/>
          <w:color w:val="auto"/>
          <w:sz w:val="22"/>
          <w:szCs w:val="22"/>
          <w:highlight w:val="none"/>
          <w:u w:val="single"/>
          <w:lang w:eastAsia="zh-CN"/>
        </w:rPr>
        <w:t xml:space="preserve"> 合同价款的30%  </w:t>
      </w:r>
      <w:r>
        <w:rPr>
          <w:rFonts w:hint="eastAsia" w:ascii="宋体" w:hAnsi="宋体"/>
          <w:color w:val="auto"/>
          <w:sz w:val="22"/>
          <w:szCs w:val="22"/>
          <w:highlight w:val="none"/>
          <w:lang w:eastAsia="zh-CN"/>
        </w:rPr>
        <w:t>。</w:t>
      </w:r>
    </w:p>
    <w:p w14:paraId="4C585FC5">
      <w:pPr>
        <w:pageBreakBefore w:val="0"/>
        <w:kinsoku/>
        <w:wordWrap/>
        <w:overflowPunct/>
        <w:topLinePunct w:val="0"/>
        <w:autoSpaceDE/>
        <w:autoSpaceDN/>
        <w:bidi w:val="0"/>
        <w:adjustRightInd/>
        <w:snapToGrid/>
        <w:spacing w:line="360" w:lineRule="auto"/>
        <w:ind w:firstLine="330" w:firstLineChars="150"/>
        <w:textAlignment w:val="auto"/>
        <w:rPr>
          <w:rFonts w:hint="eastAsia" w:ascii="宋体" w:hAnsi="宋体"/>
          <w:color w:val="auto"/>
          <w:sz w:val="22"/>
          <w:szCs w:val="22"/>
          <w:highlight w:val="none"/>
          <w:lang w:eastAsia="zh-CN"/>
        </w:rPr>
      </w:pPr>
      <w:r>
        <w:rPr>
          <w:rFonts w:hint="eastAsia" w:ascii="宋体" w:hAnsi="宋体"/>
          <w:color w:val="auto"/>
          <w:sz w:val="22"/>
          <w:szCs w:val="22"/>
          <w:highlight w:val="none"/>
          <w:lang w:eastAsia="zh-CN"/>
        </w:rPr>
        <w:t xml:space="preserve"> 预付款支付期限：</w:t>
      </w:r>
      <w:r>
        <w:rPr>
          <w:rFonts w:hint="eastAsia" w:ascii="宋体" w:hAnsi="宋体"/>
          <w:color w:val="auto"/>
          <w:sz w:val="22"/>
          <w:szCs w:val="22"/>
          <w:highlight w:val="none"/>
          <w:u w:val="single"/>
          <w:lang w:eastAsia="zh-CN"/>
        </w:rPr>
        <w:t xml:space="preserve"> 收到预付款担保后，发包人10个工作日之内付款 </w:t>
      </w:r>
      <w:r>
        <w:rPr>
          <w:rFonts w:hint="eastAsia" w:ascii="宋体" w:hAnsi="宋体"/>
          <w:color w:val="auto"/>
          <w:sz w:val="22"/>
          <w:szCs w:val="22"/>
          <w:highlight w:val="none"/>
          <w:lang w:eastAsia="zh-CN"/>
        </w:rPr>
        <w:t>。</w:t>
      </w:r>
    </w:p>
    <w:p w14:paraId="5A251A9B">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olor w:val="auto"/>
          <w:sz w:val="22"/>
          <w:szCs w:val="22"/>
          <w:highlight w:val="none"/>
          <w:lang w:eastAsia="zh-CN"/>
        </w:rPr>
      </w:pPr>
      <w:r>
        <w:rPr>
          <w:rFonts w:hint="eastAsia" w:ascii="宋体" w:hAnsi="宋体"/>
          <w:color w:val="auto"/>
          <w:sz w:val="22"/>
          <w:szCs w:val="22"/>
          <w:highlight w:val="none"/>
          <w:lang w:eastAsia="zh-CN"/>
        </w:rPr>
        <w:t>预付款扣回的方式：</w:t>
      </w:r>
      <w:r>
        <w:rPr>
          <w:rFonts w:hint="eastAsia" w:ascii="宋体" w:hAnsi="宋体"/>
          <w:color w:val="auto"/>
          <w:sz w:val="22"/>
          <w:szCs w:val="22"/>
          <w:highlight w:val="none"/>
          <w:u w:val="single"/>
          <w:lang w:eastAsia="zh-CN"/>
        </w:rPr>
        <w:t xml:space="preserve"> 分两期扣回，每期扣回金额为预付款的50%，扣完为止  </w:t>
      </w:r>
      <w:r>
        <w:rPr>
          <w:rFonts w:hint="eastAsia" w:ascii="宋体" w:hAnsi="宋体"/>
          <w:color w:val="auto"/>
          <w:sz w:val="22"/>
          <w:szCs w:val="22"/>
          <w:highlight w:val="none"/>
          <w:lang w:eastAsia="zh-CN"/>
        </w:rPr>
        <w:t>。</w:t>
      </w:r>
    </w:p>
    <w:p w14:paraId="093888E3">
      <w:pPr>
        <w:pageBreakBefore w:val="0"/>
        <w:kinsoku/>
        <w:wordWrap/>
        <w:overflowPunct/>
        <w:topLinePunct w:val="0"/>
        <w:autoSpaceDE/>
        <w:autoSpaceDN/>
        <w:bidi w:val="0"/>
        <w:adjustRightInd/>
        <w:snapToGrid/>
        <w:spacing w:line="360" w:lineRule="auto"/>
        <w:textAlignment w:val="auto"/>
        <w:rPr>
          <w:rFonts w:hint="eastAsia" w:ascii="宋体" w:hAnsi="宋体"/>
          <w:color w:val="auto"/>
          <w:sz w:val="22"/>
          <w:highlight w:val="none"/>
          <w:lang w:eastAsia="zh-CN"/>
        </w:rPr>
      </w:pPr>
      <w:r>
        <w:rPr>
          <w:rFonts w:hint="eastAsia" w:ascii="宋体" w:hAnsi="宋体"/>
          <w:color w:val="auto"/>
          <w:spacing w:val="1"/>
          <w:sz w:val="22"/>
          <w:highlight w:val="none"/>
          <w:lang w:eastAsia="zh-CN"/>
        </w:rPr>
        <w:t>12</w:t>
      </w:r>
      <w:r>
        <w:rPr>
          <w:rFonts w:hint="eastAsia" w:ascii="宋体" w:hAnsi="宋体"/>
          <w:color w:val="auto"/>
          <w:spacing w:val="-1"/>
          <w:sz w:val="22"/>
          <w:highlight w:val="none"/>
          <w:lang w:eastAsia="zh-CN"/>
        </w:rPr>
        <w:t>.</w:t>
      </w:r>
      <w:r>
        <w:rPr>
          <w:rFonts w:hint="eastAsia" w:ascii="宋体" w:hAnsi="宋体"/>
          <w:color w:val="auto"/>
          <w:spacing w:val="1"/>
          <w:sz w:val="22"/>
          <w:highlight w:val="none"/>
          <w:lang w:eastAsia="zh-CN"/>
        </w:rPr>
        <w:t>2</w:t>
      </w:r>
      <w:r>
        <w:rPr>
          <w:rFonts w:hint="eastAsia" w:ascii="宋体" w:hAnsi="宋体"/>
          <w:color w:val="auto"/>
          <w:spacing w:val="-1"/>
          <w:sz w:val="22"/>
          <w:highlight w:val="none"/>
          <w:lang w:eastAsia="zh-CN"/>
        </w:rPr>
        <w:t>.</w:t>
      </w:r>
      <w:r>
        <w:rPr>
          <w:rFonts w:hint="eastAsia" w:ascii="宋体" w:hAnsi="宋体"/>
          <w:color w:val="auto"/>
          <w:sz w:val="22"/>
          <w:highlight w:val="none"/>
          <w:lang w:eastAsia="zh-CN"/>
        </w:rPr>
        <w:t xml:space="preserve">2 </w:t>
      </w:r>
      <w:r>
        <w:rPr>
          <w:rFonts w:hint="eastAsia" w:ascii="宋体" w:hAnsi="宋体"/>
          <w:color w:val="auto"/>
          <w:spacing w:val="1"/>
          <w:sz w:val="22"/>
          <w:highlight w:val="none"/>
          <w:lang w:eastAsia="zh-CN"/>
        </w:rPr>
        <w:t xml:space="preserve"> </w:t>
      </w:r>
      <w:r>
        <w:rPr>
          <w:rFonts w:hint="eastAsia" w:ascii="宋体" w:hAnsi="宋体"/>
          <w:color w:val="auto"/>
          <w:sz w:val="22"/>
          <w:highlight w:val="none"/>
          <w:lang w:eastAsia="zh-CN"/>
        </w:rPr>
        <w:t>预</w:t>
      </w:r>
      <w:r>
        <w:rPr>
          <w:rFonts w:hint="eastAsia" w:ascii="宋体" w:hAnsi="宋体"/>
          <w:color w:val="auto"/>
          <w:spacing w:val="-1"/>
          <w:sz w:val="22"/>
          <w:highlight w:val="none"/>
          <w:lang w:eastAsia="zh-CN"/>
        </w:rPr>
        <w:t>付</w:t>
      </w:r>
      <w:r>
        <w:rPr>
          <w:rFonts w:hint="eastAsia" w:ascii="宋体" w:hAnsi="宋体"/>
          <w:color w:val="auto"/>
          <w:sz w:val="22"/>
          <w:highlight w:val="none"/>
          <w:lang w:eastAsia="zh-CN"/>
        </w:rPr>
        <w:t>款担保</w:t>
      </w:r>
    </w:p>
    <w:p w14:paraId="2C630644">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olor w:val="auto"/>
          <w:sz w:val="22"/>
          <w:highlight w:val="none"/>
          <w:lang w:eastAsia="zh-CN"/>
        </w:rPr>
      </w:pPr>
      <w:r>
        <w:rPr>
          <w:rFonts w:hint="eastAsia" w:ascii="宋体" w:hAnsi="宋体"/>
          <w:color w:val="auto"/>
          <w:sz w:val="22"/>
          <w:highlight w:val="none"/>
          <w:lang w:eastAsia="zh-CN"/>
        </w:rPr>
        <w:t>预付款担保额度：</w:t>
      </w:r>
      <w:r>
        <w:rPr>
          <w:rFonts w:hint="eastAsia" w:ascii="宋体" w:hAnsi="宋体"/>
          <w:color w:val="auto"/>
          <w:sz w:val="22"/>
          <w:highlight w:val="none"/>
          <w:u w:val="single"/>
          <w:lang w:eastAsia="zh-CN"/>
        </w:rPr>
        <w:t xml:space="preserve">  与预付款同等金额，合同价款的30%    </w:t>
      </w:r>
      <w:r>
        <w:rPr>
          <w:rFonts w:hint="eastAsia" w:ascii="宋体" w:hAnsi="宋体"/>
          <w:color w:val="auto"/>
          <w:sz w:val="22"/>
          <w:highlight w:val="none"/>
          <w:lang w:eastAsia="zh-CN"/>
        </w:rPr>
        <w:t>。</w:t>
      </w:r>
    </w:p>
    <w:p w14:paraId="3968F9CD">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olor w:val="auto"/>
          <w:sz w:val="22"/>
          <w:highlight w:val="none"/>
          <w:lang w:eastAsia="zh-CN"/>
        </w:rPr>
      </w:pPr>
      <w:r>
        <w:rPr>
          <w:rFonts w:hint="eastAsia" w:ascii="宋体" w:hAnsi="宋体"/>
          <w:color w:val="auto"/>
          <w:sz w:val="22"/>
          <w:highlight w:val="none"/>
          <w:lang w:eastAsia="zh-CN"/>
        </w:rPr>
        <w:t>预付款担保的形式为：</w:t>
      </w:r>
      <w:r>
        <w:rPr>
          <w:rFonts w:hint="eastAsia" w:ascii="宋体" w:hAnsi="宋体"/>
          <w:color w:val="auto"/>
          <w:sz w:val="22"/>
          <w:highlight w:val="none"/>
          <w:u w:val="single"/>
          <w:lang w:eastAsia="zh-CN"/>
        </w:rPr>
        <w:t xml:space="preserve">   </w:t>
      </w:r>
      <w:r>
        <w:rPr>
          <w:rFonts w:hint="eastAsia" w:ascii="宋体" w:hAnsi="宋体"/>
          <w:b/>
          <w:color w:val="auto"/>
          <w:sz w:val="22"/>
          <w:highlight w:val="none"/>
          <w:u w:val="single"/>
          <w:lang w:eastAsia="zh-CN"/>
        </w:rPr>
        <w:t>可以采用现金、银行保函、工程担保或保证保险等形式</w:t>
      </w:r>
      <w:r>
        <w:rPr>
          <w:rFonts w:hint="eastAsia" w:ascii="宋体" w:hAnsi="宋体"/>
          <w:color w:val="auto"/>
          <w:sz w:val="22"/>
          <w:highlight w:val="none"/>
          <w:u w:val="single"/>
          <w:lang w:eastAsia="zh-CN"/>
        </w:rPr>
        <w:t xml:space="preserve">  </w:t>
      </w:r>
      <w:r>
        <w:rPr>
          <w:rFonts w:hint="eastAsia" w:ascii="宋体" w:hAnsi="宋体"/>
          <w:color w:val="auto"/>
          <w:sz w:val="22"/>
          <w:highlight w:val="none"/>
          <w:lang w:eastAsia="zh-CN"/>
        </w:rPr>
        <w:t>。</w:t>
      </w:r>
    </w:p>
    <w:p w14:paraId="2DBDD7DF">
      <w:pPr>
        <w:pageBreakBefore w:val="0"/>
        <w:kinsoku/>
        <w:wordWrap/>
        <w:overflowPunct/>
        <w:topLinePunct w:val="0"/>
        <w:autoSpaceDE/>
        <w:autoSpaceDN/>
        <w:bidi w:val="0"/>
        <w:adjustRightInd/>
        <w:snapToGrid/>
        <w:spacing w:line="360" w:lineRule="auto"/>
        <w:ind w:firstLine="440" w:firstLineChars="200"/>
        <w:textAlignment w:val="auto"/>
        <w:rPr>
          <w:rFonts w:hint="eastAsia" w:ascii="宋体" w:hAnsi="宋体"/>
          <w:color w:val="auto"/>
          <w:sz w:val="22"/>
          <w:highlight w:val="none"/>
          <w:lang w:eastAsia="zh-CN"/>
        </w:rPr>
      </w:pPr>
      <w:r>
        <w:rPr>
          <w:rFonts w:hint="eastAsia" w:ascii="宋体" w:hAnsi="宋体"/>
          <w:color w:val="auto"/>
          <w:sz w:val="22"/>
          <w:highlight w:val="none"/>
          <w:lang w:eastAsia="zh-CN"/>
        </w:rPr>
        <w:t>承包人提交预付款担保的期限：</w:t>
      </w:r>
      <w:r>
        <w:rPr>
          <w:rFonts w:hint="eastAsia" w:ascii="宋体" w:hAnsi="宋体"/>
          <w:color w:val="auto"/>
          <w:sz w:val="22"/>
          <w:highlight w:val="none"/>
          <w:u w:val="single"/>
          <w:lang w:eastAsia="zh-CN"/>
        </w:rPr>
        <w:t xml:space="preserve">    </w:t>
      </w:r>
      <w:r>
        <w:rPr>
          <w:rFonts w:hint="eastAsia" w:ascii="宋体" w:hAnsi="宋体"/>
          <w:color w:val="auto"/>
          <w:sz w:val="22"/>
          <w:szCs w:val="22"/>
          <w:highlight w:val="none"/>
          <w:u w:val="single"/>
          <w:lang w:eastAsia="zh-CN"/>
        </w:rPr>
        <w:t>签订施工合同后，5个工作日内</w:t>
      </w:r>
      <w:r>
        <w:rPr>
          <w:rFonts w:hint="eastAsia" w:ascii="宋体" w:hAnsi="宋体"/>
          <w:color w:val="auto"/>
          <w:sz w:val="22"/>
          <w:highlight w:val="none"/>
          <w:u w:val="single"/>
          <w:lang w:eastAsia="zh-CN"/>
        </w:rPr>
        <w:t xml:space="preserve">      </w:t>
      </w:r>
      <w:r>
        <w:rPr>
          <w:rFonts w:hint="eastAsia" w:ascii="宋体" w:hAnsi="宋体"/>
          <w:color w:val="auto"/>
          <w:sz w:val="22"/>
          <w:highlight w:val="none"/>
          <w:lang w:eastAsia="zh-CN"/>
        </w:rPr>
        <w:t>。</w:t>
      </w:r>
    </w:p>
    <w:p w14:paraId="68DE1DE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27" w:name="_Toc26429"/>
      <w:bookmarkStart w:id="928" w:name="_Toc480967584"/>
      <w:bookmarkStart w:id="929" w:name="_Toc26623"/>
      <w:r>
        <w:rPr>
          <w:rFonts w:hAnsi="宋体"/>
          <w:b/>
          <w:bCs/>
          <w:color w:val="auto"/>
          <w:kern w:val="44"/>
          <w:highlight w:val="none"/>
          <w:lang w:eastAsia="zh-CN"/>
        </w:rPr>
        <w:t>12.3 计量</w:t>
      </w:r>
      <w:bookmarkEnd w:id="927"/>
      <w:bookmarkEnd w:id="928"/>
      <w:bookmarkEnd w:id="929"/>
    </w:p>
    <w:p w14:paraId="5F484E80">
      <w:pPr>
        <w:pageBreakBefore w:val="0"/>
        <w:kinsoku/>
        <w:wordWrap/>
        <w:overflowPunct/>
        <w:topLinePunct w:val="0"/>
        <w:autoSpaceDE/>
        <w:autoSpaceDN/>
        <w:bidi w:val="0"/>
        <w:adjustRightInd/>
        <w:snapToGrid/>
        <w:spacing w:line="360" w:lineRule="auto"/>
        <w:ind w:firstLine="440" w:firstLineChars="200"/>
        <w:textAlignment w:val="auto"/>
        <w:rPr>
          <w:color w:val="auto"/>
          <w:sz w:val="22"/>
          <w:highlight w:val="none"/>
          <w:lang w:eastAsia="zh-CN"/>
        </w:rPr>
      </w:pPr>
      <w:r>
        <w:rPr>
          <w:color w:val="auto"/>
          <w:sz w:val="22"/>
          <w:highlight w:val="none"/>
          <w:lang w:eastAsia="zh-CN"/>
        </w:rPr>
        <w:t xml:space="preserve">12.3.1 </w:t>
      </w:r>
      <w:r>
        <w:rPr>
          <w:rFonts w:hAnsi="宋体"/>
          <w:color w:val="auto"/>
          <w:sz w:val="22"/>
          <w:highlight w:val="none"/>
          <w:lang w:eastAsia="zh-CN"/>
        </w:rPr>
        <w:t>计量原则</w:t>
      </w:r>
    </w:p>
    <w:p w14:paraId="13092068">
      <w:pPr>
        <w:pageBreakBefore w:val="0"/>
        <w:kinsoku/>
        <w:wordWrap/>
        <w:overflowPunct/>
        <w:topLinePunct w:val="0"/>
        <w:autoSpaceDE/>
        <w:autoSpaceDN/>
        <w:bidi w:val="0"/>
        <w:adjustRightInd/>
        <w:snapToGrid/>
        <w:spacing w:line="360" w:lineRule="auto"/>
        <w:ind w:firstLine="440" w:firstLineChars="200"/>
        <w:textAlignment w:val="auto"/>
        <w:rPr>
          <w:color w:val="auto"/>
          <w:sz w:val="22"/>
          <w:highlight w:val="none"/>
          <w:lang w:eastAsia="zh-CN"/>
        </w:rPr>
      </w:pPr>
      <w:r>
        <w:rPr>
          <w:rFonts w:hAnsi="宋体"/>
          <w:color w:val="auto"/>
          <w:sz w:val="22"/>
          <w:highlight w:val="none"/>
          <w:lang w:eastAsia="zh-CN"/>
        </w:rPr>
        <w:t>工程量计算规则：</w:t>
      </w:r>
      <w:r>
        <w:rPr>
          <w:rFonts w:ascii="宋体" w:hAnsi="宋体"/>
          <w:color w:val="auto"/>
          <w:sz w:val="22"/>
          <w:highlight w:val="none"/>
          <w:u w:val="single"/>
          <w:lang w:eastAsia="zh-CN"/>
        </w:rPr>
        <w:t>工程的计量均以</w:t>
      </w:r>
      <w:r>
        <w:rPr>
          <w:rFonts w:hint="eastAsia" w:ascii="宋体" w:hAnsi="宋体"/>
          <w:color w:val="auto"/>
          <w:sz w:val="22"/>
          <w:highlight w:val="none"/>
          <w:u w:val="single"/>
          <w:lang w:eastAsia="zh-CN"/>
        </w:rPr>
        <w:t>现行标准</w:t>
      </w:r>
      <w:r>
        <w:rPr>
          <w:rFonts w:hint="eastAsia"/>
          <w:color w:val="auto"/>
          <w:highlight w:val="none"/>
          <w:u w:val="single"/>
          <w:lang w:eastAsia="zh-CN"/>
        </w:rPr>
        <w:t>《建设工程工程量清单计价标准》（GB/T 50500-2024）</w:t>
      </w:r>
      <w:r>
        <w:rPr>
          <w:rFonts w:ascii="宋体" w:hAnsi="宋体"/>
          <w:color w:val="auto"/>
          <w:sz w:val="22"/>
          <w:highlight w:val="none"/>
          <w:u w:val="single"/>
          <w:lang w:eastAsia="zh-CN"/>
        </w:rPr>
        <w:t>及其广西壮族自治区实施细则、本工程补充项目清单为准</w:t>
      </w:r>
      <w:r>
        <w:rPr>
          <w:rFonts w:hint="eastAsia" w:ascii="宋体" w:hAnsi="宋体"/>
          <w:color w:val="auto"/>
          <w:sz w:val="22"/>
          <w:highlight w:val="none"/>
          <w:u w:val="single"/>
          <w:lang w:eastAsia="zh-CN"/>
        </w:rPr>
        <w:t>。</w:t>
      </w:r>
    </w:p>
    <w:p w14:paraId="784C5BC2">
      <w:pPr>
        <w:pageBreakBefore w:val="0"/>
        <w:kinsoku/>
        <w:wordWrap/>
        <w:overflowPunct/>
        <w:topLinePunct w:val="0"/>
        <w:autoSpaceDE/>
        <w:autoSpaceDN/>
        <w:bidi w:val="0"/>
        <w:adjustRightInd/>
        <w:snapToGrid/>
        <w:spacing w:line="360" w:lineRule="auto"/>
        <w:ind w:firstLine="420" w:firstLineChars="200"/>
        <w:textAlignment w:val="auto"/>
        <w:outlineLvl w:val="1"/>
        <w:rPr>
          <w:rFonts w:ascii="宋体" w:hAnsi="宋体"/>
          <w:color w:val="auto"/>
          <w:highlight w:val="none"/>
          <w:lang w:eastAsia="zh-CN"/>
        </w:rPr>
      </w:pPr>
      <w:bookmarkStart w:id="930" w:name="_Toc12761"/>
      <w:bookmarkStart w:id="931" w:name="_Toc13529"/>
      <w:r>
        <w:rPr>
          <w:rFonts w:ascii="宋体" w:hAnsi="宋体"/>
          <w:color w:val="auto"/>
          <w:highlight w:val="none"/>
          <w:lang w:eastAsia="zh-CN"/>
        </w:rPr>
        <w:t>12.3.2 计量周期</w:t>
      </w:r>
      <w:bookmarkEnd w:id="930"/>
      <w:bookmarkEnd w:id="931"/>
    </w:p>
    <w:p w14:paraId="7E26335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关于计量周期的约定：</w:t>
      </w:r>
      <w:r>
        <w:rPr>
          <w:rFonts w:hint="eastAsia" w:ascii="宋体" w:hAnsi="宋体"/>
          <w:color w:val="auto"/>
          <w:highlight w:val="none"/>
          <w:u w:val="single"/>
          <w:lang w:eastAsia="zh-CN"/>
        </w:rPr>
        <w:t>本合同的计量周期为月，每月 25 日为当月计量截止日期（不含当日）和下月计量起始日期（含当日）</w:t>
      </w:r>
      <w:r>
        <w:rPr>
          <w:rFonts w:ascii="宋体" w:hAnsi="宋体"/>
          <w:color w:val="auto"/>
          <w:highlight w:val="none"/>
          <w:lang w:eastAsia="zh-CN"/>
        </w:rPr>
        <w:t>。</w:t>
      </w:r>
    </w:p>
    <w:p w14:paraId="241ADD9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12.3.3 单价合同的计量</w:t>
      </w:r>
    </w:p>
    <w:p w14:paraId="26486D7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关于单价合同计量的约定：</w:t>
      </w:r>
      <w:r>
        <w:rPr>
          <w:rFonts w:hint="eastAsia" w:ascii="宋体" w:hAnsi="宋体"/>
          <w:color w:val="auto"/>
          <w:highlight w:val="none"/>
          <w:u w:val="single"/>
          <w:lang w:eastAsia="zh-CN"/>
        </w:rPr>
        <w:t xml:space="preserve">按实际完成量 </w:t>
      </w:r>
      <w:r>
        <w:rPr>
          <w:rFonts w:hint="eastAsia" w:ascii="宋体" w:hAnsi="宋体"/>
          <w:color w:val="auto"/>
          <w:highlight w:val="none"/>
          <w:lang w:eastAsia="zh-CN"/>
        </w:rPr>
        <w:t>。</w:t>
      </w:r>
    </w:p>
    <w:p w14:paraId="4A6FB67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12.3.</w:t>
      </w:r>
      <w:r>
        <w:rPr>
          <w:rFonts w:hint="eastAsia" w:ascii="宋体" w:hAnsi="宋体"/>
          <w:color w:val="auto"/>
          <w:highlight w:val="none"/>
          <w:lang w:eastAsia="zh-CN"/>
        </w:rPr>
        <w:t>4</w:t>
      </w:r>
      <w:r>
        <w:rPr>
          <w:rFonts w:ascii="宋体" w:hAnsi="宋体"/>
          <w:color w:val="auto"/>
          <w:highlight w:val="none"/>
          <w:lang w:eastAsia="zh-CN"/>
        </w:rPr>
        <w:t xml:space="preserve"> </w:t>
      </w:r>
      <w:r>
        <w:rPr>
          <w:rFonts w:hint="eastAsia" w:ascii="宋体" w:hAnsi="宋体"/>
          <w:color w:val="auto"/>
          <w:highlight w:val="none"/>
          <w:lang w:eastAsia="zh-CN"/>
        </w:rPr>
        <w:t>总</w:t>
      </w:r>
      <w:r>
        <w:rPr>
          <w:rFonts w:ascii="宋体" w:hAnsi="宋体"/>
          <w:color w:val="auto"/>
          <w:highlight w:val="none"/>
          <w:lang w:eastAsia="zh-CN"/>
        </w:rPr>
        <w:t>价合同的计量</w:t>
      </w:r>
    </w:p>
    <w:p w14:paraId="347AAF17">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关于总价合同计量的约定：</w:t>
      </w:r>
      <w:r>
        <w:rPr>
          <w:rFonts w:hint="eastAsia" w:ascii="宋体" w:hAnsi="宋体"/>
          <w:color w:val="auto"/>
          <w:highlight w:val="none"/>
          <w:u w:val="single"/>
          <w:lang w:eastAsia="zh-CN"/>
        </w:rPr>
        <w:t xml:space="preserve">     无    </w:t>
      </w:r>
      <w:r>
        <w:rPr>
          <w:rFonts w:hint="eastAsia" w:ascii="宋体" w:hAnsi="宋体"/>
          <w:color w:val="auto"/>
          <w:highlight w:val="none"/>
          <w:lang w:eastAsia="zh-CN"/>
        </w:rPr>
        <w:t>。</w:t>
      </w:r>
    </w:p>
    <w:p w14:paraId="0F12D2BE">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12.3.5 总价采用支付分解表计量支付的，是否适用第12.3.4项〔总价合同的计量〕约定进行计量：</w:t>
      </w:r>
      <w:r>
        <w:rPr>
          <w:rFonts w:hint="eastAsia" w:ascii="宋体" w:hAnsi="宋体"/>
          <w:color w:val="auto"/>
          <w:highlight w:val="none"/>
          <w:u w:val="single"/>
          <w:lang w:eastAsia="zh-CN"/>
        </w:rPr>
        <w:t xml:space="preserve">  无  。</w:t>
      </w:r>
    </w:p>
    <w:p w14:paraId="1797332C">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12.3.6 其他价格形式合同的计量</w:t>
      </w:r>
    </w:p>
    <w:p w14:paraId="0E787957">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其他价格形式的计量方式和程序：</w:t>
      </w:r>
      <w:r>
        <w:rPr>
          <w:rFonts w:hint="eastAsia" w:ascii="宋体" w:hAnsi="宋体"/>
          <w:color w:val="auto"/>
          <w:highlight w:val="none"/>
          <w:u w:val="single"/>
          <w:lang w:eastAsia="zh-CN"/>
        </w:rPr>
        <w:t>无</w:t>
      </w:r>
      <w:r>
        <w:rPr>
          <w:rFonts w:hint="eastAsia" w:ascii="宋体" w:hAnsi="宋体"/>
          <w:color w:val="auto"/>
          <w:highlight w:val="none"/>
          <w:lang w:eastAsia="zh-CN"/>
        </w:rPr>
        <w:t>。</w:t>
      </w:r>
    </w:p>
    <w:p w14:paraId="3ACB472E">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32" w:name="_Toc480967585"/>
      <w:bookmarkStart w:id="933" w:name="_Toc22159"/>
      <w:r>
        <w:rPr>
          <w:rFonts w:hAnsi="宋体"/>
          <w:b/>
          <w:bCs/>
          <w:color w:val="auto"/>
          <w:kern w:val="44"/>
          <w:highlight w:val="none"/>
          <w:lang w:eastAsia="zh-CN"/>
        </w:rPr>
        <w:t>12.4 工程进度款支付</w:t>
      </w:r>
      <w:bookmarkEnd w:id="932"/>
      <w:bookmarkEnd w:id="933"/>
    </w:p>
    <w:p w14:paraId="1CF3331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12.4.1 付款周期</w:t>
      </w:r>
    </w:p>
    <w:p w14:paraId="48C22BDB">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spacing w:val="-2"/>
          <w:highlight w:val="none"/>
          <w:u w:val="single"/>
          <w:lang w:eastAsia="zh-CN"/>
        </w:rPr>
      </w:pPr>
      <w:r>
        <w:rPr>
          <w:rFonts w:ascii="宋体" w:hAnsi="宋体"/>
          <w:color w:val="auto"/>
          <w:highlight w:val="none"/>
          <w:lang w:eastAsia="zh-CN"/>
        </w:rPr>
        <w:t>关于付款周期的约定：</w:t>
      </w:r>
      <w:r>
        <w:rPr>
          <w:rFonts w:ascii="宋体" w:hAnsi="宋体"/>
          <w:bCs/>
          <w:color w:val="auto"/>
          <w:highlight w:val="none"/>
          <w:u w:val="single"/>
          <w:lang w:eastAsia="zh-CN"/>
        </w:rPr>
        <w:t>工程款原则上按</w:t>
      </w:r>
      <w:r>
        <w:rPr>
          <w:rFonts w:hint="eastAsia" w:ascii="宋体" w:hAnsi="宋体"/>
          <w:bCs/>
          <w:color w:val="auto"/>
          <w:highlight w:val="none"/>
          <w:u w:val="single"/>
          <w:lang w:eastAsia="zh-CN"/>
        </w:rPr>
        <w:t>期</w:t>
      </w:r>
      <w:r>
        <w:rPr>
          <w:rFonts w:ascii="宋体" w:hAnsi="宋体"/>
          <w:bCs/>
          <w:color w:val="auto"/>
          <w:highlight w:val="none"/>
          <w:u w:val="single"/>
          <w:lang w:eastAsia="zh-CN"/>
        </w:rPr>
        <w:t xml:space="preserve">支付，合同内进度款支付限额为已完成工程量的 </w:t>
      </w:r>
      <w:r>
        <w:rPr>
          <w:rFonts w:hint="eastAsia" w:ascii="宋体" w:hAnsi="宋体"/>
          <w:bCs/>
          <w:color w:val="auto"/>
          <w:highlight w:val="none"/>
          <w:u w:val="single"/>
          <w:lang w:eastAsia="zh-CN"/>
        </w:rPr>
        <w:t>85%</w:t>
      </w:r>
      <w:r>
        <w:rPr>
          <w:rFonts w:ascii="宋体" w:hAnsi="宋体"/>
          <w:bCs/>
          <w:color w:val="auto"/>
          <w:highlight w:val="none"/>
          <w:u w:val="single"/>
          <w:lang w:eastAsia="zh-CN"/>
        </w:rPr>
        <w:t>，</w:t>
      </w:r>
      <w:r>
        <w:rPr>
          <w:rFonts w:hint="eastAsia" w:ascii="宋体" w:hAnsi="宋体"/>
          <w:bCs/>
          <w:color w:val="auto"/>
          <w:highlight w:val="none"/>
          <w:u w:val="single"/>
          <w:lang w:eastAsia="zh-CN"/>
        </w:rPr>
        <w:t>增加工程</w:t>
      </w:r>
      <w:r>
        <w:rPr>
          <w:rFonts w:ascii="宋体" w:hAnsi="宋体"/>
          <w:bCs/>
          <w:color w:val="auto"/>
          <w:highlight w:val="none"/>
          <w:u w:val="single"/>
          <w:lang w:eastAsia="zh-CN"/>
        </w:rPr>
        <w:t>进度款支付限额为已完成工程量的</w:t>
      </w:r>
      <w:r>
        <w:rPr>
          <w:rFonts w:hint="eastAsia" w:ascii="宋体" w:hAnsi="宋体"/>
          <w:bCs/>
          <w:color w:val="auto"/>
          <w:highlight w:val="none"/>
          <w:u w:val="single"/>
          <w:lang w:eastAsia="zh-CN"/>
        </w:rPr>
        <w:t>70</w:t>
      </w:r>
      <w:r>
        <w:rPr>
          <w:rFonts w:ascii="宋体" w:hAnsi="宋体"/>
          <w:bCs/>
          <w:color w:val="auto"/>
          <w:highlight w:val="none"/>
          <w:u w:val="single"/>
          <w:lang w:eastAsia="zh-CN"/>
        </w:rPr>
        <w:t>%；工程完工验收达到质量要求，结算经</w:t>
      </w:r>
      <w:r>
        <w:rPr>
          <w:rFonts w:hint="eastAsia" w:ascii="宋体" w:hAnsi="宋体"/>
          <w:bCs/>
          <w:color w:val="auto"/>
          <w:highlight w:val="none"/>
          <w:u w:val="single"/>
          <w:lang w:eastAsia="zh-CN"/>
        </w:rPr>
        <w:t>发包人委托中介机构或区财政厅评审中心</w:t>
      </w:r>
      <w:r>
        <w:rPr>
          <w:rFonts w:ascii="宋体" w:hAnsi="宋体"/>
          <w:bCs/>
          <w:color w:val="auto"/>
          <w:highlight w:val="none"/>
          <w:u w:val="single"/>
          <w:lang w:eastAsia="zh-CN"/>
        </w:rPr>
        <w:t>审定后，工程款支付至结算总价的9</w:t>
      </w:r>
      <w:r>
        <w:rPr>
          <w:rFonts w:hint="eastAsia" w:ascii="宋体" w:hAnsi="宋体"/>
          <w:bCs/>
          <w:color w:val="auto"/>
          <w:highlight w:val="none"/>
          <w:u w:val="single"/>
          <w:lang w:eastAsia="zh-CN"/>
        </w:rPr>
        <w:t>7</w:t>
      </w:r>
      <w:r>
        <w:rPr>
          <w:rFonts w:ascii="宋体" w:hAnsi="宋体"/>
          <w:bCs/>
          <w:color w:val="auto"/>
          <w:highlight w:val="none"/>
          <w:u w:val="single"/>
          <w:lang w:eastAsia="zh-CN"/>
        </w:rPr>
        <w:t>%；发包人按工程价款结算总额的</w:t>
      </w:r>
      <w:r>
        <w:rPr>
          <w:rFonts w:hint="eastAsia" w:ascii="宋体" w:hAnsi="宋体"/>
          <w:bCs/>
          <w:color w:val="auto"/>
          <w:highlight w:val="none"/>
          <w:u w:val="single"/>
          <w:lang w:eastAsia="zh-CN"/>
        </w:rPr>
        <w:t>3</w:t>
      </w:r>
      <w:r>
        <w:rPr>
          <w:rFonts w:ascii="宋体" w:hAnsi="宋体"/>
          <w:bCs/>
          <w:color w:val="auto"/>
          <w:highlight w:val="none"/>
          <w:u w:val="single"/>
          <w:lang w:eastAsia="zh-CN"/>
        </w:rPr>
        <w:t>%预留工程质量保修金，待工程质量</w:t>
      </w:r>
      <w:r>
        <w:rPr>
          <w:rFonts w:hint="eastAsia" w:ascii="宋体" w:hAnsi="宋体"/>
          <w:bCs/>
          <w:color w:val="auto"/>
          <w:highlight w:val="none"/>
          <w:u w:val="single"/>
          <w:lang w:eastAsia="zh-CN"/>
        </w:rPr>
        <w:t>缺陷责任期</w:t>
      </w:r>
      <w:r>
        <w:rPr>
          <w:rFonts w:ascii="宋体" w:hAnsi="宋体"/>
          <w:bCs/>
          <w:color w:val="auto"/>
          <w:highlight w:val="none"/>
          <w:u w:val="single"/>
          <w:lang w:eastAsia="zh-CN"/>
        </w:rPr>
        <w:t>满后返还。</w:t>
      </w:r>
    </w:p>
    <w:p w14:paraId="6745F64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12.4.2 进度付款申请单的编制</w:t>
      </w:r>
    </w:p>
    <w:p w14:paraId="2C0EDBC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关于进度付款申请单编制的约定：</w:t>
      </w:r>
      <w:r>
        <w:rPr>
          <w:rFonts w:hint="eastAsia" w:ascii="宋体" w:hAnsi="宋体"/>
          <w:color w:val="auto"/>
          <w:highlight w:val="none"/>
          <w:u w:val="single"/>
          <w:lang w:eastAsia="zh-CN"/>
        </w:rPr>
        <w:t xml:space="preserve">承包人应在每个计量周期到期后的7天内向发包人提交已完工程进度款支付申请一式四份，详细说明此周期自己认为有权得到的款额，包括分包人已完工程的价款 </w:t>
      </w:r>
      <w:r>
        <w:rPr>
          <w:rFonts w:hint="eastAsia" w:ascii="宋体" w:hAnsi="宋体"/>
          <w:color w:val="auto"/>
          <w:highlight w:val="none"/>
          <w:lang w:eastAsia="zh-CN"/>
        </w:rPr>
        <w:t>。</w:t>
      </w:r>
    </w:p>
    <w:p w14:paraId="5A761FD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12.4.3 进度付款申请单的提交</w:t>
      </w:r>
    </w:p>
    <w:p w14:paraId="5D461D6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（1）单价合同进度付款申请单提交的约定：</w:t>
      </w:r>
      <w:r>
        <w:rPr>
          <w:rFonts w:hint="eastAsia" w:ascii="宋体" w:hAnsi="宋体"/>
          <w:color w:val="auto"/>
          <w:highlight w:val="none"/>
          <w:u w:val="single"/>
          <w:lang w:eastAsia="zh-CN"/>
        </w:rPr>
        <w:t xml:space="preserve">按支付方式的进度  </w:t>
      </w:r>
      <w:r>
        <w:rPr>
          <w:rFonts w:hint="eastAsia" w:ascii="宋体" w:hAnsi="宋体"/>
          <w:color w:val="auto"/>
          <w:highlight w:val="none"/>
          <w:lang w:eastAsia="zh-CN"/>
        </w:rPr>
        <w:t>。</w:t>
      </w:r>
    </w:p>
    <w:p w14:paraId="0B5D08D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（2）总价合同进度付款申请单提交的约定：</w:t>
      </w:r>
      <w:r>
        <w:rPr>
          <w:rFonts w:hint="eastAsia" w:ascii="宋体" w:hAnsi="宋体"/>
          <w:color w:val="auto"/>
          <w:highlight w:val="none"/>
          <w:u w:val="single"/>
          <w:lang w:eastAsia="zh-CN"/>
        </w:rPr>
        <w:t xml:space="preserve">无 </w:t>
      </w:r>
      <w:r>
        <w:rPr>
          <w:rFonts w:hint="eastAsia" w:ascii="宋体" w:hAnsi="宋体"/>
          <w:color w:val="auto"/>
          <w:highlight w:val="none"/>
          <w:lang w:eastAsia="zh-CN"/>
        </w:rPr>
        <w:t>。</w:t>
      </w:r>
    </w:p>
    <w:p w14:paraId="1FC6809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（3）其他价格形式合同进度付款申请单提交的约定：</w:t>
      </w:r>
      <w:r>
        <w:rPr>
          <w:rFonts w:hint="eastAsia" w:ascii="宋体" w:hAnsi="宋体"/>
          <w:color w:val="auto"/>
          <w:highlight w:val="none"/>
          <w:u w:val="single"/>
          <w:lang w:eastAsia="zh-CN"/>
        </w:rPr>
        <w:t xml:space="preserve">无 </w:t>
      </w:r>
      <w:r>
        <w:rPr>
          <w:rFonts w:hint="eastAsia" w:ascii="宋体" w:hAnsi="宋体"/>
          <w:color w:val="auto"/>
          <w:highlight w:val="none"/>
          <w:lang w:eastAsia="zh-CN"/>
        </w:rPr>
        <w:t>。</w:t>
      </w:r>
    </w:p>
    <w:p w14:paraId="781C785C">
      <w:pPr>
        <w:pageBreakBefore w:val="0"/>
        <w:kinsoku/>
        <w:wordWrap/>
        <w:overflowPunct/>
        <w:topLinePunct w:val="0"/>
        <w:autoSpaceDE/>
        <w:autoSpaceDN/>
        <w:bidi w:val="0"/>
        <w:adjustRightInd/>
        <w:snapToGrid/>
        <w:spacing w:line="360" w:lineRule="auto"/>
        <w:ind w:firstLine="420" w:firstLineChars="200"/>
        <w:textAlignment w:val="auto"/>
        <w:outlineLvl w:val="9"/>
        <w:rPr>
          <w:rFonts w:ascii="宋体" w:hAnsi="宋体"/>
          <w:color w:val="auto"/>
          <w:highlight w:val="none"/>
          <w:lang w:eastAsia="zh-CN"/>
        </w:rPr>
      </w:pPr>
      <w:bookmarkStart w:id="934" w:name="_Toc13743"/>
      <w:r>
        <w:rPr>
          <w:rFonts w:ascii="宋体" w:hAnsi="宋体"/>
          <w:color w:val="auto"/>
          <w:highlight w:val="none"/>
          <w:lang w:eastAsia="zh-CN"/>
        </w:rPr>
        <w:t>12.4.4 进度款审核和支付</w:t>
      </w:r>
      <w:bookmarkEnd w:id="934"/>
    </w:p>
    <w:p w14:paraId="001CA16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（1）监理人审查并报送发包人的期限：</w:t>
      </w:r>
      <w:r>
        <w:rPr>
          <w:rFonts w:hint="eastAsia" w:ascii="宋体" w:hAnsi="宋体"/>
          <w:color w:val="auto"/>
          <w:highlight w:val="none"/>
          <w:u w:val="single"/>
          <w:lang w:eastAsia="zh-CN"/>
        </w:rPr>
        <w:t xml:space="preserve"> 3天内</w:t>
      </w:r>
      <w:r>
        <w:rPr>
          <w:rFonts w:ascii="宋体" w:hAnsi="宋体"/>
          <w:color w:val="auto"/>
          <w:highlight w:val="none"/>
          <w:lang w:eastAsia="zh-CN"/>
        </w:rPr>
        <w:t>。</w:t>
      </w:r>
    </w:p>
    <w:p w14:paraId="657F509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发包人完成审批并签发进度款支付证书的期限：</w:t>
      </w:r>
      <w:r>
        <w:rPr>
          <w:rFonts w:hint="eastAsia" w:ascii="宋体" w:hAnsi="宋体"/>
          <w:color w:val="auto"/>
          <w:highlight w:val="none"/>
          <w:u w:val="single"/>
          <w:lang w:eastAsia="zh-CN"/>
        </w:rPr>
        <w:t xml:space="preserve">承包人提出书面申请后10天内 </w:t>
      </w:r>
      <w:r>
        <w:rPr>
          <w:rFonts w:ascii="宋体" w:hAnsi="宋体"/>
          <w:color w:val="auto"/>
          <w:highlight w:val="none"/>
          <w:lang w:eastAsia="zh-CN"/>
        </w:rPr>
        <w:t>。</w:t>
      </w:r>
    </w:p>
    <w:p w14:paraId="50F30CB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（2）发包人支付进度款的期限：</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4359A27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发包人逾期支付进度款的违约金的计算方式：</w:t>
      </w:r>
      <w:r>
        <w:rPr>
          <w:rFonts w:hint="eastAsia" w:ascii="宋体" w:hAnsi="宋体"/>
          <w:color w:val="auto"/>
          <w:highlight w:val="none"/>
          <w:u w:val="single"/>
          <w:lang w:eastAsia="zh-CN"/>
        </w:rPr>
        <w:t xml:space="preserve">按支付方式 </w:t>
      </w:r>
      <w:r>
        <w:rPr>
          <w:rFonts w:ascii="宋体" w:hAnsi="宋体"/>
          <w:color w:val="auto"/>
          <w:highlight w:val="none"/>
          <w:lang w:eastAsia="zh-CN"/>
        </w:rPr>
        <w:t>。</w:t>
      </w:r>
    </w:p>
    <w:p w14:paraId="33494B5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12.4.6 支付分解表的编制</w:t>
      </w:r>
    </w:p>
    <w:p w14:paraId="55655DF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hint="eastAsia" w:ascii="宋体" w:hAnsi="宋体"/>
          <w:color w:val="auto"/>
          <w:highlight w:val="none"/>
          <w:lang w:val="en-US" w:eastAsia="zh-CN"/>
        </w:rPr>
        <w:t>1</w:t>
      </w:r>
      <w:r>
        <w:rPr>
          <w:rFonts w:ascii="宋体" w:hAnsi="宋体"/>
          <w:color w:val="auto"/>
          <w:highlight w:val="none"/>
          <w:lang w:eastAsia="zh-CN"/>
        </w:rPr>
        <w:t>、总价合同支付分解表的编制与审批：</w:t>
      </w:r>
      <w:r>
        <w:rPr>
          <w:rFonts w:hint="eastAsia" w:ascii="宋体" w:hAnsi="宋体"/>
          <w:color w:val="auto"/>
          <w:highlight w:val="none"/>
          <w:u w:val="single"/>
          <w:lang w:eastAsia="zh-CN"/>
        </w:rPr>
        <w:t xml:space="preserve"> 总价项目不采用支付分解表的方式计算，而按现行标准</w:t>
      </w:r>
      <w:r>
        <w:rPr>
          <w:rFonts w:hint="eastAsia"/>
          <w:color w:val="auto"/>
          <w:highlight w:val="none"/>
          <w:u w:val="single"/>
          <w:lang w:eastAsia="zh-CN"/>
        </w:rPr>
        <w:t>《建设工程工程量清单计价标准》（GB/T 50500-2024）</w:t>
      </w:r>
      <w:r>
        <w:rPr>
          <w:rFonts w:hint="eastAsia" w:ascii="宋体" w:hAnsi="宋体"/>
          <w:color w:val="auto"/>
          <w:highlight w:val="none"/>
          <w:u w:val="single"/>
          <w:lang w:eastAsia="zh-CN"/>
        </w:rPr>
        <w:t>的规定执行</w:t>
      </w:r>
      <w:r>
        <w:rPr>
          <w:rFonts w:ascii="宋体" w:hAnsi="宋体"/>
          <w:color w:val="auto"/>
          <w:highlight w:val="none"/>
          <w:u w:val="single"/>
          <w:lang w:eastAsia="zh-CN"/>
        </w:rPr>
        <w:t>。</w:t>
      </w:r>
    </w:p>
    <w:p w14:paraId="4663589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hint="eastAsia" w:ascii="宋体" w:hAnsi="宋体"/>
          <w:color w:val="auto"/>
          <w:highlight w:val="none"/>
          <w:lang w:val="en-US" w:eastAsia="zh-CN"/>
        </w:rPr>
        <w:t>2</w:t>
      </w:r>
      <w:r>
        <w:rPr>
          <w:rFonts w:ascii="宋体" w:hAnsi="宋体"/>
          <w:color w:val="auto"/>
          <w:highlight w:val="none"/>
          <w:lang w:eastAsia="zh-CN"/>
        </w:rPr>
        <w:t>、单价合同的总价项目支付分解表的编制与审批：</w:t>
      </w:r>
      <w:r>
        <w:rPr>
          <w:rFonts w:hint="eastAsia" w:ascii="宋体" w:hAnsi="宋体"/>
          <w:color w:val="auto"/>
          <w:highlight w:val="none"/>
          <w:u w:val="single"/>
          <w:lang w:eastAsia="zh-CN"/>
        </w:rPr>
        <w:t>总价项目不采用支付分解表的方式计算，而按现行标准</w:t>
      </w:r>
      <w:r>
        <w:rPr>
          <w:rFonts w:hint="eastAsia"/>
          <w:color w:val="auto"/>
          <w:highlight w:val="none"/>
          <w:u w:val="single"/>
          <w:lang w:eastAsia="zh-CN"/>
        </w:rPr>
        <w:t>《建设工程工程量清单计价标准》（GB/T 50500-2024）</w:t>
      </w:r>
      <w:r>
        <w:rPr>
          <w:rFonts w:hint="eastAsia" w:ascii="宋体" w:hAnsi="宋体"/>
          <w:color w:val="auto"/>
          <w:highlight w:val="none"/>
          <w:u w:val="single"/>
          <w:lang w:eastAsia="zh-CN"/>
        </w:rPr>
        <w:t>的规定执行</w:t>
      </w:r>
      <w:r>
        <w:rPr>
          <w:rFonts w:ascii="宋体" w:hAnsi="宋体"/>
          <w:color w:val="auto"/>
          <w:highlight w:val="none"/>
          <w:u w:val="single"/>
          <w:lang w:eastAsia="zh-CN"/>
        </w:rPr>
        <w:t>。</w:t>
      </w:r>
    </w:p>
    <w:p w14:paraId="3105AB4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35" w:name="_Toc480967586"/>
      <w:bookmarkStart w:id="936" w:name="_Toc7347"/>
      <w:bookmarkStart w:id="937" w:name="_Toc25851"/>
      <w:r>
        <w:rPr>
          <w:rFonts w:hAnsi="宋体"/>
          <w:b/>
          <w:bCs/>
          <w:color w:val="auto"/>
          <w:kern w:val="44"/>
          <w:highlight w:val="none"/>
          <w:lang w:eastAsia="zh-CN"/>
        </w:rPr>
        <w:t>13. 验收和工程试车</w:t>
      </w:r>
      <w:bookmarkEnd w:id="935"/>
      <w:bookmarkEnd w:id="936"/>
      <w:bookmarkEnd w:id="937"/>
    </w:p>
    <w:p w14:paraId="2B5392F8">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38" w:name="_Toc22007"/>
      <w:bookmarkStart w:id="939" w:name="_Toc480967587"/>
      <w:bookmarkStart w:id="940" w:name="_Toc25980"/>
      <w:r>
        <w:rPr>
          <w:rFonts w:hAnsi="宋体"/>
          <w:b/>
          <w:bCs/>
          <w:color w:val="auto"/>
          <w:kern w:val="44"/>
          <w:highlight w:val="none"/>
          <w:lang w:eastAsia="zh-CN"/>
        </w:rPr>
        <w:t>13.1 分部分项工程验收</w:t>
      </w:r>
      <w:bookmarkEnd w:id="938"/>
      <w:bookmarkEnd w:id="939"/>
      <w:bookmarkEnd w:id="940"/>
    </w:p>
    <w:p w14:paraId="0DEFC98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13.1.2监理人不能按时进行验收时，应提前</w:t>
      </w:r>
      <w:r>
        <w:rPr>
          <w:rFonts w:hint="eastAsia" w:ascii="宋体" w:hAnsi="宋体"/>
          <w:color w:val="auto"/>
          <w:highlight w:val="none"/>
          <w:u w:val="single"/>
          <w:lang w:eastAsia="zh-CN"/>
        </w:rPr>
        <w:t>24</w:t>
      </w:r>
      <w:r>
        <w:rPr>
          <w:rFonts w:ascii="宋体" w:hAnsi="宋体"/>
          <w:color w:val="auto"/>
          <w:highlight w:val="none"/>
          <w:lang w:eastAsia="zh-CN"/>
        </w:rPr>
        <w:t>小时提交书面延期要求。</w:t>
      </w:r>
    </w:p>
    <w:p w14:paraId="68B3A15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
          <w:color w:val="auto"/>
          <w:highlight w:val="none"/>
          <w:lang w:eastAsia="zh-CN"/>
        </w:rPr>
      </w:pPr>
      <w:r>
        <w:rPr>
          <w:rFonts w:ascii="宋体" w:hAnsi="宋体"/>
          <w:color w:val="auto"/>
          <w:highlight w:val="none"/>
          <w:lang w:eastAsia="zh-CN"/>
        </w:rPr>
        <w:t>关于延期最长不得超过：</w:t>
      </w:r>
      <w:r>
        <w:rPr>
          <w:rFonts w:hint="eastAsia" w:ascii="宋体" w:hAnsi="宋体"/>
          <w:color w:val="auto"/>
          <w:highlight w:val="none"/>
          <w:u w:val="single"/>
          <w:lang w:eastAsia="zh-CN"/>
        </w:rPr>
        <w:t>48</w:t>
      </w:r>
      <w:r>
        <w:rPr>
          <w:rFonts w:ascii="宋体" w:hAnsi="宋体"/>
          <w:color w:val="auto"/>
          <w:highlight w:val="none"/>
          <w:lang w:eastAsia="zh-CN"/>
        </w:rPr>
        <w:t>小时。</w:t>
      </w:r>
    </w:p>
    <w:p w14:paraId="339FC59E">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41" w:name="_Toc480967588"/>
      <w:bookmarkStart w:id="942" w:name="_Toc28718"/>
      <w:bookmarkStart w:id="943" w:name="_Toc3422"/>
      <w:r>
        <w:rPr>
          <w:rFonts w:hAnsi="宋体"/>
          <w:b/>
          <w:bCs/>
          <w:color w:val="auto"/>
          <w:kern w:val="44"/>
          <w:highlight w:val="none"/>
          <w:lang w:eastAsia="zh-CN"/>
        </w:rPr>
        <w:t>13.2 竣工验收</w:t>
      </w:r>
      <w:bookmarkEnd w:id="941"/>
      <w:bookmarkEnd w:id="942"/>
      <w:bookmarkEnd w:id="943"/>
    </w:p>
    <w:p w14:paraId="0439664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13.2.1竣工验收条件</w:t>
      </w:r>
    </w:p>
    <w:p w14:paraId="3EB0E48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（3）承包人负责整理和提交的竣工验收资料应当符合工程所在地建设行政主管部门和(或)城市建设档案管理机构有关施工资料的要求，具体内容包括：</w:t>
      </w:r>
      <w:r>
        <w:rPr>
          <w:rFonts w:hint="eastAsia" w:ascii="宋体" w:hAnsi="宋体"/>
          <w:color w:val="auto"/>
          <w:highlight w:val="none"/>
          <w:u w:val="single"/>
          <w:lang w:eastAsia="zh-CN"/>
        </w:rPr>
        <w:t xml:space="preserve"> ①工程具备竣工验收条件，承包人按工程竣工验收有关规定，向发包人提交符合城建档案馆归档要求内容装订成册的完整竣工资料及竣工验收报告、工程竣工图；②承包人所提交的竣工资料必须符合《建设工程文件归档整理规范》要求 </w:t>
      </w:r>
      <w:r>
        <w:rPr>
          <w:rFonts w:ascii="宋体" w:hAnsi="宋体"/>
          <w:color w:val="auto"/>
          <w:highlight w:val="none"/>
          <w:lang w:eastAsia="zh-CN"/>
        </w:rPr>
        <w:t>。</w:t>
      </w:r>
    </w:p>
    <w:p w14:paraId="3D79683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竣工验收资料的份数：</w:t>
      </w:r>
      <w:r>
        <w:rPr>
          <w:rFonts w:hint="eastAsia" w:ascii="宋体" w:hAnsi="宋体"/>
          <w:color w:val="auto"/>
          <w:highlight w:val="none"/>
          <w:u w:val="single"/>
          <w:lang w:eastAsia="zh-CN"/>
        </w:rPr>
        <w:t>4份</w:t>
      </w:r>
      <w:r>
        <w:rPr>
          <w:rFonts w:ascii="宋体" w:hAnsi="宋体"/>
          <w:color w:val="auto"/>
          <w:highlight w:val="none"/>
          <w:lang w:eastAsia="zh-CN"/>
        </w:rPr>
        <w:t>。</w:t>
      </w:r>
    </w:p>
    <w:p w14:paraId="5DFC999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bCs/>
          <w:color w:val="auto"/>
          <w:highlight w:val="none"/>
          <w:lang w:eastAsia="zh-CN"/>
        </w:rPr>
        <w:t>承包人提供竣工图的约定：</w:t>
      </w:r>
      <w:r>
        <w:rPr>
          <w:rFonts w:ascii="宋体" w:hAnsi="宋体"/>
          <w:bCs/>
          <w:color w:val="auto"/>
          <w:highlight w:val="none"/>
          <w:u w:val="single"/>
          <w:lang w:eastAsia="zh-CN"/>
        </w:rPr>
        <w:t>竣工验收正式通过</w:t>
      </w:r>
      <w:r>
        <w:rPr>
          <w:rFonts w:hint="eastAsia" w:ascii="宋体" w:hAnsi="宋体"/>
          <w:bCs/>
          <w:color w:val="auto"/>
          <w:highlight w:val="none"/>
          <w:u w:val="single"/>
          <w:lang w:eastAsia="zh-CN"/>
        </w:rPr>
        <w:t>后1</w:t>
      </w:r>
      <w:r>
        <w:rPr>
          <w:rFonts w:ascii="宋体" w:hAnsi="宋体"/>
          <w:bCs/>
          <w:color w:val="auto"/>
          <w:highlight w:val="none"/>
          <w:u w:val="single"/>
          <w:lang w:eastAsia="zh-CN"/>
        </w:rPr>
        <w:t>5天，提供竣工图</w:t>
      </w:r>
      <w:r>
        <w:rPr>
          <w:rFonts w:hint="eastAsia" w:ascii="宋体" w:hAnsi="宋体"/>
          <w:bCs/>
          <w:color w:val="auto"/>
          <w:highlight w:val="none"/>
          <w:u w:val="single"/>
          <w:lang w:eastAsia="zh-CN"/>
        </w:rPr>
        <w:t>叁</w:t>
      </w:r>
      <w:r>
        <w:rPr>
          <w:rFonts w:ascii="宋体" w:hAnsi="宋体"/>
          <w:bCs/>
          <w:color w:val="auto"/>
          <w:highlight w:val="none"/>
          <w:u w:val="single"/>
          <w:lang w:eastAsia="zh-CN"/>
        </w:rPr>
        <w:t>套。</w:t>
      </w:r>
    </w:p>
    <w:p w14:paraId="6C39AD4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13.2.2竣工验收程序</w:t>
      </w:r>
    </w:p>
    <w:p w14:paraId="31DE9F3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关于竣工验收程序的约定：</w:t>
      </w:r>
      <w:r>
        <w:rPr>
          <w:rFonts w:hint="eastAsia" w:ascii="宋体" w:hAnsi="宋体"/>
          <w:color w:val="auto"/>
          <w:highlight w:val="none"/>
          <w:u w:val="single"/>
          <w:lang w:eastAsia="zh-CN"/>
        </w:rPr>
        <w:t xml:space="preserve">按国家及地方规定和规范要求 </w:t>
      </w:r>
      <w:r>
        <w:rPr>
          <w:rFonts w:ascii="宋体" w:hAnsi="宋体"/>
          <w:color w:val="auto"/>
          <w:highlight w:val="none"/>
          <w:lang w:eastAsia="zh-CN"/>
        </w:rPr>
        <w:t>。</w:t>
      </w:r>
    </w:p>
    <w:p w14:paraId="56DA513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发包人不按照本项约定组织竣工验收、颁发工程接收证书的违约金的计算方法：</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20CB574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13.2.5移交、接收全部与部分工程</w:t>
      </w:r>
    </w:p>
    <w:p w14:paraId="0CA1FCE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承包人向发包人移交工程的期限：</w:t>
      </w:r>
      <w:r>
        <w:rPr>
          <w:rFonts w:hint="eastAsia" w:ascii="宋体" w:hAnsi="宋体"/>
          <w:color w:val="auto"/>
          <w:highlight w:val="none"/>
          <w:u w:val="single"/>
          <w:lang w:eastAsia="zh-CN"/>
        </w:rPr>
        <w:t xml:space="preserve"> 竣工验收后7天内 </w:t>
      </w:r>
      <w:r>
        <w:rPr>
          <w:rFonts w:ascii="宋体" w:hAnsi="宋体"/>
          <w:color w:val="auto"/>
          <w:highlight w:val="none"/>
          <w:lang w:eastAsia="zh-CN"/>
        </w:rPr>
        <w:t>。</w:t>
      </w:r>
    </w:p>
    <w:p w14:paraId="1D9046F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发包人未按本合同约定接收全部或部分工程的，违约金的计算方法为：</w:t>
      </w:r>
      <w:r>
        <w:rPr>
          <w:rFonts w:hint="eastAsia" w:ascii="宋体" w:hAnsi="宋体"/>
          <w:color w:val="auto"/>
          <w:highlight w:val="none"/>
          <w:u w:val="single"/>
          <w:lang w:eastAsia="zh-CN"/>
        </w:rPr>
        <w:t xml:space="preserve">按延期工程造价万分之二，最高限额为延期工程造价2% </w:t>
      </w:r>
      <w:r>
        <w:rPr>
          <w:rFonts w:ascii="宋体" w:hAnsi="宋体"/>
          <w:color w:val="auto"/>
          <w:highlight w:val="none"/>
          <w:lang w:eastAsia="zh-CN"/>
        </w:rPr>
        <w:t>。</w:t>
      </w:r>
    </w:p>
    <w:p w14:paraId="1468621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承包人未按时移交工程的，违约金的计算方法为：</w:t>
      </w:r>
      <w:r>
        <w:rPr>
          <w:rFonts w:hint="eastAsia" w:ascii="宋体" w:hAnsi="宋体"/>
          <w:color w:val="auto"/>
          <w:highlight w:val="none"/>
          <w:u w:val="single"/>
          <w:lang w:eastAsia="zh-CN"/>
        </w:rPr>
        <w:t xml:space="preserve">每拖延一天工期支付给发包人最终结算总价的万分之四/天的违约金，最高限额为签约结算价的2% </w:t>
      </w:r>
      <w:r>
        <w:rPr>
          <w:rFonts w:ascii="宋体" w:hAnsi="宋体"/>
          <w:color w:val="auto"/>
          <w:highlight w:val="none"/>
          <w:lang w:eastAsia="zh-CN"/>
        </w:rPr>
        <w:t>。</w:t>
      </w:r>
    </w:p>
    <w:p w14:paraId="1C026E05">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44" w:name="_Toc23733"/>
      <w:bookmarkStart w:id="945" w:name="_Toc21367"/>
      <w:bookmarkStart w:id="946" w:name="_Toc480967589"/>
      <w:r>
        <w:rPr>
          <w:rFonts w:hAnsi="宋体"/>
          <w:b/>
          <w:bCs/>
          <w:color w:val="auto"/>
          <w:kern w:val="44"/>
          <w:highlight w:val="none"/>
          <w:lang w:eastAsia="zh-CN"/>
        </w:rPr>
        <w:t>13.3 工程试车</w:t>
      </w:r>
      <w:bookmarkEnd w:id="944"/>
      <w:bookmarkEnd w:id="945"/>
      <w:bookmarkEnd w:id="946"/>
    </w:p>
    <w:p w14:paraId="69F9F7ED">
      <w:pPr>
        <w:pageBreakBefore w:val="0"/>
        <w:kinsoku/>
        <w:wordWrap/>
        <w:overflowPunct/>
        <w:topLinePunct w:val="0"/>
        <w:autoSpaceDE/>
        <w:autoSpaceDN/>
        <w:bidi w:val="0"/>
        <w:adjustRightInd/>
        <w:snapToGrid/>
        <w:spacing w:line="360" w:lineRule="auto"/>
        <w:ind w:firstLine="420" w:firstLineChars="200"/>
        <w:textAlignment w:val="auto"/>
        <w:outlineLvl w:val="9"/>
        <w:rPr>
          <w:rFonts w:ascii="宋体" w:hAnsi="宋体"/>
          <w:color w:val="auto"/>
          <w:highlight w:val="none"/>
          <w:lang w:eastAsia="zh-CN"/>
        </w:rPr>
      </w:pPr>
      <w:bookmarkStart w:id="947" w:name="_Toc32269"/>
      <w:r>
        <w:rPr>
          <w:rFonts w:ascii="宋体" w:hAnsi="宋体"/>
          <w:color w:val="auto"/>
          <w:highlight w:val="none"/>
          <w:lang w:eastAsia="zh-CN"/>
        </w:rPr>
        <w:t>13.3.1 试车程序</w:t>
      </w:r>
      <w:bookmarkEnd w:id="947"/>
    </w:p>
    <w:p w14:paraId="5B8037B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工程试车内容：</w:t>
      </w:r>
      <w:r>
        <w:rPr>
          <w:rFonts w:hint="eastAsia" w:ascii="宋体" w:hAnsi="宋体"/>
          <w:color w:val="auto"/>
          <w:highlight w:val="none"/>
          <w:u w:val="single"/>
          <w:lang w:eastAsia="zh-CN"/>
        </w:rPr>
        <w:t>按规范要求</w:t>
      </w:r>
      <w:r>
        <w:rPr>
          <w:rFonts w:ascii="宋体" w:hAnsi="宋体"/>
          <w:color w:val="auto"/>
          <w:highlight w:val="none"/>
          <w:lang w:eastAsia="zh-CN"/>
        </w:rPr>
        <w:t>。</w:t>
      </w:r>
    </w:p>
    <w:p w14:paraId="3777520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（1）单机无负荷试车费用由</w:t>
      </w:r>
      <w:r>
        <w:rPr>
          <w:rFonts w:hint="eastAsia" w:ascii="宋体" w:hAnsi="宋体"/>
          <w:color w:val="auto"/>
          <w:highlight w:val="none"/>
          <w:u w:val="single"/>
          <w:lang w:eastAsia="zh-CN"/>
        </w:rPr>
        <w:t xml:space="preserve">      承包人        </w:t>
      </w:r>
      <w:r>
        <w:rPr>
          <w:rFonts w:ascii="宋体" w:hAnsi="宋体"/>
          <w:color w:val="auto"/>
          <w:highlight w:val="none"/>
          <w:lang w:eastAsia="zh-CN"/>
        </w:rPr>
        <w:t>承担；</w:t>
      </w:r>
    </w:p>
    <w:p w14:paraId="63FB420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（2）无负荷联动试车费用由</w:t>
      </w:r>
      <w:r>
        <w:rPr>
          <w:rFonts w:hint="eastAsia" w:ascii="宋体" w:hAnsi="宋体"/>
          <w:color w:val="auto"/>
          <w:highlight w:val="none"/>
          <w:u w:val="single"/>
          <w:lang w:eastAsia="zh-CN"/>
        </w:rPr>
        <w:t xml:space="preserve">      发包人        </w:t>
      </w:r>
      <w:r>
        <w:rPr>
          <w:rFonts w:ascii="宋体" w:hAnsi="宋体"/>
          <w:color w:val="auto"/>
          <w:highlight w:val="none"/>
          <w:lang w:eastAsia="zh-CN"/>
        </w:rPr>
        <w:t>承担。</w:t>
      </w:r>
    </w:p>
    <w:p w14:paraId="313CACD3">
      <w:pPr>
        <w:pageBreakBefore w:val="0"/>
        <w:kinsoku/>
        <w:wordWrap/>
        <w:overflowPunct/>
        <w:topLinePunct w:val="0"/>
        <w:autoSpaceDE/>
        <w:autoSpaceDN/>
        <w:bidi w:val="0"/>
        <w:adjustRightInd/>
        <w:snapToGrid/>
        <w:spacing w:line="360" w:lineRule="auto"/>
        <w:ind w:firstLine="420" w:firstLineChars="200"/>
        <w:textAlignment w:val="auto"/>
        <w:outlineLvl w:val="9"/>
        <w:rPr>
          <w:rFonts w:ascii="宋体" w:hAnsi="宋体"/>
          <w:color w:val="auto"/>
          <w:highlight w:val="none"/>
          <w:lang w:eastAsia="zh-CN"/>
        </w:rPr>
      </w:pPr>
      <w:bookmarkStart w:id="948" w:name="_Toc23530"/>
      <w:r>
        <w:rPr>
          <w:rFonts w:ascii="宋体" w:hAnsi="宋体"/>
          <w:color w:val="auto"/>
          <w:highlight w:val="none"/>
          <w:lang w:eastAsia="zh-CN"/>
        </w:rPr>
        <w:t>13.3.3 投料试车</w:t>
      </w:r>
      <w:bookmarkEnd w:id="948"/>
    </w:p>
    <w:p w14:paraId="05B5D64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关于投料试车相关事项的约定：</w:t>
      </w:r>
      <w:r>
        <w:rPr>
          <w:rFonts w:hint="eastAsia" w:ascii="宋体" w:hAnsi="宋体"/>
          <w:color w:val="auto"/>
          <w:highlight w:val="none"/>
          <w:u w:val="single"/>
          <w:lang w:eastAsia="zh-CN"/>
        </w:rPr>
        <w:t xml:space="preserve"> 投料试运行应在工程竣工验收后由发包人负责，如发包人要求在工程竣工验收前进行或需要承包人配合时，应征得承包人的同意，另行签订补充协议 </w:t>
      </w:r>
      <w:r>
        <w:rPr>
          <w:rFonts w:ascii="宋体" w:hAnsi="宋体"/>
          <w:color w:val="auto"/>
          <w:highlight w:val="none"/>
          <w:lang w:eastAsia="zh-CN"/>
        </w:rPr>
        <w:t>。</w:t>
      </w:r>
    </w:p>
    <w:p w14:paraId="5830C41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49" w:name="_Toc23071"/>
      <w:bookmarkStart w:id="950" w:name="_Toc480967590"/>
      <w:bookmarkStart w:id="951" w:name="_Toc22673"/>
      <w:r>
        <w:rPr>
          <w:rFonts w:hAnsi="宋体"/>
          <w:b/>
          <w:bCs/>
          <w:color w:val="auto"/>
          <w:kern w:val="44"/>
          <w:highlight w:val="none"/>
          <w:lang w:eastAsia="zh-CN"/>
        </w:rPr>
        <w:t>13.6 竣工退场</w:t>
      </w:r>
      <w:bookmarkEnd w:id="949"/>
      <w:bookmarkEnd w:id="950"/>
      <w:bookmarkEnd w:id="951"/>
    </w:p>
    <w:p w14:paraId="0F1F917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13.6.1 竣工退场</w:t>
      </w:r>
    </w:p>
    <w:p w14:paraId="4E1EBEC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承包人完成竣工退场的期限：</w:t>
      </w:r>
      <w:r>
        <w:rPr>
          <w:rFonts w:hint="eastAsia" w:ascii="宋体" w:hAnsi="宋体"/>
          <w:color w:val="auto"/>
          <w:highlight w:val="none"/>
          <w:u w:val="single"/>
          <w:lang w:eastAsia="zh-CN"/>
        </w:rPr>
        <w:t xml:space="preserve">承包人按照通用合同条款规定撤离施工场地（现场）时，监理人和承包人应当办理永久工程和施工场地移交手续，移交手续以书面方式出具，并分别经过发包人、监理人和承包人的签认。但是，监理人和发包人未按专用合同条款17.5.1项约定的期限办清竣工结算和竣工付款的，本工程不得交付使用，发包人和监理人也无权要求承包人按合同约定的期限撤离施工场地（现场）和办理工程移交手续 </w:t>
      </w:r>
      <w:r>
        <w:rPr>
          <w:rFonts w:ascii="宋体" w:hAnsi="宋体"/>
          <w:color w:val="auto"/>
          <w:highlight w:val="none"/>
          <w:lang w:eastAsia="zh-CN"/>
        </w:rPr>
        <w:t>。</w:t>
      </w:r>
    </w:p>
    <w:p w14:paraId="058EA5C3">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缺陷责任期满时，承包人可以继续在施工场地保留的人员和施工设备以及最终撤离的期限：</w:t>
      </w:r>
      <w:r>
        <w:rPr>
          <w:rFonts w:hint="eastAsia" w:ascii="宋体" w:hAnsi="宋体"/>
          <w:color w:val="auto"/>
          <w:highlight w:val="none"/>
          <w:u w:val="single"/>
          <w:lang w:eastAsia="zh-CN"/>
        </w:rPr>
        <w:t>在合同解除之日起15天内，承包人应将除为安全需要以外的所有其它物资、机具、设备和设施，全部撤离现场 。</w:t>
      </w:r>
    </w:p>
    <w:p w14:paraId="0122189C">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52" w:name="_Toc19478"/>
      <w:bookmarkStart w:id="953" w:name="_Toc17595"/>
      <w:bookmarkStart w:id="954" w:name="_Toc480967591"/>
      <w:r>
        <w:rPr>
          <w:rFonts w:hAnsi="宋体"/>
          <w:b/>
          <w:bCs/>
          <w:color w:val="auto"/>
          <w:kern w:val="44"/>
          <w:highlight w:val="none"/>
          <w:lang w:eastAsia="zh-CN"/>
        </w:rPr>
        <w:t>14. 竣工结算</w:t>
      </w:r>
      <w:bookmarkEnd w:id="952"/>
      <w:bookmarkEnd w:id="953"/>
      <w:bookmarkEnd w:id="954"/>
    </w:p>
    <w:p w14:paraId="7CD885D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55" w:name="_Toc28815"/>
      <w:bookmarkStart w:id="956" w:name="_Toc480967592"/>
      <w:bookmarkStart w:id="957" w:name="_Toc11480"/>
      <w:r>
        <w:rPr>
          <w:rFonts w:hAnsi="宋体"/>
          <w:b/>
          <w:bCs/>
          <w:color w:val="auto"/>
          <w:kern w:val="44"/>
          <w:highlight w:val="none"/>
          <w:lang w:eastAsia="zh-CN"/>
        </w:rPr>
        <w:t>14.1 竣工结算申请</w:t>
      </w:r>
      <w:bookmarkEnd w:id="955"/>
      <w:bookmarkEnd w:id="956"/>
      <w:bookmarkEnd w:id="957"/>
    </w:p>
    <w:p w14:paraId="45ED932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承包人提交竣工</w:t>
      </w:r>
      <w:r>
        <w:rPr>
          <w:rFonts w:hint="eastAsia" w:ascii="宋体" w:hAnsi="宋体"/>
          <w:color w:val="auto"/>
          <w:highlight w:val="none"/>
          <w:lang w:eastAsia="zh-CN"/>
        </w:rPr>
        <w:t>结算</w:t>
      </w:r>
      <w:r>
        <w:rPr>
          <w:rFonts w:ascii="宋体" w:hAnsi="宋体"/>
          <w:color w:val="auto"/>
          <w:highlight w:val="none"/>
          <w:lang w:eastAsia="zh-CN"/>
        </w:rPr>
        <w:t>申请单的期限：</w:t>
      </w:r>
      <w:r>
        <w:rPr>
          <w:rFonts w:hint="eastAsia" w:ascii="宋体" w:hAnsi="宋体"/>
          <w:color w:val="auto"/>
          <w:highlight w:val="none"/>
          <w:u w:val="single"/>
          <w:lang w:eastAsia="zh-CN"/>
        </w:rPr>
        <w:t xml:space="preserve"> 28天内</w:t>
      </w:r>
      <w:r>
        <w:rPr>
          <w:rFonts w:ascii="宋体" w:hAnsi="宋体"/>
          <w:color w:val="auto"/>
          <w:highlight w:val="none"/>
          <w:lang w:eastAsia="zh-CN"/>
        </w:rPr>
        <w:t>。</w:t>
      </w:r>
    </w:p>
    <w:p w14:paraId="3C8B731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竣工</w:t>
      </w:r>
      <w:r>
        <w:rPr>
          <w:rFonts w:hint="eastAsia" w:ascii="宋体" w:hAnsi="宋体"/>
          <w:color w:val="auto"/>
          <w:highlight w:val="none"/>
          <w:lang w:eastAsia="zh-CN"/>
        </w:rPr>
        <w:t>结算</w:t>
      </w:r>
      <w:r>
        <w:rPr>
          <w:rFonts w:ascii="宋体" w:hAnsi="宋体"/>
          <w:color w:val="auto"/>
          <w:highlight w:val="none"/>
          <w:lang w:eastAsia="zh-CN"/>
        </w:rPr>
        <w:t>申请单应包括的内容：</w:t>
      </w:r>
      <w:r>
        <w:rPr>
          <w:rFonts w:hint="eastAsia" w:ascii="宋体" w:hAnsi="宋体"/>
          <w:color w:val="auto"/>
          <w:highlight w:val="none"/>
          <w:u w:val="single"/>
          <w:lang w:eastAsia="zh-CN"/>
        </w:rPr>
        <w:t xml:space="preserve">由承包人提交相关结算资料（主要包括合同、工程量计算书、结算书、变更设计通知单、签证单、竣工图）齐全后经监理初审，发包人审核，必须经发包人审定后方可办理工程结算或竣工决算 </w:t>
      </w:r>
      <w:r>
        <w:rPr>
          <w:rFonts w:ascii="宋体" w:hAnsi="宋体"/>
          <w:color w:val="auto"/>
          <w:highlight w:val="none"/>
          <w:lang w:eastAsia="zh-CN"/>
        </w:rPr>
        <w:t>。</w:t>
      </w:r>
    </w:p>
    <w:p w14:paraId="177199DF">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58" w:name="_Toc480967593"/>
      <w:bookmarkStart w:id="959" w:name="_Toc20896"/>
      <w:bookmarkStart w:id="960" w:name="_Toc5053"/>
      <w:r>
        <w:rPr>
          <w:rFonts w:hAnsi="宋体"/>
          <w:b/>
          <w:bCs/>
          <w:color w:val="auto"/>
          <w:kern w:val="44"/>
          <w:highlight w:val="none"/>
          <w:lang w:eastAsia="zh-CN"/>
        </w:rPr>
        <w:t>14.2 竣工结算审核</w:t>
      </w:r>
      <w:bookmarkEnd w:id="958"/>
      <w:bookmarkEnd w:id="959"/>
      <w:bookmarkEnd w:id="960"/>
    </w:p>
    <w:p w14:paraId="19033E8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发包人审批竣工付款申请单的期限：</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5"/>
        <w:gridCol w:w="2644"/>
        <w:gridCol w:w="5789"/>
      </w:tblGrid>
      <w:tr w14:paraId="6B179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vAlign w:val="center"/>
          </w:tcPr>
          <w:p w14:paraId="2AEB578E">
            <w:pPr>
              <w:pageBreakBefore w:val="0"/>
              <w:kinsoku/>
              <w:wordWrap/>
              <w:overflowPunct/>
              <w:topLinePunct w:val="0"/>
              <w:autoSpaceDE/>
              <w:autoSpaceDN/>
              <w:bidi w:val="0"/>
              <w:adjustRightInd/>
              <w:snapToGrid/>
              <w:spacing w:line="360" w:lineRule="auto"/>
              <w:textAlignment w:val="auto"/>
              <w:rPr>
                <w:rFonts w:ascii="宋体" w:hAnsi="宋体"/>
                <w:bCs/>
                <w:color w:val="auto"/>
                <w:highlight w:val="none"/>
              </w:rPr>
            </w:pPr>
            <w:r>
              <w:rPr>
                <w:rFonts w:hint="eastAsia" w:ascii="宋体" w:hAnsi="宋体"/>
                <w:bCs/>
                <w:color w:val="auto"/>
                <w:highlight w:val="none"/>
              </w:rPr>
              <w:t>序号</w:t>
            </w:r>
          </w:p>
        </w:tc>
        <w:tc>
          <w:tcPr>
            <w:tcW w:w="2644" w:type="dxa"/>
            <w:vAlign w:val="center"/>
          </w:tcPr>
          <w:p w14:paraId="19F03F54">
            <w:pPr>
              <w:pageBreakBefore w:val="0"/>
              <w:kinsoku/>
              <w:wordWrap/>
              <w:overflowPunct/>
              <w:topLinePunct w:val="0"/>
              <w:autoSpaceDE/>
              <w:autoSpaceDN/>
              <w:bidi w:val="0"/>
              <w:adjustRightInd/>
              <w:snapToGrid/>
              <w:spacing w:line="360" w:lineRule="auto"/>
              <w:textAlignment w:val="auto"/>
              <w:rPr>
                <w:rFonts w:ascii="宋体" w:hAnsi="宋体"/>
                <w:bCs/>
                <w:color w:val="auto"/>
                <w:highlight w:val="none"/>
                <w:lang w:eastAsia="zh-CN"/>
              </w:rPr>
            </w:pPr>
            <w:r>
              <w:rPr>
                <w:rFonts w:ascii="宋体" w:hAnsi="宋体"/>
                <w:bCs/>
                <w:color w:val="auto"/>
                <w:highlight w:val="none"/>
                <w:lang w:eastAsia="zh-CN"/>
              </w:rPr>
              <w:t>工程竣工结算报告金额</w:t>
            </w:r>
          </w:p>
        </w:tc>
        <w:tc>
          <w:tcPr>
            <w:tcW w:w="5789" w:type="dxa"/>
            <w:vAlign w:val="center"/>
          </w:tcPr>
          <w:p w14:paraId="472AA2B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rPr>
            </w:pPr>
            <w:r>
              <w:rPr>
                <w:rFonts w:ascii="宋体" w:hAnsi="宋体"/>
                <w:bCs/>
                <w:color w:val="auto"/>
                <w:highlight w:val="none"/>
              </w:rPr>
              <w:t>发包人审查时间</w:t>
            </w:r>
          </w:p>
        </w:tc>
      </w:tr>
      <w:tr w14:paraId="41668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vAlign w:val="center"/>
          </w:tcPr>
          <w:p w14:paraId="7C2BDACB">
            <w:pPr>
              <w:pageBreakBefore w:val="0"/>
              <w:kinsoku/>
              <w:wordWrap/>
              <w:overflowPunct/>
              <w:topLinePunct w:val="0"/>
              <w:autoSpaceDE/>
              <w:autoSpaceDN/>
              <w:bidi w:val="0"/>
              <w:adjustRightInd/>
              <w:snapToGrid/>
              <w:spacing w:line="360" w:lineRule="auto"/>
              <w:jc w:val="center"/>
              <w:textAlignment w:val="auto"/>
              <w:rPr>
                <w:rFonts w:ascii="宋体" w:hAnsi="宋体"/>
                <w:bCs/>
                <w:color w:val="auto"/>
                <w:highlight w:val="none"/>
              </w:rPr>
            </w:pPr>
            <w:r>
              <w:rPr>
                <w:rFonts w:ascii="宋体" w:hAnsi="宋体"/>
                <w:bCs/>
                <w:color w:val="auto"/>
                <w:highlight w:val="none"/>
              </w:rPr>
              <w:t>1</w:t>
            </w:r>
          </w:p>
        </w:tc>
        <w:tc>
          <w:tcPr>
            <w:tcW w:w="2644" w:type="dxa"/>
            <w:vAlign w:val="center"/>
          </w:tcPr>
          <w:p w14:paraId="4BA8E8E5">
            <w:pPr>
              <w:pageBreakBefore w:val="0"/>
              <w:kinsoku/>
              <w:wordWrap/>
              <w:overflowPunct/>
              <w:topLinePunct w:val="0"/>
              <w:autoSpaceDE/>
              <w:autoSpaceDN/>
              <w:bidi w:val="0"/>
              <w:adjustRightInd/>
              <w:snapToGrid/>
              <w:spacing w:line="360" w:lineRule="auto"/>
              <w:textAlignment w:val="auto"/>
              <w:rPr>
                <w:rFonts w:ascii="宋体" w:hAnsi="宋体"/>
                <w:bCs/>
                <w:color w:val="auto"/>
                <w:highlight w:val="none"/>
              </w:rPr>
            </w:pPr>
            <w:r>
              <w:rPr>
                <w:rFonts w:ascii="宋体" w:hAnsi="宋体"/>
                <w:bCs/>
                <w:color w:val="auto"/>
                <w:highlight w:val="none"/>
              </w:rPr>
              <w:t>500万元以下</w:t>
            </w:r>
          </w:p>
        </w:tc>
        <w:tc>
          <w:tcPr>
            <w:tcW w:w="5789" w:type="dxa"/>
            <w:vAlign w:val="center"/>
          </w:tcPr>
          <w:p w14:paraId="42C35A4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ascii="宋体" w:hAnsi="宋体"/>
                <w:bCs/>
                <w:color w:val="auto"/>
                <w:highlight w:val="none"/>
                <w:lang w:eastAsia="zh-CN"/>
              </w:rPr>
              <w:t>从接到竣工结算报告和完整的竣工结算资料之日起20天</w:t>
            </w:r>
          </w:p>
        </w:tc>
      </w:tr>
      <w:tr w14:paraId="6ADC2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vAlign w:val="center"/>
          </w:tcPr>
          <w:p w14:paraId="3F2CB261">
            <w:pPr>
              <w:pageBreakBefore w:val="0"/>
              <w:kinsoku/>
              <w:wordWrap/>
              <w:overflowPunct/>
              <w:topLinePunct w:val="0"/>
              <w:autoSpaceDE/>
              <w:autoSpaceDN/>
              <w:bidi w:val="0"/>
              <w:adjustRightInd/>
              <w:snapToGrid/>
              <w:spacing w:line="360" w:lineRule="auto"/>
              <w:jc w:val="center"/>
              <w:textAlignment w:val="auto"/>
              <w:rPr>
                <w:rFonts w:ascii="宋体" w:hAnsi="宋体"/>
                <w:bCs/>
                <w:color w:val="auto"/>
                <w:highlight w:val="none"/>
              </w:rPr>
            </w:pPr>
            <w:r>
              <w:rPr>
                <w:rFonts w:ascii="宋体" w:hAnsi="宋体"/>
                <w:bCs/>
                <w:color w:val="auto"/>
                <w:highlight w:val="none"/>
              </w:rPr>
              <w:t>2</w:t>
            </w:r>
          </w:p>
        </w:tc>
        <w:tc>
          <w:tcPr>
            <w:tcW w:w="2644" w:type="dxa"/>
            <w:vAlign w:val="center"/>
          </w:tcPr>
          <w:p w14:paraId="73B78CA0">
            <w:pPr>
              <w:pageBreakBefore w:val="0"/>
              <w:kinsoku/>
              <w:wordWrap/>
              <w:overflowPunct/>
              <w:topLinePunct w:val="0"/>
              <w:autoSpaceDE/>
              <w:autoSpaceDN/>
              <w:bidi w:val="0"/>
              <w:adjustRightInd/>
              <w:snapToGrid/>
              <w:spacing w:line="360" w:lineRule="auto"/>
              <w:textAlignment w:val="auto"/>
              <w:rPr>
                <w:rFonts w:hint="eastAsia" w:ascii="宋体" w:hAnsi="宋体" w:eastAsia="宋体"/>
                <w:bCs/>
                <w:color w:val="auto"/>
                <w:highlight w:val="none"/>
                <w:lang w:eastAsia="zh-CN"/>
              </w:rPr>
            </w:pPr>
            <w:r>
              <w:rPr>
                <w:rFonts w:ascii="宋体" w:hAnsi="宋体"/>
                <w:bCs/>
                <w:color w:val="auto"/>
                <w:highlight w:val="none"/>
              </w:rPr>
              <w:t>500万元-2000万元</w:t>
            </w:r>
            <w:r>
              <w:rPr>
                <w:rFonts w:hint="eastAsia" w:ascii="宋体" w:hAnsi="宋体"/>
                <w:bCs/>
                <w:color w:val="auto"/>
                <w:highlight w:val="none"/>
                <w:lang w:eastAsia="zh-CN"/>
              </w:rPr>
              <w:t>以下</w:t>
            </w:r>
          </w:p>
        </w:tc>
        <w:tc>
          <w:tcPr>
            <w:tcW w:w="5789" w:type="dxa"/>
            <w:vAlign w:val="center"/>
          </w:tcPr>
          <w:p w14:paraId="44AA027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ascii="宋体" w:hAnsi="宋体"/>
                <w:bCs/>
                <w:color w:val="auto"/>
                <w:highlight w:val="none"/>
                <w:lang w:eastAsia="zh-CN"/>
              </w:rPr>
              <w:t>从接到竣工结算报告和完整的竣工结算资料之日起30天</w:t>
            </w:r>
          </w:p>
        </w:tc>
      </w:tr>
      <w:tr w14:paraId="64E93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vAlign w:val="center"/>
          </w:tcPr>
          <w:p w14:paraId="065F38DF">
            <w:pPr>
              <w:pageBreakBefore w:val="0"/>
              <w:kinsoku/>
              <w:wordWrap/>
              <w:overflowPunct/>
              <w:topLinePunct w:val="0"/>
              <w:autoSpaceDE/>
              <w:autoSpaceDN/>
              <w:bidi w:val="0"/>
              <w:adjustRightInd/>
              <w:snapToGrid/>
              <w:spacing w:line="360" w:lineRule="auto"/>
              <w:jc w:val="center"/>
              <w:textAlignment w:val="auto"/>
              <w:rPr>
                <w:rFonts w:ascii="宋体" w:hAnsi="宋体"/>
                <w:bCs/>
                <w:color w:val="auto"/>
                <w:highlight w:val="none"/>
              </w:rPr>
            </w:pPr>
            <w:r>
              <w:rPr>
                <w:rFonts w:ascii="宋体" w:hAnsi="宋体"/>
                <w:bCs/>
                <w:color w:val="auto"/>
                <w:highlight w:val="none"/>
              </w:rPr>
              <w:t>3</w:t>
            </w:r>
          </w:p>
        </w:tc>
        <w:tc>
          <w:tcPr>
            <w:tcW w:w="2644" w:type="dxa"/>
            <w:vAlign w:val="center"/>
          </w:tcPr>
          <w:p w14:paraId="2C49AF56">
            <w:pPr>
              <w:pageBreakBefore w:val="0"/>
              <w:kinsoku/>
              <w:wordWrap/>
              <w:overflowPunct/>
              <w:topLinePunct w:val="0"/>
              <w:autoSpaceDE/>
              <w:autoSpaceDN/>
              <w:bidi w:val="0"/>
              <w:adjustRightInd/>
              <w:snapToGrid/>
              <w:spacing w:line="360" w:lineRule="auto"/>
              <w:textAlignment w:val="auto"/>
              <w:rPr>
                <w:rFonts w:hint="eastAsia" w:ascii="宋体" w:hAnsi="宋体" w:eastAsia="宋体"/>
                <w:bCs/>
                <w:color w:val="auto"/>
                <w:highlight w:val="none"/>
                <w:lang w:eastAsia="zh-CN"/>
              </w:rPr>
            </w:pPr>
            <w:r>
              <w:rPr>
                <w:rFonts w:ascii="宋体" w:hAnsi="宋体"/>
                <w:bCs/>
                <w:color w:val="auto"/>
                <w:highlight w:val="none"/>
              </w:rPr>
              <w:t>2000万元-5000万元</w:t>
            </w:r>
            <w:r>
              <w:rPr>
                <w:rFonts w:hint="eastAsia" w:ascii="宋体" w:hAnsi="宋体"/>
                <w:bCs/>
                <w:color w:val="auto"/>
                <w:highlight w:val="none"/>
                <w:lang w:eastAsia="zh-CN"/>
              </w:rPr>
              <w:t>以下</w:t>
            </w:r>
          </w:p>
        </w:tc>
        <w:tc>
          <w:tcPr>
            <w:tcW w:w="5789" w:type="dxa"/>
            <w:vAlign w:val="center"/>
          </w:tcPr>
          <w:p w14:paraId="143F1E8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ascii="宋体" w:hAnsi="宋体"/>
                <w:bCs/>
                <w:color w:val="auto"/>
                <w:highlight w:val="none"/>
                <w:lang w:eastAsia="zh-CN"/>
              </w:rPr>
              <w:t>从接到竣工结算报告和完整的竣工结算资料之日起45天</w:t>
            </w:r>
          </w:p>
        </w:tc>
      </w:tr>
      <w:tr w14:paraId="087A8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vAlign w:val="center"/>
          </w:tcPr>
          <w:p w14:paraId="468D6F6F">
            <w:pPr>
              <w:pageBreakBefore w:val="0"/>
              <w:kinsoku/>
              <w:wordWrap/>
              <w:overflowPunct/>
              <w:topLinePunct w:val="0"/>
              <w:autoSpaceDE/>
              <w:autoSpaceDN/>
              <w:bidi w:val="0"/>
              <w:adjustRightInd/>
              <w:snapToGrid/>
              <w:spacing w:line="360" w:lineRule="auto"/>
              <w:jc w:val="center"/>
              <w:textAlignment w:val="auto"/>
              <w:rPr>
                <w:rFonts w:ascii="宋体" w:hAnsi="宋体"/>
                <w:bCs/>
                <w:color w:val="auto"/>
                <w:highlight w:val="none"/>
              </w:rPr>
            </w:pPr>
            <w:r>
              <w:rPr>
                <w:rFonts w:ascii="宋体" w:hAnsi="宋体"/>
                <w:bCs/>
                <w:color w:val="auto"/>
                <w:highlight w:val="none"/>
              </w:rPr>
              <w:t>4</w:t>
            </w:r>
          </w:p>
        </w:tc>
        <w:tc>
          <w:tcPr>
            <w:tcW w:w="2644" w:type="dxa"/>
            <w:vAlign w:val="center"/>
          </w:tcPr>
          <w:p w14:paraId="3F185B45">
            <w:pPr>
              <w:pageBreakBefore w:val="0"/>
              <w:kinsoku/>
              <w:wordWrap/>
              <w:overflowPunct/>
              <w:topLinePunct w:val="0"/>
              <w:autoSpaceDE/>
              <w:autoSpaceDN/>
              <w:bidi w:val="0"/>
              <w:adjustRightInd/>
              <w:snapToGrid/>
              <w:spacing w:line="360" w:lineRule="auto"/>
              <w:textAlignment w:val="auto"/>
              <w:rPr>
                <w:rFonts w:ascii="宋体" w:hAnsi="宋体"/>
                <w:bCs/>
                <w:color w:val="auto"/>
                <w:highlight w:val="none"/>
              </w:rPr>
            </w:pPr>
            <w:r>
              <w:rPr>
                <w:rFonts w:ascii="宋体" w:hAnsi="宋体"/>
                <w:bCs/>
                <w:color w:val="auto"/>
                <w:highlight w:val="none"/>
              </w:rPr>
              <w:t>5000万元</w:t>
            </w:r>
            <w:r>
              <w:rPr>
                <w:rFonts w:hint="eastAsia" w:ascii="宋体" w:hAnsi="宋体"/>
                <w:bCs/>
                <w:color w:val="auto"/>
                <w:highlight w:val="none"/>
                <w:lang w:eastAsia="zh-CN"/>
              </w:rPr>
              <w:t>及</w:t>
            </w:r>
            <w:r>
              <w:rPr>
                <w:rFonts w:ascii="宋体" w:hAnsi="宋体"/>
                <w:bCs/>
                <w:color w:val="auto"/>
                <w:highlight w:val="none"/>
              </w:rPr>
              <w:t>以上</w:t>
            </w:r>
          </w:p>
        </w:tc>
        <w:tc>
          <w:tcPr>
            <w:tcW w:w="5789" w:type="dxa"/>
            <w:vAlign w:val="center"/>
          </w:tcPr>
          <w:p w14:paraId="3B95158D">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bCs/>
                <w:color w:val="auto"/>
                <w:highlight w:val="none"/>
                <w:lang w:eastAsia="zh-CN"/>
              </w:rPr>
            </w:pPr>
            <w:r>
              <w:rPr>
                <w:rFonts w:ascii="宋体" w:hAnsi="宋体"/>
                <w:bCs/>
                <w:color w:val="auto"/>
                <w:highlight w:val="none"/>
                <w:lang w:eastAsia="zh-CN"/>
              </w:rPr>
              <w:t>从接到竣工结算报告和完整的竣工结算资料之日起60天</w:t>
            </w:r>
          </w:p>
        </w:tc>
      </w:tr>
    </w:tbl>
    <w:p w14:paraId="795430F0">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bCs/>
          <w:color w:val="auto"/>
          <w:highlight w:val="none"/>
          <w:lang w:eastAsia="zh-CN"/>
        </w:rPr>
      </w:pPr>
      <w:r>
        <w:rPr>
          <w:rFonts w:hint="eastAsia" w:ascii="宋体" w:hAnsi="宋体"/>
          <w:bCs/>
          <w:color w:val="auto"/>
          <w:highlight w:val="none"/>
          <w:lang w:eastAsia="zh-CN"/>
        </w:rPr>
        <w:t>因承包人提供的结算资料不完整而需要补充或承包人不按时对账耽误时间时，审查时间应相应顺延。</w:t>
      </w:r>
    </w:p>
    <w:p w14:paraId="0CFD192E">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bCs/>
          <w:color w:val="auto"/>
          <w:highlight w:val="none"/>
          <w:lang w:eastAsia="zh-CN"/>
        </w:rPr>
      </w:pPr>
      <w:r>
        <w:rPr>
          <w:rFonts w:hint="eastAsia" w:ascii="宋体" w:hAnsi="宋体"/>
          <w:bCs/>
          <w:color w:val="auto"/>
          <w:highlight w:val="none"/>
          <w:lang w:eastAsia="zh-CN"/>
        </w:rPr>
        <w:t>发包人审批竣工付款申请单的期限：</w:t>
      </w:r>
      <w:r>
        <w:rPr>
          <w:rFonts w:hint="eastAsia" w:ascii="宋体" w:hAnsi="宋体"/>
          <w:color w:val="auto"/>
          <w:highlight w:val="none"/>
          <w:u w:val="single"/>
          <w:lang w:eastAsia="zh-CN"/>
        </w:rPr>
        <w:t>按通用条款</w:t>
      </w:r>
      <w:r>
        <w:rPr>
          <w:rFonts w:ascii="宋体" w:hAnsi="宋体"/>
          <w:color w:val="auto"/>
          <w:highlight w:val="none"/>
          <w:lang w:eastAsia="zh-CN"/>
        </w:rPr>
        <w:t>。</w:t>
      </w:r>
    </w:p>
    <w:p w14:paraId="5761D09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发包人完成竣工付款的期限：</w:t>
      </w:r>
      <w:r>
        <w:rPr>
          <w:rFonts w:hint="eastAsia" w:ascii="宋体" w:hAnsi="宋体"/>
          <w:color w:val="auto"/>
          <w:highlight w:val="none"/>
          <w:u w:val="single"/>
          <w:lang w:eastAsia="zh-CN"/>
        </w:rPr>
        <w:t>按通用条款</w:t>
      </w:r>
      <w:r>
        <w:rPr>
          <w:rFonts w:ascii="宋体" w:hAnsi="宋体"/>
          <w:color w:val="auto"/>
          <w:highlight w:val="none"/>
          <w:lang w:eastAsia="zh-CN"/>
        </w:rPr>
        <w:t>。</w:t>
      </w:r>
    </w:p>
    <w:p w14:paraId="145ECA58">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关于竣工付款证书异议部分复核的方式和程序：</w:t>
      </w:r>
      <w:r>
        <w:rPr>
          <w:rFonts w:hint="eastAsia" w:ascii="宋体" w:hAnsi="宋体"/>
          <w:color w:val="auto"/>
          <w:highlight w:val="none"/>
          <w:u w:val="single"/>
          <w:lang w:eastAsia="zh-CN"/>
        </w:rPr>
        <w:t xml:space="preserve">承包人提出书面申请14天内 </w:t>
      </w:r>
      <w:r>
        <w:rPr>
          <w:rFonts w:ascii="宋体" w:hAnsi="宋体"/>
          <w:color w:val="auto"/>
          <w:highlight w:val="none"/>
          <w:lang w:eastAsia="zh-CN"/>
        </w:rPr>
        <w:t>。</w:t>
      </w:r>
    </w:p>
    <w:p w14:paraId="097F7227">
      <w:pPr>
        <w:pageBreakBefore w:val="0"/>
        <w:kinsoku/>
        <w:wordWrap/>
        <w:overflowPunct/>
        <w:topLinePunct w:val="0"/>
        <w:autoSpaceDE/>
        <w:autoSpaceDN/>
        <w:bidi w:val="0"/>
        <w:adjustRightInd/>
        <w:snapToGrid/>
        <w:spacing w:line="360" w:lineRule="auto"/>
        <w:ind w:firstLine="422" w:firstLineChars="200"/>
        <w:textAlignment w:val="auto"/>
        <w:rPr>
          <w:rFonts w:ascii="宋体" w:hAnsi="宋体"/>
          <w:b/>
          <w:color w:val="auto"/>
          <w:highlight w:val="none"/>
          <w:lang w:eastAsia="zh-CN"/>
        </w:rPr>
      </w:pPr>
      <w:r>
        <w:rPr>
          <w:rFonts w:hint="eastAsia" w:ascii="宋体" w:hAnsi="宋体"/>
          <w:b/>
          <w:color w:val="auto"/>
          <w:highlight w:val="none"/>
          <w:lang w:eastAsia="zh-CN"/>
        </w:rPr>
        <w:t>结算送审金额与最终审定金额审减率超出5%部分的审核费用由</w:t>
      </w:r>
      <w:r>
        <w:rPr>
          <w:rFonts w:hint="eastAsia" w:ascii="宋体" w:hAnsi="宋体"/>
          <w:b/>
          <w:color w:val="auto"/>
          <w:highlight w:val="none"/>
          <w:u w:val="single"/>
          <w:lang w:eastAsia="zh-CN"/>
        </w:rPr>
        <w:t>承包人</w:t>
      </w:r>
      <w:r>
        <w:rPr>
          <w:rFonts w:hint="eastAsia" w:ascii="宋体" w:hAnsi="宋体"/>
          <w:b/>
          <w:color w:val="auto"/>
          <w:highlight w:val="none"/>
          <w:lang w:eastAsia="zh-CN"/>
        </w:rPr>
        <w:t>承担。</w:t>
      </w:r>
    </w:p>
    <w:p w14:paraId="2DE00B9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61" w:name="_Toc480967594"/>
      <w:bookmarkStart w:id="962" w:name="_Toc3356"/>
      <w:bookmarkStart w:id="963" w:name="_Toc3928"/>
      <w:r>
        <w:rPr>
          <w:rFonts w:hAnsi="宋体"/>
          <w:b/>
          <w:bCs/>
          <w:color w:val="auto"/>
          <w:kern w:val="44"/>
          <w:highlight w:val="none"/>
          <w:lang w:eastAsia="zh-CN"/>
        </w:rPr>
        <w:t>14.4 最终结清</w:t>
      </w:r>
      <w:bookmarkEnd w:id="961"/>
      <w:bookmarkEnd w:id="962"/>
      <w:bookmarkEnd w:id="963"/>
    </w:p>
    <w:p w14:paraId="432340F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14.4.1 最终结清申请单</w:t>
      </w:r>
    </w:p>
    <w:p w14:paraId="58A0F6E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承包人提交最终结清申请单的份数：</w:t>
      </w:r>
      <w:r>
        <w:rPr>
          <w:rFonts w:hint="eastAsia" w:ascii="宋体" w:hAnsi="宋体"/>
          <w:color w:val="auto"/>
          <w:highlight w:val="none"/>
          <w:u w:val="single"/>
          <w:lang w:eastAsia="zh-CN"/>
        </w:rPr>
        <w:t>四份</w:t>
      </w:r>
      <w:r>
        <w:rPr>
          <w:rFonts w:ascii="宋体" w:hAnsi="宋体"/>
          <w:color w:val="auto"/>
          <w:highlight w:val="none"/>
          <w:lang w:eastAsia="zh-CN"/>
        </w:rPr>
        <w:t>。</w:t>
      </w:r>
    </w:p>
    <w:p w14:paraId="68CEF35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承包人提交最终结算申请单的期限：</w:t>
      </w:r>
      <w:r>
        <w:rPr>
          <w:rFonts w:hint="eastAsia" w:ascii="宋体" w:hAnsi="宋体"/>
          <w:color w:val="auto"/>
          <w:highlight w:val="none"/>
          <w:u w:val="single"/>
          <w:lang w:eastAsia="zh-CN"/>
        </w:rPr>
        <w:t>缺陷责任期终止证书签发后14天内向监理人提交4份竣工付款申请单及相关证明材料</w:t>
      </w:r>
      <w:r>
        <w:rPr>
          <w:rFonts w:ascii="宋体" w:hAnsi="宋体"/>
          <w:color w:val="auto"/>
          <w:highlight w:val="none"/>
          <w:lang w:eastAsia="zh-CN"/>
        </w:rPr>
        <w:t xml:space="preserve">。 </w:t>
      </w:r>
    </w:p>
    <w:p w14:paraId="0E7A0C2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14.4.2 最终结清证书和支付</w:t>
      </w:r>
    </w:p>
    <w:p w14:paraId="05CC85B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（1）发包人完成最终结清申请单的审批并颁发最终结清证书的期限：</w:t>
      </w:r>
      <w:r>
        <w:rPr>
          <w:rFonts w:hint="eastAsia" w:ascii="宋体" w:hAnsi="宋体"/>
          <w:color w:val="auto"/>
          <w:highlight w:val="none"/>
          <w:u w:val="single"/>
          <w:lang w:eastAsia="zh-CN"/>
        </w:rPr>
        <w:t>按通用条款执行</w:t>
      </w:r>
      <w:r>
        <w:rPr>
          <w:rFonts w:ascii="宋体" w:hAnsi="宋体"/>
          <w:color w:val="auto"/>
          <w:highlight w:val="none"/>
          <w:lang w:eastAsia="zh-CN"/>
        </w:rPr>
        <w:t>。</w:t>
      </w:r>
    </w:p>
    <w:p w14:paraId="317595B0">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（2）发包人完成支付的期限：</w:t>
      </w:r>
      <w:r>
        <w:rPr>
          <w:rFonts w:hint="eastAsia" w:ascii="宋体" w:hAnsi="宋体"/>
          <w:color w:val="auto"/>
          <w:highlight w:val="none"/>
          <w:u w:val="single"/>
          <w:lang w:eastAsia="zh-CN"/>
        </w:rPr>
        <w:t>在颁发最终结清证书后30天内</w:t>
      </w:r>
      <w:r>
        <w:rPr>
          <w:rFonts w:ascii="宋体" w:hAnsi="宋体"/>
          <w:color w:val="auto"/>
          <w:highlight w:val="none"/>
          <w:lang w:eastAsia="zh-CN"/>
        </w:rPr>
        <w:t>。</w:t>
      </w:r>
    </w:p>
    <w:p w14:paraId="59A38493">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64" w:name="_Toc26696"/>
      <w:bookmarkStart w:id="965" w:name="_Toc480967595"/>
      <w:bookmarkStart w:id="966" w:name="_Toc22941"/>
      <w:r>
        <w:rPr>
          <w:rFonts w:hAnsi="宋体"/>
          <w:b/>
          <w:bCs/>
          <w:color w:val="auto"/>
          <w:kern w:val="44"/>
          <w:highlight w:val="none"/>
          <w:lang w:eastAsia="zh-CN"/>
        </w:rPr>
        <w:t>15. 缺陷责任期与保修</w:t>
      </w:r>
      <w:bookmarkEnd w:id="964"/>
      <w:bookmarkEnd w:id="965"/>
      <w:bookmarkEnd w:id="966"/>
    </w:p>
    <w:p w14:paraId="071BE214">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67" w:name="_Toc16882"/>
      <w:bookmarkStart w:id="968" w:name="_Toc18597"/>
      <w:bookmarkStart w:id="969" w:name="_Toc480967596"/>
      <w:r>
        <w:rPr>
          <w:rFonts w:hAnsi="宋体"/>
          <w:b/>
          <w:bCs/>
          <w:color w:val="auto"/>
          <w:kern w:val="44"/>
          <w:highlight w:val="none"/>
          <w:lang w:eastAsia="zh-CN"/>
        </w:rPr>
        <w:t>15.2缺陷责任期</w:t>
      </w:r>
      <w:bookmarkEnd w:id="967"/>
      <w:bookmarkEnd w:id="968"/>
      <w:bookmarkEnd w:id="969"/>
    </w:p>
    <w:p w14:paraId="295ABCC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缺陷责任期的具体期限：</w:t>
      </w:r>
      <w:r>
        <w:rPr>
          <w:rFonts w:hint="eastAsia" w:ascii="宋体" w:hAnsi="宋体"/>
          <w:color w:val="auto"/>
          <w:highlight w:val="none"/>
          <w:u w:val="single"/>
          <w:lang w:eastAsia="zh-CN"/>
        </w:rPr>
        <w:t xml:space="preserve">    24个月   </w:t>
      </w:r>
      <w:r>
        <w:rPr>
          <w:rFonts w:ascii="宋体" w:hAnsi="宋体"/>
          <w:color w:val="auto"/>
          <w:highlight w:val="none"/>
          <w:lang w:eastAsia="zh-CN"/>
        </w:rPr>
        <w:t>。</w:t>
      </w:r>
    </w:p>
    <w:p w14:paraId="79A403C8">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70" w:name="_Toc32605"/>
      <w:bookmarkStart w:id="971" w:name="_Toc15030"/>
      <w:bookmarkStart w:id="972" w:name="_Toc480967597"/>
      <w:r>
        <w:rPr>
          <w:rFonts w:hAnsi="宋体"/>
          <w:b/>
          <w:bCs/>
          <w:color w:val="auto"/>
          <w:kern w:val="44"/>
          <w:highlight w:val="none"/>
          <w:lang w:eastAsia="zh-CN"/>
        </w:rPr>
        <w:t>15.3 质量保证金</w:t>
      </w:r>
      <w:bookmarkEnd w:id="970"/>
      <w:bookmarkEnd w:id="971"/>
      <w:bookmarkEnd w:id="972"/>
    </w:p>
    <w:p w14:paraId="11E90A9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关于是否扣留质量保证金的约定：</w:t>
      </w:r>
      <w:r>
        <w:rPr>
          <w:rFonts w:hint="eastAsia" w:ascii="宋体" w:hAnsi="宋体"/>
          <w:color w:val="auto"/>
          <w:highlight w:val="none"/>
          <w:u w:val="single"/>
          <w:lang w:eastAsia="zh-CN"/>
        </w:rPr>
        <w:t xml:space="preserve"> 是 </w:t>
      </w:r>
      <w:r>
        <w:rPr>
          <w:rFonts w:ascii="宋体" w:hAnsi="宋体"/>
          <w:color w:val="auto"/>
          <w:highlight w:val="none"/>
          <w:lang w:eastAsia="zh-CN"/>
        </w:rPr>
        <w:t>。</w:t>
      </w:r>
    </w:p>
    <w:p w14:paraId="52582888">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15.3.1 承包人提供质量保证金的方式</w:t>
      </w:r>
    </w:p>
    <w:p w14:paraId="372F512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质量保证金采用以下第</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2</w:t>
      </w:r>
      <w:r>
        <w:rPr>
          <w:rFonts w:ascii="宋体" w:hAnsi="宋体"/>
          <w:color w:val="auto"/>
          <w:highlight w:val="none"/>
          <w:u w:val="single"/>
          <w:lang w:eastAsia="zh-CN"/>
        </w:rPr>
        <w:t xml:space="preserve"> </w:t>
      </w:r>
      <w:r>
        <w:rPr>
          <w:rFonts w:ascii="宋体" w:hAnsi="宋体"/>
          <w:color w:val="auto"/>
          <w:highlight w:val="none"/>
          <w:lang w:eastAsia="zh-CN"/>
        </w:rPr>
        <w:t>种方式：</w:t>
      </w:r>
    </w:p>
    <w:p w14:paraId="431CAD4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（1）质量保证金保函，保证金额为：</w:t>
      </w:r>
      <w:r>
        <w:rPr>
          <w:rFonts w:hint="eastAsia" w:ascii="宋体" w:hAnsi="宋体"/>
          <w:color w:val="auto"/>
          <w:highlight w:val="none"/>
          <w:u w:val="single"/>
          <w:lang w:eastAsia="zh-CN"/>
        </w:rPr>
        <w:t>工程</w:t>
      </w:r>
      <w:r>
        <w:rPr>
          <w:rFonts w:ascii="宋体" w:hAnsi="宋体"/>
          <w:bCs/>
          <w:color w:val="auto"/>
          <w:highlight w:val="none"/>
          <w:u w:val="single"/>
          <w:lang w:eastAsia="zh-CN"/>
        </w:rPr>
        <w:t>价款结算总额的</w:t>
      </w:r>
      <w:r>
        <w:rPr>
          <w:rFonts w:hint="eastAsia" w:ascii="宋体" w:hAnsi="宋体"/>
          <w:bCs/>
          <w:color w:val="auto"/>
          <w:highlight w:val="none"/>
          <w:u w:val="single"/>
          <w:lang w:eastAsia="zh-CN"/>
        </w:rPr>
        <w:t xml:space="preserve"> 3</w:t>
      </w:r>
      <w:r>
        <w:rPr>
          <w:rFonts w:ascii="宋体" w:hAnsi="宋体"/>
          <w:bCs/>
          <w:color w:val="auto"/>
          <w:highlight w:val="none"/>
          <w:u w:val="single"/>
          <w:lang w:eastAsia="zh-CN"/>
        </w:rPr>
        <w:t>%</w:t>
      </w:r>
      <w:r>
        <w:rPr>
          <w:rFonts w:ascii="宋体" w:hAnsi="宋体"/>
          <w:color w:val="auto"/>
          <w:highlight w:val="none"/>
          <w:lang w:eastAsia="zh-CN"/>
        </w:rPr>
        <w:t xml:space="preserve">； </w:t>
      </w:r>
    </w:p>
    <w:p w14:paraId="22CEBF9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（2）发包人按工程价款结算总额的</w:t>
      </w:r>
      <w:r>
        <w:rPr>
          <w:rFonts w:hint="eastAsia" w:ascii="宋体" w:hAnsi="宋体"/>
          <w:color w:val="auto"/>
          <w:highlight w:val="none"/>
          <w:u w:val="single"/>
          <w:lang w:eastAsia="zh-CN"/>
        </w:rPr>
        <w:t xml:space="preserve"> 3</w:t>
      </w:r>
      <w:r>
        <w:rPr>
          <w:rFonts w:ascii="宋体" w:hAnsi="宋体"/>
          <w:color w:val="auto"/>
          <w:highlight w:val="none"/>
          <w:u w:val="single"/>
          <w:lang w:eastAsia="zh-CN"/>
        </w:rPr>
        <w:t>%</w:t>
      </w:r>
      <w:r>
        <w:rPr>
          <w:rFonts w:hint="eastAsia" w:ascii="宋体" w:hAnsi="宋体"/>
          <w:color w:val="auto"/>
          <w:highlight w:val="none"/>
          <w:u w:val="single"/>
          <w:lang w:eastAsia="zh-CN"/>
        </w:rPr>
        <w:t xml:space="preserve"> </w:t>
      </w:r>
      <w:r>
        <w:rPr>
          <w:rFonts w:ascii="宋体" w:hAnsi="宋体"/>
          <w:color w:val="auto"/>
          <w:highlight w:val="none"/>
          <w:lang w:eastAsia="zh-CN"/>
        </w:rPr>
        <w:t>预留工程质量保</w:t>
      </w:r>
      <w:r>
        <w:rPr>
          <w:rFonts w:hint="eastAsia" w:ascii="宋体" w:hAnsi="宋体"/>
          <w:color w:val="auto"/>
          <w:highlight w:val="none"/>
          <w:lang w:eastAsia="zh-CN"/>
        </w:rPr>
        <w:t>修</w:t>
      </w:r>
      <w:r>
        <w:rPr>
          <w:rFonts w:ascii="宋体" w:hAnsi="宋体"/>
          <w:color w:val="auto"/>
          <w:highlight w:val="none"/>
          <w:lang w:eastAsia="zh-CN"/>
        </w:rPr>
        <w:t>金，待</w:t>
      </w:r>
      <w:r>
        <w:rPr>
          <w:rFonts w:hint="eastAsia" w:ascii="宋体" w:hAnsi="宋体"/>
          <w:color w:val="auto"/>
          <w:highlight w:val="none"/>
          <w:lang w:eastAsia="zh-CN"/>
        </w:rPr>
        <w:t>缺陷责任期</w:t>
      </w:r>
      <w:r>
        <w:rPr>
          <w:rFonts w:ascii="宋体" w:hAnsi="宋体"/>
          <w:color w:val="auto"/>
          <w:highlight w:val="none"/>
          <w:lang w:eastAsia="zh-CN"/>
        </w:rPr>
        <w:t>满后返还；</w:t>
      </w:r>
    </w:p>
    <w:p w14:paraId="22BFD20C">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（3）其他方式:</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结算审核造价金额的3% </w:t>
      </w:r>
      <w:r>
        <w:rPr>
          <w:rFonts w:ascii="宋体" w:hAnsi="宋体"/>
          <w:color w:val="auto"/>
          <w:highlight w:val="none"/>
          <w:u w:val="single"/>
          <w:lang w:eastAsia="zh-CN"/>
        </w:rPr>
        <w:t xml:space="preserve"> </w:t>
      </w:r>
      <w:r>
        <w:rPr>
          <w:rFonts w:ascii="宋体" w:hAnsi="宋体"/>
          <w:color w:val="auto"/>
          <w:highlight w:val="none"/>
          <w:lang w:eastAsia="zh-CN"/>
        </w:rPr>
        <w:t>。</w:t>
      </w:r>
    </w:p>
    <w:p w14:paraId="20D0E8B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 xml:space="preserve">15.3.2 质量保证金的扣留 </w:t>
      </w:r>
    </w:p>
    <w:p w14:paraId="7B17CF8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质量保证金的扣留采取以下第</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2</w:t>
      </w:r>
      <w:r>
        <w:rPr>
          <w:rFonts w:ascii="宋体" w:hAnsi="宋体"/>
          <w:color w:val="auto"/>
          <w:highlight w:val="none"/>
          <w:u w:val="single"/>
          <w:lang w:eastAsia="zh-CN"/>
        </w:rPr>
        <w:t xml:space="preserve"> </w:t>
      </w:r>
      <w:r>
        <w:rPr>
          <w:rFonts w:ascii="宋体" w:hAnsi="宋体"/>
          <w:color w:val="auto"/>
          <w:highlight w:val="none"/>
          <w:lang w:eastAsia="zh-CN"/>
        </w:rPr>
        <w:t>种方式：</w:t>
      </w:r>
    </w:p>
    <w:p w14:paraId="589BE3B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（1）在支付工程进度款时逐次扣留，在此情形下，质量保证金的计算基数不包括预付款的支付、扣回以及价格调整的金额；</w:t>
      </w:r>
    </w:p>
    <w:p w14:paraId="00DE5F3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（2）工程竣工结算时一次性扣留质量保证金；</w:t>
      </w:r>
    </w:p>
    <w:p w14:paraId="56D8B32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（3）其他</w:t>
      </w:r>
      <w:r>
        <w:rPr>
          <w:rFonts w:hint="eastAsia" w:ascii="宋体" w:hAnsi="宋体"/>
          <w:color w:val="auto"/>
          <w:highlight w:val="none"/>
          <w:lang w:eastAsia="zh-CN"/>
        </w:rPr>
        <w:t>扣留</w:t>
      </w:r>
      <w:r>
        <w:rPr>
          <w:rFonts w:ascii="宋体" w:hAnsi="宋体"/>
          <w:color w:val="auto"/>
          <w:highlight w:val="none"/>
          <w:lang w:eastAsia="zh-CN"/>
        </w:rPr>
        <w:t>方式:</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无   </w:t>
      </w:r>
      <w:r>
        <w:rPr>
          <w:rFonts w:ascii="宋体" w:hAnsi="宋体"/>
          <w:color w:val="auto"/>
          <w:highlight w:val="none"/>
          <w:u w:val="single"/>
          <w:lang w:eastAsia="zh-CN"/>
        </w:rPr>
        <w:t xml:space="preserve">  </w:t>
      </w:r>
      <w:r>
        <w:rPr>
          <w:rFonts w:ascii="宋体" w:hAnsi="宋体"/>
          <w:color w:val="auto"/>
          <w:highlight w:val="none"/>
          <w:lang w:eastAsia="zh-CN"/>
        </w:rPr>
        <w:t>。</w:t>
      </w:r>
    </w:p>
    <w:p w14:paraId="766E0B59">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lang w:eastAsia="zh-CN"/>
        </w:rPr>
        <w:t>关于质量保证金的补充约定：</w:t>
      </w:r>
      <w:r>
        <w:rPr>
          <w:rFonts w:hint="eastAsia" w:ascii="宋体" w:hAnsi="宋体"/>
          <w:color w:val="auto"/>
          <w:highlight w:val="none"/>
          <w:u w:val="single"/>
          <w:lang w:eastAsia="zh-CN"/>
        </w:rPr>
        <w:t>关于质量保证金的补充约定：自工程竣工验收合格之日起满2年后返还工程质量保证金（无息）；质量保证金的返还，并不能免除承包人按照合同约定应承担的质量保修责任和应履行的质量保修义务。</w:t>
      </w:r>
    </w:p>
    <w:p w14:paraId="1320A569">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73" w:name="_Toc1037"/>
      <w:bookmarkStart w:id="974" w:name="_Toc480967598"/>
      <w:bookmarkStart w:id="975" w:name="_Toc27899"/>
      <w:r>
        <w:rPr>
          <w:rFonts w:hAnsi="宋体"/>
          <w:b/>
          <w:bCs/>
          <w:color w:val="auto"/>
          <w:kern w:val="44"/>
          <w:highlight w:val="none"/>
          <w:lang w:eastAsia="zh-CN"/>
        </w:rPr>
        <w:t>15.4保修</w:t>
      </w:r>
      <w:bookmarkEnd w:id="973"/>
      <w:bookmarkEnd w:id="974"/>
      <w:bookmarkEnd w:id="975"/>
    </w:p>
    <w:p w14:paraId="1E6A2C6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15.4.1 保修责任</w:t>
      </w:r>
    </w:p>
    <w:p w14:paraId="10AA9382">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工程保修期为：</w:t>
      </w:r>
      <w:r>
        <w:rPr>
          <w:rFonts w:hint="eastAsia" w:ascii="宋体" w:hAnsi="宋体"/>
          <w:color w:val="auto"/>
          <w:highlight w:val="none"/>
          <w:u w:val="single"/>
          <w:lang w:eastAsia="zh-CN"/>
        </w:rPr>
        <w:t>本工程免费保修期为2年</w:t>
      </w:r>
      <w:r>
        <w:rPr>
          <w:rFonts w:ascii="宋体" w:hAnsi="宋体"/>
          <w:color w:val="auto"/>
          <w:highlight w:val="none"/>
          <w:lang w:eastAsia="zh-CN"/>
        </w:rPr>
        <w:t>。</w:t>
      </w:r>
    </w:p>
    <w:p w14:paraId="2B1A54B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15.4.3 修复通知</w:t>
      </w:r>
    </w:p>
    <w:p w14:paraId="4EC5460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承包人收到保修通知并到达工程现场的合理时间：</w:t>
      </w:r>
      <w:r>
        <w:rPr>
          <w:rFonts w:hint="eastAsia" w:ascii="宋体" w:hAnsi="宋体"/>
          <w:color w:val="auto"/>
          <w:highlight w:val="none"/>
          <w:u w:val="single"/>
          <w:lang w:eastAsia="zh-CN"/>
        </w:rPr>
        <w:t xml:space="preserve">1、属于保修范围、内容的项目，承包人应当在接到保修通知之日起7天内派人保修。承包人不在约定期限内派人保修的，发包人可以委托他人修理。2、发生紧急抢修事故的，承包人在接到事故通知后，应当立即到达事故现场抢修。3、对于涉及结构安全的质量问题，应当按照《建设工程质量管理条例》的规定，立即向当地建设行政主管部门报告，采取安全防范措施；由原设计单位或者具有相应资质等级的设计单位提出保修方案，承包人实施保修。4、质量保修完成后，由发包人组织验收。5、保修费用由造成质量缺陷的责任方承担 </w:t>
      </w:r>
      <w:r>
        <w:rPr>
          <w:rFonts w:ascii="宋体" w:hAnsi="宋体"/>
          <w:color w:val="auto"/>
          <w:highlight w:val="none"/>
          <w:lang w:eastAsia="zh-CN"/>
        </w:rPr>
        <w:t>。</w:t>
      </w:r>
    </w:p>
    <w:p w14:paraId="4D86D583">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76" w:name="_Toc7833"/>
      <w:bookmarkStart w:id="977" w:name="_Toc14066"/>
      <w:bookmarkStart w:id="978" w:name="_Toc480967599"/>
      <w:r>
        <w:rPr>
          <w:rFonts w:hAnsi="宋体"/>
          <w:b/>
          <w:bCs/>
          <w:color w:val="auto"/>
          <w:kern w:val="44"/>
          <w:highlight w:val="none"/>
          <w:lang w:eastAsia="zh-CN"/>
        </w:rPr>
        <w:t>16. 违约</w:t>
      </w:r>
      <w:bookmarkEnd w:id="976"/>
      <w:bookmarkEnd w:id="977"/>
      <w:bookmarkEnd w:id="978"/>
    </w:p>
    <w:p w14:paraId="2F306882">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79" w:name="_Toc30415"/>
      <w:bookmarkStart w:id="980" w:name="_Toc2092"/>
      <w:bookmarkStart w:id="981" w:name="_Toc480967600"/>
      <w:r>
        <w:rPr>
          <w:rFonts w:hAnsi="宋体"/>
          <w:b/>
          <w:bCs/>
          <w:color w:val="auto"/>
          <w:kern w:val="44"/>
          <w:highlight w:val="none"/>
          <w:lang w:eastAsia="zh-CN"/>
        </w:rPr>
        <w:t>16.1 发包人违约</w:t>
      </w:r>
      <w:bookmarkEnd w:id="979"/>
      <w:bookmarkEnd w:id="980"/>
      <w:bookmarkEnd w:id="981"/>
    </w:p>
    <w:p w14:paraId="3DBCDCA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16.1.1发包人违约的情形</w:t>
      </w:r>
    </w:p>
    <w:p w14:paraId="6532A2EB">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发包人违约的其他情形：</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785A37CE">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16.1.</w:t>
      </w:r>
      <w:r>
        <w:rPr>
          <w:rFonts w:hint="eastAsia" w:ascii="宋体" w:hAnsi="宋体"/>
          <w:color w:val="auto"/>
          <w:highlight w:val="none"/>
          <w:lang w:eastAsia="zh-CN"/>
        </w:rPr>
        <w:t>2</w:t>
      </w:r>
      <w:r>
        <w:rPr>
          <w:rFonts w:ascii="宋体" w:hAnsi="宋体"/>
          <w:color w:val="auto"/>
          <w:highlight w:val="none"/>
          <w:lang w:eastAsia="zh-CN"/>
        </w:rPr>
        <w:t>发包人违约</w:t>
      </w:r>
      <w:r>
        <w:rPr>
          <w:rFonts w:hint="eastAsia" w:ascii="宋体" w:hAnsi="宋体"/>
          <w:color w:val="auto"/>
          <w:highlight w:val="none"/>
          <w:lang w:eastAsia="zh-CN"/>
        </w:rPr>
        <w:t>的责任</w:t>
      </w:r>
    </w:p>
    <w:p w14:paraId="0593B03A">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ascii="宋体" w:hAnsi="宋体"/>
          <w:color w:val="auto"/>
          <w:highlight w:val="none"/>
          <w:lang w:eastAsia="zh-CN"/>
        </w:rPr>
        <w:t>发包人违约</w:t>
      </w:r>
      <w:r>
        <w:rPr>
          <w:rFonts w:hint="eastAsia" w:ascii="宋体" w:hAnsi="宋体"/>
          <w:color w:val="auto"/>
          <w:highlight w:val="none"/>
          <w:lang w:eastAsia="zh-CN"/>
        </w:rPr>
        <w:t>责任的承担方式和计算方法：</w:t>
      </w:r>
    </w:p>
    <w:p w14:paraId="0F1FF1D3">
      <w:pPr>
        <w:pageBreakBefore w:val="0"/>
        <w:numPr>
          <w:ilvl w:val="0"/>
          <w:numId w:val="10"/>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因发包人原因未能在计划开工日期前7天内下达开工通知的违约责任：</w:t>
      </w:r>
      <w:r>
        <w:rPr>
          <w:rFonts w:hint="eastAsia" w:ascii="宋体" w:hAnsi="宋体"/>
          <w:color w:val="auto"/>
          <w:highlight w:val="none"/>
          <w:u w:val="single"/>
          <w:lang w:eastAsia="zh-CN"/>
        </w:rPr>
        <w:t xml:space="preserve">  无  </w:t>
      </w:r>
      <w:r>
        <w:rPr>
          <w:rFonts w:ascii="宋体" w:hAnsi="宋体"/>
          <w:color w:val="auto"/>
          <w:highlight w:val="none"/>
          <w:lang w:eastAsia="zh-CN"/>
        </w:rPr>
        <w:t>。</w:t>
      </w:r>
      <w:r>
        <w:rPr>
          <w:rFonts w:hint="eastAsia" w:ascii="宋体" w:hAnsi="宋体"/>
          <w:color w:val="auto"/>
          <w:highlight w:val="none"/>
          <w:lang w:eastAsia="zh-CN"/>
        </w:rPr>
        <w:t xml:space="preserve"> </w:t>
      </w:r>
    </w:p>
    <w:p w14:paraId="2F37608E">
      <w:pPr>
        <w:pageBreakBefore w:val="0"/>
        <w:numPr>
          <w:ilvl w:val="0"/>
          <w:numId w:val="10"/>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因发包人原因未能按合同约定支付合同价款的违约责任：</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083D6580">
      <w:pPr>
        <w:pageBreakBefore w:val="0"/>
        <w:numPr>
          <w:ilvl w:val="0"/>
          <w:numId w:val="10"/>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发包人违反第10.1款〔变更的范围〕第（2）项约定，自行实施被取消的工作或转由他人实施的违约责任：</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78508101">
      <w:pPr>
        <w:pageBreakBefore w:val="0"/>
        <w:numPr>
          <w:ilvl w:val="0"/>
          <w:numId w:val="10"/>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发包人提供的材料、工程设备的规格、数量或质量不符合合同约定，或因发包人原因导致交货日期延误或交货地点变更等情况的违约责任：</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5456BCB6">
      <w:pPr>
        <w:pageBreakBefore w:val="0"/>
        <w:numPr>
          <w:ilvl w:val="0"/>
          <w:numId w:val="10"/>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因发包人违反合同约定造成暂停施工的违约责任：</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450FE278">
      <w:pPr>
        <w:pageBreakBefore w:val="0"/>
        <w:numPr>
          <w:ilvl w:val="0"/>
          <w:numId w:val="10"/>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发包人无正当理由没有在约定期限内发出复工指示，导致承包人无法复工的违约责任：</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069EF921">
      <w:pPr>
        <w:pageBreakBefore w:val="0"/>
        <w:numPr>
          <w:ilvl w:val="0"/>
          <w:numId w:val="10"/>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rPr>
      </w:pPr>
      <w:r>
        <w:rPr>
          <w:rFonts w:hint="eastAsia" w:ascii="宋体" w:hAnsi="宋体"/>
          <w:color w:val="auto"/>
          <w:highlight w:val="none"/>
        </w:rPr>
        <w:t>其他：</w:t>
      </w:r>
      <w:r>
        <w:rPr>
          <w:rFonts w:hint="eastAsia" w:ascii="宋体" w:hAnsi="宋体"/>
          <w:color w:val="auto"/>
          <w:highlight w:val="none"/>
          <w:u w:val="single"/>
        </w:rPr>
        <w:t xml:space="preserve">  无  </w:t>
      </w:r>
      <w:r>
        <w:rPr>
          <w:rFonts w:ascii="宋体" w:hAnsi="宋体"/>
          <w:color w:val="auto"/>
          <w:highlight w:val="none"/>
        </w:rPr>
        <w:t>。</w:t>
      </w:r>
    </w:p>
    <w:p w14:paraId="37C2323C">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rPr>
      </w:pPr>
      <w:r>
        <w:rPr>
          <w:rFonts w:ascii="宋体" w:hAnsi="宋体"/>
          <w:color w:val="auto"/>
          <w:highlight w:val="none"/>
        </w:rPr>
        <w:t>16.1.</w:t>
      </w:r>
      <w:r>
        <w:rPr>
          <w:rFonts w:hint="eastAsia" w:ascii="宋体" w:hAnsi="宋体"/>
          <w:color w:val="auto"/>
          <w:highlight w:val="none"/>
        </w:rPr>
        <w:t>3因</w:t>
      </w:r>
      <w:r>
        <w:rPr>
          <w:rFonts w:ascii="宋体" w:hAnsi="宋体"/>
          <w:color w:val="auto"/>
          <w:highlight w:val="none"/>
        </w:rPr>
        <w:t>发包人违约</w:t>
      </w:r>
      <w:r>
        <w:rPr>
          <w:rFonts w:hint="eastAsia" w:ascii="宋体" w:hAnsi="宋体"/>
          <w:color w:val="auto"/>
          <w:highlight w:val="none"/>
        </w:rPr>
        <w:t>解除合同</w:t>
      </w:r>
    </w:p>
    <w:p w14:paraId="725C8122">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承包人按16.1.1项〔发包人违约的情形〕约定暂停施工满</w:t>
      </w:r>
      <w:r>
        <w:rPr>
          <w:rFonts w:hint="eastAsia" w:ascii="宋体" w:hAnsi="宋体"/>
          <w:color w:val="auto"/>
          <w:highlight w:val="none"/>
          <w:u w:val="single"/>
          <w:lang w:eastAsia="zh-CN"/>
        </w:rPr>
        <w:t xml:space="preserve">   /   </w:t>
      </w:r>
      <w:r>
        <w:rPr>
          <w:rFonts w:hint="eastAsia" w:ascii="宋体" w:hAnsi="宋体"/>
          <w:color w:val="auto"/>
          <w:highlight w:val="none"/>
          <w:lang w:eastAsia="zh-CN"/>
        </w:rPr>
        <w:t>天后发包人仍不纠正其违约行为并致使合同目的不能实现的，承包人有权解除合同。</w:t>
      </w:r>
    </w:p>
    <w:p w14:paraId="69FBDD29">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82" w:name="_Toc480967601"/>
      <w:bookmarkStart w:id="983" w:name="_Toc20878"/>
      <w:bookmarkStart w:id="984" w:name="_Toc21200"/>
      <w:r>
        <w:rPr>
          <w:rFonts w:hAnsi="宋体"/>
          <w:b/>
          <w:bCs/>
          <w:color w:val="auto"/>
          <w:kern w:val="44"/>
          <w:highlight w:val="none"/>
          <w:lang w:eastAsia="zh-CN"/>
        </w:rPr>
        <w:t>16.2 承包人违约</w:t>
      </w:r>
      <w:bookmarkEnd w:id="982"/>
      <w:bookmarkEnd w:id="983"/>
      <w:bookmarkEnd w:id="984"/>
    </w:p>
    <w:p w14:paraId="199FDD0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16.2.1 承包人违约的情形</w:t>
      </w:r>
    </w:p>
    <w:p w14:paraId="10A25888">
      <w:pPr>
        <w:pageBreakBefore w:val="0"/>
        <w:kinsoku/>
        <w:wordWrap/>
        <w:overflowPunct/>
        <w:topLinePunct w:val="0"/>
        <w:autoSpaceDE/>
        <w:autoSpaceDN/>
        <w:bidi w:val="0"/>
        <w:adjustRightInd/>
        <w:snapToGrid/>
        <w:spacing w:line="360" w:lineRule="auto"/>
        <w:ind w:firstLine="630" w:firstLineChars="300"/>
        <w:textAlignment w:val="auto"/>
        <w:rPr>
          <w:rFonts w:hint="eastAsia" w:ascii="宋体" w:hAnsi="宋体"/>
          <w:color w:val="auto"/>
          <w:highlight w:val="none"/>
          <w:lang w:eastAsia="zh-CN"/>
        </w:rPr>
      </w:pPr>
      <w:r>
        <w:rPr>
          <w:rFonts w:ascii="宋体" w:hAnsi="宋体"/>
          <w:color w:val="auto"/>
          <w:highlight w:val="none"/>
          <w:lang w:eastAsia="zh-CN"/>
        </w:rPr>
        <w:t>承包人违约的其他情形：</w:t>
      </w:r>
      <w:r>
        <w:rPr>
          <w:rFonts w:hint="eastAsia" w:ascii="宋体" w:hAnsi="宋体"/>
          <w:color w:val="auto"/>
          <w:highlight w:val="none"/>
          <w:u w:val="single"/>
          <w:lang w:eastAsia="zh-CN"/>
        </w:rPr>
        <w:t xml:space="preserve">  工期   </w:t>
      </w:r>
      <w:r>
        <w:rPr>
          <w:rFonts w:hint="eastAsia" w:ascii="宋体" w:hAnsi="宋体"/>
          <w:color w:val="auto"/>
          <w:highlight w:val="none"/>
          <w:lang w:eastAsia="zh-CN"/>
        </w:rPr>
        <w:t>。</w:t>
      </w:r>
    </w:p>
    <w:p w14:paraId="485AFBE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16.2.2承包人违约的责任</w:t>
      </w:r>
    </w:p>
    <w:p w14:paraId="5076806D">
      <w:pPr>
        <w:spacing w:line="360" w:lineRule="auto"/>
        <w:ind w:firstLine="420" w:firstLineChars="200"/>
        <w:rPr>
          <w:rFonts w:ascii="宋体" w:hAnsi="宋体"/>
          <w:color w:val="auto"/>
        </w:rPr>
      </w:pPr>
      <w:r>
        <w:rPr>
          <w:rFonts w:ascii="宋体" w:hAnsi="宋体"/>
          <w:color w:val="auto"/>
        </w:rPr>
        <w:t>承包人违约责任的承担方式和计算方法：</w:t>
      </w:r>
    </w:p>
    <w:p w14:paraId="65FF77FC">
      <w:pPr>
        <w:spacing w:line="360" w:lineRule="auto"/>
        <w:rPr>
          <w:rFonts w:hAnsi="宋体"/>
          <w:color w:val="auto"/>
          <w:sz w:val="22"/>
          <w:u w:val="single"/>
        </w:rPr>
      </w:pPr>
      <w:r>
        <w:rPr>
          <w:rFonts w:hAnsi="宋体"/>
          <w:color w:val="auto"/>
          <w:sz w:val="22"/>
          <w:u w:val="single"/>
        </w:rPr>
        <w:t>（</w:t>
      </w:r>
      <w:r>
        <w:rPr>
          <w:color w:val="auto"/>
          <w:sz w:val="22"/>
          <w:u w:val="single"/>
        </w:rPr>
        <w:t>1</w:t>
      </w:r>
      <w:r>
        <w:rPr>
          <w:rFonts w:hAnsi="宋体"/>
          <w:color w:val="auto"/>
          <w:sz w:val="22"/>
          <w:u w:val="single"/>
        </w:rPr>
        <w:t>）承包人未按本合同通用条款第</w:t>
      </w:r>
      <w:r>
        <w:rPr>
          <w:color w:val="auto"/>
          <w:sz w:val="22"/>
          <w:u w:val="single"/>
        </w:rPr>
        <w:t>16.2.1</w:t>
      </w:r>
      <w:r>
        <w:rPr>
          <w:rFonts w:hAnsi="宋体"/>
          <w:color w:val="auto"/>
          <w:sz w:val="22"/>
          <w:u w:val="single"/>
        </w:rPr>
        <w:t>（</w:t>
      </w:r>
      <w:r>
        <w:rPr>
          <w:color w:val="auto"/>
          <w:sz w:val="22"/>
          <w:u w:val="single"/>
        </w:rPr>
        <w:t>2</w:t>
      </w:r>
      <w:r>
        <w:rPr>
          <w:rFonts w:hAnsi="宋体"/>
          <w:color w:val="auto"/>
          <w:sz w:val="22"/>
          <w:u w:val="single"/>
        </w:rPr>
        <w:t>）</w:t>
      </w:r>
      <w:r>
        <w:rPr>
          <w:rFonts w:hint="eastAsia" w:hAnsi="宋体"/>
          <w:color w:val="auto"/>
          <w:sz w:val="22"/>
          <w:u w:val="single"/>
        </w:rPr>
        <w:t>、</w:t>
      </w:r>
      <w:r>
        <w:rPr>
          <w:rFonts w:hAnsi="宋体"/>
          <w:color w:val="auto"/>
          <w:sz w:val="22"/>
          <w:u w:val="single"/>
        </w:rPr>
        <w:t>（</w:t>
      </w:r>
      <w:r>
        <w:rPr>
          <w:color w:val="auto"/>
          <w:sz w:val="22"/>
          <w:u w:val="single"/>
        </w:rPr>
        <w:t>3</w:t>
      </w:r>
      <w:r>
        <w:rPr>
          <w:rFonts w:hAnsi="宋体"/>
          <w:color w:val="auto"/>
          <w:sz w:val="22"/>
          <w:u w:val="single"/>
        </w:rPr>
        <w:t>）条内容完成的，承包人无条件返工处理</w:t>
      </w:r>
      <w:r>
        <w:rPr>
          <w:rFonts w:hint="eastAsia" w:hAnsi="宋体"/>
          <w:color w:val="auto"/>
          <w:sz w:val="22"/>
          <w:u w:val="single"/>
        </w:rPr>
        <w:t>。</w:t>
      </w:r>
      <w:r>
        <w:rPr>
          <w:rFonts w:hAnsi="宋体"/>
          <w:color w:val="auto"/>
          <w:sz w:val="22"/>
          <w:u w:val="single"/>
        </w:rPr>
        <w:t>修复至工程质量要求并承担相关费用，并在发包人规定的时间内完成返工</w:t>
      </w:r>
      <w:r>
        <w:rPr>
          <w:rFonts w:hint="eastAsia" w:hAnsi="宋体"/>
          <w:color w:val="auto"/>
          <w:sz w:val="22"/>
          <w:u w:val="single"/>
        </w:rPr>
        <w:t>，否则发包人有权扣罚该分项工程10%的工程款作为处罚。</w:t>
      </w:r>
    </w:p>
    <w:p w14:paraId="2E93462C">
      <w:pPr>
        <w:spacing w:line="360" w:lineRule="auto"/>
        <w:rPr>
          <w:rFonts w:hAnsi="宋体"/>
          <w:color w:val="auto"/>
          <w:sz w:val="22"/>
        </w:rPr>
      </w:pPr>
      <w:r>
        <w:rPr>
          <w:rFonts w:hAnsi="宋体"/>
          <w:color w:val="auto"/>
          <w:sz w:val="22"/>
          <w:u w:val="single"/>
        </w:rPr>
        <w:t>（</w:t>
      </w:r>
      <w:r>
        <w:rPr>
          <w:color w:val="auto"/>
          <w:sz w:val="22"/>
          <w:u w:val="single"/>
        </w:rPr>
        <w:t>2</w:t>
      </w:r>
      <w:r>
        <w:rPr>
          <w:rFonts w:hAnsi="宋体"/>
          <w:color w:val="auto"/>
          <w:sz w:val="22"/>
          <w:u w:val="single"/>
        </w:rPr>
        <w:t>）承包人有本合同通用条款第</w:t>
      </w:r>
      <w:r>
        <w:rPr>
          <w:color w:val="auto"/>
          <w:sz w:val="22"/>
          <w:u w:val="single"/>
        </w:rPr>
        <w:t>1</w:t>
      </w:r>
      <w:r>
        <w:rPr>
          <w:rFonts w:hint="eastAsia"/>
          <w:color w:val="auto"/>
          <w:sz w:val="22"/>
          <w:u w:val="single"/>
        </w:rPr>
        <w:t>2</w:t>
      </w:r>
      <w:r>
        <w:rPr>
          <w:color w:val="auto"/>
          <w:sz w:val="22"/>
          <w:u w:val="single"/>
        </w:rPr>
        <w:t>.2.1</w:t>
      </w:r>
      <w:r>
        <w:rPr>
          <w:rFonts w:hAnsi="宋体"/>
          <w:color w:val="auto"/>
          <w:sz w:val="22"/>
          <w:u w:val="single"/>
        </w:rPr>
        <w:t>（</w:t>
      </w:r>
      <w:r>
        <w:rPr>
          <w:color w:val="auto"/>
          <w:sz w:val="22"/>
          <w:u w:val="single"/>
        </w:rPr>
        <w:t>6</w:t>
      </w:r>
      <w:r>
        <w:rPr>
          <w:rFonts w:hAnsi="宋体"/>
          <w:color w:val="auto"/>
          <w:sz w:val="22"/>
          <w:u w:val="single"/>
        </w:rPr>
        <w:t>）情形的，或经监理人检验认为修复质量不合格而承包人拒绝再进行修补的，发包人将扣除</w:t>
      </w:r>
      <w:r>
        <w:rPr>
          <w:rFonts w:hint="eastAsia" w:hAnsi="宋体"/>
          <w:color w:val="auto"/>
          <w:sz w:val="22"/>
          <w:u w:val="single"/>
        </w:rPr>
        <w:t>承包人全部质量保修金</w:t>
      </w:r>
      <w:r>
        <w:rPr>
          <w:rFonts w:hAnsi="宋体"/>
          <w:color w:val="auto"/>
          <w:sz w:val="22"/>
          <w:u w:val="single"/>
        </w:rPr>
        <w:t>。</w:t>
      </w:r>
    </w:p>
    <w:p w14:paraId="65C95E97">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u w:val="single"/>
        </w:rPr>
        <w:t>（3）承包人有本合同</w:t>
      </w:r>
      <w:r>
        <w:rPr>
          <w:rFonts w:hint="eastAsia" w:ascii="宋体" w:hAnsi="宋体"/>
          <w:color w:val="auto"/>
          <w:u w:val="single"/>
        </w:rPr>
        <w:t>通</w:t>
      </w:r>
      <w:r>
        <w:rPr>
          <w:rFonts w:ascii="宋体" w:hAnsi="宋体"/>
          <w:color w:val="auto"/>
          <w:u w:val="single"/>
        </w:rPr>
        <w:t>用条款3.2、3.3条违约责任的，发包人有权扣除承包人的违约金。违约金金额均在承包人的</w:t>
      </w:r>
      <w:r>
        <w:rPr>
          <w:rFonts w:hint="eastAsia" w:ascii="宋体" w:hAnsi="宋体"/>
          <w:color w:val="auto"/>
          <w:u w:val="single"/>
        </w:rPr>
        <w:t>工程</w:t>
      </w:r>
      <w:r>
        <w:rPr>
          <w:rFonts w:ascii="宋体" w:hAnsi="宋体"/>
          <w:color w:val="auto"/>
          <w:u w:val="single"/>
        </w:rPr>
        <w:t xml:space="preserve">款内扣除。监理人预先下发含有罚款意向的指令，如承包人不及时采取措施纠正，则在指令下达后十五天下发罚款通知书（不再陈述罚款理由）。承包人在合同期内，完成合同规定的全部工程，且质量合格，在本工程施工竣工验收后十五天内可申请返还全部或部分罚款，返还金额由监理人审核，发包人批准。罚款金额返还时不包括银行利息。 </w:t>
      </w:r>
      <w:r>
        <w:rPr>
          <w:rFonts w:ascii="宋体" w:hAnsi="宋体"/>
          <w:color w:val="auto"/>
          <w:highlight w:val="none"/>
          <w:u w:val="single"/>
          <w:lang w:eastAsia="zh-CN"/>
        </w:rPr>
        <w:t xml:space="preserve"> </w:t>
      </w:r>
    </w:p>
    <w:p w14:paraId="3E8E55E1">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16.2.3 因承包人违约解除合同</w:t>
      </w:r>
    </w:p>
    <w:p w14:paraId="1279A039">
      <w:pPr>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u w:val="single"/>
          <w:lang w:eastAsia="zh-CN"/>
        </w:rPr>
      </w:pPr>
      <w:r>
        <w:rPr>
          <w:rFonts w:ascii="宋体" w:hAnsi="宋体"/>
          <w:color w:val="auto"/>
          <w:highlight w:val="none"/>
          <w:lang w:eastAsia="zh-CN"/>
        </w:rPr>
        <w:t>关于承包人违约解除合同的特别约定：</w:t>
      </w:r>
      <w:r>
        <w:rPr>
          <w:rFonts w:hint="eastAsia" w:ascii="宋体" w:hAnsi="宋体"/>
          <w:color w:val="auto"/>
          <w:highlight w:val="none"/>
          <w:u w:val="single"/>
          <w:lang w:eastAsia="zh-CN"/>
        </w:rPr>
        <w:t>承包人有违反以下情形之一的，发包人有权解除合同。</w:t>
      </w:r>
    </w:p>
    <w:p w14:paraId="2D82C0A3">
      <w:pPr>
        <w:pageBreakBefore w:val="0"/>
        <w:numPr>
          <w:ilvl w:val="0"/>
          <w:numId w:val="11"/>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bookmarkStart w:id="985" w:name="_Toc5340"/>
      <w:r>
        <w:rPr>
          <w:rFonts w:hint="eastAsia" w:ascii="宋体" w:hAnsi="宋体"/>
          <w:color w:val="auto"/>
          <w:highlight w:val="none"/>
          <w:lang w:eastAsia="zh-CN"/>
        </w:rPr>
        <w:t>承包人无正当理由不按开工通知的要求及时进场组织施工和不按签订协议书时商定的进度计划有效地开展施工准备，造成工期延误的。</w:t>
      </w:r>
    </w:p>
    <w:p w14:paraId="689DE18E">
      <w:pPr>
        <w:pageBreakBefore w:val="0"/>
        <w:numPr>
          <w:ilvl w:val="0"/>
          <w:numId w:val="11"/>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承包人违反本合同通用条款第3.5条规定私自将合同或合同的任何部分或任何权利转让给其他人，或私自将工程或工程的一部分分包出去的。</w:t>
      </w:r>
    </w:p>
    <w:p w14:paraId="38C4A5AE">
      <w:pPr>
        <w:pageBreakBefore w:val="0"/>
        <w:numPr>
          <w:ilvl w:val="0"/>
          <w:numId w:val="11"/>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未经监理人批准，承包人私自将已按投标文件承诺进入工地的工程设备、施工设备、临时工程或材料撤离工地的。</w:t>
      </w:r>
    </w:p>
    <w:p w14:paraId="2316D70E">
      <w:pPr>
        <w:pageBreakBefore w:val="0"/>
        <w:numPr>
          <w:ilvl w:val="0"/>
          <w:numId w:val="11"/>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由于承包人否认合同有效或拒绝履行合同规定的承包人义务，或由于法律、财务等原因导致承包人无法继续履行或实质上已停止履行合同义务的。</w:t>
      </w:r>
    </w:p>
    <w:p w14:paraId="0D8AB9DD">
      <w:pPr>
        <w:pageBreakBefore w:val="0"/>
        <w:numPr>
          <w:ilvl w:val="0"/>
          <w:numId w:val="11"/>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合同签订之日起15日内，承包人无法按合同规定及投标文件的承诺进场经监理工程师认可的全部人员和机械的。</w:t>
      </w:r>
    </w:p>
    <w:p w14:paraId="5BEAA8A1">
      <w:pPr>
        <w:pageBreakBefore w:val="0"/>
        <w:kinsoku/>
        <w:wordWrap/>
        <w:overflowPunct/>
        <w:topLinePunct w:val="0"/>
        <w:autoSpaceDE/>
        <w:autoSpaceDN/>
        <w:bidi w:val="0"/>
        <w:adjustRightInd/>
        <w:snapToGrid/>
        <w:spacing w:line="360" w:lineRule="auto"/>
        <w:ind w:left="-525" w:leftChars="-250" w:right="-525" w:rightChars="-250" w:firstLine="770" w:firstLineChars="350"/>
        <w:textAlignment w:val="auto"/>
        <w:rPr>
          <w:rFonts w:hint="eastAsia" w:hAnsi="宋体"/>
          <w:b/>
          <w:bCs/>
          <w:color w:val="auto"/>
          <w:kern w:val="44"/>
          <w:highlight w:val="none"/>
          <w:lang w:eastAsia="zh-CN"/>
        </w:rPr>
      </w:pPr>
      <w:bookmarkStart w:id="986" w:name="_Toc480967602"/>
      <w:bookmarkStart w:id="987" w:name="_Toc479253829"/>
      <w:r>
        <w:rPr>
          <w:rFonts w:ascii="Times New Roman" w:hAnsi="Times New Roman" w:cs="Times New Roman"/>
          <w:color w:val="auto"/>
          <w:sz w:val="22"/>
          <w:szCs w:val="22"/>
          <w:highlight w:val="none"/>
          <w:lang w:eastAsia="zh-CN"/>
        </w:rPr>
        <w:t>发包</w:t>
      </w:r>
      <w:r>
        <w:rPr>
          <w:rFonts w:hAnsi="宋体"/>
          <w:color w:val="auto"/>
          <w:kern w:val="44"/>
          <w:highlight w:val="none"/>
          <w:lang w:eastAsia="zh-CN"/>
        </w:rPr>
        <w:t>人继续使用承包人在施工现场的材料、设备、临时工程、承包人文件和由承包人或以其名义编制的其他文件的费用承担方式：</w:t>
      </w:r>
      <w:r>
        <w:rPr>
          <w:rFonts w:hint="eastAsia" w:hAnsi="宋体"/>
          <w:color w:val="auto"/>
          <w:kern w:val="44"/>
          <w:highlight w:val="none"/>
          <w:u w:val="single"/>
          <w:lang w:eastAsia="zh-CN"/>
        </w:rPr>
        <w:t xml:space="preserve"> 承包人承担   </w:t>
      </w:r>
      <w:r>
        <w:rPr>
          <w:rFonts w:hAnsi="宋体"/>
          <w:color w:val="auto"/>
          <w:kern w:val="44"/>
          <w:highlight w:val="none"/>
          <w:lang w:eastAsia="zh-CN"/>
        </w:rPr>
        <w:t>。</w:t>
      </w:r>
      <w:bookmarkEnd w:id="986"/>
      <w:bookmarkEnd w:id="987"/>
      <w:r>
        <w:rPr>
          <w:rFonts w:hint="eastAsia" w:hAnsi="宋体"/>
          <w:b/>
          <w:bCs/>
          <w:color w:val="auto"/>
          <w:kern w:val="44"/>
          <w:highlight w:val="none"/>
          <w:lang w:eastAsia="zh-CN"/>
        </w:rPr>
        <w:t>　</w:t>
      </w:r>
    </w:p>
    <w:p w14:paraId="4D4D4133">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88" w:name="_Toc18012"/>
      <w:bookmarkStart w:id="989" w:name="_Toc480967603"/>
      <w:r>
        <w:rPr>
          <w:rFonts w:hAnsi="宋体"/>
          <w:b/>
          <w:bCs/>
          <w:color w:val="auto"/>
          <w:kern w:val="44"/>
          <w:highlight w:val="none"/>
          <w:lang w:eastAsia="zh-CN"/>
        </w:rPr>
        <w:t>17. 不可抗力</w:t>
      </w:r>
      <w:bookmarkEnd w:id="985"/>
      <w:bookmarkEnd w:id="988"/>
      <w:bookmarkEnd w:id="989"/>
      <w:r>
        <w:rPr>
          <w:rFonts w:hAnsi="宋体"/>
          <w:b/>
          <w:bCs/>
          <w:color w:val="auto"/>
          <w:kern w:val="44"/>
          <w:highlight w:val="none"/>
          <w:lang w:eastAsia="zh-CN"/>
        </w:rPr>
        <w:t xml:space="preserve"> </w:t>
      </w:r>
    </w:p>
    <w:p w14:paraId="3D62EBBF">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90" w:name="_Toc4606"/>
      <w:bookmarkStart w:id="991" w:name="_Toc2884"/>
      <w:bookmarkStart w:id="992" w:name="_Toc480967604"/>
      <w:r>
        <w:rPr>
          <w:rFonts w:hAnsi="宋体"/>
          <w:b/>
          <w:bCs/>
          <w:color w:val="auto"/>
          <w:kern w:val="44"/>
          <w:highlight w:val="none"/>
          <w:lang w:eastAsia="zh-CN"/>
        </w:rPr>
        <w:t>17.1 不可抗力的确认</w:t>
      </w:r>
      <w:bookmarkEnd w:id="990"/>
      <w:bookmarkEnd w:id="991"/>
      <w:bookmarkEnd w:id="992"/>
    </w:p>
    <w:p w14:paraId="09F7EA90">
      <w:pPr>
        <w:pageBreakBefore w:val="0"/>
        <w:kinsoku/>
        <w:wordWrap/>
        <w:overflowPunct/>
        <w:topLinePunct w:val="0"/>
        <w:autoSpaceDE/>
        <w:autoSpaceDN/>
        <w:bidi w:val="0"/>
        <w:adjustRightInd/>
        <w:snapToGrid/>
        <w:spacing w:line="360" w:lineRule="auto"/>
        <w:ind w:left="-525" w:leftChars="-250" w:right="-525" w:rightChars="-250" w:firstLine="770" w:firstLineChars="350"/>
        <w:textAlignment w:val="auto"/>
        <w:rPr>
          <w:color w:val="auto"/>
          <w:sz w:val="22"/>
          <w:szCs w:val="22"/>
          <w:highlight w:val="none"/>
          <w:u w:val="single"/>
          <w:lang w:eastAsia="zh-CN"/>
        </w:rPr>
      </w:pPr>
      <w:r>
        <w:rPr>
          <w:color w:val="auto"/>
          <w:sz w:val="22"/>
          <w:szCs w:val="22"/>
          <w:highlight w:val="none"/>
          <w:lang w:eastAsia="zh-CN"/>
        </w:rPr>
        <w:t>除通用合同条款约定的不可抗力事件之外，视为不可抗力的其他情形：</w:t>
      </w:r>
      <w:r>
        <w:rPr>
          <w:rFonts w:hint="eastAsia"/>
          <w:color w:val="auto"/>
          <w:sz w:val="22"/>
          <w:szCs w:val="22"/>
          <w:highlight w:val="none"/>
          <w:u w:val="single"/>
          <w:lang w:eastAsia="zh-CN"/>
        </w:rPr>
        <w:t xml:space="preserve">  无  </w:t>
      </w:r>
      <w:r>
        <w:rPr>
          <w:rFonts w:hint="eastAsia"/>
          <w:color w:val="auto"/>
          <w:sz w:val="22"/>
          <w:szCs w:val="22"/>
          <w:highlight w:val="none"/>
          <w:lang w:eastAsia="zh-CN"/>
        </w:rPr>
        <w:t>。</w:t>
      </w:r>
    </w:p>
    <w:p w14:paraId="3C47F31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93" w:name="_Toc31556"/>
      <w:bookmarkStart w:id="994" w:name="_Toc480967605"/>
      <w:bookmarkStart w:id="995" w:name="_Toc5428"/>
      <w:r>
        <w:rPr>
          <w:rFonts w:hAnsi="宋体"/>
          <w:b/>
          <w:bCs/>
          <w:color w:val="auto"/>
          <w:kern w:val="44"/>
          <w:highlight w:val="none"/>
          <w:lang w:eastAsia="zh-CN"/>
        </w:rPr>
        <w:t>17.4 因不可抗力解除合同</w:t>
      </w:r>
      <w:bookmarkEnd w:id="993"/>
      <w:bookmarkEnd w:id="994"/>
      <w:bookmarkEnd w:id="995"/>
    </w:p>
    <w:p w14:paraId="3240994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合同解除后，发包人应在商定或确定发包人应支付款项后</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承包人提出书面申请14</w:t>
      </w:r>
      <w:r>
        <w:rPr>
          <w:rFonts w:ascii="宋体" w:hAnsi="宋体"/>
          <w:color w:val="auto"/>
          <w:highlight w:val="none"/>
          <w:lang w:eastAsia="zh-CN"/>
        </w:rPr>
        <w:t>天内完成款项的支付。</w:t>
      </w:r>
    </w:p>
    <w:p w14:paraId="09EA2146">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96" w:name="_Toc3691"/>
      <w:bookmarkStart w:id="997" w:name="_Toc480967606"/>
      <w:bookmarkStart w:id="998" w:name="_Toc13580"/>
      <w:r>
        <w:rPr>
          <w:rFonts w:hAnsi="宋体"/>
          <w:b/>
          <w:bCs/>
          <w:color w:val="auto"/>
          <w:kern w:val="44"/>
          <w:highlight w:val="none"/>
          <w:lang w:eastAsia="zh-CN"/>
        </w:rPr>
        <w:t>18. 保险</w:t>
      </w:r>
      <w:bookmarkEnd w:id="996"/>
      <w:bookmarkEnd w:id="997"/>
      <w:bookmarkEnd w:id="998"/>
    </w:p>
    <w:p w14:paraId="35D729CD">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999" w:name="_Toc22674"/>
      <w:bookmarkStart w:id="1000" w:name="_Toc480967607"/>
      <w:bookmarkStart w:id="1001" w:name="_Toc555"/>
      <w:r>
        <w:rPr>
          <w:rFonts w:hAnsi="宋体"/>
          <w:b/>
          <w:bCs/>
          <w:color w:val="auto"/>
          <w:kern w:val="44"/>
          <w:highlight w:val="none"/>
          <w:lang w:eastAsia="zh-CN"/>
        </w:rPr>
        <w:t>18.1 工程保险</w:t>
      </w:r>
      <w:bookmarkEnd w:id="999"/>
      <w:bookmarkEnd w:id="1000"/>
      <w:bookmarkEnd w:id="1001"/>
    </w:p>
    <w:p w14:paraId="378B6FC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关于工程保险的特别约定：</w:t>
      </w:r>
      <w:r>
        <w:rPr>
          <w:rFonts w:hint="eastAsia" w:ascii="宋体" w:hAnsi="宋体"/>
          <w:color w:val="auto"/>
          <w:highlight w:val="none"/>
          <w:u w:val="single"/>
          <w:lang w:eastAsia="zh-CN"/>
        </w:rPr>
        <w:t>承包人应投保建筑工程一切险并承担相关费用</w:t>
      </w:r>
      <w:r>
        <w:rPr>
          <w:rFonts w:ascii="宋体" w:hAnsi="宋体"/>
          <w:color w:val="auto"/>
          <w:highlight w:val="none"/>
          <w:lang w:eastAsia="zh-CN"/>
        </w:rPr>
        <w:t>。</w:t>
      </w:r>
    </w:p>
    <w:p w14:paraId="2C4DA06B">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1002" w:name="_Toc28883"/>
      <w:bookmarkStart w:id="1003" w:name="_Toc480967608"/>
      <w:bookmarkStart w:id="1004" w:name="_Toc4336"/>
      <w:r>
        <w:rPr>
          <w:rFonts w:hAnsi="宋体"/>
          <w:b/>
          <w:bCs/>
          <w:color w:val="auto"/>
          <w:kern w:val="44"/>
          <w:highlight w:val="none"/>
          <w:lang w:eastAsia="zh-CN"/>
        </w:rPr>
        <w:t>18.3 其他保险</w:t>
      </w:r>
      <w:bookmarkEnd w:id="1002"/>
      <w:bookmarkEnd w:id="1003"/>
      <w:bookmarkEnd w:id="1004"/>
    </w:p>
    <w:p w14:paraId="377ECC5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关于其他保险的约定：</w:t>
      </w:r>
      <w:r>
        <w:rPr>
          <w:rFonts w:hint="eastAsia" w:ascii="宋体" w:hAnsi="宋体"/>
          <w:color w:val="auto"/>
          <w:highlight w:val="none"/>
          <w:u w:val="single"/>
          <w:lang w:eastAsia="zh-CN"/>
        </w:rPr>
        <w:t>承包人按市建协字【2009】3号文规定须缴纳建筑工伤保险费（意外伤害险）及广西壮族自治区、桂林市相关规定缴纳建筑意外伤害保险费，按《自治区住房城乡建设厅关于印发广西壮族自治区房屋建筑和市政基础设施工程安全生产责任保险计价规定的通知》（桂建发〔2023〕6号）规定投保安全生产责任保险。</w:t>
      </w:r>
    </w:p>
    <w:p w14:paraId="2E857A8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承包人是否应为其施工设备等办理财产保险：</w:t>
      </w:r>
      <w:r>
        <w:rPr>
          <w:rFonts w:hint="eastAsia" w:ascii="宋体" w:hAnsi="宋体"/>
          <w:color w:val="auto"/>
          <w:highlight w:val="none"/>
          <w:u w:val="single"/>
          <w:lang w:eastAsia="zh-CN"/>
        </w:rPr>
        <w:t xml:space="preserve"> 执行，无特殊约定 </w:t>
      </w:r>
      <w:r>
        <w:rPr>
          <w:rFonts w:ascii="宋体" w:hAnsi="宋体"/>
          <w:color w:val="auto"/>
          <w:highlight w:val="none"/>
          <w:lang w:eastAsia="zh-CN"/>
        </w:rPr>
        <w:t>。</w:t>
      </w:r>
    </w:p>
    <w:p w14:paraId="49F20965">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1005" w:name="_Toc32580"/>
      <w:bookmarkStart w:id="1006" w:name="_Toc19973"/>
      <w:bookmarkStart w:id="1007" w:name="_Toc480967609"/>
      <w:r>
        <w:rPr>
          <w:rFonts w:hAnsi="宋体"/>
          <w:b/>
          <w:bCs/>
          <w:color w:val="auto"/>
          <w:kern w:val="44"/>
          <w:highlight w:val="none"/>
          <w:lang w:eastAsia="zh-CN"/>
        </w:rPr>
        <w:t>18.7 通知义务</w:t>
      </w:r>
      <w:bookmarkEnd w:id="1005"/>
      <w:bookmarkEnd w:id="1006"/>
      <w:bookmarkEnd w:id="1007"/>
    </w:p>
    <w:p w14:paraId="3D527DA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关于变更保险合同时的通知义务的约定：</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按通用条款  </w:t>
      </w:r>
      <w:r>
        <w:rPr>
          <w:rFonts w:ascii="宋体" w:hAnsi="宋体"/>
          <w:color w:val="auto"/>
          <w:highlight w:val="none"/>
          <w:lang w:eastAsia="zh-CN"/>
        </w:rPr>
        <w:t>。</w:t>
      </w:r>
    </w:p>
    <w:p w14:paraId="0DFD414D">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1008" w:name="_Toc28487"/>
      <w:bookmarkStart w:id="1009" w:name="_Toc480967610"/>
      <w:bookmarkStart w:id="1010" w:name="_Toc9283"/>
      <w:r>
        <w:rPr>
          <w:rFonts w:hAnsi="宋体"/>
          <w:b/>
          <w:bCs/>
          <w:color w:val="auto"/>
          <w:kern w:val="44"/>
          <w:highlight w:val="none"/>
          <w:lang w:eastAsia="zh-CN"/>
        </w:rPr>
        <w:t>20. 争议解决</w:t>
      </w:r>
      <w:bookmarkEnd w:id="1008"/>
      <w:bookmarkEnd w:id="1009"/>
      <w:bookmarkEnd w:id="1010"/>
    </w:p>
    <w:p w14:paraId="4002C80A">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1011" w:name="_Toc480967611"/>
      <w:bookmarkStart w:id="1012" w:name="_Toc10861"/>
      <w:bookmarkStart w:id="1013" w:name="_Toc23558"/>
      <w:r>
        <w:rPr>
          <w:rFonts w:hAnsi="宋体"/>
          <w:b/>
          <w:bCs/>
          <w:color w:val="auto"/>
          <w:kern w:val="44"/>
          <w:highlight w:val="none"/>
          <w:lang w:eastAsia="zh-CN"/>
        </w:rPr>
        <w:t>20.3 争议评审</w:t>
      </w:r>
      <w:bookmarkEnd w:id="1011"/>
      <w:bookmarkEnd w:id="1012"/>
      <w:bookmarkEnd w:id="1013"/>
    </w:p>
    <w:p w14:paraId="36DF3573">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合同当事人是否同意将工程争议提交争议评审小组决定：</w:t>
      </w:r>
      <w:r>
        <w:rPr>
          <w:rFonts w:hint="eastAsia" w:ascii="宋体" w:hAnsi="宋体"/>
          <w:color w:val="auto"/>
          <w:highlight w:val="none"/>
          <w:u w:val="single"/>
          <w:lang w:eastAsia="zh-CN"/>
        </w:rPr>
        <w:t>否</w:t>
      </w:r>
      <w:r>
        <w:rPr>
          <w:rFonts w:ascii="宋体" w:hAnsi="宋体"/>
          <w:color w:val="auto"/>
          <w:highlight w:val="none"/>
          <w:lang w:eastAsia="zh-CN"/>
        </w:rPr>
        <w:t xml:space="preserve">。  </w:t>
      </w:r>
    </w:p>
    <w:p w14:paraId="33D57074">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20.3.1 争议评审小组的确定</w:t>
      </w:r>
    </w:p>
    <w:p w14:paraId="16CF77E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u w:val="single"/>
          <w:lang w:eastAsia="zh-CN"/>
        </w:rPr>
      </w:pPr>
      <w:r>
        <w:rPr>
          <w:rFonts w:ascii="宋体" w:hAnsi="宋体"/>
          <w:color w:val="auto"/>
          <w:highlight w:val="none"/>
          <w:lang w:eastAsia="zh-CN"/>
        </w:rPr>
        <w:t>争议评审小组成员的确定：</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5F1D8386">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选定争议评审员的期限：</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无               </w:t>
      </w:r>
      <w:r>
        <w:rPr>
          <w:rFonts w:ascii="宋体" w:hAnsi="宋体"/>
          <w:color w:val="auto"/>
          <w:highlight w:val="none"/>
          <w:u w:val="single"/>
          <w:lang w:eastAsia="zh-CN"/>
        </w:rPr>
        <w:t xml:space="preserve"> </w:t>
      </w:r>
      <w:r>
        <w:rPr>
          <w:rFonts w:ascii="宋体" w:hAnsi="宋体"/>
          <w:color w:val="auto"/>
          <w:highlight w:val="none"/>
          <w:lang w:eastAsia="zh-CN"/>
        </w:rPr>
        <w:t>。</w:t>
      </w:r>
    </w:p>
    <w:p w14:paraId="1868056F">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争议评审小组成员的报酬承担方式：</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无             </w:t>
      </w:r>
      <w:r>
        <w:rPr>
          <w:rFonts w:ascii="宋体" w:hAnsi="宋体"/>
          <w:color w:val="auto"/>
          <w:highlight w:val="none"/>
          <w:u w:val="single"/>
          <w:lang w:eastAsia="zh-CN"/>
        </w:rPr>
        <w:t xml:space="preserve"> </w:t>
      </w:r>
      <w:r>
        <w:rPr>
          <w:rFonts w:ascii="宋体" w:hAnsi="宋体"/>
          <w:color w:val="auto"/>
          <w:highlight w:val="none"/>
          <w:lang w:eastAsia="zh-CN"/>
        </w:rPr>
        <w:t>。</w:t>
      </w:r>
    </w:p>
    <w:p w14:paraId="06259495">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其他事项的约定：</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490F0A7E">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20.3.2 争议评审小组的决定</w:t>
      </w:r>
    </w:p>
    <w:p w14:paraId="12E7B249">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合同当事人关于本项的约定：</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 xml:space="preserve">           无             </w:t>
      </w:r>
      <w:r>
        <w:rPr>
          <w:rFonts w:ascii="宋体" w:hAnsi="宋体"/>
          <w:color w:val="auto"/>
          <w:highlight w:val="none"/>
          <w:lang w:eastAsia="zh-CN"/>
        </w:rPr>
        <w:t>。</w:t>
      </w:r>
    </w:p>
    <w:p w14:paraId="5A640C67">
      <w:pPr>
        <w:keepNext/>
        <w:keepLines/>
        <w:pageBreakBefore w:val="0"/>
        <w:kinsoku/>
        <w:wordWrap/>
        <w:overflowPunct/>
        <w:topLinePunct w:val="0"/>
        <w:autoSpaceDE/>
        <w:autoSpaceDN/>
        <w:bidi w:val="0"/>
        <w:adjustRightInd/>
        <w:snapToGrid/>
        <w:spacing w:line="360" w:lineRule="auto"/>
        <w:textAlignment w:val="auto"/>
        <w:outlineLvl w:val="1"/>
        <w:rPr>
          <w:rFonts w:hAnsi="宋体"/>
          <w:b/>
          <w:bCs/>
          <w:color w:val="auto"/>
          <w:kern w:val="44"/>
          <w:highlight w:val="none"/>
          <w:lang w:eastAsia="zh-CN"/>
        </w:rPr>
      </w:pPr>
      <w:bookmarkStart w:id="1014" w:name="_Toc480967612"/>
      <w:bookmarkStart w:id="1015" w:name="_Toc7287"/>
      <w:bookmarkStart w:id="1016" w:name="_Toc32731"/>
      <w:r>
        <w:rPr>
          <w:rFonts w:hAnsi="宋体"/>
          <w:b/>
          <w:bCs/>
          <w:color w:val="auto"/>
          <w:kern w:val="44"/>
          <w:highlight w:val="none"/>
          <w:lang w:eastAsia="zh-CN"/>
        </w:rPr>
        <w:t>20.4仲裁或诉讼</w:t>
      </w:r>
      <w:bookmarkEnd w:id="1014"/>
      <w:bookmarkEnd w:id="1015"/>
      <w:bookmarkEnd w:id="1016"/>
    </w:p>
    <w:p w14:paraId="2699E6BA">
      <w:pPr>
        <w:pageBreakBefore w:val="0"/>
        <w:kinsoku/>
        <w:wordWrap/>
        <w:overflowPunct/>
        <w:topLinePunct w:val="0"/>
        <w:autoSpaceDE/>
        <w:autoSpaceDN/>
        <w:bidi w:val="0"/>
        <w:adjustRightInd/>
        <w:snapToGrid/>
        <w:spacing w:line="360" w:lineRule="auto"/>
        <w:ind w:firstLine="420" w:firstLineChars="200"/>
        <w:textAlignment w:val="auto"/>
        <w:rPr>
          <w:rFonts w:ascii="宋体" w:hAnsi="宋体"/>
          <w:color w:val="auto"/>
          <w:highlight w:val="none"/>
          <w:lang w:eastAsia="zh-CN"/>
        </w:rPr>
      </w:pPr>
      <w:r>
        <w:rPr>
          <w:rFonts w:ascii="宋体" w:hAnsi="宋体"/>
          <w:color w:val="auto"/>
          <w:highlight w:val="none"/>
          <w:lang w:eastAsia="zh-CN"/>
        </w:rPr>
        <w:t>因合同及合同有关事项发生的争议，按下列第</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2</w:t>
      </w:r>
      <w:r>
        <w:rPr>
          <w:rFonts w:ascii="宋体" w:hAnsi="宋体"/>
          <w:color w:val="auto"/>
          <w:highlight w:val="none"/>
          <w:u w:val="single"/>
          <w:lang w:eastAsia="zh-CN"/>
        </w:rPr>
        <w:t xml:space="preserve"> </w:t>
      </w:r>
      <w:r>
        <w:rPr>
          <w:rFonts w:ascii="宋体" w:hAnsi="宋体"/>
          <w:color w:val="auto"/>
          <w:highlight w:val="none"/>
          <w:lang w:eastAsia="zh-CN"/>
        </w:rPr>
        <w:t>种方式解决：</w:t>
      </w:r>
    </w:p>
    <w:p w14:paraId="5954BAB1">
      <w:pPr>
        <w:pageBreakBefore w:val="0"/>
        <w:numPr>
          <w:ilvl w:val="0"/>
          <w:numId w:val="12"/>
        </w:numPr>
        <w:kinsoku/>
        <w:wordWrap/>
        <w:overflowPunct/>
        <w:topLinePunct w:val="0"/>
        <w:autoSpaceDE/>
        <w:autoSpaceDN/>
        <w:bidi w:val="0"/>
        <w:adjustRightInd/>
        <w:snapToGrid/>
        <w:spacing w:line="360" w:lineRule="auto"/>
        <w:ind w:firstLine="420" w:firstLineChars="200"/>
        <w:textAlignment w:val="auto"/>
        <w:rPr>
          <w:rFonts w:hint="eastAsia" w:ascii="宋体" w:hAnsi="宋体"/>
          <w:color w:val="auto"/>
          <w:highlight w:val="none"/>
          <w:lang w:eastAsia="zh-CN"/>
        </w:rPr>
      </w:pPr>
      <w:r>
        <w:rPr>
          <w:rFonts w:hint="eastAsia" w:ascii="宋体" w:hAnsi="宋体"/>
          <w:color w:val="auto"/>
          <w:highlight w:val="none"/>
          <w:lang w:eastAsia="zh-CN"/>
        </w:rPr>
        <w:t>向</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w:t>
      </w:r>
      <w:r>
        <w:rPr>
          <w:rFonts w:ascii="宋体" w:hAnsi="宋体"/>
          <w:color w:val="auto"/>
          <w:highlight w:val="none"/>
          <w:u w:val="single"/>
          <w:lang w:eastAsia="zh-CN"/>
        </w:rPr>
        <w:t xml:space="preserve"> </w:t>
      </w:r>
      <w:r>
        <w:rPr>
          <w:rFonts w:ascii="宋体" w:hAnsi="宋体"/>
          <w:color w:val="auto"/>
          <w:highlight w:val="none"/>
          <w:lang w:eastAsia="zh-CN"/>
        </w:rPr>
        <w:t>仲裁委员会</w:t>
      </w:r>
      <w:r>
        <w:rPr>
          <w:rFonts w:hint="eastAsia" w:ascii="宋体" w:hAnsi="宋体"/>
          <w:color w:val="auto"/>
          <w:highlight w:val="none"/>
          <w:lang w:eastAsia="zh-CN"/>
        </w:rPr>
        <w:t>申请</w:t>
      </w:r>
      <w:r>
        <w:rPr>
          <w:rFonts w:ascii="宋体" w:hAnsi="宋体"/>
          <w:color w:val="auto"/>
          <w:highlight w:val="none"/>
          <w:lang w:eastAsia="zh-CN"/>
        </w:rPr>
        <w:t>仲裁</w:t>
      </w:r>
      <w:r>
        <w:rPr>
          <w:rFonts w:hint="eastAsia" w:ascii="宋体" w:hAnsi="宋体"/>
          <w:color w:val="auto"/>
          <w:highlight w:val="none"/>
          <w:lang w:eastAsia="zh-CN"/>
        </w:rPr>
        <w:t>；</w:t>
      </w:r>
    </w:p>
    <w:p w14:paraId="1A30D18F">
      <w:pPr>
        <w:pStyle w:val="13"/>
        <w:keepNext w:val="0"/>
        <w:keepLines w:val="0"/>
        <w:pageBreakBefore w:val="0"/>
        <w:widowControl w:val="0"/>
        <w:kinsoku/>
        <w:wordWrap/>
        <w:overflowPunct/>
        <w:topLinePunct w:val="0"/>
        <w:autoSpaceDE/>
        <w:autoSpaceDN/>
        <w:bidi w:val="0"/>
        <w:adjustRightInd/>
        <w:snapToGrid/>
        <w:spacing w:after="0" w:line="360" w:lineRule="auto"/>
        <w:ind w:left="6" w:firstLine="431"/>
        <w:jc w:val="left"/>
        <w:textAlignment w:val="auto"/>
        <w:rPr>
          <w:rFonts w:hint="eastAsia" w:ascii="新宋体" w:hAnsi="新宋体" w:eastAsia="新宋体" w:cs="新宋体"/>
          <w:color w:val="auto"/>
          <w:spacing w:val="6"/>
          <w:szCs w:val="21"/>
          <w:highlight w:val="none"/>
        </w:rPr>
      </w:pPr>
      <w:r>
        <w:rPr>
          <w:rFonts w:hint="eastAsia" w:ascii="宋体" w:hAnsi="宋体"/>
          <w:color w:val="auto"/>
          <w:highlight w:val="none"/>
          <w:lang w:eastAsia="zh-CN"/>
        </w:rPr>
        <w:t>（</w:t>
      </w:r>
      <w:r>
        <w:rPr>
          <w:rFonts w:hint="eastAsia" w:ascii="宋体" w:hAnsi="宋体"/>
          <w:color w:val="auto"/>
          <w:highlight w:val="none"/>
          <w:lang w:val="en-US" w:eastAsia="zh-CN"/>
        </w:rPr>
        <w:t>2</w:t>
      </w:r>
      <w:r>
        <w:rPr>
          <w:rFonts w:hint="eastAsia" w:ascii="宋体" w:hAnsi="宋体"/>
          <w:color w:val="auto"/>
          <w:highlight w:val="none"/>
          <w:lang w:eastAsia="zh-CN"/>
        </w:rPr>
        <w:t>）</w:t>
      </w:r>
      <w:r>
        <w:rPr>
          <w:rFonts w:ascii="宋体" w:hAnsi="宋体"/>
          <w:color w:val="auto"/>
          <w:highlight w:val="none"/>
          <w:lang w:eastAsia="zh-CN"/>
        </w:rPr>
        <w:t>向</w:t>
      </w:r>
      <w:r>
        <w:rPr>
          <w:rFonts w:hint="eastAsia" w:ascii="宋体" w:hAnsi="宋体"/>
          <w:color w:val="auto"/>
          <w:highlight w:val="none"/>
          <w:u w:val="single"/>
          <w:lang w:eastAsia="zh-CN"/>
        </w:rPr>
        <w:t>工程所在地</w:t>
      </w:r>
      <w:r>
        <w:rPr>
          <w:rFonts w:ascii="宋体" w:hAnsi="宋体"/>
          <w:color w:val="auto"/>
          <w:highlight w:val="none"/>
          <w:lang w:eastAsia="zh-CN"/>
        </w:rPr>
        <w:t>人民法院起诉。</w:t>
      </w:r>
      <w:bookmarkEnd w:id="740"/>
    </w:p>
    <w:p w14:paraId="72F6B86F">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pacing w:val="-3"/>
          <w:szCs w:val="21"/>
          <w:highlight w:val="none"/>
        </w:rPr>
      </w:pPr>
    </w:p>
    <w:p w14:paraId="513ABA82">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pacing w:val="-3"/>
          <w:szCs w:val="21"/>
          <w:highlight w:val="none"/>
        </w:rPr>
        <w:t>附件</w:t>
      </w:r>
    </w:p>
    <w:p w14:paraId="4F957C9A">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协议书附件：</w:t>
      </w:r>
    </w:p>
    <w:p w14:paraId="01BE55A3">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1：承包人承揽工程项目一览表</w:t>
      </w:r>
    </w:p>
    <w:p w14:paraId="6E636A51">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专用合同条款附件：</w:t>
      </w:r>
    </w:p>
    <w:p w14:paraId="1C0179A0">
      <w:pPr>
        <w:keepNext w:val="0"/>
        <w:keepLines w:val="0"/>
        <w:pageBreakBefore w:val="0"/>
        <w:widowControl w:val="0"/>
        <w:kinsoku/>
        <w:wordWrap/>
        <w:overflowPunct/>
        <w:topLinePunct w:val="0"/>
        <w:autoSpaceDE/>
        <w:autoSpaceDN/>
        <w:bidi w:val="0"/>
        <w:adjustRightInd/>
        <w:snapToGrid/>
        <w:spacing w:line="360" w:lineRule="auto"/>
        <w:jc w:val="left"/>
        <w:textAlignment w:val="auto"/>
        <w:rPr>
          <w:color w:val="auto"/>
        </w:rPr>
      </w:pPr>
      <w:r>
        <w:rPr>
          <w:rFonts w:hint="eastAsia" w:ascii="新宋体" w:hAnsi="新宋体" w:eastAsia="新宋体" w:cs="新宋体"/>
          <w:color w:val="auto"/>
          <w:szCs w:val="21"/>
          <w:highlight w:val="none"/>
        </w:rPr>
        <w:t>附件 2：发包人供应材料设备一览表</w:t>
      </w:r>
    </w:p>
    <w:p w14:paraId="12723B9B">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3：工程质量保修书</w:t>
      </w:r>
    </w:p>
    <w:p w14:paraId="75A14FFF">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4：主要建设工程文件目录</w:t>
      </w:r>
    </w:p>
    <w:p w14:paraId="0E79BBE3">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5：承包人用于本工程施工的机械设备表</w:t>
      </w:r>
    </w:p>
    <w:p w14:paraId="0881973E">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6：承包人主要施工管理人员表</w:t>
      </w:r>
    </w:p>
    <w:p w14:paraId="208C7C8E">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7：分包人主要施工管理人员表</w:t>
      </w:r>
    </w:p>
    <w:p w14:paraId="14DF50E5">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8：履约担保格式（独立履约保函/非独立履约保函）</w:t>
      </w:r>
    </w:p>
    <w:p w14:paraId="21FD46D8">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9：预付款担保格式（独立预付款保函/非独立预付款保函）</w:t>
      </w:r>
    </w:p>
    <w:p w14:paraId="1B796C50">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10：支付担保格式（独立支付保函/非独立支付保函）</w:t>
      </w:r>
    </w:p>
    <w:p w14:paraId="65EDF5E3">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r>
        <w:rPr>
          <w:rFonts w:hint="eastAsia" w:ascii="新宋体" w:hAnsi="新宋体" w:eastAsia="新宋体" w:cs="新宋体"/>
          <w:color w:val="auto"/>
          <w:szCs w:val="21"/>
          <w:highlight w:val="none"/>
        </w:rPr>
        <w:t>附件 11：暂估价一览表</w:t>
      </w:r>
    </w:p>
    <w:p w14:paraId="6006091B">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新宋体" w:hAnsi="新宋体" w:eastAsia="新宋体" w:cs="新宋体"/>
          <w:color w:val="auto"/>
          <w:szCs w:val="21"/>
          <w:highlight w:val="none"/>
        </w:rPr>
      </w:pPr>
    </w:p>
    <w:p w14:paraId="471C09D4">
      <w:pPr>
        <w:spacing w:before="41" w:line="228" w:lineRule="auto"/>
        <w:jc w:val="left"/>
        <w:rPr>
          <w:rFonts w:hint="eastAsia" w:ascii="新宋体" w:hAnsi="新宋体" w:eastAsia="新宋体" w:cs="新宋体"/>
          <w:color w:val="auto"/>
          <w:szCs w:val="21"/>
          <w:highlight w:val="none"/>
        </w:rPr>
      </w:pPr>
    </w:p>
    <w:p w14:paraId="0E835351">
      <w:pPr>
        <w:spacing w:before="41" w:line="228" w:lineRule="auto"/>
        <w:jc w:val="left"/>
        <w:rPr>
          <w:rFonts w:hint="eastAsia" w:ascii="新宋体" w:hAnsi="新宋体" w:eastAsia="新宋体" w:cs="新宋体"/>
          <w:color w:val="auto"/>
          <w:szCs w:val="21"/>
          <w:highlight w:val="none"/>
        </w:rPr>
      </w:pPr>
    </w:p>
    <w:p w14:paraId="3A6C9E56">
      <w:pPr>
        <w:spacing w:before="41" w:line="228" w:lineRule="auto"/>
        <w:jc w:val="left"/>
        <w:rPr>
          <w:rFonts w:hint="eastAsia" w:ascii="新宋体" w:hAnsi="新宋体" w:eastAsia="新宋体" w:cs="新宋体"/>
          <w:color w:val="auto"/>
          <w:szCs w:val="21"/>
          <w:highlight w:val="none"/>
        </w:rPr>
      </w:pPr>
    </w:p>
    <w:p w14:paraId="20077FB2">
      <w:pPr>
        <w:spacing w:line="227" w:lineRule="auto"/>
        <w:jc w:val="left"/>
        <w:rPr>
          <w:rFonts w:hint="eastAsia" w:ascii="新宋体" w:hAnsi="新宋体" w:eastAsia="新宋体" w:cs="新宋体"/>
          <w:color w:val="auto"/>
          <w:szCs w:val="21"/>
          <w:highlight w:val="none"/>
        </w:rPr>
        <w:sectPr>
          <w:footerReference r:id="rId15" w:type="default"/>
          <w:pgSz w:w="11906" w:h="16839"/>
          <w:pgMar w:top="1440" w:right="1080" w:bottom="1440" w:left="1080" w:header="1134" w:footer="1069" w:gutter="0"/>
          <w:cols w:space="720" w:num="1"/>
        </w:sectPr>
      </w:pPr>
    </w:p>
    <w:p w14:paraId="31A3BD07">
      <w:pPr>
        <w:pStyle w:val="13"/>
        <w:spacing w:before="226" w:line="231" w:lineRule="auto"/>
        <w:ind w:left="178"/>
        <w:outlineLvl w:val="3"/>
        <w:rPr>
          <w:rFonts w:hint="eastAsia" w:ascii="新宋体" w:hAnsi="新宋体" w:eastAsia="新宋体" w:cs="新宋体"/>
          <w:color w:val="auto"/>
          <w:sz w:val="20"/>
          <w:szCs w:val="20"/>
          <w:highlight w:val="none"/>
        </w:rPr>
      </w:pPr>
      <w:bookmarkStart w:id="1017" w:name="_Toc25099"/>
      <w:r>
        <w:rPr>
          <w:rFonts w:hint="eastAsia" w:ascii="新宋体" w:hAnsi="新宋体" w:eastAsia="新宋体" w:cs="新宋体"/>
          <w:color w:val="auto"/>
          <w:spacing w:val="-6"/>
          <w:sz w:val="20"/>
          <w:szCs w:val="20"/>
          <w:highlight w:val="none"/>
        </w:rPr>
        <w:t>附件1：</w:t>
      </w:r>
      <w:bookmarkEnd w:id="1017"/>
    </w:p>
    <w:p w14:paraId="02AD49C5">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18" w:name="_Toc29315"/>
      <w:r>
        <w:rPr>
          <w:rFonts w:hint="eastAsia" w:ascii="新宋体" w:hAnsi="新宋体" w:eastAsia="新宋体" w:cs="新宋体"/>
          <w:b/>
          <w:bCs/>
          <w:color w:val="auto"/>
          <w:spacing w:val="8"/>
          <w:sz w:val="28"/>
          <w:szCs w:val="28"/>
          <w:highlight w:val="none"/>
        </w:rPr>
        <w:t>承包人承揽工程项目一览表</w:t>
      </w:r>
      <w:bookmarkEnd w:id="1018"/>
    </w:p>
    <w:p w14:paraId="34E0617C">
      <w:pPr>
        <w:spacing w:line="139" w:lineRule="auto"/>
        <w:rPr>
          <w:rFonts w:hint="eastAsia" w:ascii="新宋体" w:hAnsi="新宋体" w:eastAsia="新宋体" w:cs="新宋体"/>
          <w:color w:val="auto"/>
          <w:sz w:val="2"/>
          <w:highlight w:val="none"/>
        </w:rPr>
      </w:pPr>
    </w:p>
    <w:tbl>
      <w:tblPr>
        <w:tblStyle w:val="28"/>
        <w:tblW w:w="9927" w:type="dxa"/>
        <w:jc w:val="right"/>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1"/>
        <w:gridCol w:w="1236"/>
        <w:gridCol w:w="950"/>
        <w:gridCol w:w="1200"/>
        <w:gridCol w:w="848"/>
        <w:gridCol w:w="849"/>
        <w:gridCol w:w="1413"/>
        <w:gridCol w:w="1131"/>
        <w:gridCol w:w="740"/>
        <w:gridCol w:w="689"/>
      </w:tblGrid>
      <w:tr w14:paraId="4ABF48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52" w:hRule="atLeast"/>
          <w:jc w:val="right"/>
        </w:trPr>
        <w:tc>
          <w:tcPr>
            <w:tcW w:w="871" w:type="dxa"/>
            <w:tcBorders>
              <w:top w:val="single" w:color="000000" w:sz="10" w:space="0"/>
              <w:left w:val="single" w:color="000000" w:sz="10" w:space="0"/>
            </w:tcBorders>
            <w:noWrap w:val="0"/>
            <w:vAlign w:val="center"/>
          </w:tcPr>
          <w:p w14:paraId="1D3BCB9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单位工程名称</w:t>
            </w:r>
          </w:p>
        </w:tc>
        <w:tc>
          <w:tcPr>
            <w:tcW w:w="1236" w:type="dxa"/>
            <w:tcBorders>
              <w:top w:val="single" w:color="000000" w:sz="10" w:space="0"/>
            </w:tcBorders>
            <w:noWrap w:val="0"/>
            <w:vAlign w:val="center"/>
          </w:tcPr>
          <w:p w14:paraId="194D5DF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建设规模</w:t>
            </w:r>
          </w:p>
        </w:tc>
        <w:tc>
          <w:tcPr>
            <w:tcW w:w="950" w:type="dxa"/>
            <w:tcBorders>
              <w:top w:val="single" w:color="000000" w:sz="10" w:space="0"/>
            </w:tcBorders>
            <w:noWrap w:val="0"/>
            <w:vAlign w:val="center"/>
          </w:tcPr>
          <w:p w14:paraId="13DC160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建筑面积(平方米)</w:t>
            </w:r>
          </w:p>
        </w:tc>
        <w:tc>
          <w:tcPr>
            <w:tcW w:w="1200" w:type="dxa"/>
            <w:tcBorders>
              <w:top w:val="single" w:color="000000" w:sz="10" w:space="0"/>
            </w:tcBorders>
            <w:noWrap w:val="0"/>
            <w:vAlign w:val="center"/>
          </w:tcPr>
          <w:p w14:paraId="18C3DEB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结构形式</w:t>
            </w:r>
          </w:p>
        </w:tc>
        <w:tc>
          <w:tcPr>
            <w:tcW w:w="848" w:type="dxa"/>
            <w:tcBorders>
              <w:top w:val="single" w:color="000000" w:sz="10" w:space="0"/>
            </w:tcBorders>
            <w:noWrap w:val="0"/>
            <w:vAlign w:val="center"/>
          </w:tcPr>
          <w:p w14:paraId="321B778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层数</w:t>
            </w:r>
          </w:p>
        </w:tc>
        <w:tc>
          <w:tcPr>
            <w:tcW w:w="849" w:type="dxa"/>
            <w:tcBorders>
              <w:top w:val="single" w:color="000000" w:sz="10" w:space="0"/>
            </w:tcBorders>
            <w:noWrap w:val="0"/>
            <w:vAlign w:val="center"/>
          </w:tcPr>
          <w:p w14:paraId="6492529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生产能力</w:t>
            </w:r>
          </w:p>
        </w:tc>
        <w:tc>
          <w:tcPr>
            <w:tcW w:w="1413" w:type="dxa"/>
            <w:tcBorders>
              <w:top w:val="single" w:color="000000" w:sz="10" w:space="0"/>
            </w:tcBorders>
            <w:noWrap w:val="0"/>
            <w:vAlign w:val="center"/>
          </w:tcPr>
          <w:p w14:paraId="53BEDA0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设备安装内容</w:t>
            </w:r>
          </w:p>
        </w:tc>
        <w:tc>
          <w:tcPr>
            <w:tcW w:w="1131" w:type="dxa"/>
            <w:tcBorders>
              <w:top w:val="single" w:color="000000" w:sz="10" w:space="0"/>
            </w:tcBorders>
            <w:noWrap w:val="0"/>
            <w:vAlign w:val="center"/>
          </w:tcPr>
          <w:p w14:paraId="01FE33E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合同价格（元）</w:t>
            </w:r>
          </w:p>
        </w:tc>
        <w:tc>
          <w:tcPr>
            <w:tcW w:w="740" w:type="dxa"/>
            <w:tcBorders>
              <w:top w:val="single" w:color="000000" w:sz="10" w:space="0"/>
            </w:tcBorders>
            <w:noWrap w:val="0"/>
            <w:vAlign w:val="center"/>
          </w:tcPr>
          <w:p w14:paraId="4B0D77F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开工日</w:t>
            </w:r>
          </w:p>
          <w:p w14:paraId="500D27A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期</w:t>
            </w:r>
          </w:p>
        </w:tc>
        <w:tc>
          <w:tcPr>
            <w:tcW w:w="689" w:type="dxa"/>
            <w:tcBorders>
              <w:top w:val="single" w:color="000000" w:sz="10" w:space="0"/>
              <w:right w:val="single" w:color="000000" w:sz="10" w:space="0"/>
            </w:tcBorders>
            <w:noWrap w:val="0"/>
            <w:vAlign w:val="center"/>
          </w:tcPr>
          <w:p w14:paraId="0B3673C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竣工</w:t>
            </w:r>
          </w:p>
          <w:p w14:paraId="6E2C4C0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日期</w:t>
            </w:r>
          </w:p>
        </w:tc>
      </w:tr>
      <w:tr w14:paraId="6E725C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6" w:hRule="atLeast"/>
          <w:jc w:val="right"/>
        </w:trPr>
        <w:tc>
          <w:tcPr>
            <w:tcW w:w="871" w:type="dxa"/>
            <w:tcBorders>
              <w:left w:val="single" w:color="000000" w:sz="10" w:space="0"/>
            </w:tcBorders>
            <w:noWrap w:val="0"/>
            <w:vAlign w:val="top"/>
          </w:tcPr>
          <w:p w14:paraId="16368A4B">
            <w:pPr>
              <w:rPr>
                <w:rFonts w:hint="eastAsia" w:ascii="新宋体" w:hAnsi="新宋体" w:eastAsia="新宋体" w:cs="新宋体"/>
                <w:color w:val="auto"/>
                <w:highlight w:val="none"/>
              </w:rPr>
            </w:pPr>
          </w:p>
        </w:tc>
        <w:tc>
          <w:tcPr>
            <w:tcW w:w="1236" w:type="dxa"/>
            <w:noWrap w:val="0"/>
            <w:vAlign w:val="top"/>
          </w:tcPr>
          <w:p w14:paraId="4EBB20F4">
            <w:pPr>
              <w:rPr>
                <w:rFonts w:hint="eastAsia" w:ascii="新宋体" w:hAnsi="新宋体" w:eastAsia="新宋体" w:cs="新宋体"/>
                <w:color w:val="auto"/>
                <w:highlight w:val="none"/>
              </w:rPr>
            </w:pPr>
          </w:p>
        </w:tc>
        <w:tc>
          <w:tcPr>
            <w:tcW w:w="950" w:type="dxa"/>
            <w:noWrap w:val="0"/>
            <w:vAlign w:val="top"/>
          </w:tcPr>
          <w:p w14:paraId="7A6EACA7">
            <w:pPr>
              <w:rPr>
                <w:rFonts w:hint="eastAsia" w:ascii="新宋体" w:hAnsi="新宋体" w:eastAsia="新宋体" w:cs="新宋体"/>
                <w:color w:val="auto"/>
                <w:highlight w:val="none"/>
              </w:rPr>
            </w:pPr>
          </w:p>
        </w:tc>
        <w:tc>
          <w:tcPr>
            <w:tcW w:w="1200" w:type="dxa"/>
            <w:noWrap w:val="0"/>
            <w:vAlign w:val="top"/>
          </w:tcPr>
          <w:p w14:paraId="1DDD5341">
            <w:pPr>
              <w:rPr>
                <w:rFonts w:hint="eastAsia" w:ascii="新宋体" w:hAnsi="新宋体" w:eastAsia="新宋体" w:cs="新宋体"/>
                <w:color w:val="auto"/>
                <w:highlight w:val="none"/>
              </w:rPr>
            </w:pPr>
          </w:p>
        </w:tc>
        <w:tc>
          <w:tcPr>
            <w:tcW w:w="848" w:type="dxa"/>
            <w:noWrap w:val="0"/>
            <w:vAlign w:val="top"/>
          </w:tcPr>
          <w:p w14:paraId="5F098EBD">
            <w:pPr>
              <w:rPr>
                <w:rFonts w:hint="eastAsia" w:ascii="新宋体" w:hAnsi="新宋体" w:eastAsia="新宋体" w:cs="新宋体"/>
                <w:color w:val="auto"/>
                <w:highlight w:val="none"/>
              </w:rPr>
            </w:pPr>
          </w:p>
        </w:tc>
        <w:tc>
          <w:tcPr>
            <w:tcW w:w="849" w:type="dxa"/>
            <w:noWrap w:val="0"/>
            <w:vAlign w:val="top"/>
          </w:tcPr>
          <w:p w14:paraId="166B35BD">
            <w:pPr>
              <w:rPr>
                <w:rFonts w:hint="eastAsia" w:ascii="新宋体" w:hAnsi="新宋体" w:eastAsia="新宋体" w:cs="新宋体"/>
                <w:color w:val="auto"/>
                <w:highlight w:val="none"/>
              </w:rPr>
            </w:pPr>
          </w:p>
        </w:tc>
        <w:tc>
          <w:tcPr>
            <w:tcW w:w="1413" w:type="dxa"/>
            <w:noWrap w:val="0"/>
            <w:vAlign w:val="top"/>
          </w:tcPr>
          <w:p w14:paraId="6444E0B7">
            <w:pPr>
              <w:rPr>
                <w:rFonts w:hint="eastAsia" w:ascii="新宋体" w:hAnsi="新宋体" w:eastAsia="新宋体" w:cs="新宋体"/>
                <w:color w:val="auto"/>
                <w:highlight w:val="none"/>
              </w:rPr>
            </w:pPr>
          </w:p>
        </w:tc>
        <w:tc>
          <w:tcPr>
            <w:tcW w:w="1131" w:type="dxa"/>
            <w:noWrap w:val="0"/>
            <w:vAlign w:val="top"/>
          </w:tcPr>
          <w:p w14:paraId="619B34B0">
            <w:pPr>
              <w:rPr>
                <w:rFonts w:hint="eastAsia" w:ascii="新宋体" w:hAnsi="新宋体" w:eastAsia="新宋体" w:cs="新宋体"/>
                <w:color w:val="auto"/>
                <w:highlight w:val="none"/>
              </w:rPr>
            </w:pPr>
          </w:p>
        </w:tc>
        <w:tc>
          <w:tcPr>
            <w:tcW w:w="740" w:type="dxa"/>
            <w:noWrap w:val="0"/>
            <w:vAlign w:val="top"/>
          </w:tcPr>
          <w:p w14:paraId="047886C0">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27ECCFB5">
            <w:pPr>
              <w:rPr>
                <w:rFonts w:hint="eastAsia" w:ascii="新宋体" w:hAnsi="新宋体" w:eastAsia="新宋体" w:cs="新宋体"/>
                <w:color w:val="auto"/>
                <w:highlight w:val="none"/>
              </w:rPr>
            </w:pPr>
          </w:p>
        </w:tc>
      </w:tr>
      <w:tr w14:paraId="30F03A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5" w:hRule="atLeast"/>
          <w:jc w:val="right"/>
        </w:trPr>
        <w:tc>
          <w:tcPr>
            <w:tcW w:w="871" w:type="dxa"/>
            <w:tcBorders>
              <w:left w:val="single" w:color="000000" w:sz="10" w:space="0"/>
            </w:tcBorders>
            <w:noWrap w:val="0"/>
            <w:vAlign w:val="top"/>
          </w:tcPr>
          <w:p w14:paraId="2C64C9D4">
            <w:pPr>
              <w:rPr>
                <w:rFonts w:hint="eastAsia" w:ascii="新宋体" w:hAnsi="新宋体" w:eastAsia="新宋体" w:cs="新宋体"/>
                <w:color w:val="auto"/>
                <w:highlight w:val="none"/>
              </w:rPr>
            </w:pPr>
          </w:p>
        </w:tc>
        <w:tc>
          <w:tcPr>
            <w:tcW w:w="1236" w:type="dxa"/>
            <w:noWrap w:val="0"/>
            <w:vAlign w:val="top"/>
          </w:tcPr>
          <w:p w14:paraId="0A2E0CFF">
            <w:pPr>
              <w:rPr>
                <w:rFonts w:hint="eastAsia" w:ascii="新宋体" w:hAnsi="新宋体" w:eastAsia="新宋体" w:cs="新宋体"/>
                <w:color w:val="auto"/>
                <w:highlight w:val="none"/>
              </w:rPr>
            </w:pPr>
          </w:p>
        </w:tc>
        <w:tc>
          <w:tcPr>
            <w:tcW w:w="950" w:type="dxa"/>
            <w:noWrap w:val="0"/>
            <w:vAlign w:val="top"/>
          </w:tcPr>
          <w:p w14:paraId="20BF5D35">
            <w:pPr>
              <w:rPr>
                <w:rFonts w:hint="eastAsia" w:ascii="新宋体" w:hAnsi="新宋体" w:eastAsia="新宋体" w:cs="新宋体"/>
                <w:color w:val="auto"/>
                <w:highlight w:val="none"/>
              </w:rPr>
            </w:pPr>
          </w:p>
        </w:tc>
        <w:tc>
          <w:tcPr>
            <w:tcW w:w="1200" w:type="dxa"/>
            <w:noWrap w:val="0"/>
            <w:vAlign w:val="top"/>
          </w:tcPr>
          <w:p w14:paraId="079BE781">
            <w:pPr>
              <w:rPr>
                <w:rFonts w:hint="eastAsia" w:ascii="新宋体" w:hAnsi="新宋体" w:eastAsia="新宋体" w:cs="新宋体"/>
                <w:color w:val="auto"/>
                <w:highlight w:val="none"/>
              </w:rPr>
            </w:pPr>
          </w:p>
        </w:tc>
        <w:tc>
          <w:tcPr>
            <w:tcW w:w="848" w:type="dxa"/>
            <w:noWrap w:val="0"/>
            <w:vAlign w:val="top"/>
          </w:tcPr>
          <w:p w14:paraId="1B868D86">
            <w:pPr>
              <w:rPr>
                <w:rFonts w:hint="eastAsia" w:ascii="新宋体" w:hAnsi="新宋体" w:eastAsia="新宋体" w:cs="新宋体"/>
                <w:color w:val="auto"/>
                <w:highlight w:val="none"/>
              </w:rPr>
            </w:pPr>
          </w:p>
        </w:tc>
        <w:tc>
          <w:tcPr>
            <w:tcW w:w="849" w:type="dxa"/>
            <w:noWrap w:val="0"/>
            <w:vAlign w:val="top"/>
          </w:tcPr>
          <w:p w14:paraId="46A4F825">
            <w:pPr>
              <w:rPr>
                <w:rFonts w:hint="eastAsia" w:ascii="新宋体" w:hAnsi="新宋体" w:eastAsia="新宋体" w:cs="新宋体"/>
                <w:color w:val="auto"/>
                <w:highlight w:val="none"/>
              </w:rPr>
            </w:pPr>
          </w:p>
        </w:tc>
        <w:tc>
          <w:tcPr>
            <w:tcW w:w="1413" w:type="dxa"/>
            <w:noWrap w:val="0"/>
            <w:vAlign w:val="top"/>
          </w:tcPr>
          <w:p w14:paraId="3F47BE2F">
            <w:pPr>
              <w:rPr>
                <w:rFonts w:hint="eastAsia" w:ascii="新宋体" w:hAnsi="新宋体" w:eastAsia="新宋体" w:cs="新宋体"/>
                <w:color w:val="auto"/>
                <w:highlight w:val="none"/>
              </w:rPr>
            </w:pPr>
          </w:p>
        </w:tc>
        <w:tc>
          <w:tcPr>
            <w:tcW w:w="1131" w:type="dxa"/>
            <w:noWrap w:val="0"/>
            <w:vAlign w:val="top"/>
          </w:tcPr>
          <w:p w14:paraId="4513346D">
            <w:pPr>
              <w:rPr>
                <w:rFonts w:hint="eastAsia" w:ascii="新宋体" w:hAnsi="新宋体" w:eastAsia="新宋体" w:cs="新宋体"/>
                <w:color w:val="auto"/>
                <w:highlight w:val="none"/>
              </w:rPr>
            </w:pPr>
          </w:p>
        </w:tc>
        <w:tc>
          <w:tcPr>
            <w:tcW w:w="740" w:type="dxa"/>
            <w:noWrap w:val="0"/>
            <w:vAlign w:val="top"/>
          </w:tcPr>
          <w:p w14:paraId="6B488538">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395A14C3">
            <w:pPr>
              <w:rPr>
                <w:rFonts w:hint="eastAsia" w:ascii="新宋体" w:hAnsi="新宋体" w:eastAsia="新宋体" w:cs="新宋体"/>
                <w:color w:val="auto"/>
                <w:highlight w:val="none"/>
              </w:rPr>
            </w:pPr>
          </w:p>
        </w:tc>
      </w:tr>
      <w:tr w14:paraId="7AFB71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5" w:hRule="atLeast"/>
          <w:jc w:val="right"/>
        </w:trPr>
        <w:tc>
          <w:tcPr>
            <w:tcW w:w="871" w:type="dxa"/>
            <w:tcBorders>
              <w:left w:val="single" w:color="000000" w:sz="10" w:space="0"/>
            </w:tcBorders>
            <w:noWrap w:val="0"/>
            <w:vAlign w:val="top"/>
          </w:tcPr>
          <w:p w14:paraId="602FD79A">
            <w:pPr>
              <w:rPr>
                <w:rFonts w:hint="eastAsia" w:ascii="新宋体" w:hAnsi="新宋体" w:eastAsia="新宋体" w:cs="新宋体"/>
                <w:color w:val="auto"/>
                <w:highlight w:val="none"/>
              </w:rPr>
            </w:pPr>
          </w:p>
        </w:tc>
        <w:tc>
          <w:tcPr>
            <w:tcW w:w="1236" w:type="dxa"/>
            <w:noWrap w:val="0"/>
            <w:vAlign w:val="top"/>
          </w:tcPr>
          <w:p w14:paraId="5FD0F559">
            <w:pPr>
              <w:rPr>
                <w:rFonts w:hint="eastAsia" w:ascii="新宋体" w:hAnsi="新宋体" w:eastAsia="新宋体" w:cs="新宋体"/>
                <w:color w:val="auto"/>
                <w:highlight w:val="none"/>
              </w:rPr>
            </w:pPr>
          </w:p>
        </w:tc>
        <w:tc>
          <w:tcPr>
            <w:tcW w:w="950" w:type="dxa"/>
            <w:noWrap w:val="0"/>
            <w:vAlign w:val="top"/>
          </w:tcPr>
          <w:p w14:paraId="50271877">
            <w:pPr>
              <w:rPr>
                <w:rFonts w:hint="eastAsia" w:ascii="新宋体" w:hAnsi="新宋体" w:eastAsia="新宋体" w:cs="新宋体"/>
                <w:color w:val="auto"/>
                <w:highlight w:val="none"/>
              </w:rPr>
            </w:pPr>
          </w:p>
        </w:tc>
        <w:tc>
          <w:tcPr>
            <w:tcW w:w="1200" w:type="dxa"/>
            <w:noWrap w:val="0"/>
            <w:vAlign w:val="top"/>
          </w:tcPr>
          <w:p w14:paraId="603CAD0F">
            <w:pPr>
              <w:rPr>
                <w:rFonts w:hint="eastAsia" w:ascii="新宋体" w:hAnsi="新宋体" w:eastAsia="新宋体" w:cs="新宋体"/>
                <w:color w:val="auto"/>
                <w:highlight w:val="none"/>
              </w:rPr>
            </w:pPr>
          </w:p>
        </w:tc>
        <w:tc>
          <w:tcPr>
            <w:tcW w:w="848" w:type="dxa"/>
            <w:noWrap w:val="0"/>
            <w:vAlign w:val="top"/>
          </w:tcPr>
          <w:p w14:paraId="7A41185B">
            <w:pPr>
              <w:rPr>
                <w:rFonts w:hint="eastAsia" w:ascii="新宋体" w:hAnsi="新宋体" w:eastAsia="新宋体" w:cs="新宋体"/>
                <w:color w:val="auto"/>
                <w:highlight w:val="none"/>
              </w:rPr>
            </w:pPr>
          </w:p>
        </w:tc>
        <w:tc>
          <w:tcPr>
            <w:tcW w:w="849" w:type="dxa"/>
            <w:noWrap w:val="0"/>
            <w:vAlign w:val="top"/>
          </w:tcPr>
          <w:p w14:paraId="27ECD584">
            <w:pPr>
              <w:rPr>
                <w:rFonts w:hint="eastAsia" w:ascii="新宋体" w:hAnsi="新宋体" w:eastAsia="新宋体" w:cs="新宋体"/>
                <w:color w:val="auto"/>
                <w:highlight w:val="none"/>
              </w:rPr>
            </w:pPr>
          </w:p>
        </w:tc>
        <w:tc>
          <w:tcPr>
            <w:tcW w:w="1413" w:type="dxa"/>
            <w:noWrap w:val="0"/>
            <w:vAlign w:val="top"/>
          </w:tcPr>
          <w:p w14:paraId="0940BD8F">
            <w:pPr>
              <w:rPr>
                <w:rFonts w:hint="eastAsia" w:ascii="新宋体" w:hAnsi="新宋体" w:eastAsia="新宋体" w:cs="新宋体"/>
                <w:color w:val="auto"/>
                <w:highlight w:val="none"/>
              </w:rPr>
            </w:pPr>
          </w:p>
        </w:tc>
        <w:tc>
          <w:tcPr>
            <w:tcW w:w="1131" w:type="dxa"/>
            <w:noWrap w:val="0"/>
            <w:vAlign w:val="top"/>
          </w:tcPr>
          <w:p w14:paraId="7725BDF6">
            <w:pPr>
              <w:rPr>
                <w:rFonts w:hint="eastAsia" w:ascii="新宋体" w:hAnsi="新宋体" w:eastAsia="新宋体" w:cs="新宋体"/>
                <w:color w:val="auto"/>
                <w:highlight w:val="none"/>
              </w:rPr>
            </w:pPr>
          </w:p>
        </w:tc>
        <w:tc>
          <w:tcPr>
            <w:tcW w:w="740" w:type="dxa"/>
            <w:noWrap w:val="0"/>
            <w:vAlign w:val="top"/>
          </w:tcPr>
          <w:p w14:paraId="44BEA557">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3F6B09EC">
            <w:pPr>
              <w:rPr>
                <w:rFonts w:hint="eastAsia" w:ascii="新宋体" w:hAnsi="新宋体" w:eastAsia="新宋体" w:cs="新宋体"/>
                <w:color w:val="auto"/>
                <w:highlight w:val="none"/>
              </w:rPr>
            </w:pPr>
          </w:p>
        </w:tc>
      </w:tr>
      <w:tr w14:paraId="39EC14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4" w:hRule="atLeast"/>
          <w:jc w:val="right"/>
        </w:trPr>
        <w:tc>
          <w:tcPr>
            <w:tcW w:w="871" w:type="dxa"/>
            <w:tcBorders>
              <w:left w:val="single" w:color="000000" w:sz="10" w:space="0"/>
            </w:tcBorders>
            <w:noWrap w:val="0"/>
            <w:vAlign w:val="top"/>
          </w:tcPr>
          <w:p w14:paraId="6563A584">
            <w:pPr>
              <w:rPr>
                <w:rFonts w:hint="eastAsia" w:ascii="新宋体" w:hAnsi="新宋体" w:eastAsia="新宋体" w:cs="新宋体"/>
                <w:color w:val="auto"/>
                <w:highlight w:val="none"/>
              </w:rPr>
            </w:pPr>
          </w:p>
        </w:tc>
        <w:tc>
          <w:tcPr>
            <w:tcW w:w="1236" w:type="dxa"/>
            <w:noWrap w:val="0"/>
            <w:vAlign w:val="top"/>
          </w:tcPr>
          <w:p w14:paraId="04232687">
            <w:pPr>
              <w:rPr>
                <w:rFonts w:hint="eastAsia" w:ascii="新宋体" w:hAnsi="新宋体" w:eastAsia="新宋体" w:cs="新宋体"/>
                <w:color w:val="auto"/>
                <w:highlight w:val="none"/>
              </w:rPr>
            </w:pPr>
          </w:p>
        </w:tc>
        <w:tc>
          <w:tcPr>
            <w:tcW w:w="950" w:type="dxa"/>
            <w:noWrap w:val="0"/>
            <w:vAlign w:val="top"/>
          </w:tcPr>
          <w:p w14:paraId="302480D2">
            <w:pPr>
              <w:rPr>
                <w:rFonts w:hint="eastAsia" w:ascii="新宋体" w:hAnsi="新宋体" w:eastAsia="新宋体" w:cs="新宋体"/>
                <w:color w:val="auto"/>
                <w:highlight w:val="none"/>
              </w:rPr>
            </w:pPr>
          </w:p>
        </w:tc>
        <w:tc>
          <w:tcPr>
            <w:tcW w:w="1200" w:type="dxa"/>
            <w:noWrap w:val="0"/>
            <w:vAlign w:val="top"/>
          </w:tcPr>
          <w:p w14:paraId="69F96E5A">
            <w:pPr>
              <w:rPr>
                <w:rFonts w:hint="eastAsia" w:ascii="新宋体" w:hAnsi="新宋体" w:eastAsia="新宋体" w:cs="新宋体"/>
                <w:color w:val="auto"/>
                <w:highlight w:val="none"/>
              </w:rPr>
            </w:pPr>
          </w:p>
        </w:tc>
        <w:tc>
          <w:tcPr>
            <w:tcW w:w="848" w:type="dxa"/>
            <w:noWrap w:val="0"/>
            <w:vAlign w:val="top"/>
          </w:tcPr>
          <w:p w14:paraId="42896308">
            <w:pPr>
              <w:rPr>
                <w:rFonts w:hint="eastAsia" w:ascii="新宋体" w:hAnsi="新宋体" w:eastAsia="新宋体" w:cs="新宋体"/>
                <w:color w:val="auto"/>
                <w:highlight w:val="none"/>
              </w:rPr>
            </w:pPr>
          </w:p>
        </w:tc>
        <w:tc>
          <w:tcPr>
            <w:tcW w:w="849" w:type="dxa"/>
            <w:noWrap w:val="0"/>
            <w:vAlign w:val="top"/>
          </w:tcPr>
          <w:p w14:paraId="0BDCFF90">
            <w:pPr>
              <w:rPr>
                <w:rFonts w:hint="eastAsia" w:ascii="新宋体" w:hAnsi="新宋体" w:eastAsia="新宋体" w:cs="新宋体"/>
                <w:color w:val="auto"/>
                <w:highlight w:val="none"/>
              </w:rPr>
            </w:pPr>
          </w:p>
        </w:tc>
        <w:tc>
          <w:tcPr>
            <w:tcW w:w="1413" w:type="dxa"/>
            <w:noWrap w:val="0"/>
            <w:vAlign w:val="top"/>
          </w:tcPr>
          <w:p w14:paraId="4A0EE866">
            <w:pPr>
              <w:rPr>
                <w:rFonts w:hint="eastAsia" w:ascii="新宋体" w:hAnsi="新宋体" w:eastAsia="新宋体" w:cs="新宋体"/>
                <w:color w:val="auto"/>
                <w:highlight w:val="none"/>
              </w:rPr>
            </w:pPr>
          </w:p>
        </w:tc>
        <w:tc>
          <w:tcPr>
            <w:tcW w:w="1131" w:type="dxa"/>
            <w:noWrap w:val="0"/>
            <w:vAlign w:val="top"/>
          </w:tcPr>
          <w:p w14:paraId="30673F6D">
            <w:pPr>
              <w:rPr>
                <w:rFonts w:hint="eastAsia" w:ascii="新宋体" w:hAnsi="新宋体" w:eastAsia="新宋体" w:cs="新宋体"/>
                <w:color w:val="auto"/>
                <w:highlight w:val="none"/>
              </w:rPr>
            </w:pPr>
          </w:p>
        </w:tc>
        <w:tc>
          <w:tcPr>
            <w:tcW w:w="740" w:type="dxa"/>
            <w:noWrap w:val="0"/>
            <w:vAlign w:val="top"/>
          </w:tcPr>
          <w:p w14:paraId="48E0EB89">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4D5A3990">
            <w:pPr>
              <w:rPr>
                <w:rFonts w:hint="eastAsia" w:ascii="新宋体" w:hAnsi="新宋体" w:eastAsia="新宋体" w:cs="新宋体"/>
                <w:color w:val="auto"/>
                <w:highlight w:val="none"/>
              </w:rPr>
            </w:pPr>
          </w:p>
        </w:tc>
      </w:tr>
      <w:tr w14:paraId="0968AF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5" w:hRule="atLeast"/>
          <w:jc w:val="right"/>
        </w:trPr>
        <w:tc>
          <w:tcPr>
            <w:tcW w:w="871" w:type="dxa"/>
            <w:tcBorders>
              <w:left w:val="single" w:color="000000" w:sz="10" w:space="0"/>
            </w:tcBorders>
            <w:noWrap w:val="0"/>
            <w:vAlign w:val="top"/>
          </w:tcPr>
          <w:p w14:paraId="46AC23AD">
            <w:pPr>
              <w:rPr>
                <w:rFonts w:hint="eastAsia" w:ascii="新宋体" w:hAnsi="新宋体" w:eastAsia="新宋体" w:cs="新宋体"/>
                <w:color w:val="auto"/>
                <w:highlight w:val="none"/>
              </w:rPr>
            </w:pPr>
          </w:p>
        </w:tc>
        <w:tc>
          <w:tcPr>
            <w:tcW w:w="1236" w:type="dxa"/>
            <w:noWrap w:val="0"/>
            <w:vAlign w:val="top"/>
          </w:tcPr>
          <w:p w14:paraId="366590C1">
            <w:pPr>
              <w:rPr>
                <w:rFonts w:hint="eastAsia" w:ascii="新宋体" w:hAnsi="新宋体" w:eastAsia="新宋体" w:cs="新宋体"/>
                <w:color w:val="auto"/>
                <w:highlight w:val="none"/>
              </w:rPr>
            </w:pPr>
          </w:p>
        </w:tc>
        <w:tc>
          <w:tcPr>
            <w:tcW w:w="950" w:type="dxa"/>
            <w:noWrap w:val="0"/>
            <w:vAlign w:val="top"/>
          </w:tcPr>
          <w:p w14:paraId="0541D83E">
            <w:pPr>
              <w:rPr>
                <w:rFonts w:hint="eastAsia" w:ascii="新宋体" w:hAnsi="新宋体" w:eastAsia="新宋体" w:cs="新宋体"/>
                <w:color w:val="auto"/>
                <w:highlight w:val="none"/>
              </w:rPr>
            </w:pPr>
          </w:p>
        </w:tc>
        <w:tc>
          <w:tcPr>
            <w:tcW w:w="1200" w:type="dxa"/>
            <w:noWrap w:val="0"/>
            <w:vAlign w:val="top"/>
          </w:tcPr>
          <w:p w14:paraId="4C220585">
            <w:pPr>
              <w:rPr>
                <w:rFonts w:hint="eastAsia" w:ascii="新宋体" w:hAnsi="新宋体" w:eastAsia="新宋体" w:cs="新宋体"/>
                <w:color w:val="auto"/>
                <w:highlight w:val="none"/>
              </w:rPr>
            </w:pPr>
          </w:p>
        </w:tc>
        <w:tc>
          <w:tcPr>
            <w:tcW w:w="848" w:type="dxa"/>
            <w:noWrap w:val="0"/>
            <w:vAlign w:val="top"/>
          </w:tcPr>
          <w:p w14:paraId="67986C51">
            <w:pPr>
              <w:rPr>
                <w:rFonts w:hint="eastAsia" w:ascii="新宋体" w:hAnsi="新宋体" w:eastAsia="新宋体" w:cs="新宋体"/>
                <w:color w:val="auto"/>
                <w:highlight w:val="none"/>
              </w:rPr>
            </w:pPr>
          </w:p>
        </w:tc>
        <w:tc>
          <w:tcPr>
            <w:tcW w:w="849" w:type="dxa"/>
            <w:noWrap w:val="0"/>
            <w:vAlign w:val="top"/>
          </w:tcPr>
          <w:p w14:paraId="22D6909F">
            <w:pPr>
              <w:rPr>
                <w:rFonts w:hint="eastAsia" w:ascii="新宋体" w:hAnsi="新宋体" w:eastAsia="新宋体" w:cs="新宋体"/>
                <w:color w:val="auto"/>
                <w:highlight w:val="none"/>
              </w:rPr>
            </w:pPr>
          </w:p>
        </w:tc>
        <w:tc>
          <w:tcPr>
            <w:tcW w:w="1413" w:type="dxa"/>
            <w:noWrap w:val="0"/>
            <w:vAlign w:val="top"/>
          </w:tcPr>
          <w:p w14:paraId="51126771">
            <w:pPr>
              <w:rPr>
                <w:rFonts w:hint="eastAsia" w:ascii="新宋体" w:hAnsi="新宋体" w:eastAsia="新宋体" w:cs="新宋体"/>
                <w:color w:val="auto"/>
                <w:highlight w:val="none"/>
              </w:rPr>
            </w:pPr>
          </w:p>
        </w:tc>
        <w:tc>
          <w:tcPr>
            <w:tcW w:w="1131" w:type="dxa"/>
            <w:noWrap w:val="0"/>
            <w:vAlign w:val="top"/>
          </w:tcPr>
          <w:p w14:paraId="75DF4BE5">
            <w:pPr>
              <w:rPr>
                <w:rFonts w:hint="eastAsia" w:ascii="新宋体" w:hAnsi="新宋体" w:eastAsia="新宋体" w:cs="新宋体"/>
                <w:color w:val="auto"/>
                <w:highlight w:val="none"/>
              </w:rPr>
            </w:pPr>
          </w:p>
        </w:tc>
        <w:tc>
          <w:tcPr>
            <w:tcW w:w="740" w:type="dxa"/>
            <w:noWrap w:val="0"/>
            <w:vAlign w:val="top"/>
          </w:tcPr>
          <w:p w14:paraId="2C32558C">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728D0E45">
            <w:pPr>
              <w:rPr>
                <w:rFonts w:hint="eastAsia" w:ascii="新宋体" w:hAnsi="新宋体" w:eastAsia="新宋体" w:cs="新宋体"/>
                <w:color w:val="auto"/>
                <w:highlight w:val="none"/>
              </w:rPr>
            </w:pPr>
          </w:p>
        </w:tc>
      </w:tr>
      <w:tr w14:paraId="45A91C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5" w:hRule="atLeast"/>
          <w:jc w:val="right"/>
        </w:trPr>
        <w:tc>
          <w:tcPr>
            <w:tcW w:w="871" w:type="dxa"/>
            <w:tcBorders>
              <w:left w:val="single" w:color="000000" w:sz="10" w:space="0"/>
            </w:tcBorders>
            <w:noWrap w:val="0"/>
            <w:vAlign w:val="top"/>
          </w:tcPr>
          <w:p w14:paraId="721F4095">
            <w:pPr>
              <w:rPr>
                <w:rFonts w:hint="eastAsia" w:ascii="新宋体" w:hAnsi="新宋体" w:eastAsia="新宋体" w:cs="新宋体"/>
                <w:color w:val="auto"/>
                <w:highlight w:val="none"/>
              </w:rPr>
            </w:pPr>
          </w:p>
        </w:tc>
        <w:tc>
          <w:tcPr>
            <w:tcW w:w="1236" w:type="dxa"/>
            <w:noWrap w:val="0"/>
            <w:vAlign w:val="top"/>
          </w:tcPr>
          <w:p w14:paraId="3C835D4F">
            <w:pPr>
              <w:rPr>
                <w:rFonts w:hint="eastAsia" w:ascii="新宋体" w:hAnsi="新宋体" w:eastAsia="新宋体" w:cs="新宋体"/>
                <w:color w:val="auto"/>
                <w:highlight w:val="none"/>
              </w:rPr>
            </w:pPr>
          </w:p>
        </w:tc>
        <w:tc>
          <w:tcPr>
            <w:tcW w:w="950" w:type="dxa"/>
            <w:noWrap w:val="0"/>
            <w:vAlign w:val="top"/>
          </w:tcPr>
          <w:p w14:paraId="0B6A1D55">
            <w:pPr>
              <w:rPr>
                <w:rFonts w:hint="eastAsia" w:ascii="新宋体" w:hAnsi="新宋体" w:eastAsia="新宋体" w:cs="新宋体"/>
                <w:color w:val="auto"/>
                <w:highlight w:val="none"/>
              </w:rPr>
            </w:pPr>
          </w:p>
        </w:tc>
        <w:tc>
          <w:tcPr>
            <w:tcW w:w="1200" w:type="dxa"/>
            <w:noWrap w:val="0"/>
            <w:vAlign w:val="top"/>
          </w:tcPr>
          <w:p w14:paraId="6075DB66">
            <w:pPr>
              <w:rPr>
                <w:rFonts w:hint="eastAsia" w:ascii="新宋体" w:hAnsi="新宋体" w:eastAsia="新宋体" w:cs="新宋体"/>
                <w:color w:val="auto"/>
                <w:highlight w:val="none"/>
              </w:rPr>
            </w:pPr>
          </w:p>
        </w:tc>
        <w:tc>
          <w:tcPr>
            <w:tcW w:w="848" w:type="dxa"/>
            <w:noWrap w:val="0"/>
            <w:vAlign w:val="top"/>
          </w:tcPr>
          <w:p w14:paraId="6341F4E5">
            <w:pPr>
              <w:rPr>
                <w:rFonts w:hint="eastAsia" w:ascii="新宋体" w:hAnsi="新宋体" w:eastAsia="新宋体" w:cs="新宋体"/>
                <w:color w:val="auto"/>
                <w:highlight w:val="none"/>
              </w:rPr>
            </w:pPr>
          </w:p>
        </w:tc>
        <w:tc>
          <w:tcPr>
            <w:tcW w:w="849" w:type="dxa"/>
            <w:noWrap w:val="0"/>
            <w:vAlign w:val="top"/>
          </w:tcPr>
          <w:p w14:paraId="38304B51">
            <w:pPr>
              <w:rPr>
                <w:rFonts w:hint="eastAsia" w:ascii="新宋体" w:hAnsi="新宋体" w:eastAsia="新宋体" w:cs="新宋体"/>
                <w:color w:val="auto"/>
                <w:highlight w:val="none"/>
              </w:rPr>
            </w:pPr>
          </w:p>
        </w:tc>
        <w:tc>
          <w:tcPr>
            <w:tcW w:w="1413" w:type="dxa"/>
            <w:noWrap w:val="0"/>
            <w:vAlign w:val="top"/>
          </w:tcPr>
          <w:p w14:paraId="220F84A2">
            <w:pPr>
              <w:rPr>
                <w:rFonts w:hint="eastAsia" w:ascii="新宋体" w:hAnsi="新宋体" w:eastAsia="新宋体" w:cs="新宋体"/>
                <w:color w:val="auto"/>
                <w:highlight w:val="none"/>
              </w:rPr>
            </w:pPr>
          </w:p>
        </w:tc>
        <w:tc>
          <w:tcPr>
            <w:tcW w:w="1131" w:type="dxa"/>
            <w:noWrap w:val="0"/>
            <w:vAlign w:val="top"/>
          </w:tcPr>
          <w:p w14:paraId="194B579F">
            <w:pPr>
              <w:rPr>
                <w:rFonts w:hint="eastAsia" w:ascii="新宋体" w:hAnsi="新宋体" w:eastAsia="新宋体" w:cs="新宋体"/>
                <w:color w:val="auto"/>
                <w:highlight w:val="none"/>
              </w:rPr>
            </w:pPr>
          </w:p>
        </w:tc>
        <w:tc>
          <w:tcPr>
            <w:tcW w:w="740" w:type="dxa"/>
            <w:noWrap w:val="0"/>
            <w:vAlign w:val="top"/>
          </w:tcPr>
          <w:p w14:paraId="2B865CDE">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39873E6E">
            <w:pPr>
              <w:rPr>
                <w:rFonts w:hint="eastAsia" w:ascii="新宋体" w:hAnsi="新宋体" w:eastAsia="新宋体" w:cs="新宋体"/>
                <w:color w:val="auto"/>
                <w:highlight w:val="none"/>
              </w:rPr>
            </w:pPr>
          </w:p>
        </w:tc>
      </w:tr>
      <w:tr w14:paraId="3ADE19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5" w:hRule="atLeast"/>
          <w:jc w:val="right"/>
        </w:trPr>
        <w:tc>
          <w:tcPr>
            <w:tcW w:w="871" w:type="dxa"/>
            <w:tcBorders>
              <w:left w:val="single" w:color="000000" w:sz="10" w:space="0"/>
            </w:tcBorders>
            <w:noWrap w:val="0"/>
            <w:vAlign w:val="top"/>
          </w:tcPr>
          <w:p w14:paraId="1399E63D">
            <w:pPr>
              <w:rPr>
                <w:rFonts w:hint="eastAsia" w:ascii="新宋体" w:hAnsi="新宋体" w:eastAsia="新宋体" w:cs="新宋体"/>
                <w:color w:val="auto"/>
                <w:highlight w:val="none"/>
              </w:rPr>
            </w:pPr>
          </w:p>
        </w:tc>
        <w:tc>
          <w:tcPr>
            <w:tcW w:w="1236" w:type="dxa"/>
            <w:noWrap w:val="0"/>
            <w:vAlign w:val="top"/>
          </w:tcPr>
          <w:p w14:paraId="16A2755E">
            <w:pPr>
              <w:rPr>
                <w:rFonts w:hint="eastAsia" w:ascii="新宋体" w:hAnsi="新宋体" w:eastAsia="新宋体" w:cs="新宋体"/>
                <w:color w:val="auto"/>
                <w:highlight w:val="none"/>
              </w:rPr>
            </w:pPr>
          </w:p>
        </w:tc>
        <w:tc>
          <w:tcPr>
            <w:tcW w:w="950" w:type="dxa"/>
            <w:noWrap w:val="0"/>
            <w:vAlign w:val="top"/>
          </w:tcPr>
          <w:p w14:paraId="155D13F3">
            <w:pPr>
              <w:rPr>
                <w:rFonts w:hint="eastAsia" w:ascii="新宋体" w:hAnsi="新宋体" w:eastAsia="新宋体" w:cs="新宋体"/>
                <w:color w:val="auto"/>
                <w:highlight w:val="none"/>
              </w:rPr>
            </w:pPr>
          </w:p>
        </w:tc>
        <w:tc>
          <w:tcPr>
            <w:tcW w:w="1200" w:type="dxa"/>
            <w:noWrap w:val="0"/>
            <w:vAlign w:val="top"/>
          </w:tcPr>
          <w:p w14:paraId="442F427C">
            <w:pPr>
              <w:rPr>
                <w:rFonts w:hint="eastAsia" w:ascii="新宋体" w:hAnsi="新宋体" w:eastAsia="新宋体" w:cs="新宋体"/>
                <w:color w:val="auto"/>
                <w:highlight w:val="none"/>
              </w:rPr>
            </w:pPr>
          </w:p>
        </w:tc>
        <w:tc>
          <w:tcPr>
            <w:tcW w:w="848" w:type="dxa"/>
            <w:noWrap w:val="0"/>
            <w:vAlign w:val="top"/>
          </w:tcPr>
          <w:p w14:paraId="2C7D06D0">
            <w:pPr>
              <w:rPr>
                <w:rFonts w:hint="eastAsia" w:ascii="新宋体" w:hAnsi="新宋体" w:eastAsia="新宋体" w:cs="新宋体"/>
                <w:color w:val="auto"/>
                <w:highlight w:val="none"/>
              </w:rPr>
            </w:pPr>
          </w:p>
        </w:tc>
        <w:tc>
          <w:tcPr>
            <w:tcW w:w="849" w:type="dxa"/>
            <w:noWrap w:val="0"/>
            <w:vAlign w:val="top"/>
          </w:tcPr>
          <w:p w14:paraId="566D5B90">
            <w:pPr>
              <w:rPr>
                <w:rFonts w:hint="eastAsia" w:ascii="新宋体" w:hAnsi="新宋体" w:eastAsia="新宋体" w:cs="新宋体"/>
                <w:color w:val="auto"/>
                <w:highlight w:val="none"/>
              </w:rPr>
            </w:pPr>
          </w:p>
        </w:tc>
        <w:tc>
          <w:tcPr>
            <w:tcW w:w="1413" w:type="dxa"/>
            <w:noWrap w:val="0"/>
            <w:vAlign w:val="top"/>
          </w:tcPr>
          <w:p w14:paraId="6D58F0D8">
            <w:pPr>
              <w:rPr>
                <w:rFonts w:hint="eastAsia" w:ascii="新宋体" w:hAnsi="新宋体" w:eastAsia="新宋体" w:cs="新宋体"/>
                <w:color w:val="auto"/>
                <w:highlight w:val="none"/>
              </w:rPr>
            </w:pPr>
          </w:p>
        </w:tc>
        <w:tc>
          <w:tcPr>
            <w:tcW w:w="1131" w:type="dxa"/>
            <w:noWrap w:val="0"/>
            <w:vAlign w:val="top"/>
          </w:tcPr>
          <w:p w14:paraId="31ACE505">
            <w:pPr>
              <w:rPr>
                <w:rFonts w:hint="eastAsia" w:ascii="新宋体" w:hAnsi="新宋体" w:eastAsia="新宋体" w:cs="新宋体"/>
                <w:color w:val="auto"/>
                <w:highlight w:val="none"/>
              </w:rPr>
            </w:pPr>
          </w:p>
        </w:tc>
        <w:tc>
          <w:tcPr>
            <w:tcW w:w="740" w:type="dxa"/>
            <w:noWrap w:val="0"/>
            <w:vAlign w:val="top"/>
          </w:tcPr>
          <w:p w14:paraId="3A48DCC4">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0EA0242A">
            <w:pPr>
              <w:rPr>
                <w:rFonts w:hint="eastAsia" w:ascii="新宋体" w:hAnsi="新宋体" w:eastAsia="新宋体" w:cs="新宋体"/>
                <w:color w:val="auto"/>
                <w:highlight w:val="none"/>
              </w:rPr>
            </w:pPr>
          </w:p>
        </w:tc>
      </w:tr>
      <w:tr w14:paraId="01768C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5" w:hRule="atLeast"/>
          <w:jc w:val="right"/>
        </w:trPr>
        <w:tc>
          <w:tcPr>
            <w:tcW w:w="871" w:type="dxa"/>
            <w:tcBorders>
              <w:left w:val="single" w:color="000000" w:sz="10" w:space="0"/>
            </w:tcBorders>
            <w:noWrap w:val="0"/>
            <w:vAlign w:val="top"/>
          </w:tcPr>
          <w:p w14:paraId="14A8AC78">
            <w:pPr>
              <w:rPr>
                <w:rFonts w:hint="eastAsia" w:ascii="新宋体" w:hAnsi="新宋体" w:eastAsia="新宋体" w:cs="新宋体"/>
                <w:color w:val="auto"/>
                <w:highlight w:val="none"/>
              </w:rPr>
            </w:pPr>
          </w:p>
        </w:tc>
        <w:tc>
          <w:tcPr>
            <w:tcW w:w="1236" w:type="dxa"/>
            <w:noWrap w:val="0"/>
            <w:vAlign w:val="top"/>
          </w:tcPr>
          <w:p w14:paraId="1BB64CC8">
            <w:pPr>
              <w:rPr>
                <w:rFonts w:hint="eastAsia" w:ascii="新宋体" w:hAnsi="新宋体" w:eastAsia="新宋体" w:cs="新宋体"/>
                <w:color w:val="auto"/>
                <w:highlight w:val="none"/>
              </w:rPr>
            </w:pPr>
          </w:p>
        </w:tc>
        <w:tc>
          <w:tcPr>
            <w:tcW w:w="950" w:type="dxa"/>
            <w:noWrap w:val="0"/>
            <w:vAlign w:val="top"/>
          </w:tcPr>
          <w:p w14:paraId="5DAFEEB4">
            <w:pPr>
              <w:rPr>
                <w:rFonts w:hint="eastAsia" w:ascii="新宋体" w:hAnsi="新宋体" w:eastAsia="新宋体" w:cs="新宋体"/>
                <w:color w:val="auto"/>
                <w:highlight w:val="none"/>
              </w:rPr>
            </w:pPr>
          </w:p>
        </w:tc>
        <w:tc>
          <w:tcPr>
            <w:tcW w:w="1200" w:type="dxa"/>
            <w:noWrap w:val="0"/>
            <w:vAlign w:val="top"/>
          </w:tcPr>
          <w:p w14:paraId="6E412DC4">
            <w:pPr>
              <w:rPr>
                <w:rFonts w:hint="eastAsia" w:ascii="新宋体" w:hAnsi="新宋体" w:eastAsia="新宋体" w:cs="新宋体"/>
                <w:color w:val="auto"/>
                <w:highlight w:val="none"/>
              </w:rPr>
            </w:pPr>
          </w:p>
        </w:tc>
        <w:tc>
          <w:tcPr>
            <w:tcW w:w="848" w:type="dxa"/>
            <w:noWrap w:val="0"/>
            <w:vAlign w:val="top"/>
          </w:tcPr>
          <w:p w14:paraId="68B9B1F9">
            <w:pPr>
              <w:rPr>
                <w:rFonts w:hint="eastAsia" w:ascii="新宋体" w:hAnsi="新宋体" w:eastAsia="新宋体" w:cs="新宋体"/>
                <w:color w:val="auto"/>
                <w:highlight w:val="none"/>
              </w:rPr>
            </w:pPr>
          </w:p>
        </w:tc>
        <w:tc>
          <w:tcPr>
            <w:tcW w:w="849" w:type="dxa"/>
            <w:noWrap w:val="0"/>
            <w:vAlign w:val="top"/>
          </w:tcPr>
          <w:p w14:paraId="01EB06E3">
            <w:pPr>
              <w:rPr>
                <w:rFonts w:hint="eastAsia" w:ascii="新宋体" w:hAnsi="新宋体" w:eastAsia="新宋体" w:cs="新宋体"/>
                <w:color w:val="auto"/>
                <w:highlight w:val="none"/>
              </w:rPr>
            </w:pPr>
          </w:p>
        </w:tc>
        <w:tc>
          <w:tcPr>
            <w:tcW w:w="1413" w:type="dxa"/>
            <w:noWrap w:val="0"/>
            <w:vAlign w:val="top"/>
          </w:tcPr>
          <w:p w14:paraId="0BEE3F75">
            <w:pPr>
              <w:rPr>
                <w:rFonts w:hint="eastAsia" w:ascii="新宋体" w:hAnsi="新宋体" w:eastAsia="新宋体" w:cs="新宋体"/>
                <w:color w:val="auto"/>
                <w:highlight w:val="none"/>
              </w:rPr>
            </w:pPr>
          </w:p>
        </w:tc>
        <w:tc>
          <w:tcPr>
            <w:tcW w:w="1131" w:type="dxa"/>
            <w:noWrap w:val="0"/>
            <w:vAlign w:val="top"/>
          </w:tcPr>
          <w:p w14:paraId="3AD87CEA">
            <w:pPr>
              <w:rPr>
                <w:rFonts w:hint="eastAsia" w:ascii="新宋体" w:hAnsi="新宋体" w:eastAsia="新宋体" w:cs="新宋体"/>
                <w:color w:val="auto"/>
                <w:highlight w:val="none"/>
              </w:rPr>
            </w:pPr>
          </w:p>
        </w:tc>
        <w:tc>
          <w:tcPr>
            <w:tcW w:w="740" w:type="dxa"/>
            <w:noWrap w:val="0"/>
            <w:vAlign w:val="top"/>
          </w:tcPr>
          <w:p w14:paraId="5BA8D973">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3FF964BC">
            <w:pPr>
              <w:rPr>
                <w:rFonts w:hint="eastAsia" w:ascii="新宋体" w:hAnsi="新宋体" w:eastAsia="新宋体" w:cs="新宋体"/>
                <w:color w:val="auto"/>
                <w:highlight w:val="none"/>
              </w:rPr>
            </w:pPr>
          </w:p>
        </w:tc>
      </w:tr>
      <w:tr w14:paraId="438F0C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5" w:hRule="atLeast"/>
          <w:jc w:val="right"/>
        </w:trPr>
        <w:tc>
          <w:tcPr>
            <w:tcW w:w="871" w:type="dxa"/>
            <w:tcBorders>
              <w:left w:val="single" w:color="000000" w:sz="10" w:space="0"/>
            </w:tcBorders>
            <w:noWrap w:val="0"/>
            <w:vAlign w:val="top"/>
          </w:tcPr>
          <w:p w14:paraId="22A81E59">
            <w:pPr>
              <w:rPr>
                <w:rFonts w:hint="eastAsia" w:ascii="新宋体" w:hAnsi="新宋体" w:eastAsia="新宋体" w:cs="新宋体"/>
                <w:color w:val="auto"/>
                <w:highlight w:val="none"/>
              </w:rPr>
            </w:pPr>
          </w:p>
        </w:tc>
        <w:tc>
          <w:tcPr>
            <w:tcW w:w="1236" w:type="dxa"/>
            <w:noWrap w:val="0"/>
            <w:vAlign w:val="top"/>
          </w:tcPr>
          <w:p w14:paraId="4571315D">
            <w:pPr>
              <w:rPr>
                <w:rFonts w:hint="eastAsia" w:ascii="新宋体" w:hAnsi="新宋体" w:eastAsia="新宋体" w:cs="新宋体"/>
                <w:color w:val="auto"/>
                <w:highlight w:val="none"/>
              </w:rPr>
            </w:pPr>
          </w:p>
        </w:tc>
        <w:tc>
          <w:tcPr>
            <w:tcW w:w="950" w:type="dxa"/>
            <w:noWrap w:val="0"/>
            <w:vAlign w:val="top"/>
          </w:tcPr>
          <w:p w14:paraId="27F12422">
            <w:pPr>
              <w:rPr>
                <w:rFonts w:hint="eastAsia" w:ascii="新宋体" w:hAnsi="新宋体" w:eastAsia="新宋体" w:cs="新宋体"/>
                <w:color w:val="auto"/>
                <w:highlight w:val="none"/>
              </w:rPr>
            </w:pPr>
          </w:p>
        </w:tc>
        <w:tc>
          <w:tcPr>
            <w:tcW w:w="1200" w:type="dxa"/>
            <w:noWrap w:val="0"/>
            <w:vAlign w:val="top"/>
          </w:tcPr>
          <w:p w14:paraId="2C9D20F5">
            <w:pPr>
              <w:rPr>
                <w:rFonts w:hint="eastAsia" w:ascii="新宋体" w:hAnsi="新宋体" w:eastAsia="新宋体" w:cs="新宋体"/>
                <w:color w:val="auto"/>
                <w:highlight w:val="none"/>
              </w:rPr>
            </w:pPr>
          </w:p>
        </w:tc>
        <w:tc>
          <w:tcPr>
            <w:tcW w:w="848" w:type="dxa"/>
            <w:noWrap w:val="0"/>
            <w:vAlign w:val="top"/>
          </w:tcPr>
          <w:p w14:paraId="73950A72">
            <w:pPr>
              <w:rPr>
                <w:rFonts w:hint="eastAsia" w:ascii="新宋体" w:hAnsi="新宋体" w:eastAsia="新宋体" w:cs="新宋体"/>
                <w:color w:val="auto"/>
                <w:highlight w:val="none"/>
              </w:rPr>
            </w:pPr>
          </w:p>
        </w:tc>
        <w:tc>
          <w:tcPr>
            <w:tcW w:w="849" w:type="dxa"/>
            <w:noWrap w:val="0"/>
            <w:vAlign w:val="top"/>
          </w:tcPr>
          <w:p w14:paraId="42C37F4C">
            <w:pPr>
              <w:rPr>
                <w:rFonts w:hint="eastAsia" w:ascii="新宋体" w:hAnsi="新宋体" w:eastAsia="新宋体" w:cs="新宋体"/>
                <w:color w:val="auto"/>
                <w:highlight w:val="none"/>
              </w:rPr>
            </w:pPr>
          </w:p>
        </w:tc>
        <w:tc>
          <w:tcPr>
            <w:tcW w:w="1413" w:type="dxa"/>
            <w:noWrap w:val="0"/>
            <w:vAlign w:val="top"/>
          </w:tcPr>
          <w:p w14:paraId="0692B2A0">
            <w:pPr>
              <w:rPr>
                <w:rFonts w:hint="eastAsia" w:ascii="新宋体" w:hAnsi="新宋体" w:eastAsia="新宋体" w:cs="新宋体"/>
                <w:color w:val="auto"/>
                <w:highlight w:val="none"/>
              </w:rPr>
            </w:pPr>
          </w:p>
        </w:tc>
        <w:tc>
          <w:tcPr>
            <w:tcW w:w="1131" w:type="dxa"/>
            <w:noWrap w:val="0"/>
            <w:vAlign w:val="top"/>
          </w:tcPr>
          <w:p w14:paraId="53D55116">
            <w:pPr>
              <w:rPr>
                <w:rFonts w:hint="eastAsia" w:ascii="新宋体" w:hAnsi="新宋体" w:eastAsia="新宋体" w:cs="新宋体"/>
                <w:color w:val="auto"/>
                <w:highlight w:val="none"/>
              </w:rPr>
            </w:pPr>
          </w:p>
        </w:tc>
        <w:tc>
          <w:tcPr>
            <w:tcW w:w="740" w:type="dxa"/>
            <w:noWrap w:val="0"/>
            <w:vAlign w:val="top"/>
          </w:tcPr>
          <w:p w14:paraId="00E10853">
            <w:pPr>
              <w:rPr>
                <w:rFonts w:hint="eastAsia" w:ascii="新宋体" w:hAnsi="新宋体" w:eastAsia="新宋体" w:cs="新宋体"/>
                <w:color w:val="auto"/>
                <w:highlight w:val="none"/>
              </w:rPr>
            </w:pPr>
          </w:p>
        </w:tc>
        <w:tc>
          <w:tcPr>
            <w:tcW w:w="689" w:type="dxa"/>
            <w:tcBorders>
              <w:right w:val="single" w:color="000000" w:sz="10" w:space="0"/>
            </w:tcBorders>
            <w:noWrap w:val="0"/>
            <w:vAlign w:val="top"/>
          </w:tcPr>
          <w:p w14:paraId="68021071">
            <w:pPr>
              <w:rPr>
                <w:rFonts w:hint="eastAsia" w:ascii="新宋体" w:hAnsi="新宋体" w:eastAsia="新宋体" w:cs="新宋体"/>
                <w:color w:val="auto"/>
                <w:highlight w:val="none"/>
              </w:rPr>
            </w:pPr>
          </w:p>
        </w:tc>
      </w:tr>
      <w:tr w14:paraId="354565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6" w:hRule="atLeast"/>
          <w:jc w:val="right"/>
        </w:trPr>
        <w:tc>
          <w:tcPr>
            <w:tcW w:w="871" w:type="dxa"/>
            <w:tcBorders>
              <w:left w:val="single" w:color="000000" w:sz="10" w:space="0"/>
              <w:bottom w:val="single" w:color="000000" w:sz="10" w:space="0"/>
            </w:tcBorders>
            <w:noWrap w:val="0"/>
            <w:vAlign w:val="top"/>
          </w:tcPr>
          <w:p w14:paraId="6E6E70FA">
            <w:pPr>
              <w:rPr>
                <w:rFonts w:hint="eastAsia" w:ascii="新宋体" w:hAnsi="新宋体" w:eastAsia="新宋体" w:cs="新宋体"/>
                <w:color w:val="auto"/>
                <w:highlight w:val="none"/>
              </w:rPr>
            </w:pPr>
          </w:p>
        </w:tc>
        <w:tc>
          <w:tcPr>
            <w:tcW w:w="1236" w:type="dxa"/>
            <w:tcBorders>
              <w:bottom w:val="single" w:color="000000" w:sz="10" w:space="0"/>
            </w:tcBorders>
            <w:noWrap w:val="0"/>
            <w:vAlign w:val="top"/>
          </w:tcPr>
          <w:p w14:paraId="7D329DD3">
            <w:pPr>
              <w:rPr>
                <w:rFonts w:hint="eastAsia" w:ascii="新宋体" w:hAnsi="新宋体" w:eastAsia="新宋体" w:cs="新宋体"/>
                <w:color w:val="auto"/>
                <w:highlight w:val="none"/>
              </w:rPr>
            </w:pPr>
          </w:p>
        </w:tc>
        <w:tc>
          <w:tcPr>
            <w:tcW w:w="950" w:type="dxa"/>
            <w:tcBorders>
              <w:bottom w:val="single" w:color="000000" w:sz="10" w:space="0"/>
            </w:tcBorders>
            <w:noWrap w:val="0"/>
            <w:vAlign w:val="top"/>
          </w:tcPr>
          <w:p w14:paraId="002FE8F9">
            <w:pPr>
              <w:rPr>
                <w:rFonts w:hint="eastAsia" w:ascii="新宋体" w:hAnsi="新宋体" w:eastAsia="新宋体" w:cs="新宋体"/>
                <w:color w:val="auto"/>
                <w:highlight w:val="none"/>
              </w:rPr>
            </w:pPr>
          </w:p>
        </w:tc>
        <w:tc>
          <w:tcPr>
            <w:tcW w:w="1200" w:type="dxa"/>
            <w:tcBorders>
              <w:bottom w:val="single" w:color="000000" w:sz="10" w:space="0"/>
            </w:tcBorders>
            <w:noWrap w:val="0"/>
            <w:vAlign w:val="top"/>
          </w:tcPr>
          <w:p w14:paraId="3A22B635">
            <w:pPr>
              <w:rPr>
                <w:rFonts w:hint="eastAsia" w:ascii="新宋体" w:hAnsi="新宋体" w:eastAsia="新宋体" w:cs="新宋体"/>
                <w:color w:val="auto"/>
                <w:highlight w:val="none"/>
              </w:rPr>
            </w:pPr>
          </w:p>
        </w:tc>
        <w:tc>
          <w:tcPr>
            <w:tcW w:w="848" w:type="dxa"/>
            <w:tcBorders>
              <w:bottom w:val="single" w:color="000000" w:sz="10" w:space="0"/>
            </w:tcBorders>
            <w:noWrap w:val="0"/>
            <w:vAlign w:val="top"/>
          </w:tcPr>
          <w:p w14:paraId="118F363F">
            <w:pPr>
              <w:rPr>
                <w:rFonts w:hint="eastAsia" w:ascii="新宋体" w:hAnsi="新宋体" w:eastAsia="新宋体" w:cs="新宋体"/>
                <w:color w:val="auto"/>
                <w:highlight w:val="none"/>
              </w:rPr>
            </w:pPr>
          </w:p>
        </w:tc>
        <w:tc>
          <w:tcPr>
            <w:tcW w:w="849" w:type="dxa"/>
            <w:tcBorders>
              <w:bottom w:val="single" w:color="000000" w:sz="10" w:space="0"/>
            </w:tcBorders>
            <w:noWrap w:val="0"/>
            <w:vAlign w:val="top"/>
          </w:tcPr>
          <w:p w14:paraId="395ADCD9">
            <w:pPr>
              <w:rPr>
                <w:rFonts w:hint="eastAsia" w:ascii="新宋体" w:hAnsi="新宋体" w:eastAsia="新宋体" w:cs="新宋体"/>
                <w:color w:val="auto"/>
                <w:highlight w:val="none"/>
              </w:rPr>
            </w:pPr>
          </w:p>
        </w:tc>
        <w:tc>
          <w:tcPr>
            <w:tcW w:w="1413" w:type="dxa"/>
            <w:tcBorders>
              <w:bottom w:val="single" w:color="000000" w:sz="10" w:space="0"/>
            </w:tcBorders>
            <w:noWrap w:val="0"/>
            <w:vAlign w:val="top"/>
          </w:tcPr>
          <w:p w14:paraId="3F18DC67">
            <w:pPr>
              <w:rPr>
                <w:rFonts w:hint="eastAsia" w:ascii="新宋体" w:hAnsi="新宋体" w:eastAsia="新宋体" w:cs="新宋体"/>
                <w:color w:val="auto"/>
                <w:highlight w:val="none"/>
              </w:rPr>
            </w:pPr>
          </w:p>
        </w:tc>
        <w:tc>
          <w:tcPr>
            <w:tcW w:w="1131" w:type="dxa"/>
            <w:tcBorders>
              <w:bottom w:val="single" w:color="000000" w:sz="10" w:space="0"/>
            </w:tcBorders>
            <w:noWrap w:val="0"/>
            <w:vAlign w:val="top"/>
          </w:tcPr>
          <w:p w14:paraId="24D190F8">
            <w:pPr>
              <w:rPr>
                <w:rFonts w:hint="eastAsia" w:ascii="新宋体" w:hAnsi="新宋体" w:eastAsia="新宋体" w:cs="新宋体"/>
                <w:color w:val="auto"/>
                <w:highlight w:val="none"/>
              </w:rPr>
            </w:pPr>
          </w:p>
        </w:tc>
        <w:tc>
          <w:tcPr>
            <w:tcW w:w="740" w:type="dxa"/>
            <w:tcBorders>
              <w:bottom w:val="single" w:color="000000" w:sz="10" w:space="0"/>
            </w:tcBorders>
            <w:noWrap w:val="0"/>
            <w:vAlign w:val="top"/>
          </w:tcPr>
          <w:p w14:paraId="09F16A35">
            <w:pPr>
              <w:rPr>
                <w:rFonts w:hint="eastAsia" w:ascii="新宋体" w:hAnsi="新宋体" w:eastAsia="新宋体" w:cs="新宋体"/>
                <w:color w:val="auto"/>
                <w:highlight w:val="none"/>
              </w:rPr>
            </w:pPr>
          </w:p>
        </w:tc>
        <w:tc>
          <w:tcPr>
            <w:tcW w:w="689" w:type="dxa"/>
            <w:tcBorders>
              <w:bottom w:val="single" w:color="000000" w:sz="10" w:space="0"/>
              <w:right w:val="single" w:color="000000" w:sz="10" w:space="0"/>
            </w:tcBorders>
            <w:noWrap w:val="0"/>
            <w:vAlign w:val="top"/>
          </w:tcPr>
          <w:p w14:paraId="3D312D33">
            <w:pPr>
              <w:rPr>
                <w:rFonts w:hint="eastAsia" w:ascii="新宋体" w:hAnsi="新宋体" w:eastAsia="新宋体" w:cs="新宋体"/>
                <w:color w:val="auto"/>
                <w:highlight w:val="none"/>
              </w:rPr>
            </w:pPr>
          </w:p>
        </w:tc>
      </w:tr>
    </w:tbl>
    <w:p w14:paraId="763EEB85">
      <w:pPr>
        <w:pStyle w:val="13"/>
        <w:spacing w:before="211" w:line="228" w:lineRule="auto"/>
        <w:ind w:left="230"/>
        <w:outlineLvl w:val="3"/>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2"/>
          <w:sz w:val="20"/>
          <w:szCs w:val="20"/>
          <w:highlight w:val="none"/>
        </w:rPr>
        <w:br w:type="page"/>
      </w:r>
      <w:bookmarkStart w:id="1019" w:name="_Toc6036"/>
      <w:r>
        <w:rPr>
          <w:rFonts w:hint="eastAsia" w:ascii="新宋体" w:hAnsi="新宋体" w:eastAsia="新宋体" w:cs="新宋体"/>
          <w:color w:val="auto"/>
          <w:spacing w:val="-2"/>
          <w:sz w:val="21"/>
          <w:szCs w:val="21"/>
          <w:highlight w:val="none"/>
        </w:rPr>
        <w:t>附件2：</w:t>
      </w:r>
      <w:bookmarkEnd w:id="1019"/>
    </w:p>
    <w:p w14:paraId="498894AC">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20" w:name="_Toc10019"/>
      <w:r>
        <w:rPr>
          <w:rFonts w:hint="eastAsia" w:ascii="新宋体" w:hAnsi="新宋体" w:eastAsia="新宋体" w:cs="新宋体"/>
          <w:b/>
          <w:bCs/>
          <w:color w:val="auto"/>
          <w:spacing w:val="8"/>
          <w:sz w:val="28"/>
          <w:szCs w:val="28"/>
          <w:highlight w:val="none"/>
        </w:rPr>
        <w:t>发包人供应材料设备一览表</w:t>
      </w:r>
      <w:bookmarkEnd w:id="1020"/>
    </w:p>
    <w:p w14:paraId="4AFD3266">
      <w:pPr>
        <w:spacing w:line="18" w:lineRule="exact"/>
        <w:rPr>
          <w:rFonts w:hint="eastAsia" w:ascii="新宋体" w:hAnsi="新宋体" w:eastAsia="新宋体" w:cs="新宋体"/>
          <w:color w:val="auto"/>
          <w:sz w:val="21"/>
          <w:szCs w:val="21"/>
          <w:highlight w:val="none"/>
        </w:rPr>
      </w:pPr>
    </w:p>
    <w:tbl>
      <w:tblPr>
        <w:tblStyle w:val="28"/>
        <w:tblW w:w="9187"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0"/>
        <w:gridCol w:w="1273"/>
        <w:gridCol w:w="1271"/>
        <w:gridCol w:w="839"/>
        <w:gridCol w:w="849"/>
        <w:gridCol w:w="848"/>
        <w:gridCol w:w="989"/>
        <w:gridCol w:w="990"/>
        <w:gridCol w:w="989"/>
        <w:gridCol w:w="579"/>
      </w:tblGrid>
      <w:tr w14:paraId="599D87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9" w:hRule="atLeast"/>
        </w:trPr>
        <w:tc>
          <w:tcPr>
            <w:tcW w:w="560" w:type="dxa"/>
            <w:tcBorders>
              <w:top w:val="single" w:color="000000" w:sz="10" w:space="0"/>
              <w:left w:val="single" w:color="000000" w:sz="10" w:space="0"/>
            </w:tcBorders>
            <w:noWrap w:val="0"/>
            <w:vAlign w:val="center"/>
          </w:tcPr>
          <w:p w14:paraId="53ABD28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序 号</w:t>
            </w:r>
          </w:p>
        </w:tc>
        <w:tc>
          <w:tcPr>
            <w:tcW w:w="1273" w:type="dxa"/>
            <w:tcBorders>
              <w:top w:val="single" w:color="000000" w:sz="10" w:space="0"/>
            </w:tcBorders>
            <w:noWrap w:val="0"/>
            <w:vAlign w:val="center"/>
          </w:tcPr>
          <w:p w14:paraId="70B20A5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材料、设备品种</w:t>
            </w:r>
          </w:p>
        </w:tc>
        <w:tc>
          <w:tcPr>
            <w:tcW w:w="1271" w:type="dxa"/>
            <w:tcBorders>
              <w:top w:val="single" w:color="000000" w:sz="10" w:space="0"/>
            </w:tcBorders>
            <w:noWrap w:val="0"/>
            <w:vAlign w:val="center"/>
          </w:tcPr>
          <w:p w14:paraId="5F4AA9C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规格型号</w:t>
            </w:r>
          </w:p>
        </w:tc>
        <w:tc>
          <w:tcPr>
            <w:tcW w:w="839" w:type="dxa"/>
            <w:tcBorders>
              <w:top w:val="single" w:color="000000" w:sz="10" w:space="0"/>
            </w:tcBorders>
            <w:noWrap w:val="0"/>
            <w:vAlign w:val="center"/>
          </w:tcPr>
          <w:p w14:paraId="43D7F2A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单位</w:t>
            </w:r>
          </w:p>
        </w:tc>
        <w:tc>
          <w:tcPr>
            <w:tcW w:w="849" w:type="dxa"/>
            <w:tcBorders>
              <w:top w:val="single" w:color="000000" w:sz="10" w:space="0"/>
            </w:tcBorders>
            <w:noWrap w:val="0"/>
            <w:vAlign w:val="center"/>
          </w:tcPr>
          <w:p w14:paraId="3139F7C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数量</w:t>
            </w:r>
          </w:p>
        </w:tc>
        <w:tc>
          <w:tcPr>
            <w:tcW w:w="848" w:type="dxa"/>
            <w:tcBorders>
              <w:top w:val="single" w:color="000000" w:sz="10" w:space="0"/>
            </w:tcBorders>
            <w:noWrap w:val="0"/>
            <w:vAlign w:val="center"/>
          </w:tcPr>
          <w:p w14:paraId="3FF99CF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单价</w:t>
            </w:r>
          </w:p>
          <w:p w14:paraId="78FEBAA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（元）</w:t>
            </w:r>
          </w:p>
        </w:tc>
        <w:tc>
          <w:tcPr>
            <w:tcW w:w="989" w:type="dxa"/>
            <w:tcBorders>
              <w:top w:val="single" w:color="000000" w:sz="10" w:space="0"/>
            </w:tcBorders>
            <w:noWrap w:val="0"/>
            <w:vAlign w:val="center"/>
          </w:tcPr>
          <w:p w14:paraId="189603E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质量</w:t>
            </w:r>
          </w:p>
          <w:p w14:paraId="4175185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等级</w:t>
            </w:r>
          </w:p>
        </w:tc>
        <w:tc>
          <w:tcPr>
            <w:tcW w:w="990" w:type="dxa"/>
            <w:tcBorders>
              <w:top w:val="single" w:color="000000" w:sz="10" w:space="0"/>
            </w:tcBorders>
            <w:noWrap w:val="0"/>
            <w:vAlign w:val="center"/>
          </w:tcPr>
          <w:p w14:paraId="3F43D40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供应时间</w:t>
            </w:r>
          </w:p>
        </w:tc>
        <w:tc>
          <w:tcPr>
            <w:tcW w:w="989" w:type="dxa"/>
            <w:tcBorders>
              <w:top w:val="single" w:color="000000" w:sz="10" w:space="0"/>
            </w:tcBorders>
            <w:noWrap w:val="0"/>
            <w:vAlign w:val="center"/>
          </w:tcPr>
          <w:p w14:paraId="6C2F775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送达地点</w:t>
            </w:r>
          </w:p>
        </w:tc>
        <w:tc>
          <w:tcPr>
            <w:tcW w:w="579" w:type="dxa"/>
            <w:tcBorders>
              <w:top w:val="single" w:color="000000" w:sz="10" w:space="0"/>
              <w:right w:val="single" w:color="000000" w:sz="10" w:space="0"/>
            </w:tcBorders>
            <w:noWrap w:val="0"/>
            <w:vAlign w:val="center"/>
          </w:tcPr>
          <w:p w14:paraId="5FE7B3A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新宋体" w:hAnsi="新宋体" w:eastAsia="新宋体" w:cs="新宋体"/>
                <w:b/>
                <w:bCs/>
                <w:color w:val="auto"/>
                <w:sz w:val="21"/>
                <w:szCs w:val="21"/>
                <w:highlight w:val="none"/>
                <w:lang w:eastAsia="zh-CN"/>
              </w:rPr>
            </w:pPr>
            <w:r>
              <w:rPr>
                <w:rFonts w:hint="eastAsia" w:ascii="新宋体" w:hAnsi="新宋体" w:eastAsia="新宋体" w:cs="新宋体"/>
                <w:b/>
                <w:bCs/>
                <w:color w:val="auto"/>
                <w:sz w:val="21"/>
                <w:szCs w:val="21"/>
                <w:highlight w:val="none"/>
                <w:lang w:eastAsia="zh-CN"/>
              </w:rPr>
              <w:t>备 注</w:t>
            </w:r>
          </w:p>
        </w:tc>
      </w:tr>
      <w:tr w14:paraId="57623E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2" w:hRule="atLeast"/>
        </w:trPr>
        <w:tc>
          <w:tcPr>
            <w:tcW w:w="560" w:type="dxa"/>
            <w:tcBorders>
              <w:left w:val="single" w:color="000000" w:sz="10" w:space="0"/>
            </w:tcBorders>
            <w:noWrap w:val="0"/>
            <w:vAlign w:val="top"/>
          </w:tcPr>
          <w:p w14:paraId="11328D65">
            <w:pPr>
              <w:rPr>
                <w:rFonts w:hint="eastAsia" w:ascii="新宋体" w:hAnsi="新宋体" w:eastAsia="新宋体" w:cs="新宋体"/>
                <w:color w:val="auto"/>
                <w:sz w:val="21"/>
                <w:szCs w:val="21"/>
                <w:highlight w:val="none"/>
              </w:rPr>
            </w:pPr>
          </w:p>
        </w:tc>
        <w:tc>
          <w:tcPr>
            <w:tcW w:w="1273" w:type="dxa"/>
            <w:noWrap w:val="0"/>
            <w:vAlign w:val="top"/>
          </w:tcPr>
          <w:p w14:paraId="68410B57">
            <w:pPr>
              <w:rPr>
                <w:rFonts w:hint="eastAsia" w:ascii="新宋体" w:hAnsi="新宋体" w:eastAsia="新宋体" w:cs="新宋体"/>
                <w:color w:val="auto"/>
                <w:sz w:val="21"/>
                <w:szCs w:val="21"/>
                <w:highlight w:val="none"/>
              </w:rPr>
            </w:pPr>
          </w:p>
        </w:tc>
        <w:tc>
          <w:tcPr>
            <w:tcW w:w="1271" w:type="dxa"/>
            <w:noWrap w:val="0"/>
            <w:vAlign w:val="top"/>
          </w:tcPr>
          <w:p w14:paraId="0812A5CA">
            <w:pPr>
              <w:rPr>
                <w:rFonts w:hint="eastAsia" w:ascii="新宋体" w:hAnsi="新宋体" w:eastAsia="新宋体" w:cs="新宋体"/>
                <w:color w:val="auto"/>
                <w:sz w:val="21"/>
                <w:szCs w:val="21"/>
                <w:highlight w:val="none"/>
              </w:rPr>
            </w:pPr>
          </w:p>
        </w:tc>
        <w:tc>
          <w:tcPr>
            <w:tcW w:w="839" w:type="dxa"/>
            <w:noWrap w:val="0"/>
            <w:vAlign w:val="top"/>
          </w:tcPr>
          <w:p w14:paraId="0C028318">
            <w:pPr>
              <w:rPr>
                <w:rFonts w:hint="eastAsia" w:ascii="新宋体" w:hAnsi="新宋体" w:eastAsia="新宋体" w:cs="新宋体"/>
                <w:color w:val="auto"/>
                <w:sz w:val="21"/>
                <w:szCs w:val="21"/>
                <w:highlight w:val="none"/>
              </w:rPr>
            </w:pPr>
          </w:p>
        </w:tc>
        <w:tc>
          <w:tcPr>
            <w:tcW w:w="849" w:type="dxa"/>
            <w:noWrap w:val="0"/>
            <w:vAlign w:val="top"/>
          </w:tcPr>
          <w:p w14:paraId="0ED4773D">
            <w:pPr>
              <w:rPr>
                <w:rFonts w:hint="eastAsia" w:ascii="新宋体" w:hAnsi="新宋体" w:eastAsia="新宋体" w:cs="新宋体"/>
                <w:color w:val="auto"/>
                <w:sz w:val="21"/>
                <w:szCs w:val="21"/>
                <w:highlight w:val="none"/>
              </w:rPr>
            </w:pPr>
          </w:p>
        </w:tc>
        <w:tc>
          <w:tcPr>
            <w:tcW w:w="848" w:type="dxa"/>
            <w:noWrap w:val="0"/>
            <w:vAlign w:val="top"/>
          </w:tcPr>
          <w:p w14:paraId="47FAAAAA">
            <w:pPr>
              <w:rPr>
                <w:rFonts w:hint="eastAsia" w:ascii="新宋体" w:hAnsi="新宋体" w:eastAsia="新宋体" w:cs="新宋体"/>
                <w:color w:val="auto"/>
                <w:sz w:val="21"/>
                <w:szCs w:val="21"/>
                <w:highlight w:val="none"/>
              </w:rPr>
            </w:pPr>
          </w:p>
        </w:tc>
        <w:tc>
          <w:tcPr>
            <w:tcW w:w="989" w:type="dxa"/>
            <w:noWrap w:val="0"/>
            <w:vAlign w:val="top"/>
          </w:tcPr>
          <w:p w14:paraId="781A9004">
            <w:pPr>
              <w:rPr>
                <w:rFonts w:hint="eastAsia" w:ascii="新宋体" w:hAnsi="新宋体" w:eastAsia="新宋体" w:cs="新宋体"/>
                <w:color w:val="auto"/>
                <w:sz w:val="21"/>
                <w:szCs w:val="21"/>
                <w:highlight w:val="none"/>
              </w:rPr>
            </w:pPr>
          </w:p>
        </w:tc>
        <w:tc>
          <w:tcPr>
            <w:tcW w:w="990" w:type="dxa"/>
            <w:noWrap w:val="0"/>
            <w:vAlign w:val="top"/>
          </w:tcPr>
          <w:p w14:paraId="67664CA8">
            <w:pPr>
              <w:rPr>
                <w:rFonts w:hint="eastAsia" w:ascii="新宋体" w:hAnsi="新宋体" w:eastAsia="新宋体" w:cs="新宋体"/>
                <w:color w:val="auto"/>
                <w:sz w:val="21"/>
                <w:szCs w:val="21"/>
                <w:highlight w:val="none"/>
              </w:rPr>
            </w:pPr>
          </w:p>
        </w:tc>
        <w:tc>
          <w:tcPr>
            <w:tcW w:w="989" w:type="dxa"/>
            <w:noWrap w:val="0"/>
            <w:vAlign w:val="top"/>
          </w:tcPr>
          <w:p w14:paraId="61FC0177">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1FB0640C">
            <w:pPr>
              <w:rPr>
                <w:rFonts w:hint="eastAsia" w:ascii="新宋体" w:hAnsi="新宋体" w:eastAsia="新宋体" w:cs="新宋体"/>
                <w:color w:val="auto"/>
                <w:sz w:val="21"/>
                <w:szCs w:val="21"/>
                <w:highlight w:val="none"/>
              </w:rPr>
            </w:pPr>
          </w:p>
        </w:tc>
      </w:tr>
      <w:tr w14:paraId="6D5708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4793BBF3">
            <w:pPr>
              <w:rPr>
                <w:rFonts w:hint="eastAsia" w:ascii="新宋体" w:hAnsi="新宋体" w:eastAsia="新宋体" w:cs="新宋体"/>
                <w:color w:val="auto"/>
                <w:sz w:val="21"/>
                <w:szCs w:val="21"/>
                <w:highlight w:val="none"/>
              </w:rPr>
            </w:pPr>
          </w:p>
        </w:tc>
        <w:tc>
          <w:tcPr>
            <w:tcW w:w="1273" w:type="dxa"/>
            <w:noWrap w:val="0"/>
            <w:vAlign w:val="top"/>
          </w:tcPr>
          <w:p w14:paraId="2CF5F278">
            <w:pPr>
              <w:rPr>
                <w:rFonts w:hint="eastAsia" w:ascii="新宋体" w:hAnsi="新宋体" w:eastAsia="新宋体" w:cs="新宋体"/>
                <w:color w:val="auto"/>
                <w:sz w:val="21"/>
                <w:szCs w:val="21"/>
                <w:highlight w:val="none"/>
              </w:rPr>
            </w:pPr>
          </w:p>
        </w:tc>
        <w:tc>
          <w:tcPr>
            <w:tcW w:w="1271" w:type="dxa"/>
            <w:noWrap w:val="0"/>
            <w:vAlign w:val="top"/>
          </w:tcPr>
          <w:p w14:paraId="3F0F91E1">
            <w:pPr>
              <w:rPr>
                <w:rFonts w:hint="eastAsia" w:ascii="新宋体" w:hAnsi="新宋体" w:eastAsia="新宋体" w:cs="新宋体"/>
                <w:color w:val="auto"/>
                <w:sz w:val="21"/>
                <w:szCs w:val="21"/>
                <w:highlight w:val="none"/>
              </w:rPr>
            </w:pPr>
          </w:p>
        </w:tc>
        <w:tc>
          <w:tcPr>
            <w:tcW w:w="839" w:type="dxa"/>
            <w:noWrap w:val="0"/>
            <w:vAlign w:val="top"/>
          </w:tcPr>
          <w:p w14:paraId="1B237436">
            <w:pPr>
              <w:rPr>
                <w:rFonts w:hint="eastAsia" w:ascii="新宋体" w:hAnsi="新宋体" w:eastAsia="新宋体" w:cs="新宋体"/>
                <w:color w:val="auto"/>
                <w:sz w:val="21"/>
                <w:szCs w:val="21"/>
                <w:highlight w:val="none"/>
              </w:rPr>
            </w:pPr>
          </w:p>
        </w:tc>
        <w:tc>
          <w:tcPr>
            <w:tcW w:w="849" w:type="dxa"/>
            <w:noWrap w:val="0"/>
            <w:vAlign w:val="top"/>
          </w:tcPr>
          <w:p w14:paraId="30E6F085">
            <w:pPr>
              <w:rPr>
                <w:rFonts w:hint="eastAsia" w:ascii="新宋体" w:hAnsi="新宋体" w:eastAsia="新宋体" w:cs="新宋体"/>
                <w:color w:val="auto"/>
                <w:sz w:val="21"/>
                <w:szCs w:val="21"/>
                <w:highlight w:val="none"/>
              </w:rPr>
            </w:pPr>
          </w:p>
        </w:tc>
        <w:tc>
          <w:tcPr>
            <w:tcW w:w="848" w:type="dxa"/>
            <w:noWrap w:val="0"/>
            <w:vAlign w:val="top"/>
          </w:tcPr>
          <w:p w14:paraId="39A8F545">
            <w:pPr>
              <w:rPr>
                <w:rFonts w:hint="eastAsia" w:ascii="新宋体" w:hAnsi="新宋体" w:eastAsia="新宋体" w:cs="新宋体"/>
                <w:color w:val="auto"/>
                <w:sz w:val="21"/>
                <w:szCs w:val="21"/>
                <w:highlight w:val="none"/>
              </w:rPr>
            </w:pPr>
          </w:p>
        </w:tc>
        <w:tc>
          <w:tcPr>
            <w:tcW w:w="989" w:type="dxa"/>
            <w:noWrap w:val="0"/>
            <w:vAlign w:val="top"/>
          </w:tcPr>
          <w:p w14:paraId="48E01AC4">
            <w:pPr>
              <w:rPr>
                <w:rFonts w:hint="eastAsia" w:ascii="新宋体" w:hAnsi="新宋体" w:eastAsia="新宋体" w:cs="新宋体"/>
                <w:color w:val="auto"/>
                <w:sz w:val="21"/>
                <w:szCs w:val="21"/>
                <w:highlight w:val="none"/>
              </w:rPr>
            </w:pPr>
          </w:p>
        </w:tc>
        <w:tc>
          <w:tcPr>
            <w:tcW w:w="990" w:type="dxa"/>
            <w:noWrap w:val="0"/>
            <w:vAlign w:val="top"/>
          </w:tcPr>
          <w:p w14:paraId="1EEC657D">
            <w:pPr>
              <w:rPr>
                <w:rFonts w:hint="eastAsia" w:ascii="新宋体" w:hAnsi="新宋体" w:eastAsia="新宋体" w:cs="新宋体"/>
                <w:color w:val="auto"/>
                <w:sz w:val="21"/>
                <w:szCs w:val="21"/>
                <w:highlight w:val="none"/>
              </w:rPr>
            </w:pPr>
          </w:p>
        </w:tc>
        <w:tc>
          <w:tcPr>
            <w:tcW w:w="989" w:type="dxa"/>
            <w:noWrap w:val="0"/>
            <w:vAlign w:val="top"/>
          </w:tcPr>
          <w:p w14:paraId="3E39DB31">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308E6B16">
            <w:pPr>
              <w:rPr>
                <w:rFonts w:hint="eastAsia" w:ascii="新宋体" w:hAnsi="新宋体" w:eastAsia="新宋体" w:cs="新宋体"/>
                <w:color w:val="auto"/>
                <w:sz w:val="21"/>
                <w:szCs w:val="21"/>
                <w:highlight w:val="none"/>
              </w:rPr>
            </w:pPr>
          </w:p>
        </w:tc>
      </w:tr>
      <w:tr w14:paraId="28BDE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560" w:type="dxa"/>
            <w:tcBorders>
              <w:left w:val="single" w:color="000000" w:sz="10" w:space="0"/>
            </w:tcBorders>
            <w:noWrap w:val="0"/>
            <w:vAlign w:val="top"/>
          </w:tcPr>
          <w:p w14:paraId="3EE8A19A">
            <w:pPr>
              <w:rPr>
                <w:rFonts w:hint="eastAsia" w:ascii="新宋体" w:hAnsi="新宋体" w:eastAsia="新宋体" w:cs="新宋体"/>
                <w:color w:val="auto"/>
                <w:sz w:val="21"/>
                <w:szCs w:val="21"/>
                <w:highlight w:val="none"/>
              </w:rPr>
            </w:pPr>
          </w:p>
        </w:tc>
        <w:tc>
          <w:tcPr>
            <w:tcW w:w="1273" w:type="dxa"/>
            <w:noWrap w:val="0"/>
            <w:vAlign w:val="top"/>
          </w:tcPr>
          <w:p w14:paraId="52726571">
            <w:pPr>
              <w:rPr>
                <w:rFonts w:hint="eastAsia" w:ascii="新宋体" w:hAnsi="新宋体" w:eastAsia="新宋体" w:cs="新宋体"/>
                <w:color w:val="auto"/>
                <w:sz w:val="21"/>
                <w:szCs w:val="21"/>
                <w:highlight w:val="none"/>
              </w:rPr>
            </w:pPr>
          </w:p>
        </w:tc>
        <w:tc>
          <w:tcPr>
            <w:tcW w:w="1271" w:type="dxa"/>
            <w:noWrap w:val="0"/>
            <w:vAlign w:val="top"/>
          </w:tcPr>
          <w:p w14:paraId="56313921">
            <w:pPr>
              <w:rPr>
                <w:rFonts w:hint="eastAsia" w:ascii="新宋体" w:hAnsi="新宋体" w:eastAsia="新宋体" w:cs="新宋体"/>
                <w:color w:val="auto"/>
                <w:sz w:val="21"/>
                <w:szCs w:val="21"/>
                <w:highlight w:val="none"/>
              </w:rPr>
            </w:pPr>
          </w:p>
        </w:tc>
        <w:tc>
          <w:tcPr>
            <w:tcW w:w="839" w:type="dxa"/>
            <w:noWrap w:val="0"/>
            <w:vAlign w:val="top"/>
          </w:tcPr>
          <w:p w14:paraId="59295C04">
            <w:pPr>
              <w:rPr>
                <w:rFonts w:hint="eastAsia" w:ascii="新宋体" w:hAnsi="新宋体" w:eastAsia="新宋体" w:cs="新宋体"/>
                <w:color w:val="auto"/>
                <w:sz w:val="21"/>
                <w:szCs w:val="21"/>
                <w:highlight w:val="none"/>
              </w:rPr>
            </w:pPr>
          </w:p>
        </w:tc>
        <w:tc>
          <w:tcPr>
            <w:tcW w:w="849" w:type="dxa"/>
            <w:noWrap w:val="0"/>
            <w:vAlign w:val="top"/>
          </w:tcPr>
          <w:p w14:paraId="7FD41E9B">
            <w:pPr>
              <w:rPr>
                <w:rFonts w:hint="eastAsia" w:ascii="新宋体" w:hAnsi="新宋体" w:eastAsia="新宋体" w:cs="新宋体"/>
                <w:color w:val="auto"/>
                <w:sz w:val="21"/>
                <w:szCs w:val="21"/>
                <w:highlight w:val="none"/>
              </w:rPr>
            </w:pPr>
          </w:p>
        </w:tc>
        <w:tc>
          <w:tcPr>
            <w:tcW w:w="848" w:type="dxa"/>
            <w:noWrap w:val="0"/>
            <w:vAlign w:val="top"/>
          </w:tcPr>
          <w:p w14:paraId="762B97E6">
            <w:pPr>
              <w:rPr>
                <w:rFonts w:hint="eastAsia" w:ascii="新宋体" w:hAnsi="新宋体" w:eastAsia="新宋体" w:cs="新宋体"/>
                <w:color w:val="auto"/>
                <w:sz w:val="21"/>
                <w:szCs w:val="21"/>
                <w:highlight w:val="none"/>
              </w:rPr>
            </w:pPr>
          </w:p>
        </w:tc>
        <w:tc>
          <w:tcPr>
            <w:tcW w:w="989" w:type="dxa"/>
            <w:noWrap w:val="0"/>
            <w:vAlign w:val="top"/>
          </w:tcPr>
          <w:p w14:paraId="6A49A575">
            <w:pPr>
              <w:rPr>
                <w:rFonts w:hint="eastAsia" w:ascii="新宋体" w:hAnsi="新宋体" w:eastAsia="新宋体" w:cs="新宋体"/>
                <w:color w:val="auto"/>
                <w:sz w:val="21"/>
                <w:szCs w:val="21"/>
                <w:highlight w:val="none"/>
              </w:rPr>
            </w:pPr>
          </w:p>
        </w:tc>
        <w:tc>
          <w:tcPr>
            <w:tcW w:w="990" w:type="dxa"/>
            <w:noWrap w:val="0"/>
            <w:vAlign w:val="top"/>
          </w:tcPr>
          <w:p w14:paraId="695293E9">
            <w:pPr>
              <w:rPr>
                <w:rFonts w:hint="eastAsia" w:ascii="新宋体" w:hAnsi="新宋体" w:eastAsia="新宋体" w:cs="新宋体"/>
                <w:color w:val="auto"/>
                <w:sz w:val="21"/>
                <w:szCs w:val="21"/>
                <w:highlight w:val="none"/>
              </w:rPr>
            </w:pPr>
          </w:p>
        </w:tc>
        <w:tc>
          <w:tcPr>
            <w:tcW w:w="989" w:type="dxa"/>
            <w:noWrap w:val="0"/>
            <w:vAlign w:val="top"/>
          </w:tcPr>
          <w:p w14:paraId="43D9CCF3">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7CC895E9">
            <w:pPr>
              <w:rPr>
                <w:rFonts w:hint="eastAsia" w:ascii="新宋体" w:hAnsi="新宋体" w:eastAsia="新宋体" w:cs="新宋体"/>
                <w:color w:val="auto"/>
                <w:sz w:val="21"/>
                <w:szCs w:val="21"/>
                <w:highlight w:val="none"/>
              </w:rPr>
            </w:pPr>
          </w:p>
        </w:tc>
      </w:tr>
      <w:tr w14:paraId="3CAF36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560" w:type="dxa"/>
            <w:tcBorders>
              <w:left w:val="single" w:color="000000" w:sz="10" w:space="0"/>
            </w:tcBorders>
            <w:noWrap w:val="0"/>
            <w:vAlign w:val="top"/>
          </w:tcPr>
          <w:p w14:paraId="5B4001FE">
            <w:pPr>
              <w:rPr>
                <w:rFonts w:hint="eastAsia" w:ascii="新宋体" w:hAnsi="新宋体" w:eastAsia="新宋体" w:cs="新宋体"/>
                <w:color w:val="auto"/>
                <w:sz w:val="21"/>
                <w:szCs w:val="21"/>
                <w:highlight w:val="none"/>
              </w:rPr>
            </w:pPr>
          </w:p>
        </w:tc>
        <w:tc>
          <w:tcPr>
            <w:tcW w:w="1273" w:type="dxa"/>
            <w:noWrap w:val="0"/>
            <w:vAlign w:val="top"/>
          </w:tcPr>
          <w:p w14:paraId="3CFCECBD">
            <w:pPr>
              <w:rPr>
                <w:rFonts w:hint="eastAsia" w:ascii="新宋体" w:hAnsi="新宋体" w:eastAsia="新宋体" w:cs="新宋体"/>
                <w:color w:val="auto"/>
                <w:sz w:val="21"/>
                <w:szCs w:val="21"/>
                <w:highlight w:val="none"/>
              </w:rPr>
            </w:pPr>
          </w:p>
        </w:tc>
        <w:tc>
          <w:tcPr>
            <w:tcW w:w="1271" w:type="dxa"/>
            <w:noWrap w:val="0"/>
            <w:vAlign w:val="top"/>
          </w:tcPr>
          <w:p w14:paraId="721290EA">
            <w:pPr>
              <w:rPr>
                <w:rFonts w:hint="eastAsia" w:ascii="新宋体" w:hAnsi="新宋体" w:eastAsia="新宋体" w:cs="新宋体"/>
                <w:color w:val="auto"/>
                <w:sz w:val="21"/>
                <w:szCs w:val="21"/>
                <w:highlight w:val="none"/>
              </w:rPr>
            </w:pPr>
          </w:p>
        </w:tc>
        <w:tc>
          <w:tcPr>
            <w:tcW w:w="839" w:type="dxa"/>
            <w:noWrap w:val="0"/>
            <w:vAlign w:val="top"/>
          </w:tcPr>
          <w:p w14:paraId="4CEC6423">
            <w:pPr>
              <w:rPr>
                <w:rFonts w:hint="eastAsia" w:ascii="新宋体" w:hAnsi="新宋体" w:eastAsia="新宋体" w:cs="新宋体"/>
                <w:color w:val="auto"/>
                <w:sz w:val="21"/>
                <w:szCs w:val="21"/>
                <w:highlight w:val="none"/>
              </w:rPr>
            </w:pPr>
          </w:p>
        </w:tc>
        <w:tc>
          <w:tcPr>
            <w:tcW w:w="849" w:type="dxa"/>
            <w:noWrap w:val="0"/>
            <w:vAlign w:val="top"/>
          </w:tcPr>
          <w:p w14:paraId="3C2764A2">
            <w:pPr>
              <w:rPr>
                <w:rFonts w:hint="eastAsia" w:ascii="新宋体" w:hAnsi="新宋体" w:eastAsia="新宋体" w:cs="新宋体"/>
                <w:color w:val="auto"/>
                <w:sz w:val="21"/>
                <w:szCs w:val="21"/>
                <w:highlight w:val="none"/>
              </w:rPr>
            </w:pPr>
          </w:p>
        </w:tc>
        <w:tc>
          <w:tcPr>
            <w:tcW w:w="848" w:type="dxa"/>
            <w:noWrap w:val="0"/>
            <w:vAlign w:val="top"/>
          </w:tcPr>
          <w:p w14:paraId="62B8219E">
            <w:pPr>
              <w:rPr>
                <w:rFonts w:hint="eastAsia" w:ascii="新宋体" w:hAnsi="新宋体" w:eastAsia="新宋体" w:cs="新宋体"/>
                <w:color w:val="auto"/>
                <w:sz w:val="21"/>
                <w:szCs w:val="21"/>
                <w:highlight w:val="none"/>
              </w:rPr>
            </w:pPr>
          </w:p>
        </w:tc>
        <w:tc>
          <w:tcPr>
            <w:tcW w:w="989" w:type="dxa"/>
            <w:noWrap w:val="0"/>
            <w:vAlign w:val="top"/>
          </w:tcPr>
          <w:p w14:paraId="79ECB36D">
            <w:pPr>
              <w:rPr>
                <w:rFonts w:hint="eastAsia" w:ascii="新宋体" w:hAnsi="新宋体" w:eastAsia="新宋体" w:cs="新宋体"/>
                <w:color w:val="auto"/>
                <w:sz w:val="21"/>
                <w:szCs w:val="21"/>
                <w:highlight w:val="none"/>
              </w:rPr>
            </w:pPr>
          </w:p>
        </w:tc>
        <w:tc>
          <w:tcPr>
            <w:tcW w:w="990" w:type="dxa"/>
            <w:noWrap w:val="0"/>
            <w:vAlign w:val="top"/>
          </w:tcPr>
          <w:p w14:paraId="16D00298">
            <w:pPr>
              <w:rPr>
                <w:rFonts w:hint="eastAsia" w:ascii="新宋体" w:hAnsi="新宋体" w:eastAsia="新宋体" w:cs="新宋体"/>
                <w:color w:val="auto"/>
                <w:sz w:val="21"/>
                <w:szCs w:val="21"/>
                <w:highlight w:val="none"/>
              </w:rPr>
            </w:pPr>
          </w:p>
        </w:tc>
        <w:tc>
          <w:tcPr>
            <w:tcW w:w="989" w:type="dxa"/>
            <w:noWrap w:val="0"/>
            <w:vAlign w:val="top"/>
          </w:tcPr>
          <w:p w14:paraId="5A77FE92">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3569577B">
            <w:pPr>
              <w:rPr>
                <w:rFonts w:hint="eastAsia" w:ascii="新宋体" w:hAnsi="新宋体" w:eastAsia="新宋体" w:cs="新宋体"/>
                <w:color w:val="auto"/>
                <w:sz w:val="21"/>
                <w:szCs w:val="21"/>
                <w:highlight w:val="none"/>
              </w:rPr>
            </w:pPr>
          </w:p>
        </w:tc>
      </w:tr>
      <w:tr w14:paraId="55161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4CCC1081">
            <w:pPr>
              <w:rPr>
                <w:rFonts w:hint="eastAsia" w:ascii="新宋体" w:hAnsi="新宋体" w:eastAsia="新宋体" w:cs="新宋体"/>
                <w:color w:val="auto"/>
                <w:sz w:val="21"/>
                <w:szCs w:val="21"/>
                <w:highlight w:val="none"/>
              </w:rPr>
            </w:pPr>
          </w:p>
        </w:tc>
        <w:tc>
          <w:tcPr>
            <w:tcW w:w="1273" w:type="dxa"/>
            <w:noWrap w:val="0"/>
            <w:vAlign w:val="top"/>
          </w:tcPr>
          <w:p w14:paraId="6E443119">
            <w:pPr>
              <w:rPr>
                <w:rFonts w:hint="eastAsia" w:ascii="新宋体" w:hAnsi="新宋体" w:eastAsia="新宋体" w:cs="新宋体"/>
                <w:color w:val="auto"/>
                <w:sz w:val="21"/>
                <w:szCs w:val="21"/>
                <w:highlight w:val="none"/>
              </w:rPr>
            </w:pPr>
          </w:p>
        </w:tc>
        <w:tc>
          <w:tcPr>
            <w:tcW w:w="1271" w:type="dxa"/>
            <w:noWrap w:val="0"/>
            <w:vAlign w:val="top"/>
          </w:tcPr>
          <w:p w14:paraId="3F027189">
            <w:pPr>
              <w:rPr>
                <w:rFonts w:hint="eastAsia" w:ascii="新宋体" w:hAnsi="新宋体" w:eastAsia="新宋体" w:cs="新宋体"/>
                <w:color w:val="auto"/>
                <w:sz w:val="21"/>
                <w:szCs w:val="21"/>
                <w:highlight w:val="none"/>
              </w:rPr>
            </w:pPr>
          </w:p>
        </w:tc>
        <w:tc>
          <w:tcPr>
            <w:tcW w:w="839" w:type="dxa"/>
            <w:noWrap w:val="0"/>
            <w:vAlign w:val="top"/>
          </w:tcPr>
          <w:p w14:paraId="250585DF">
            <w:pPr>
              <w:rPr>
                <w:rFonts w:hint="eastAsia" w:ascii="新宋体" w:hAnsi="新宋体" w:eastAsia="新宋体" w:cs="新宋体"/>
                <w:color w:val="auto"/>
                <w:sz w:val="21"/>
                <w:szCs w:val="21"/>
                <w:highlight w:val="none"/>
              </w:rPr>
            </w:pPr>
          </w:p>
        </w:tc>
        <w:tc>
          <w:tcPr>
            <w:tcW w:w="849" w:type="dxa"/>
            <w:noWrap w:val="0"/>
            <w:vAlign w:val="top"/>
          </w:tcPr>
          <w:p w14:paraId="47FF5936">
            <w:pPr>
              <w:rPr>
                <w:rFonts w:hint="eastAsia" w:ascii="新宋体" w:hAnsi="新宋体" w:eastAsia="新宋体" w:cs="新宋体"/>
                <w:color w:val="auto"/>
                <w:sz w:val="21"/>
                <w:szCs w:val="21"/>
                <w:highlight w:val="none"/>
              </w:rPr>
            </w:pPr>
          </w:p>
        </w:tc>
        <w:tc>
          <w:tcPr>
            <w:tcW w:w="848" w:type="dxa"/>
            <w:noWrap w:val="0"/>
            <w:vAlign w:val="top"/>
          </w:tcPr>
          <w:p w14:paraId="122C1185">
            <w:pPr>
              <w:rPr>
                <w:rFonts w:hint="eastAsia" w:ascii="新宋体" w:hAnsi="新宋体" w:eastAsia="新宋体" w:cs="新宋体"/>
                <w:color w:val="auto"/>
                <w:sz w:val="21"/>
                <w:szCs w:val="21"/>
                <w:highlight w:val="none"/>
              </w:rPr>
            </w:pPr>
          </w:p>
        </w:tc>
        <w:tc>
          <w:tcPr>
            <w:tcW w:w="989" w:type="dxa"/>
            <w:noWrap w:val="0"/>
            <w:vAlign w:val="top"/>
          </w:tcPr>
          <w:p w14:paraId="1699E0FE">
            <w:pPr>
              <w:rPr>
                <w:rFonts w:hint="eastAsia" w:ascii="新宋体" w:hAnsi="新宋体" w:eastAsia="新宋体" w:cs="新宋体"/>
                <w:color w:val="auto"/>
                <w:sz w:val="21"/>
                <w:szCs w:val="21"/>
                <w:highlight w:val="none"/>
              </w:rPr>
            </w:pPr>
          </w:p>
        </w:tc>
        <w:tc>
          <w:tcPr>
            <w:tcW w:w="990" w:type="dxa"/>
            <w:noWrap w:val="0"/>
            <w:vAlign w:val="top"/>
          </w:tcPr>
          <w:p w14:paraId="7BE95894">
            <w:pPr>
              <w:rPr>
                <w:rFonts w:hint="eastAsia" w:ascii="新宋体" w:hAnsi="新宋体" w:eastAsia="新宋体" w:cs="新宋体"/>
                <w:color w:val="auto"/>
                <w:sz w:val="21"/>
                <w:szCs w:val="21"/>
                <w:highlight w:val="none"/>
              </w:rPr>
            </w:pPr>
          </w:p>
        </w:tc>
        <w:tc>
          <w:tcPr>
            <w:tcW w:w="989" w:type="dxa"/>
            <w:noWrap w:val="0"/>
            <w:vAlign w:val="top"/>
          </w:tcPr>
          <w:p w14:paraId="40D0458A">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7F5CC9A1">
            <w:pPr>
              <w:rPr>
                <w:rFonts w:hint="eastAsia" w:ascii="新宋体" w:hAnsi="新宋体" w:eastAsia="新宋体" w:cs="新宋体"/>
                <w:color w:val="auto"/>
                <w:sz w:val="21"/>
                <w:szCs w:val="21"/>
                <w:highlight w:val="none"/>
              </w:rPr>
            </w:pPr>
          </w:p>
        </w:tc>
      </w:tr>
      <w:tr w14:paraId="15DEB4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560" w:type="dxa"/>
            <w:tcBorders>
              <w:left w:val="single" w:color="000000" w:sz="10" w:space="0"/>
            </w:tcBorders>
            <w:noWrap w:val="0"/>
            <w:vAlign w:val="top"/>
          </w:tcPr>
          <w:p w14:paraId="20383BDC">
            <w:pPr>
              <w:rPr>
                <w:rFonts w:hint="eastAsia" w:ascii="新宋体" w:hAnsi="新宋体" w:eastAsia="新宋体" w:cs="新宋体"/>
                <w:color w:val="auto"/>
                <w:sz w:val="21"/>
                <w:szCs w:val="21"/>
                <w:highlight w:val="none"/>
              </w:rPr>
            </w:pPr>
          </w:p>
        </w:tc>
        <w:tc>
          <w:tcPr>
            <w:tcW w:w="1273" w:type="dxa"/>
            <w:noWrap w:val="0"/>
            <w:vAlign w:val="top"/>
          </w:tcPr>
          <w:p w14:paraId="6DE966E6">
            <w:pPr>
              <w:rPr>
                <w:rFonts w:hint="eastAsia" w:ascii="新宋体" w:hAnsi="新宋体" w:eastAsia="新宋体" w:cs="新宋体"/>
                <w:color w:val="auto"/>
                <w:sz w:val="21"/>
                <w:szCs w:val="21"/>
                <w:highlight w:val="none"/>
              </w:rPr>
            </w:pPr>
          </w:p>
        </w:tc>
        <w:tc>
          <w:tcPr>
            <w:tcW w:w="1271" w:type="dxa"/>
            <w:noWrap w:val="0"/>
            <w:vAlign w:val="top"/>
          </w:tcPr>
          <w:p w14:paraId="0E977445">
            <w:pPr>
              <w:rPr>
                <w:rFonts w:hint="eastAsia" w:ascii="新宋体" w:hAnsi="新宋体" w:eastAsia="新宋体" w:cs="新宋体"/>
                <w:color w:val="auto"/>
                <w:sz w:val="21"/>
                <w:szCs w:val="21"/>
                <w:highlight w:val="none"/>
              </w:rPr>
            </w:pPr>
          </w:p>
        </w:tc>
        <w:tc>
          <w:tcPr>
            <w:tcW w:w="839" w:type="dxa"/>
            <w:noWrap w:val="0"/>
            <w:vAlign w:val="top"/>
          </w:tcPr>
          <w:p w14:paraId="7A10DCAD">
            <w:pPr>
              <w:rPr>
                <w:rFonts w:hint="eastAsia" w:ascii="新宋体" w:hAnsi="新宋体" w:eastAsia="新宋体" w:cs="新宋体"/>
                <w:color w:val="auto"/>
                <w:sz w:val="21"/>
                <w:szCs w:val="21"/>
                <w:highlight w:val="none"/>
              </w:rPr>
            </w:pPr>
          </w:p>
        </w:tc>
        <w:tc>
          <w:tcPr>
            <w:tcW w:w="849" w:type="dxa"/>
            <w:noWrap w:val="0"/>
            <w:vAlign w:val="top"/>
          </w:tcPr>
          <w:p w14:paraId="5EC9D5D5">
            <w:pPr>
              <w:rPr>
                <w:rFonts w:hint="eastAsia" w:ascii="新宋体" w:hAnsi="新宋体" w:eastAsia="新宋体" w:cs="新宋体"/>
                <w:color w:val="auto"/>
                <w:sz w:val="21"/>
                <w:szCs w:val="21"/>
                <w:highlight w:val="none"/>
              </w:rPr>
            </w:pPr>
          </w:p>
        </w:tc>
        <w:tc>
          <w:tcPr>
            <w:tcW w:w="848" w:type="dxa"/>
            <w:noWrap w:val="0"/>
            <w:vAlign w:val="top"/>
          </w:tcPr>
          <w:p w14:paraId="2D77200F">
            <w:pPr>
              <w:rPr>
                <w:rFonts w:hint="eastAsia" w:ascii="新宋体" w:hAnsi="新宋体" w:eastAsia="新宋体" w:cs="新宋体"/>
                <w:color w:val="auto"/>
                <w:sz w:val="21"/>
                <w:szCs w:val="21"/>
                <w:highlight w:val="none"/>
              </w:rPr>
            </w:pPr>
          </w:p>
        </w:tc>
        <w:tc>
          <w:tcPr>
            <w:tcW w:w="989" w:type="dxa"/>
            <w:noWrap w:val="0"/>
            <w:vAlign w:val="top"/>
          </w:tcPr>
          <w:p w14:paraId="641BE8FB">
            <w:pPr>
              <w:rPr>
                <w:rFonts w:hint="eastAsia" w:ascii="新宋体" w:hAnsi="新宋体" w:eastAsia="新宋体" w:cs="新宋体"/>
                <w:color w:val="auto"/>
                <w:sz w:val="21"/>
                <w:szCs w:val="21"/>
                <w:highlight w:val="none"/>
              </w:rPr>
            </w:pPr>
          </w:p>
        </w:tc>
        <w:tc>
          <w:tcPr>
            <w:tcW w:w="990" w:type="dxa"/>
            <w:noWrap w:val="0"/>
            <w:vAlign w:val="top"/>
          </w:tcPr>
          <w:p w14:paraId="20C976A0">
            <w:pPr>
              <w:rPr>
                <w:rFonts w:hint="eastAsia" w:ascii="新宋体" w:hAnsi="新宋体" w:eastAsia="新宋体" w:cs="新宋体"/>
                <w:color w:val="auto"/>
                <w:sz w:val="21"/>
                <w:szCs w:val="21"/>
                <w:highlight w:val="none"/>
              </w:rPr>
            </w:pPr>
          </w:p>
        </w:tc>
        <w:tc>
          <w:tcPr>
            <w:tcW w:w="989" w:type="dxa"/>
            <w:noWrap w:val="0"/>
            <w:vAlign w:val="top"/>
          </w:tcPr>
          <w:p w14:paraId="724A3E33">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5972A86B">
            <w:pPr>
              <w:rPr>
                <w:rFonts w:hint="eastAsia" w:ascii="新宋体" w:hAnsi="新宋体" w:eastAsia="新宋体" w:cs="新宋体"/>
                <w:color w:val="auto"/>
                <w:sz w:val="21"/>
                <w:szCs w:val="21"/>
                <w:highlight w:val="none"/>
              </w:rPr>
            </w:pPr>
          </w:p>
        </w:tc>
      </w:tr>
      <w:tr w14:paraId="10F6F1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6E1885C9">
            <w:pPr>
              <w:rPr>
                <w:rFonts w:hint="eastAsia" w:ascii="新宋体" w:hAnsi="新宋体" w:eastAsia="新宋体" w:cs="新宋体"/>
                <w:color w:val="auto"/>
                <w:sz w:val="21"/>
                <w:szCs w:val="21"/>
                <w:highlight w:val="none"/>
              </w:rPr>
            </w:pPr>
          </w:p>
        </w:tc>
        <w:tc>
          <w:tcPr>
            <w:tcW w:w="1273" w:type="dxa"/>
            <w:noWrap w:val="0"/>
            <w:vAlign w:val="top"/>
          </w:tcPr>
          <w:p w14:paraId="6D6C8296">
            <w:pPr>
              <w:rPr>
                <w:rFonts w:hint="eastAsia" w:ascii="新宋体" w:hAnsi="新宋体" w:eastAsia="新宋体" w:cs="新宋体"/>
                <w:color w:val="auto"/>
                <w:sz w:val="21"/>
                <w:szCs w:val="21"/>
                <w:highlight w:val="none"/>
              </w:rPr>
            </w:pPr>
          </w:p>
        </w:tc>
        <w:tc>
          <w:tcPr>
            <w:tcW w:w="1271" w:type="dxa"/>
            <w:noWrap w:val="0"/>
            <w:vAlign w:val="top"/>
          </w:tcPr>
          <w:p w14:paraId="1F7E5468">
            <w:pPr>
              <w:rPr>
                <w:rFonts w:hint="eastAsia" w:ascii="新宋体" w:hAnsi="新宋体" w:eastAsia="新宋体" w:cs="新宋体"/>
                <w:color w:val="auto"/>
                <w:sz w:val="21"/>
                <w:szCs w:val="21"/>
                <w:highlight w:val="none"/>
              </w:rPr>
            </w:pPr>
          </w:p>
        </w:tc>
        <w:tc>
          <w:tcPr>
            <w:tcW w:w="839" w:type="dxa"/>
            <w:noWrap w:val="0"/>
            <w:vAlign w:val="top"/>
          </w:tcPr>
          <w:p w14:paraId="65702E15">
            <w:pPr>
              <w:rPr>
                <w:rFonts w:hint="eastAsia" w:ascii="新宋体" w:hAnsi="新宋体" w:eastAsia="新宋体" w:cs="新宋体"/>
                <w:color w:val="auto"/>
                <w:sz w:val="21"/>
                <w:szCs w:val="21"/>
                <w:highlight w:val="none"/>
              </w:rPr>
            </w:pPr>
          </w:p>
        </w:tc>
        <w:tc>
          <w:tcPr>
            <w:tcW w:w="849" w:type="dxa"/>
            <w:noWrap w:val="0"/>
            <w:vAlign w:val="top"/>
          </w:tcPr>
          <w:p w14:paraId="6A188375">
            <w:pPr>
              <w:rPr>
                <w:rFonts w:hint="eastAsia" w:ascii="新宋体" w:hAnsi="新宋体" w:eastAsia="新宋体" w:cs="新宋体"/>
                <w:color w:val="auto"/>
                <w:sz w:val="21"/>
                <w:szCs w:val="21"/>
                <w:highlight w:val="none"/>
              </w:rPr>
            </w:pPr>
          </w:p>
        </w:tc>
        <w:tc>
          <w:tcPr>
            <w:tcW w:w="848" w:type="dxa"/>
            <w:noWrap w:val="0"/>
            <w:vAlign w:val="top"/>
          </w:tcPr>
          <w:p w14:paraId="199C9E9F">
            <w:pPr>
              <w:rPr>
                <w:rFonts w:hint="eastAsia" w:ascii="新宋体" w:hAnsi="新宋体" w:eastAsia="新宋体" w:cs="新宋体"/>
                <w:color w:val="auto"/>
                <w:sz w:val="21"/>
                <w:szCs w:val="21"/>
                <w:highlight w:val="none"/>
              </w:rPr>
            </w:pPr>
          </w:p>
        </w:tc>
        <w:tc>
          <w:tcPr>
            <w:tcW w:w="989" w:type="dxa"/>
            <w:noWrap w:val="0"/>
            <w:vAlign w:val="top"/>
          </w:tcPr>
          <w:p w14:paraId="2808CC38">
            <w:pPr>
              <w:rPr>
                <w:rFonts w:hint="eastAsia" w:ascii="新宋体" w:hAnsi="新宋体" w:eastAsia="新宋体" w:cs="新宋体"/>
                <w:color w:val="auto"/>
                <w:sz w:val="21"/>
                <w:szCs w:val="21"/>
                <w:highlight w:val="none"/>
              </w:rPr>
            </w:pPr>
          </w:p>
        </w:tc>
        <w:tc>
          <w:tcPr>
            <w:tcW w:w="990" w:type="dxa"/>
            <w:noWrap w:val="0"/>
            <w:vAlign w:val="top"/>
          </w:tcPr>
          <w:p w14:paraId="2090384E">
            <w:pPr>
              <w:rPr>
                <w:rFonts w:hint="eastAsia" w:ascii="新宋体" w:hAnsi="新宋体" w:eastAsia="新宋体" w:cs="新宋体"/>
                <w:color w:val="auto"/>
                <w:sz w:val="21"/>
                <w:szCs w:val="21"/>
                <w:highlight w:val="none"/>
              </w:rPr>
            </w:pPr>
          </w:p>
        </w:tc>
        <w:tc>
          <w:tcPr>
            <w:tcW w:w="989" w:type="dxa"/>
            <w:noWrap w:val="0"/>
            <w:vAlign w:val="top"/>
          </w:tcPr>
          <w:p w14:paraId="5A05382E">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5BEA9081">
            <w:pPr>
              <w:rPr>
                <w:rFonts w:hint="eastAsia" w:ascii="新宋体" w:hAnsi="新宋体" w:eastAsia="新宋体" w:cs="新宋体"/>
                <w:color w:val="auto"/>
                <w:sz w:val="21"/>
                <w:szCs w:val="21"/>
                <w:highlight w:val="none"/>
              </w:rPr>
            </w:pPr>
          </w:p>
        </w:tc>
      </w:tr>
      <w:tr w14:paraId="6856D4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0E000D39">
            <w:pPr>
              <w:rPr>
                <w:rFonts w:hint="eastAsia" w:ascii="新宋体" w:hAnsi="新宋体" w:eastAsia="新宋体" w:cs="新宋体"/>
                <w:color w:val="auto"/>
                <w:sz w:val="21"/>
                <w:szCs w:val="21"/>
                <w:highlight w:val="none"/>
              </w:rPr>
            </w:pPr>
          </w:p>
        </w:tc>
        <w:tc>
          <w:tcPr>
            <w:tcW w:w="1273" w:type="dxa"/>
            <w:noWrap w:val="0"/>
            <w:vAlign w:val="top"/>
          </w:tcPr>
          <w:p w14:paraId="65A9FF5A">
            <w:pPr>
              <w:rPr>
                <w:rFonts w:hint="eastAsia" w:ascii="新宋体" w:hAnsi="新宋体" w:eastAsia="新宋体" w:cs="新宋体"/>
                <w:color w:val="auto"/>
                <w:sz w:val="21"/>
                <w:szCs w:val="21"/>
                <w:highlight w:val="none"/>
              </w:rPr>
            </w:pPr>
          </w:p>
        </w:tc>
        <w:tc>
          <w:tcPr>
            <w:tcW w:w="1271" w:type="dxa"/>
            <w:noWrap w:val="0"/>
            <w:vAlign w:val="top"/>
          </w:tcPr>
          <w:p w14:paraId="0365A46E">
            <w:pPr>
              <w:rPr>
                <w:rFonts w:hint="eastAsia" w:ascii="新宋体" w:hAnsi="新宋体" w:eastAsia="新宋体" w:cs="新宋体"/>
                <w:color w:val="auto"/>
                <w:sz w:val="21"/>
                <w:szCs w:val="21"/>
                <w:highlight w:val="none"/>
              </w:rPr>
            </w:pPr>
          </w:p>
        </w:tc>
        <w:tc>
          <w:tcPr>
            <w:tcW w:w="839" w:type="dxa"/>
            <w:noWrap w:val="0"/>
            <w:vAlign w:val="top"/>
          </w:tcPr>
          <w:p w14:paraId="0E7379E0">
            <w:pPr>
              <w:rPr>
                <w:rFonts w:hint="eastAsia" w:ascii="新宋体" w:hAnsi="新宋体" w:eastAsia="新宋体" w:cs="新宋体"/>
                <w:color w:val="auto"/>
                <w:sz w:val="21"/>
                <w:szCs w:val="21"/>
                <w:highlight w:val="none"/>
              </w:rPr>
            </w:pPr>
          </w:p>
        </w:tc>
        <w:tc>
          <w:tcPr>
            <w:tcW w:w="849" w:type="dxa"/>
            <w:noWrap w:val="0"/>
            <w:vAlign w:val="top"/>
          </w:tcPr>
          <w:p w14:paraId="53757316">
            <w:pPr>
              <w:rPr>
                <w:rFonts w:hint="eastAsia" w:ascii="新宋体" w:hAnsi="新宋体" w:eastAsia="新宋体" w:cs="新宋体"/>
                <w:color w:val="auto"/>
                <w:sz w:val="21"/>
                <w:szCs w:val="21"/>
                <w:highlight w:val="none"/>
              </w:rPr>
            </w:pPr>
          </w:p>
        </w:tc>
        <w:tc>
          <w:tcPr>
            <w:tcW w:w="848" w:type="dxa"/>
            <w:noWrap w:val="0"/>
            <w:vAlign w:val="top"/>
          </w:tcPr>
          <w:p w14:paraId="1B557EF6">
            <w:pPr>
              <w:rPr>
                <w:rFonts w:hint="eastAsia" w:ascii="新宋体" w:hAnsi="新宋体" w:eastAsia="新宋体" w:cs="新宋体"/>
                <w:color w:val="auto"/>
                <w:sz w:val="21"/>
                <w:szCs w:val="21"/>
                <w:highlight w:val="none"/>
              </w:rPr>
            </w:pPr>
          </w:p>
        </w:tc>
        <w:tc>
          <w:tcPr>
            <w:tcW w:w="989" w:type="dxa"/>
            <w:noWrap w:val="0"/>
            <w:vAlign w:val="top"/>
          </w:tcPr>
          <w:p w14:paraId="1144E312">
            <w:pPr>
              <w:rPr>
                <w:rFonts w:hint="eastAsia" w:ascii="新宋体" w:hAnsi="新宋体" w:eastAsia="新宋体" w:cs="新宋体"/>
                <w:color w:val="auto"/>
                <w:sz w:val="21"/>
                <w:szCs w:val="21"/>
                <w:highlight w:val="none"/>
              </w:rPr>
            </w:pPr>
          </w:p>
        </w:tc>
        <w:tc>
          <w:tcPr>
            <w:tcW w:w="990" w:type="dxa"/>
            <w:noWrap w:val="0"/>
            <w:vAlign w:val="top"/>
          </w:tcPr>
          <w:p w14:paraId="31B36DBD">
            <w:pPr>
              <w:rPr>
                <w:rFonts w:hint="eastAsia" w:ascii="新宋体" w:hAnsi="新宋体" w:eastAsia="新宋体" w:cs="新宋体"/>
                <w:color w:val="auto"/>
                <w:sz w:val="21"/>
                <w:szCs w:val="21"/>
                <w:highlight w:val="none"/>
              </w:rPr>
            </w:pPr>
          </w:p>
        </w:tc>
        <w:tc>
          <w:tcPr>
            <w:tcW w:w="989" w:type="dxa"/>
            <w:noWrap w:val="0"/>
            <w:vAlign w:val="top"/>
          </w:tcPr>
          <w:p w14:paraId="29D43DCD">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5A6AB437">
            <w:pPr>
              <w:rPr>
                <w:rFonts w:hint="eastAsia" w:ascii="新宋体" w:hAnsi="新宋体" w:eastAsia="新宋体" w:cs="新宋体"/>
                <w:color w:val="auto"/>
                <w:sz w:val="21"/>
                <w:szCs w:val="21"/>
                <w:highlight w:val="none"/>
              </w:rPr>
            </w:pPr>
          </w:p>
        </w:tc>
      </w:tr>
      <w:tr w14:paraId="7E079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22058965">
            <w:pPr>
              <w:rPr>
                <w:rFonts w:hint="eastAsia" w:ascii="新宋体" w:hAnsi="新宋体" w:eastAsia="新宋体" w:cs="新宋体"/>
                <w:color w:val="auto"/>
                <w:sz w:val="21"/>
                <w:szCs w:val="21"/>
                <w:highlight w:val="none"/>
              </w:rPr>
            </w:pPr>
          </w:p>
        </w:tc>
        <w:tc>
          <w:tcPr>
            <w:tcW w:w="1273" w:type="dxa"/>
            <w:noWrap w:val="0"/>
            <w:vAlign w:val="top"/>
          </w:tcPr>
          <w:p w14:paraId="222290BB">
            <w:pPr>
              <w:rPr>
                <w:rFonts w:hint="eastAsia" w:ascii="新宋体" w:hAnsi="新宋体" w:eastAsia="新宋体" w:cs="新宋体"/>
                <w:color w:val="auto"/>
                <w:sz w:val="21"/>
                <w:szCs w:val="21"/>
                <w:highlight w:val="none"/>
              </w:rPr>
            </w:pPr>
          </w:p>
        </w:tc>
        <w:tc>
          <w:tcPr>
            <w:tcW w:w="1271" w:type="dxa"/>
            <w:noWrap w:val="0"/>
            <w:vAlign w:val="top"/>
          </w:tcPr>
          <w:p w14:paraId="2F1239E5">
            <w:pPr>
              <w:rPr>
                <w:rFonts w:hint="eastAsia" w:ascii="新宋体" w:hAnsi="新宋体" w:eastAsia="新宋体" w:cs="新宋体"/>
                <w:color w:val="auto"/>
                <w:sz w:val="21"/>
                <w:szCs w:val="21"/>
                <w:highlight w:val="none"/>
              </w:rPr>
            </w:pPr>
          </w:p>
        </w:tc>
        <w:tc>
          <w:tcPr>
            <w:tcW w:w="839" w:type="dxa"/>
            <w:noWrap w:val="0"/>
            <w:vAlign w:val="top"/>
          </w:tcPr>
          <w:p w14:paraId="244C9C29">
            <w:pPr>
              <w:rPr>
                <w:rFonts w:hint="eastAsia" w:ascii="新宋体" w:hAnsi="新宋体" w:eastAsia="新宋体" w:cs="新宋体"/>
                <w:color w:val="auto"/>
                <w:sz w:val="21"/>
                <w:szCs w:val="21"/>
                <w:highlight w:val="none"/>
              </w:rPr>
            </w:pPr>
          </w:p>
        </w:tc>
        <w:tc>
          <w:tcPr>
            <w:tcW w:w="849" w:type="dxa"/>
            <w:noWrap w:val="0"/>
            <w:vAlign w:val="top"/>
          </w:tcPr>
          <w:p w14:paraId="690130DB">
            <w:pPr>
              <w:rPr>
                <w:rFonts w:hint="eastAsia" w:ascii="新宋体" w:hAnsi="新宋体" w:eastAsia="新宋体" w:cs="新宋体"/>
                <w:color w:val="auto"/>
                <w:sz w:val="21"/>
                <w:szCs w:val="21"/>
                <w:highlight w:val="none"/>
              </w:rPr>
            </w:pPr>
          </w:p>
        </w:tc>
        <w:tc>
          <w:tcPr>
            <w:tcW w:w="848" w:type="dxa"/>
            <w:noWrap w:val="0"/>
            <w:vAlign w:val="top"/>
          </w:tcPr>
          <w:p w14:paraId="00C2541D">
            <w:pPr>
              <w:rPr>
                <w:rFonts w:hint="eastAsia" w:ascii="新宋体" w:hAnsi="新宋体" w:eastAsia="新宋体" w:cs="新宋体"/>
                <w:color w:val="auto"/>
                <w:sz w:val="21"/>
                <w:szCs w:val="21"/>
                <w:highlight w:val="none"/>
              </w:rPr>
            </w:pPr>
          </w:p>
        </w:tc>
        <w:tc>
          <w:tcPr>
            <w:tcW w:w="989" w:type="dxa"/>
            <w:noWrap w:val="0"/>
            <w:vAlign w:val="top"/>
          </w:tcPr>
          <w:p w14:paraId="0FE3788A">
            <w:pPr>
              <w:rPr>
                <w:rFonts w:hint="eastAsia" w:ascii="新宋体" w:hAnsi="新宋体" w:eastAsia="新宋体" w:cs="新宋体"/>
                <w:color w:val="auto"/>
                <w:sz w:val="21"/>
                <w:szCs w:val="21"/>
                <w:highlight w:val="none"/>
              </w:rPr>
            </w:pPr>
          </w:p>
        </w:tc>
        <w:tc>
          <w:tcPr>
            <w:tcW w:w="990" w:type="dxa"/>
            <w:noWrap w:val="0"/>
            <w:vAlign w:val="top"/>
          </w:tcPr>
          <w:p w14:paraId="15845553">
            <w:pPr>
              <w:rPr>
                <w:rFonts w:hint="eastAsia" w:ascii="新宋体" w:hAnsi="新宋体" w:eastAsia="新宋体" w:cs="新宋体"/>
                <w:color w:val="auto"/>
                <w:sz w:val="21"/>
                <w:szCs w:val="21"/>
                <w:highlight w:val="none"/>
              </w:rPr>
            </w:pPr>
          </w:p>
        </w:tc>
        <w:tc>
          <w:tcPr>
            <w:tcW w:w="989" w:type="dxa"/>
            <w:noWrap w:val="0"/>
            <w:vAlign w:val="top"/>
          </w:tcPr>
          <w:p w14:paraId="142C374E">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1CB2D6BF">
            <w:pPr>
              <w:rPr>
                <w:rFonts w:hint="eastAsia" w:ascii="新宋体" w:hAnsi="新宋体" w:eastAsia="新宋体" w:cs="新宋体"/>
                <w:color w:val="auto"/>
                <w:sz w:val="21"/>
                <w:szCs w:val="21"/>
                <w:highlight w:val="none"/>
              </w:rPr>
            </w:pPr>
          </w:p>
        </w:tc>
      </w:tr>
      <w:tr w14:paraId="71062F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1F1AD786">
            <w:pPr>
              <w:rPr>
                <w:rFonts w:hint="eastAsia" w:ascii="新宋体" w:hAnsi="新宋体" w:eastAsia="新宋体" w:cs="新宋体"/>
                <w:color w:val="auto"/>
                <w:sz w:val="21"/>
                <w:szCs w:val="21"/>
                <w:highlight w:val="none"/>
              </w:rPr>
            </w:pPr>
          </w:p>
        </w:tc>
        <w:tc>
          <w:tcPr>
            <w:tcW w:w="1273" w:type="dxa"/>
            <w:noWrap w:val="0"/>
            <w:vAlign w:val="top"/>
          </w:tcPr>
          <w:p w14:paraId="2CAB7EE0">
            <w:pPr>
              <w:rPr>
                <w:rFonts w:hint="eastAsia" w:ascii="新宋体" w:hAnsi="新宋体" w:eastAsia="新宋体" w:cs="新宋体"/>
                <w:color w:val="auto"/>
                <w:sz w:val="21"/>
                <w:szCs w:val="21"/>
                <w:highlight w:val="none"/>
              </w:rPr>
            </w:pPr>
          </w:p>
        </w:tc>
        <w:tc>
          <w:tcPr>
            <w:tcW w:w="1271" w:type="dxa"/>
            <w:noWrap w:val="0"/>
            <w:vAlign w:val="top"/>
          </w:tcPr>
          <w:p w14:paraId="73F31DD9">
            <w:pPr>
              <w:rPr>
                <w:rFonts w:hint="eastAsia" w:ascii="新宋体" w:hAnsi="新宋体" w:eastAsia="新宋体" w:cs="新宋体"/>
                <w:color w:val="auto"/>
                <w:sz w:val="21"/>
                <w:szCs w:val="21"/>
                <w:highlight w:val="none"/>
              </w:rPr>
            </w:pPr>
          </w:p>
        </w:tc>
        <w:tc>
          <w:tcPr>
            <w:tcW w:w="839" w:type="dxa"/>
            <w:noWrap w:val="0"/>
            <w:vAlign w:val="top"/>
          </w:tcPr>
          <w:p w14:paraId="4CC76282">
            <w:pPr>
              <w:rPr>
                <w:rFonts w:hint="eastAsia" w:ascii="新宋体" w:hAnsi="新宋体" w:eastAsia="新宋体" w:cs="新宋体"/>
                <w:color w:val="auto"/>
                <w:sz w:val="21"/>
                <w:szCs w:val="21"/>
                <w:highlight w:val="none"/>
              </w:rPr>
            </w:pPr>
          </w:p>
        </w:tc>
        <w:tc>
          <w:tcPr>
            <w:tcW w:w="849" w:type="dxa"/>
            <w:noWrap w:val="0"/>
            <w:vAlign w:val="top"/>
          </w:tcPr>
          <w:p w14:paraId="3A2693F1">
            <w:pPr>
              <w:rPr>
                <w:rFonts w:hint="eastAsia" w:ascii="新宋体" w:hAnsi="新宋体" w:eastAsia="新宋体" w:cs="新宋体"/>
                <w:color w:val="auto"/>
                <w:sz w:val="21"/>
                <w:szCs w:val="21"/>
                <w:highlight w:val="none"/>
              </w:rPr>
            </w:pPr>
          </w:p>
        </w:tc>
        <w:tc>
          <w:tcPr>
            <w:tcW w:w="848" w:type="dxa"/>
            <w:noWrap w:val="0"/>
            <w:vAlign w:val="top"/>
          </w:tcPr>
          <w:p w14:paraId="1E2F6A0E">
            <w:pPr>
              <w:rPr>
                <w:rFonts w:hint="eastAsia" w:ascii="新宋体" w:hAnsi="新宋体" w:eastAsia="新宋体" w:cs="新宋体"/>
                <w:color w:val="auto"/>
                <w:sz w:val="21"/>
                <w:szCs w:val="21"/>
                <w:highlight w:val="none"/>
              </w:rPr>
            </w:pPr>
          </w:p>
        </w:tc>
        <w:tc>
          <w:tcPr>
            <w:tcW w:w="989" w:type="dxa"/>
            <w:noWrap w:val="0"/>
            <w:vAlign w:val="top"/>
          </w:tcPr>
          <w:p w14:paraId="46C41C82">
            <w:pPr>
              <w:rPr>
                <w:rFonts w:hint="eastAsia" w:ascii="新宋体" w:hAnsi="新宋体" w:eastAsia="新宋体" w:cs="新宋体"/>
                <w:color w:val="auto"/>
                <w:sz w:val="21"/>
                <w:szCs w:val="21"/>
                <w:highlight w:val="none"/>
              </w:rPr>
            </w:pPr>
          </w:p>
        </w:tc>
        <w:tc>
          <w:tcPr>
            <w:tcW w:w="990" w:type="dxa"/>
            <w:noWrap w:val="0"/>
            <w:vAlign w:val="top"/>
          </w:tcPr>
          <w:p w14:paraId="23EA1B17">
            <w:pPr>
              <w:rPr>
                <w:rFonts w:hint="eastAsia" w:ascii="新宋体" w:hAnsi="新宋体" w:eastAsia="新宋体" w:cs="新宋体"/>
                <w:color w:val="auto"/>
                <w:sz w:val="21"/>
                <w:szCs w:val="21"/>
                <w:highlight w:val="none"/>
              </w:rPr>
            </w:pPr>
          </w:p>
        </w:tc>
        <w:tc>
          <w:tcPr>
            <w:tcW w:w="989" w:type="dxa"/>
            <w:noWrap w:val="0"/>
            <w:vAlign w:val="top"/>
          </w:tcPr>
          <w:p w14:paraId="21460649">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68179620">
            <w:pPr>
              <w:rPr>
                <w:rFonts w:hint="eastAsia" w:ascii="新宋体" w:hAnsi="新宋体" w:eastAsia="新宋体" w:cs="新宋体"/>
                <w:color w:val="auto"/>
                <w:sz w:val="21"/>
                <w:szCs w:val="21"/>
                <w:highlight w:val="none"/>
              </w:rPr>
            </w:pPr>
          </w:p>
        </w:tc>
      </w:tr>
      <w:tr w14:paraId="5B3159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560" w:type="dxa"/>
            <w:tcBorders>
              <w:left w:val="single" w:color="000000" w:sz="10" w:space="0"/>
            </w:tcBorders>
            <w:noWrap w:val="0"/>
            <w:vAlign w:val="top"/>
          </w:tcPr>
          <w:p w14:paraId="70A110CA">
            <w:pPr>
              <w:rPr>
                <w:rFonts w:hint="eastAsia" w:ascii="新宋体" w:hAnsi="新宋体" w:eastAsia="新宋体" w:cs="新宋体"/>
                <w:color w:val="auto"/>
                <w:sz w:val="21"/>
                <w:szCs w:val="21"/>
                <w:highlight w:val="none"/>
              </w:rPr>
            </w:pPr>
          </w:p>
        </w:tc>
        <w:tc>
          <w:tcPr>
            <w:tcW w:w="1273" w:type="dxa"/>
            <w:noWrap w:val="0"/>
            <w:vAlign w:val="top"/>
          </w:tcPr>
          <w:p w14:paraId="0380ED77">
            <w:pPr>
              <w:rPr>
                <w:rFonts w:hint="eastAsia" w:ascii="新宋体" w:hAnsi="新宋体" w:eastAsia="新宋体" w:cs="新宋体"/>
                <w:color w:val="auto"/>
                <w:sz w:val="21"/>
                <w:szCs w:val="21"/>
                <w:highlight w:val="none"/>
              </w:rPr>
            </w:pPr>
          </w:p>
        </w:tc>
        <w:tc>
          <w:tcPr>
            <w:tcW w:w="1271" w:type="dxa"/>
            <w:noWrap w:val="0"/>
            <w:vAlign w:val="top"/>
          </w:tcPr>
          <w:p w14:paraId="32525199">
            <w:pPr>
              <w:rPr>
                <w:rFonts w:hint="eastAsia" w:ascii="新宋体" w:hAnsi="新宋体" w:eastAsia="新宋体" w:cs="新宋体"/>
                <w:color w:val="auto"/>
                <w:sz w:val="21"/>
                <w:szCs w:val="21"/>
                <w:highlight w:val="none"/>
              </w:rPr>
            </w:pPr>
          </w:p>
        </w:tc>
        <w:tc>
          <w:tcPr>
            <w:tcW w:w="839" w:type="dxa"/>
            <w:noWrap w:val="0"/>
            <w:vAlign w:val="top"/>
          </w:tcPr>
          <w:p w14:paraId="7F3C2333">
            <w:pPr>
              <w:rPr>
                <w:rFonts w:hint="eastAsia" w:ascii="新宋体" w:hAnsi="新宋体" w:eastAsia="新宋体" w:cs="新宋体"/>
                <w:color w:val="auto"/>
                <w:sz w:val="21"/>
                <w:szCs w:val="21"/>
                <w:highlight w:val="none"/>
              </w:rPr>
            </w:pPr>
          </w:p>
        </w:tc>
        <w:tc>
          <w:tcPr>
            <w:tcW w:w="849" w:type="dxa"/>
            <w:noWrap w:val="0"/>
            <w:vAlign w:val="top"/>
          </w:tcPr>
          <w:p w14:paraId="4D44E85F">
            <w:pPr>
              <w:rPr>
                <w:rFonts w:hint="eastAsia" w:ascii="新宋体" w:hAnsi="新宋体" w:eastAsia="新宋体" w:cs="新宋体"/>
                <w:color w:val="auto"/>
                <w:sz w:val="21"/>
                <w:szCs w:val="21"/>
                <w:highlight w:val="none"/>
              </w:rPr>
            </w:pPr>
          </w:p>
        </w:tc>
        <w:tc>
          <w:tcPr>
            <w:tcW w:w="848" w:type="dxa"/>
            <w:noWrap w:val="0"/>
            <w:vAlign w:val="top"/>
          </w:tcPr>
          <w:p w14:paraId="4E632507">
            <w:pPr>
              <w:rPr>
                <w:rFonts w:hint="eastAsia" w:ascii="新宋体" w:hAnsi="新宋体" w:eastAsia="新宋体" w:cs="新宋体"/>
                <w:color w:val="auto"/>
                <w:sz w:val="21"/>
                <w:szCs w:val="21"/>
                <w:highlight w:val="none"/>
              </w:rPr>
            </w:pPr>
          </w:p>
        </w:tc>
        <w:tc>
          <w:tcPr>
            <w:tcW w:w="989" w:type="dxa"/>
            <w:noWrap w:val="0"/>
            <w:vAlign w:val="top"/>
          </w:tcPr>
          <w:p w14:paraId="2623FE9B">
            <w:pPr>
              <w:rPr>
                <w:rFonts w:hint="eastAsia" w:ascii="新宋体" w:hAnsi="新宋体" w:eastAsia="新宋体" w:cs="新宋体"/>
                <w:color w:val="auto"/>
                <w:sz w:val="21"/>
                <w:szCs w:val="21"/>
                <w:highlight w:val="none"/>
              </w:rPr>
            </w:pPr>
          </w:p>
        </w:tc>
        <w:tc>
          <w:tcPr>
            <w:tcW w:w="990" w:type="dxa"/>
            <w:noWrap w:val="0"/>
            <w:vAlign w:val="top"/>
          </w:tcPr>
          <w:p w14:paraId="4C63BB3B">
            <w:pPr>
              <w:rPr>
                <w:rFonts w:hint="eastAsia" w:ascii="新宋体" w:hAnsi="新宋体" w:eastAsia="新宋体" w:cs="新宋体"/>
                <w:color w:val="auto"/>
                <w:sz w:val="21"/>
                <w:szCs w:val="21"/>
                <w:highlight w:val="none"/>
              </w:rPr>
            </w:pPr>
          </w:p>
        </w:tc>
        <w:tc>
          <w:tcPr>
            <w:tcW w:w="989" w:type="dxa"/>
            <w:noWrap w:val="0"/>
            <w:vAlign w:val="top"/>
          </w:tcPr>
          <w:p w14:paraId="06E6791B">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3A543D83">
            <w:pPr>
              <w:rPr>
                <w:rFonts w:hint="eastAsia" w:ascii="新宋体" w:hAnsi="新宋体" w:eastAsia="新宋体" w:cs="新宋体"/>
                <w:color w:val="auto"/>
                <w:sz w:val="21"/>
                <w:szCs w:val="21"/>
                <w:highlight w:val="none"/>
              </w:rPr>
            </w:pPr>
          </w:p>
        </w:tc>
      </w:tr>
      <w:tr w14:paraId="1BD7C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42C8A507">
            <w:pPr>
              <w:rPr>
                <w:rFonts w:hint="eastAsia" w:ascii="新宋体" w:hAnsi="新宋体" w:eastAsia="新宋体" w:cs="新宋体"/>
                <w:color w:val="auto"/>
                <w:sz w:val="21"/>
                <w:szCs w:val="21"/>
                <w:highlight w:val="none"/>
              </w:rPr>
            </w:pPr>
          </w:p>
        </w:tc>
        <w:tc>
          <w:tcPr>
            <w:tcW w:w="1273" w:type="dxa"/>
            <w:noWrap w:val="0"/>
            <w:vAlign w:val="top"/>
          </w:tcPr>
          <w:p w14:paraId="53510566">
            <w:pPr>
              <w:rPr>
                <w:rFonts w:hint="eastAsia" w:ascii="新宋体" w:hAnsi="新宋体" w:eastAsia="新宋体" w:cs="新宋体"/>
                <w:color w:val="auto"/>
                <w:sz w:val="21"/>
                <w:szCs w:val="21"/>
                <w:highlight w:val="none"/>
              </w:rPr>
            </w:pPr>
          </w:p>
        </w:tc>
        <w:tc>
          <w:tcPr>
            <w:tcW w:w="1271" w:type="dxa"/>
            <w:noWrap w:val="0"/>
            <w:vAlign w:val="top"/>
          </w:tcPr>
          <w:p w14:paraId="41FEB90A">
            <w:pPr>
              <w:rPr>
                <w:rFonts w:hint="eastAsia" w:ascii="新宋体" w:hAnsi="新宋体" w:eastAsia="新宋体" w:cs="新宋体"/>
                <w:color w:val="auto"/>
                <w:sz w:val="21"/>
                <w:szCs w:val="21"/>
                <w:highlight w:val="none"/>
              </w:rPr>
            </w:pPr>
          </w:p>
        </w:tc>
        <w:tc>
          <w:tcPr>
            <w:tcW w:w="839" w:type="dxa"/>
            <w:noWrap w:val="0"/>
            <w:vAlign w:val="top"/>
          </w:tcPr>
          <w:p w14:paraId="517AB75D">
            <w:pPr>
              <w:rPr>
                <w:rFonts w:hint="eastAsia" w:ascii="新宋体" w:hAnsi="新宋体" w:eastAsia="新宋体" w:cs="新宋体"/>
                <w:color w:val="auto"/>
                <w:sz w:val="21"/>
                <w:szCs w:val="21"/>
                <w:highlight w:val="none"/>
              </w:rPr>
            </w:pPr>
          </w:p>
        </w:tc>
        <w:tc>
          <w:tcPr>
            <w:tcW w:w="849" w:type="dxa"/>
            <w:noWrap w:val="0"/>
            <w:vAlign w:val="top"/>
          </w:tcPr>
          <w:p w14:paraId="1D6FA653">
            <w:pPr>
              <w:rPr>
                <w:rFonts w:hint="eastAsia" w:ascii="新宋体" w:hAnsi="新宋体" w:eastAsia="新宋体" w:cs="新宋体"/>
                <w:color w:val="auto"/>
                <w:sz w:val="21"/>
                <w:szCs w:val="21"/>
                <w:highlight w:val="none"/>
              </w:rPr>
            </w:pPr>
          </w:p>
        </w:tc>
        <w:tc>
          <w:tcPr>
            <w:tcW w:w="848" w:type="dxa"/>
            <w:noWrap w:val="0"/>
            <w:vAlign w:val="top"/>
          </w:tcPr>
          <w:p w14:paraId="4AA6F2F7">
            <w:pPr>
              <w:rPr>
                <w:rFonts w:hint="eastAsia" w:ascii="新宋体" w:hAnsi="新宋体" w:eastAsia="新宋体" w:cs="新宋体"/>
                <w:color w:val="auto"/>
                <w:sz w:val="21"/>
                <w:szCs w:val="21"/>
                <w:highlight w:val="none"/>
              </w:rPr>
            </w:pPr>
          </w:p>
        </w:tc>
        <w:tc>
          <w:tcPr>
            <w:tcW w:w="989" w:type="dxa"/>
            <w:noWrap w:val="0"/>
            <w:vAlign w:val="top"/>
          </w:tcPr>
          <w:p w14:paraId="22BA98F4">
            <w:pPr>
              <w:rPr>
                <w:rFonts w:hint="eastAsia" w:ascii="新宋体" w:hAnsi="新宋体" w:eastAsia="新宋体" w:cs="新宋体"/>
                <w:color w:val="auto"/>
                <w:sz w:val="21"/>
                <w:szCs w:val="21"/>
                <w:highlight w:val="none"/>
              </w:rPr>
            </w:pPr>
          </w:p>
        </w:tc>
        <w:tc>
          <w:tcPr>
            <w:tcW w:w="990" w:type="dxa"/>
            <w:noWrap w:val="0"/>
            <w:vAlign w:val="top"/>
          </w:tcPr>
          <w:p w14:paraId="26CD90CE">
            <w:pPr>
              <w:rPr>
                <w:rFonts w:hint="eastAsia" w:ascii="新宋体" w:hAnsi="新宋体" w:eastAsia="新宋体" w:cs="新宋体"/>
                <w:color w:val="auto"/>
                <w:sz w:val="21"/>
                <w:szCs w:val="21"/>
                <w:highlight w:val="none"/>
              </w:rPr>
            </w:pPr>
          </w:p>
        </w:tc>
        <w:tc>
          <w:tcPr>
            <w:tcW w:w="989" w:type="dxa"/>
            <w:noWrap w:val="0"/>
            <w:vAlign w:val="top"/>
          </w:tcPr>
          <w:p w14:paraId="3F63DD02">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75068914">
            <w:pPr>
              <w:rPr>
                <w:rFonts w:hint="eastAsia" w:ascii="新宋体" w:hAnsi="新宋体" w:eastAsia="新宋体" w:cs="新宋体"/>
                <w:color w:val="auto"/>
                <w:sz w:val="21"/>
                <w:szCs w:val="21"/>
                <w:highlight w:val="none"/>
              </w:rPr>
            </w:pPr>
          </w:p>
        </w:tc>
      </w:tr>
      <w:tr w14:paraId="355546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560" w:type="dxa"/>
            <w:tcBorders>
              <w:left w:val="single" w:color="000000" w:sz="10" w:space="0"/>
            </w:tcBorders>
            <w:noWrap w:val="0"/>
            <w:vAlign w:val="top"/>
          </w:tcPr>
          <w:p w14:paraId="0BCB4CC6">
            <w:pPr>
              <w:rPr>
                <w:rFonts w:hint="eastAsia" w:ascii="新宋体" w:hAnsi="新宋体" w:eastAsia="新宋体" w:cs="新宋体"/>
                <w:color w:val="auto"/>
                <w:sz w:val="21"/>
                <w:szCs w:val="21"/>
                <w:highlight w:val="none"/>
              </w:rPr>
            </w:pPr>
          </w:p>
        </w:tc>
        <w:tc>
          <w:tcPr>
            <w:tcW w:w="1273" w:type="dxa"/>
            <w:noWrap w:val="0"/>
            <w:vAlign w:val="top"/>
          </w:tcPr>
          <w:p w14:paraId="0AECB5B8">
            <w:pPr>
              <w:rPr>
                <w:rFonts w:hint="eastAsia" w:ascii="新宋体" w:hAnsi="新宋体" w:eastAsia="新宋体" w:cs="新宋体"/>
                <w:color w:val="auto"/>
                <w:sz w:val="21"/>
                <w:szCs w:val="21"/>
                <w:highlight w:val="none"/>
              </w:rPr>
            </w:pPr>
          </w:p>
        </w:tc>
        <w:tc>
          <w:tcPr>
            <w:tcW w:w="1271" w:type="dxa"/>
            <w:noWrap w:val="0"/>
            <w:vAlign w:val="top"/>
          </w:tcPr>
          <w:p w14:paraId="46D2B1D2">
            <w:pPr>
              <w:rPr>
                <w:rFonts w:hint="eastAsia" w:ascii="新宋体" w:hAnsi="新宋体" w:eastAsia="新宋体" w:cs="新宋体"/>
                <w:color w:val="auto"/>
                <w:sz w:val="21"/>
                <w:szCs w:val="21"/>
                <w:highlight w:val="none"/>
              </w:rPr>
            </w:pPr>
          </w:p>
        </w:tc>
        <w:tc>
          <w:tcPr>
            <w:tcW w:w="839" w:type="dxa"/>
            <w:noWrap w:val="0"/>
            <w:vAlign w:val="top"/>
          </w:tcPr>
          <w:p w14:paraId="606BF4A2">
            <w:pPr>
              <w:rPr>
                <w:rFonts w:hint="eastAsia" w:ascii="新宋体" w:hAnsi="新宋体" w:eastAsia="新宋体" w:cs="新宋体"/>
                <w:color w:val="auto"/>
                <w:sz w:val="21"/>
                <w:szCs w:val="21"/>
                <w:highlight w:val="none"/>
              </w:rPr>
            </w:pPr>
          </w:p>
        </w:tc>
        <w:tc>
          <w:tcPr>
            <w:tcW w:w="849" w:type="dxa"/>
            <w:noWrap w:val="0"/>
            <w:vAlign w:val="top"/>
          </w:tcPr>
          <w:p w14:paraId="57741D19">
            <w:pPr>
              <w:rPr>
                <w:rFonts w:hint="eastAsia" w:ascii="新宋体" w:hAnsi="新宋体" w:eastAsia="新宋体" w:cs="新宋体"/>
                <w:color w:val="auto"/>
                <w:sz w:val="21"/>
                <w:szCs w:val="21"/>
                <w:highlight w:val="none"/>
              </w:rPr>
            </w:pPr>
          </w:p>
        </w:tc>
        <w:tc>
          <w:tcPr>
            <w:tcW w:w="848" w:type="dxa"/>
            <w:noWrap w:val="0"/>
            <w:vAlign w:val="top"/>
          </w:tcPr>
          <w:p w14:paraId="44E49DC8">
            <w:pPr>
              <w:rPr>
                <w:rFonts w:hint="eastAsia" w:ascii="新宋体" w:hAnsi="新宋体" w:eastAsia="新宋体" w:cs="新宋体"/>
                <w:color w:val="auto"/>
                <w:sz w:val="21"/>
                <w:szCs w:val="21"/>
                <w:highlight w:val="none"/>
              </w:rPr>
            </w:pPr>
          </w:p>
        </w:tc>
        <w:tc>
          <w:tcPr>
            <w:tcW w:w="989" w:type="dxa"/>
            <w:noWrap w:val="0"/>
            <w:vAlign w:val="top"/>
          </w:tcPr>
          <w:p w14:paraId="14C9D9F5">
            <w:pPr>
              <w:rPr>
                <w:rFonts w:hint="eastAsia" w:ascii="新宋体" w:hAnsi="新宋体" w:eastAsia="新宋体" w:cs="新宋体"/>
                <w:color w:val="auto"/>
                <w:sz w:val="21"/>
                <w:szCs w:val="21"/>
                <w:highlight w:val="none"/>
              </w:rPr>
            </w:pPr>
          </w:p>
        </w:tc>
        <w:tc>
          <w:tcPr>
            <w:tcW w:w="990" w:type="dxa"/>
            <w:noWrap w:val="0"/>
            <w:vAlign w:val="top"/>
          </w:tcPr>
          <w:p w14:paraId="4DF20CD7">
            <w:pPr>
              <w:rPr>
                <w:rFonts w:hint="eastAsia" w:ascii="新宋体" w:hAnsi="新宋体" w:eastAsia="新宋体" w:cs="新宋体"/>
                <w:color w:val="auto"/>
                <w:sz w:val="21"/>
                <w:szCs w:val="21"/>
                <w:highlight w:val="none"/>
              </w:rPr>
            </w:pPr>
          </w:p>
        </w:tc>
        <w:tc>
          <w:tcPr>
            <w:tcW w:w="989" w:type="dxa"/>
            <w:noWrap w:val="0"/>
            <w:vAlign w:val="top"/>
          </w:tcPr>
          <w:p w14:paraId="6C31FF56">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1EA1ACE7">
            <w:pPr>
              <w:rPr>
                <w:rFonts w:hint="eastAsia" w:ascii="新宋体" w:hAnsi="新宋体" w:eastAsia="新宋体" w:cs="新宋体"/>
                <w:color w:val="auto"/>
                <w:sz w:val="21"/>
                <w:szCs w:val="21"/>
                <w:highlight w:val="none"/>
              </w:rPr>
            </w:pPr>
          </w:p>
        </w:tc>
      </w:tr>
      <w:tr w14:paraId="5785C5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555EF90E">
            <w:pPr>
              <w:rPr>
                <w:rFonts w:hint="eastAsia" w:ascii="新宋体" w:hAnsi="新宋体" w:eastAsia="新宋体" w:cs="新宋体"/>
                <w:color w:val="auto"/>
                <w:sz w:val="21"/>
                <w:szCs w:val="21"/>
                <w:highlight w:val="none"/>
              </w:rPr>
            </w:pPr>
          </w:p>
        </w:tc>
        <w:tc>
          <w:tcPr>
            <w:tcW w:w="1273" w:type="dxa"/>
            <w:noWrap w:val="0"/>
            <w:vAlign w:val="top"/>
          </w:tcPr>
          <w:p w14:paraId="0A17D724">
            <w:pPr>
              <w:rPr>
                <w:rFonts w:hint="eastAsia" w:ascii="新宋体" w:hAnsi="新宋体" w:eastAsia="新宋体" w:cs="新宋体"/>
                <w:color w:val="auto"/>
                <w:sz w:val="21"/>
                <w:szCs w:val="21"/>
                <w:highlight w:val="none"/>
              </w:rPr>
            </w:pPr>
          </w:p>
        </w:tc>
        <w:tc>
          <w:tcPr>
            <w:tcW w:w="1271" w:type="dxa"/>
            <w:noWrap w:val="0"/>
            <w:vAlign w:val="top"/>
          </w:tcPr>
          <w:p w14:paraId="74371888">
            <w:pPr>
              <w:rPr>
                <w:rFonts w:hint="eastAsia" w:ascii="新宋体" w:hAnsi="新宋体" w:eastAsia="新宋体" w:cs="新宋体"/>
                <w:color w:val="auto"/>
                <w:sz w:val="21"/>
                <w:szCs w:val="21"/>
                <w:highlight w:val="none"/>
              </w:rPr>
            </w:pPr>
          </w:p>
        </w:tc>
        <w:tc>
          <w:tcPr>
            <w:tcW w:w="839" w:type="dxa"/>
            <w:noWrap w:val="0"/>
            <w:vAlign w:val="top"/>
          </w:tcPr>
          <w:p w14:paraId="6C5EBB68">
            <w:pPr>
              <w:rPr>
                <w:rFonts w:hint="eastAsia" w:ascii="新宋体" w:hAnsi="新宋体" w:eastAsia="新宋体" w:cs="新宋体"/>
                <w:color w:val="auto"/>
                <w:sz w:val="21"/>
                <w:szCs w:val="21"/>
                <w:highlight w:val="none"/>
              </w:rPr>
            </w:pPr>
          </w:p>
        </w:tc>
        <w:tc>
          <w:tcPr>
            <w:tcW w:w="849" w:type="dxa"/>
            <w:noWrap w:val="0"/>
            <w:vAlign w:val="top"/>
          </w:tcPr>
          <w:p w14:paraId="10E1F9EE">
            <w:pPr>
              <w:rPr>
                <w:rFonts w:hint="eastAsia" w:ascii="新宋体" w:hAnsi="新宋体" w:eastAsia="新宋体" w:cs="新宋体"/>
                <w:color w:val="auto"/>
                <w:sz w:val="21"/>
                <w:szCs w:val="21"/>
                <w:highlight w:val="none"/>
              </w:rPr>
            </w:pPr>
          </w:p>
        </w:tc>
        <w:tc>
          <w:tcPr>
            <w:tcW w:w="848" w:type="dxa"/>
            <w:noWrap w:val="0"/>
            <w:vAlign w:val="top"/>
          </w:tcPr>
          <w:p w14:paraId="2F69FC97">
            <w:pPr>
              <w:rPr>
                <w:rFonts w:hint="eastAsia" w:ascii="新宋体" w:hAnsi="新宋体" w:eastAsia="新宋体" w:cs="新宋体"/>
                <w:color w:val="auto"/>
                <w:sz w:val="21"/>
                <w:szCs w:val="21"/>
                <w:highlight w:val="none"/>
              </w:rPr>
            </w:pPr>
          </w:p>
        </w:tc>
        <w:tc>
          <w:tcPr>
            <w:tcW w:w="989" w:type="dxa"/>
            <w:noWrap w:val="0"/>
            <w:vAlign w:val="top"/>
          </w:tcPr>
          <w:p w14:paraId="01C89370">
            <w:pPr>
              <w:rPr>
                <w:rFonts w:hint="eastAsia" w:ascii="新宋体" w:hAnsi="新宋体" w:eastAsia="新宋体" w:cs="新宋体"/>
                <w:color w:val="auto"/>
                <w:sz w:val="21"/>
                <w:szCs w:val="21"/>
                <w:highlight w:val="none"/>
              </w:rPr>
            </w:pPr>
          </w:p>
        </w:tc>
        <w:tc>
          <w:tcPr>
            <w:tcW w:w="990" w:type="dxa"/>
            <w:noWrap w:val="0"/>
            <w:vAlign w:val="top"/>
          </w:tcPr>
          <w:p w14:paraId="35AB457B">
            <w:pPr>
              <w:rPr>
                <w:rFonts w:hint="eastAsia" w:ascii="新宋体" w:hAnsi="新宋体" w:eastAsia="新宋体" w:cs="新宋体"/>
                <w:color w:val="auto"/>
                <w:sz w:val="21"/>
                <w:szCs w:val="21"/>
                <w:highlight w:val="none"/>
              </w:rPr>
            </w:pPr>
          </w:p>
        </w:tc>
        <w:tc>
          <w:tcPr>
            <w:tcW w:w="989" w:type="dxa"/>
            <w:noWrap w:val="0"/>
            <w:vAlign w:val="top"/>
          </w:tcPr>
          <w:p w14:paraId="3DD5D026">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0024B2C2">
            <w:pPr>
              <w:rPr>
                <w:rFonts w:hint="eastAsia" w:ascii="新宋体" w:hAnsi="新宋体" w:eastAsia="新宋体" w:cs="新宋体"/>
                <w:color w:val="auto"/>
                <w:sz w:val="21"/>
                <w:szCs w:val="21"/>
                <w:highlight w:val="none"/>
              </w:rPr>
            </w:pPr>
          </w:p>
        </w:tc>
      </w:tr>
      <w:tr w14:paraId="3D31D1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06BBCA78">
            <w:pPr>
              <w:rPr>
                <w:rFonts w:hint="eastAsia" w:ascii="新宋体" w:hAnsi="新宋体" w:eastAsia="新宋体" w:cs="新宋体"/>
                <w:color w:val="auto"/>
                <w:sz w:val="21"/>
                <w:szCs w:val="21"/>
                <w:highlight w:val="none"/>
              </w:rPr>
            </w:pPr>
          </w:p>
        </w:tc>
        <w:tc>
          <w:tcPr>
            <w:tcW w:w="1273" w:type="dxa"/>
            <w:noWrap w:val="0"/>
            <w:vAlign w:val="top"/>
          </w:tcPr>
          <w:p w14:paraId="4ECA6899">
            <w:pPr>
              <w:rPr>
                <w:rFonts w:hint="eastAsia" w:ascii="新宋体" w:hAnsi="新宋体" w:eastAsia="新宋体" w:cs="新宋体"/>
                <w:color w:val="auto"/>
                <w:sz w:val="21"/>
                <w:szCs w:val="21"/>
                <w:highlight w:val="none"/>
              </w:rPr>
            </w:pPr>
          </w:p>
        </w:tc>
        <w:tc>
          <w:tcPr>
            <w:tcW w:w="1271" w:type="dxa"/>
            <w:noWrap w:val="0"/>
            <w:vAlign w:val="top"/>
          </w:tcPr>
          <w:p w14:paraId="1367E292">
            <w:pPr>
              <w:rPr>
                <w:rFonts w:hint="eastAsia" w:ascii="新宋体" w:hAnsi="新宋体" w:eastAsia="新宋体" w:cs="新宋体"/>
                <w:color w:val="auto"/>
                <w:sz w:val="21"/>
                <w:szCs w:val="21"/>
                <w:highlight w:val="none"/>
              </w:rPr>
            </w:pPr>
          </w:p>
        </w:tc>
        <w:tc>
          <w:tcPr>
            <w:tcW w:w="839" w:type="dxa"/>
            <w:noWrap w:val="0"/>
            <w:vAlign w:val="top"/>
          </w:tcPr>
          <w:p w14:paraId="3FF73F68">
            <w:pPr>
              <w:rPr>
                <w:rFonts w:hint="eastAsia" w:ascii="新宋体" w:hAnsi="新宋体" w:eastAsia="新宋体" w:cs="新宋体"/>
                <w:color w:val="auto"/>
                <w:sz w:val="21"/>
                <w:szCs w:val="21"/>
                <w:highlight w:val="none"/>
              </w:rPr>
            </w:pPr>
          </w:p>
        </w:tc>
        <w:tc>
          <w:tcPr>
            <w:tcW w:w="849" w:type="dxa"/>
            <w:noWrap w:val="0"/>
            <w:vAlign w:val="top"/>
          </w:tcPr>
          <w:p w14:paraId="3F65CAC5">
            <w:pPr>
              <w:rPr>
                <w:rFonts w:hint="eastAsia" w:ascii="新宋体" w:hAnsi="新宋体" w:eastAsia="新宋体" w:cs="新宋体"/>
                <w:color w:val="auto"/>
                <w:sz w:val="21"/>
                <w:szCs w:val="21"/>
                <w:highlight w:val="none"/>
              </w:rPr>
            </w:pPr>
          </w:p>
        </w:tc>
        <w:tc>
          <w:tcPr>
            <w:tcW w:w="848" w:type="dxa"/>
            <w:noWrap w:val="0"/>
            <w:vAlign w:val="top"/>
          </w:tcPr>
          <w:p w14:paraId="6972DE14">
            <w:pPr>
              <w:rPr>
                <w:rFonts w:hint="eastAsia" w:ascii="新宋体" w:hAnsi="新宋体" w:eastAsia="新宋体" w:cs="新宋体"/>
                <w:color w:val="auto"/>
                <w:sz w:val="21"/>
                <w:szCs w:val="21"/>
                <w:highlight w:val="none"/>
              </w:rPr>
            </w:pPr>
          </w:p>
        </w:tc>
        <w:tc>
          <w:tcPr>
            <w:tcW w:w="989" w:type="dxa"/>
            <w:noWrap w:val="0"/>
            <w:vAlign w:val="top"/>
          </w:tcPr>
          <w:p w14:paraId="69F80A11">
            <w:pPr>
              <w:rPr>
                <w:rFonts w:hint="eastAsia" w:ascii="新宋体" w:hAnsi="新宋体" w:eastAsia="新宋体" w:cs="新宋体"/>
                <w:color w:val="auto"/>
                <w:sz w:val="21"/>
                <w:szCs w:val="21"/>
                <w:highlight w:val="none"/>
              </w:rPr>
            </w:pPr>
          </w:p>
        </w:tc>
        <w:tc>
          <w:tcPr>
            <w:tcW w:w="990" w:type="dxa"/>
            <w:noWrap w:val="0"/>
            <w:vAlign w:val="top"/>
          </w:tcPr>
          <w:p w14:paraId="18F27508">
            <w:pPr>
              <w:rPr>
                <w:rFonts w:hint="eastAsia" w:ascii="新宋体" w:hAnsi="新宋体" w:eastAsia="新宋体" w:cs="新宋体"/>
                <w:color w:val="auto"/>
                <w:sz w:val="21"/>
                <w:szCs w:val="21"/>
                <w:highlight w:val="none"/>
              </w:rPr>
            </w:pPr>
          </w:p>
        </w:tc>
        <w:tc>
          <w:tcPr>
            <w:tcW w:w="989" w:type="dxa"/>
            <w:noWrap w:val="0"/>
            <w:vAlign w:val="top"/>
          </w:tcPr>
          <w:p w14:paraId="4207C257">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16CEFF90">
            <w:pPr>
              <w:rPr>
                <w:rFonts w:hint="eastAsia" w:ascii="新宋体" w:hAnsi="新宋体" w:eastAsia="新宋体" w:cs="新宋体"/>
                <w:color w:val="auto"/>
                <w:sz w:val="21"/>
                <w:szCs w:val="21"/>
                <w:highlight w:val="none"/>
              </w:rPr>
            </w:pPr>
          </w:p>
        </w:tc>
      </w:tr>
      <w:tr w14:paraId="1CC990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1C2FA233">
            <w:pPr>
              <w:rPr>
                <w:rFonts w:hint="eastAsia" w:ascii="新宋体" w:hAnsi="新宋体" w:eastAsia="新宋体" w:cs="新宋体"/>
                <w:color w:val="auto"/>
                <w:sz w:val="21"/>
                <w:szCs w:val="21"/>
                <w:highlight w:val="none"/>
              </w:rPr>
            </w:pPr>
          </w:p>
        </w:tc>
        <w:tc>
          <w:tcPr>
            <w:tcW w:w="1273" w:type="dxa"/>
            <w:noWrap w:val="0"/>
            <w:vAlign w:val="top"/>
          </w:tcPr>
          <w:p w14:paraId="2554A8D0">
            <w:pPr>
              <w:rPr>
                <w:rFonts w:hint="eastAsia" w:ascii="新宋体" w:hAnsi="新宋体" w:eastAsia="新宋体" w:cs="新宋体"/>
                <w:color w:val="auto"/>
                <w:sz w:val="21"/>
                <w:szCs w:val="21"/>
                <w:highlight w:val="none"/>
              </w:rPr>
            </w:pPr>
          </w:p>
        </w:tc>
        <w:tc>
          <w:tcPr>
            <w:tcW w:w="1271" w:type="dxa"/>
            <w:noWrap w:val="0"/>
            <w:vAlign w:val="top"/>
          </w:tcPr>
          <w:p w14:paraId="0C0A6E04">
            <w:pPr>
              <w:rPr>
                <w:rFonts w:hint="eastAsia" w:ascii="新宋体" w:hAnsi="新宋体" w:eastAsia="新宋体" w:cs="新宋体"/>
                <w:color w:val="auto"/>
                <w:sz w:val="21"/>
                <w:szCs w:val="21"/>
                <w:highlight w:val="none"/>
              </w:rPr>
            </w:pPr>
          </w:p>
        </w:tc>
        <w:tc>
          <w:tcPr>
            <w:tcW w:w="839" w:type="dxa"/>
            <w:noWrap w:val="0"/>
            <w:vAlign w:val="top"/>
          </w:tcPr>
          <w:p w14:paraId="51EFCB75">
            <w:pPr>
              <w:rPr>
                <w:rFonts w:hint="eastAsia" w:ascii="新宋体" w:hAnsi="新宋体" w:eastAsia="新宋体" w:cs="新宋体"/>
                <w:color w:val="auto"/>
                <w:sz w:val="21"/>
                <w:szCs w:val="21"/>
                <w:highlight w:val="none"/>
              </w:rPr>
            </w:pPr>
          </w:p>
        </w:tc>
        <w:tc>
          <w:tcPr>
            <w:tcW w:w="849" w:type="dxa"/>
            <w:noWrap w:val="0"/>
            <w:vAlign w:val="top"/>
          </w:tcPr>
          <w:p w14:paraId="77A98030">
            <w:pPr>
              <w:rPr>
                <w:rFonts w:hint="eastAsia" w:ascii="新宋体" w:hAnsi="新宋体" w:eastAsia="新宋体" w:cs="新宋体"/>
                <w:color w:val="auto"/>
                <w:sz w:val="21"/>
                <w:szCs w:val="21"/>
                <w:highlight w:val="none"/>
              </w:rPr>
            </w:pPr>
          </w:p>
        </w:tc>
        <w:tc>
          <w:tcPr>
            <w:tcW w:w="848" w:type="dxa"/>
            <w:noWrap w:val="0"/>
            <w:vAlign w:val="top"/>
          </w:tcPr>
          <w:p w14:paraId="32800C11">
            <w:pPr>
              <w:rPr>
                <w:rFonts w:hint="eastAsia" w:ascii="新宋体" w:hAnsi="新宋体" w:eastAsia="新宋体" w:cs="新宋体"/>
                <w:color w:val="auto"/>
                <w:sz w:val="21"/>
                <w:szCs w:val="21"/>
                <w:highlight w:val="none"/>
              </w:rPr>
            </w:pPr>
          </w:p>
        </w:tc>
        <w:tc>
          <w:tcPr>
            <w:tcW w:w="989" w:type="dxa"/>
            <w:noWrap w:val="0"/>
            <w:vAlign w:val="top"/>
          </w:tcPr>
          <w:p w14:paraId="53C575F4">
            <w:pPr>
              <w:rPr>
                <w:rFonts w:hint="eastAsia" w:ascii="新宋体" w:hAnsi="新宋体" w:eastAsia="新宋体" w:cs="新宋体"/>
                <w:color w:val="auto"/>
                <w:sz w:val="21"/>
                <w:szCs w:val="21"/>
                <w:highlight w:val="none"/>
              </w:rPr>
            </w:pPr>
          </w:p>
        </w:tc>
        <w:tc>
          <w:tcPr>
            <w:tcW w:w="990" w:type="dxa"/>
            <w:noWrap w:val="0"/>
            <w:vAlign w:val="top"/>
          </w:tcPr>
          <w:p w14:paraId="19DDA725">
            <w:pPr>
              <w:rPr>
                <w:rFonts w:hint="eastAsia" w:ascii="新宋体" w:hAnsi="新宋体" w:eastAsia="新宋体" w:cs="新宋体"/>
                <w:color w:val="auto"/>
                <w:sz w:val="21"/>
                <w:szCs w:val="21"/>
                <w:highlight w:val="none"/>
              </w:rPr>
            </w:pPr>
          </w:p>
        </w:tc>
        <w:tc>
          <w:tcPr>
            <w:tcW w:w="989" w:type="dxa"/>
            <w:noWrap w:val="0"/>
            <w:vAlign w:val="top"/>
          </w:tcPr>
          <w:p w14:paraId="38CD42CF">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4C66AE8C">
            <w:pPr>
              <w:rPr>
                <w:rFonts w:hint="eastAsia" w:ascii="新宋体" w:hAnsi="新宋体" w:eastAsia="新宋体" w:cs="新宋体"/>
                <w:color w:val="auto"/>
                <w:sz w:val="21"/>
                <w:szCs w:val="21"/>
                <w:highlight w:val="none"/>
              </w:rPr>
            </w:pPr>
          </w:p>
        </w:tc>
      </w:tr>
      <w:tr w14:paraId="3CFD0F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560" w:type="dxa"/>
            <w:tcBorders>
              <w:left w:val="single" w:color="000000" w:sz="10" w:space="0"/>
            </w:tcBorders>
            <w:noWrap w:val="0"/>
            <w:vAlign w:val="top"/>
          </w:tcPr>
          <w:p w14:paraId="71D67BB7">
            <w:pPr>
              <w:rPr>
                <w:rFonts w:hint="eastAsia" w:ascii="新宋体" w:hAnsi="新宋体" w:eastAsia="新宋体" w:cs="新宋体"/>
                <w:color w:val="auto"/>
                <w:sz w:val="21"/>
                <w:szCs w:val="21"/>
                <w:highlight w:val="none"/>
              </w:rPr>
            </w:pPr>
          </w:p>
        </w:tc>
        <w:tc>
          <w:tcPr>
            <w:tcW w:w="1273" w:type="dxa"/>
            <w:noWrap w:val="0"/>
            <w:vAlign w:val="top"/>
          </w:tcPr>
          <w:p w14:paraId="3B59736A">
            <w:pPr>
              <w:rPr>
                <w:rFonts w:hint="eastAsia" w:ascii="新宋体" w:hAnsi="新宋体" w:eastAsia="新宋体" w:cs="新宋体"/>
                <w:color w:val="auto"/>
                <w:sz w:val="21"/>
                <w:szCs w:val="21"/>
                <w:highlight w:val="none"/>
              </w:rPr>
            </w:pPr>
          </w:p>
        </w:tc>
        <w:tc>
          <w:tcPr>
            <w:tcW w:w="1271" w:type="dxa"/>
            <w:noWrap w:val="0"/>
            <w:vAlign w:val="top"/>
          </w:tcPr>
          <w:p w14:paraId="3DC3AE73">
            <w:pPr>
              <w:rPr>
                <w:rFonts w:hint="eastAsia" w:ascii="新宋体" w:hAnsi="新宋体" w:eastAsia="新宋体" w:cs="新宋体"/>
                <w:color w:val="auto"/>
                <w:sz w:val="21"/>
                <w:szCs w:val="21"/>
                <w:highlight w:val="none"/>
              </w:rPr>
            </w:pPr>
          </w:p>
        </w:tc>
        <w:tc>
          <w:tcPr>
            <w:tcW w:w="839" w:type="dxa"/>
            <w:noWrap w:val="0"/>
            <w:vAlign w:val="top"/>
          </w:tcPr>
          <w:p w14:paraId="559A1C09">
            <w:pPr>
              <w:rPr>
                <w:rFonts w:hint="eastAsia" w:ascii="新宋体" w:hAnsi="新宋体" w:eastAsia="新宋体" w:cs="新宋体"/>
                <w:color w:val="auto"/>
                <w:sz w:val="21"/>
                <w:szCs w:val="21"/>
                <w:highlight w:val="none"/>
              </w:rPr>
            </w:pPr>
          </w:p>
        </w:tc>
        <w:tc>
          <w:tcPr>
            <w:tcW w:w="849" w:type="dxa"/>
            <w:noWrap w:val="0"/>
            <w:vAlign w:val="top"/>
          </w:tcPr>
          <w:p w14:paraId="2D84DE6D">
            <w:pPr>
              <w:rPr>
                <w:rFonts w:hint="eastAsia" w:ascii="新宋体" w:hAnsi="新宋体" w:eastAsia="新宋体" w:cs="新宋体"/>
                <w:color w:val="auto"/>
                <w:sz w:val="21"/>
                <w:szCs w:val="21"/>
                <w:highlight w:val="none"/>
              </w:rPr>
            </w:pPr>
          </w:p>
        </w:tc>
        <w:tc>
          <w:tcPr>
            <w:tcW w:w="848" w:type="dxa"/>
            <w:noWrap w:val="0"/>
            <w:vAlign w:val="top"/>
          </w:tcPr>
          <w:p w14:paraId="2472746B">
            <w:pPr>
              <w:rPr>
                <w:rFonts w:hint="eastAsia" w:ascii="新宋体" w:hAnsi="新宋体" w:eastAsia="新宋体" w:cs="新宋体"/>
                <w:color w:val="auto"/>
                <w:sz w:val="21"/>
                <w:szCs w:val="21"/>
                <w:highlight w:val="none"/>
              </w:rPr>
            </w:pPr>
          </w:p>
        </w:tc>
        <w:tc>
          <w:tcPr>
            <w:tcW w:w="989" w:type="dxa"/>
            <w:noWrap w:val="0"/>
            <w:vAlign w:val="top"/>
          </w:tcPr>
          <w:p w14:paraId="6E3F9F1D">
            <w:pPr>
              <w:rPr>
                <w:rFonts w:hint="eastAsia" w:ascii="新宋体" w:hAnsi="新宋体" w:eastAsia="新宋体" w:cs="新宋体"/>
                <w:color w:val="auto"/>
                <w:sz w:val="21"/>
                <w:szCs w:val="21"/>
                <w:highlight w:val="none"/>
              </w:rPr>
            </w:pPr>
          </w:p>
        </w:tc>
        <w:tc>
          <w:tcPr>
            <w:tcW w:w="990" w:type="dxa"/>
            <w:noWrap w:val="0"/>
            <w:vAlign w:val="top"/>
          </w:tcPr>
          <w:p w14:paraId="3B24E3BA">
            <w:pPr>
              <w:rPr>
                <w:rFonts w:hint="eastAsia" w:ascii="新宋体" w:hAnsi="新宋体" w:eastAsia="新宋体" w:cs="新宋体"/>
                <w:color w:val="auto"/>
                <w:sz w:val="21"/>
                <w:szCs w:val="21"/>
                <w:highlight w:val="none"/>
              </w:rPr>
            </w:pPr>
          </w:p>
        </w:tc>
        <w:tc>
          <w:tcPr>
            <w:tcW w:w="989" w:type="dxa"/>
            <w:noWrap w:val="0"/>
            <w:vAlign w:val="top"/>
          </w:tcPr>
          <w:p w14:paraId="76F847F6">
            <w:pPr>
              <w:rPr>
                <w:rFonts w:hint="eastAsia" w:ascii="新宋体" w:hAnsi="新宋体" w:eastAsia="新宋体" w:cs="新宋体"/>
                <w:color w:val="auto"/>
                <w:sz w:val="21"/>
                <w:szCs w:val="21"/>
                <w:highlight w:val="none"/>
              </w:rPr>
            </w:pPr>
          </w:p>
        </w:tc>
        <w:tc>
          <w:tcPr>
            <w:tcW w:w="579" w:type="dxa"/>
            <w:tcBorders>
              <w:right w:val="single" w:color="000000" w:sz="10" w:space="0"/>
            </w:tcBorders>
            <w:noWrap w:val="0"/>
            <w:vAlign w:val="top"/>
          </w:tcPr>
          <w:p w14:paraId="4FCF6DE5">
            <w:pPr>
              <w:rPr>
                <w:rFonts w:hint="eastAsia" w:ascii="新宋体" w:hAnsi="新宋体" w:eastAsia="新宋体" w:cs="新宋体"/>
                <w:color w:val="auto"/>
                <w:sz w:val="21"/>
                <w:szCs w:val="21"/>
                <w:highlight w:val="none"/>
              </w:rPr>
            </w:pPr>
          </w:p>
        </w:tc>
      </w:tr>
      <w:tr w14:paraId="5146EA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2" w:hRule="atLeast"/>
        </w:trPr>
        <w:tc>
          <w:tcPr>
            <w:tcW w:w="560" w:type="dxa"/>
            <w:tcBorders>
              <w:left w:val="single" w:color="000000" w:sz="10" w:space="0"/>
              <w:bottom w:val="single" w:color="000000" w:sz="10" w:space="0"/>
            </w:tcBorders>
            <w:noWrap w:val="0"/>
            <w:vAlign w:val="top"/>
          </w:tcPr>
          <w:p w14:paraId="7D0CEFDF">
            <w:pPr>
              <w:rPr>
                <w:rFonts w:hint="eastAsia" w:ascii="新宋体" w:hAnsi="新宋体" w:eastAsia="新宋体" w:cs="新宋体"/>
                <w:color w:val="auto"/>
                <w:sz w:val="21"/>
                <w:szCs w:val="21"/>
                <w:highlight w:val="none"/>
              </w:rPr>
            </w:pPr>
          </w:p>
        </w:tc>
        <w:tc>
          <w:tcPr>
            <w:tcW w:w="1273" w:type="dxa"/>
            <w:tcBorders>
              <w:bottom w:val="single" w:color="000000" w:sz="10" w:space="0"/>
            </w:tcBorders>
            <w:noWrap w:val="0"/>
            <w:vAlign w:val="top"/>
          </w:tcPr>
          <w:p w14:paraId="53E3C080">
            <w:pPr>
              <w:rPr>
                <w:rFonts w:hint="eastAsia" w:ascii="新宋体" w:hAnsi="新宋体" w:eastAsia="新宋体" w:cs="新宋体"/>
                <w:color w:val="auto"/>
                <w:sz w:val="21"/>
                <w:szCs w:val="21"/>
                <w:highlight w:val="none"/>
              </w:rPr>
            </w:pPr>
          </w:p>
        </w:tc>
        <w:tc>
          <w:tcPr>
            <w:tcW w:w="1271" w:type="dxa"/>
            <w:tcBorders>
              <w:bottom w:val="single" w:color="000000" w:sz="10" w:space="0"/>
            </w:tcBorders>
            <w:noWrap w:val="0"/>
            <w:vAlign w:val="top"/>
          </w:tcPr>
          <w:p w14:paraId="4971C6E5">
            <w:pPr>
              <w:rPr>
                <w:rFonts w:hint="eastAsia" w:ascii="新宋体" w:hAnsi="新宋体" w:eastAsia="新宋体" w:cs="新宋体"/>
                <w:color w:val="auto"/>
                <w:sz w:val="21"/>
                <w:szCs w:val="21"/>
                <w:highlight w:val="none"/>
              </w:rPr>
            </w:pPr>
          </w:p>
        </w:tc>
        <w:tc>
          <w:tcPr>
            <w:tcW w:w="839" w:type="dxa"/>
            <w:tcBorders>
              <w:bottom w:val="single" w:color="000000" w:sz="10" w:space="0"/>
            </w:tcBorders>
            <w:noWrap w:val="0"/>
            <w:vAlign w:val="top"/>
          </w:tcPr>
          <w:p w14:paraId="5EB16934">
            <w:pPr>
              <w:rPr>
                <w:rFonts w:hint="eastAsia" w:ascii="新宋体" w:hAnsi="新宋体" w:eastAsia="新宋体" w:cs="新宋体"/>
                <w:color w:val="auto"/>
                <w:sz w:val="21"/>
                <w:szCs w:val="21"/>
                <w:highlight w:val="none"/>
              </w:rPr>
            </w:pPr>
          </w:p>
        </w:tc>
        <w:tc>
          <w:tcPr>
            <w:tcW w:w="849" w:type="dxa"/>
            <w:tcBorders>
              <w:bottom w:val="single" w:color="000000" w:sz="10" w:space="0"/>
            </w:tcBorders>
            <w:noWrap w:val="0"/>
            <w:vAlign w:val="top"/>
          </w:tcPr>
          <w:p w14:paraId="49E871E2">
            <w:pPr>
              <w:rPr>
                <w:rFonts w:hint="eastAsia" w:ascii="新宋体" w:hAnsi="新宋体" w:eastAsia="新宋体" w:cs="新宋体"/>
                <w:color w:val="auto"/>
                <w:sz w:val="21"/>
                <w:szCs w:val="21"/>
                <w:highlight w:val="none"/>
              </w:rPr>
            </w:pPr>
          </w:p>
        </w:tc>
        <w:tc>
          <w:tcPr>
            <w:tcW w:w="848" w:type="dxa"/>
            <w:tcBorders>
              <w:bottom w:val="single" w:color="000000" w:sz="10" w:space="0"/>
            </w:tcBorders>
            <w:noWrap w:val="0"/>
            <w:vAlign w:val="top"/>
          </w:tcPr>
          <w:p w14:paraId="00E75053">
            <w:pPr>
              <w:rPr>
                <w:rFonts w:hint="eastAsia" w:ascii="新宋体" w:hAnsi="新宋体" w:eastAsia="新宋体" w:cs="新宋体"/>
                <w:color w:val="auto"/>
                <w:sz w:val="21"/>
                <w:szCs w:val="21"/>
                <w:highlight w:val="none"/>
              </w:rPr>
            </w:pPr>
          </w:p>
        </w:tc>
        <w:tc>
          <w:tcPr>
            <w:tcW w:w="989" w:type="dxa"/>
            <w:tcBorders>
              <w:bottom w:val="single" w:color="000000" w:sz="10" w:space="0"/>
            </w:tcBorders>
            <w:noWrap w:val="0"/>
            <w:vAlign w:val="top"/>
          </w:tcPr>
          <w:p w14:paraId="6FCBF3F8">
            <w:pPr>
              <w:rPr>
                <w:rFonts w:hint="eastAsia" w:ascii="新宋体" w:hAnsi="新宋体" w:eastAsia="新宋体" w:cs="新宋体"/>
                <w:color w:val="auto"/>
                <w:sz w:val="21"/>
                <w:szCs w:val="21"/>
                <w:highlight w:val="none"/>
              </w:rPr>
            </w:pPr>
          </w:p>
        </w:tc>
        <w:tc>
          <w:tcPr>
            <w:tcW w:w="990" w:type="dxa"/>
            <w:tcBorders>
              <w:bottom w:val="single" w:color="000000" w:sz="10" w:space="0"/>
            </w:tcBorders>
            <w:noWrap w:val="0"/>
            <w:vAlign w:val="top"/>
          </w:tcPr>
          <w:p w14:paraId="421E5446">
            <w:pPr>
              <w:rPr>
                <w:rFonts w:hint="eastAsia" w:ascii="新宋体" w:hAnsi="新宋体" w:eastAsia="新宋体" w:cs="新宋体"/>
                <w:color w:val="auto"/>
                <w:sz w:val="21"/>
                <w:szCs w:val="21"/>
                <w:highlight w:val="none"/>
              </w:rPr>
            </w:pPr>
          </w:p>
        </w:tc>
        <w:tc>
          <w:tcPr>
            <w:tcW w:w="989" w:type="dxa"/>
            <w:tcBorders>
              <w:bottom w:val="single" w:color="000000" w:sz="10" w:space="0"/>
            </w:tcBorders>
            <w:noWrap w:val="0"/>
            <w:vAlign w:val="top"/>
          </w:tcPr>
          <w:p w14:paraId="2E4AC656">
            <w:pPr>
              <w:rPr>
                <w:rFonts w:hint="eastAsia" w:ascii="新宋体" w:hAnsi="新宋体" w:eastAsia="新宋体" w:cs="新宋体"/>
                <w:color w:val="auto"/>
                <w:sz w:val="21"/>
                <w:szCs w:val="21"/>
                <w:highlight w:val="none"/>
              </w:rPr>
            </w:pPr>
          </w:p>
        </w:tc>
        <w:tc>
          <w:tcPr>
            <w:tcW w:w="579" w:type="dxa"/>
            <w:tcBorders>
              <w:bottom w:val="single" w:color="000000" w:sz="10" w:space="0"/>
              <w:right w:val="single" w:color="000000" w:sz="10" w:space="0"/>
            </w:tcBorders>
            <w:noWrap w:val="0"/>
            <w:vAlign w:val="top"/>
          </w:tcPr>
          <w:p w14:paraId="58849F52">
            <w:pPr>
              <w:rPr>
                <w:rFonts w:hint="eastAsia" w:ascii="新宋体" w:hAnsi="新宋体" w:eastAsia="新宋体" w:cs="新宋体"/>
                <w:color w:val="auto"/>
                <w:sz w:val="21"/>
                <w:szCs w:val="21"/>
                <w:highlight w:val="none"/>
              </w:rPr>
            </w:pPr>
          </w:p>
        </w:tc>
      </w:tr>
    </w:tbl>
    <w:p w14:paraId="631D95AE">
      <w:pPr>
        <w:pStyle w:val="13"/>
        <w:spacing w:before="211" w:line="228" w:lineRule="auto"/>
        <w:ind w:left="437"/>
        <w:outlineLvl w:val="3"/>
        <w:rPr>
          <w:rFonts w:hint="eastAsia" w:ascii="宋体" w:hAnsi="宋体" w:eastAsia="宋体" w:cs="宋体"/>
          <w:color w:val="auto"/>
          <w:sz w:val="21"/>
          <w:szCs w:val="21"/>
          <w:highlight w:val="none"/>
        </w:rPr>
      </w:pPr>
      <w:r>
        <w:rPr>
          <w:rFonts w:hint="eastAsia" w:ascii="新宋体" w:hAnsi="新宋体" w:eastAsia="新宋体" w:cs="新宋体"/>
          <w:color w:val="auto"/>
          <w:spacing w:val="-3"/>
          <w:sz w:val="20"/>
          <w:szCs w:val="20"/>
          <w:highlight w:val="none"/>
        </w:rPr>
        <w:br w:type="page"/>
      </w:r>
      <w:bookmarkStart w:id="1021" w:name="_Toc13734"/>
      <w:r>
        <w:rPr>
          <w:rFonts w:hint="eastAsia" w:ascii="宋体" w:hAnsi="宋体" w:eastAsia="宋体" w:cs="宋体"/>
          <w:color w:val="auto"/>
          <w:spacing w:val="-3"/>
          <w:sz w:val="21"/>
          <w:szCs w:val="21"/>
          <w:highlight w:val="none"/>
        </w:rPr>
        <w:t>附件3：</w:t>
      </w:r>
      <w:bookmarkEnd w:id="1021"/>
    </w:p>
    <w:p w14:paraId="22F37EF3">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22" w:name="_Toc26169"/>
      <w:r>
        <w:rPr>
          <w:rFonts w:hint="eastAsia" w:ascii="新宋体" w:hAnsi="新宋体" w:eastAsia="新宋体" w:cs="新宋体"/>
          <w:b/>
          <w:bCs/>
          <w:color w:val="auto"/>
          <w:spacing w:val="8"/>
          <w:sz w:val="28"/>
          <w:szCs w:val="28"/>
          <w:highlight w:val="none"/>
        </w:rPr>
        <w:t>工程质量保修书</w:t>
      </w:r>
      <w:bookmarkEnd w:id="1022"/>
    </w:p>
    <w:p w14:paraId="2A520288">
      <w:pPr>
        <w:pStyle w:val="13"/>
        <w:spacing w:line="262" w:lineRule="auto"/>
        <w:rPr>
          <w:rFonts w:hint="eastAsia" w:ascii="宋体" w:hAnsi="宋体" w:eastAsia="宋体" w:cs="宋体"/>
          <w:color w:val="auto"/>
          <w:sz w:val="21"/>
          <w:szCs w:val="21"/>
          <w:highlight w:val="none"/>
        </w:rPr>
      </w:pPr>
    </w:p>
    <w:p w14:paraId="40963948">
      <w:pPr>
        <w:spacing w:before="65" w:line="288" w:lineRule="auto"/>
        <w:ind w:left="424"/>
        <w:jc w:val="left"/>
        <w:rPr>
          <w:rFonts w:hint="eastAsia" w:ascii="宋体" w:hAnsi="宋体" w:eastAsia="宋体" w:cs="宋体"/>
          <w:color w:val="auto"/>
          <w:sz w:val="21"/>
          <w:szCs w:val="21"/>
          <w:highlight w:val="none"/>
        </w:rPr>
      </w:pPr>
      <w:r>
        <w:rPr>
          <w:rFonts w:hint="eastAsia" w:ascii="宋体" w:hAnsi="宋体" w:eastAsia="宋体" w:cs="宋体"/>
          <w:color w:val="auto"/>
          <w:spacing w:val="8"/>
          <w:sz w:val="21"/>
          <w:szCs w:val="21"/>
          <w:highlight w:val="none"/>
        </w:rPr>
        <w:t>发包人（全称</w:t>
      </w:r>
      <w:r>
        <w:rPr>
          <w:rFonts w:hint="eastAsia" w:ascii="宋体" w:hAnsi="宋体" w:eastAsia="宋体" w:cs="宋体"/>
          <w:color w:val="auto"/>
          <w:spacing w:val="20"/>
          <w:sz w:val="21"/>
          <w:szCs w:val="21"/>
          <w:highlight w:val="none"/>
        </w:rPr>
        <w:t>）：</w:t>
      </w:r>
      <w:r>
        <w:rPr>
          <w:rFonts w:hint="eastAsia" w:ascii="宋体" w:hAnsi="宋体" w:eastAsia="宋体" w:cs="宋体"/>
          <w:color w:val="auto"/>
          <w:spacing w:val="8"/>
          <w:sz w:val="21"/>
          <w:szCs w:val="21"/>
          <w:highlight w:val="none"/>
          <w:u w:val="single"/>
        </w:rPr>
        <w:t>桂林航天工业学院</w:t>
      </w:r>
      <w:r>
        <w:rPr>
          <w:rFonts w:hint="eastAsia" w:ascii="宋体" w:hAnsi="宋体" w:eastAsia="宋体" w:cs="宋体"/>
          <w:color w:val="auto"/>
          <w:sz w:val="21"/>
          <w:szCs w:val="21"/>
          <w:highlight w:val="none"/>
          <w:u w:val="single"/>
        </w:rPr>
        <w:t xml:space="preserve">     </w:t>
      </w:r>
    </w:p>
    <w:p w14:paraId="77591209">
      <w:pPr>
        <w:spacing w:before="134" w:line="288" w:lineRule="auto"/>
        <w:ind w:left="420"/>
        <w:jc w:val="left"/>
        <w:rPr>
          <w:rFonts w:hint="eastAsia" w:ascii="宋体" w:hAnsi="宋体" w:eastAsia="宋体" w:cs="宋体"/>
          <w:color w:val="auto"/>
          <w:sz w:val="21"/>
          <w:szCs w:val="21"/>
          <w:highlight w:val="none"/>
          <w:lang w:val="en-US" w:eastAsia="zh-CN"/>
        </w:rPr>
      </w:pPr>
      <w:r>
        <w:rPr>
          <w:rFonts w:hint="eastAsia" w:ascii="宋体" w:hAnsi="宋体" w:eastAsia="宋体" w:cs="宋体"/>
          <w:color w:val="auto"/>
          <w:spacing w:val="9"/>
          <w:sz w:val="21"/>
          <w:szCs w:val="21"/>
          <w:highlight w:val="none"/>
        </w:rPr>
        <w:t>承包人（全称</w:t>
      </w:r>
      <w:r>
        <w:rPr>
          <w:rFonts w:hint="eastAsia" w:ascii="宋体" w:hAnsi="宋体" w:eastAsia="宋体" w:cs="宋体"/>
          <w:color w:val="auto"/>
          <w:spacing w:val="12"/>
          <w:sz w:val="21"/>
          <w:szCs w:val="21"/>
          <w:highlight w:val="none"/>
        </w:rPr>
        <w:t>）：</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p>
    <w:p w14:paraId="28ED1EE7">
      <w:pPr>
        <w:pStyle w:val="13"/>
        <w:spacing w:line="255" w:lineRule="auto"/>
        <w:rPr>
          <w:rFonts w:hint="eastAsia" w:ascii="宋体" w:hAnsi="宋体" w:eastAsia="宋体" w:cs="宋体"/>
          <w:color w:val="auto"/>
          <w:sz w:val="21"/>
          <w:szCs w:val="21"/>
          <w:highlight w:val="none"/>
        </w:rPr>
      </w:pPr>
    </w:p>
    <w:p w14:paraId="1E8BC7A9">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发包人和承包人根据《中华人民共和国建筑法》和《建设工程质量管理条例》，经协商一致就</w:t>
      </w:r>
      <w:r>
        <w:rPr>
          <w:rFonts w:hint="eastAsia" w:ascii="Times New Roman" w:hAnsi="Times New Roman" w:eastAsia="宋体" w:cs="宋体"/>
          <w:color w:val="auto"/>
          <w:spacing w:val="0"/>
          <w:w w:val="100"/>
          <w:sz w:val="21"/>
          <w:szCs w:val="21"/>
          <w:highlight w:val="none"/>
          <w:u w:val="single"/>
        </w:rPr>
        <w:t>（工程全称）</w:t>
      </w:r>
      <w:r>
        <w:rPr>
          <w:rFonts w:hint="eastAsia" w:ascii="Times New Roman" w:hAnsi="Times New Roman" w:eastAsia="宋体" w:cs="宋体"/>
          <w:color w:val="auto"/>
          <w:spacing w:val="0"/>
          <w:w w:val="100"/>
          <w:sz w:val="21"/>
          <w:szCs w:val="21"/>
          <w:highlight w:val="none"/>
        </w:rPr>
        <w:t>签订工程质量保修书。</w:t>
      </w:r>
    </w:p>
    <w:p w14:paraId="34054908">
      <w:pPr>
        <w:spacing w:before="154" w:line="228" w:lineRule="auto"/>
        <w:ind w:left="424"/>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一、工程质量保修范围和内容</w:t>
      </w:r>
    </w:p>
    <w:p w14:paraId="396C2A9D">
      <w:pPr>
        <w:spacing w:before="154" w:line="228" w:lineRule="auto"/>
        <w:ind w:left="42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承包人在质量保修期内，按照有关法律规定和合同约定，承担工程质量保修责任。</w:t>
      </w:r>
    </w:p>
    <w:p w14:paraId="213C5901">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质量保修范围包括地基基础工程、主体结构工程，屋面防水工程、有防水要求的卫生间、房间和外墙面的防渗漏，供热与供冷系统，电气管线、给排水管道、设备安装和装修工程，以及双方约定的其他项目。</w:t>
      </w:r>
    </w:p>
    <w:p w14:paraId="058036FC">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具体保修的内容，双方约定如下：</w:t>
      </w:r>
      <w:r>
        <w:rPr>
          <w:rFonts w:hint="eastAsia" w:ascii="Times New Roman" w:hAnsi="Times New Roman" w:eastAsia="宋体" w:cs="宋体"/>
          <w:color w:val="auto"/>
          <w:spacing w:val="0"/>
          <w:w w:val="100"/>
          <w:sz w:val="21"/>
          <w:szCs w:val="21"/>
          <w:highlight w:val="none"/>
          <w:u w:val="single"/>
        </w:rPr>
        <w:t xml:space="preserve"> 属承包人施工范围内的内容由承包人负责保修  </w:t>
      </w:r>
      <w:r>
        <w:rPr>
          <w:rFonts w:hint="eastAsia" w:ascii="Times New Roman" w:hAnsi="Times New Roman" w:eastAsia="宋体" w:cs="宋体"/>
          <w:color w:val="auto"/>
          <w:spacing w:val="0"/>
          <w:w w:val="100"/>
          <w:sz w:val="21"/>
          <w:szCs w:val="21"/>
          <w:highlight w:val="none"/>
        </w:rPr>
        <w:t>。</w:t>
      </w:r>
    </w:p>
    <w:p w14:paraId="32A2DF0B">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二、质量保修期</w:t>
      </w:r>
    </w:p>
    <w:p w14:paraId="35F59956">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根据《建设工程质量管理条例》及有关规定，工程的质量保修期如下：</w:t>
      </w:r>
    </w:p>
    <w:p w14:paraId="1D5681EA">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1 ．地基基础工程和主体结构工程为设计文件规定的工程合理使用年限；</w:t>
      </w:r>
    </w:p>
    <w:p w14:paraId="5FF41677">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2 ．屋面防水工程、有防水要求的卫生间、房间和外墙面的防渗为</w:t>
      </w:r>
      <w:r>
        <w:rPr>
          <w:rFonts w:hint="eastAsia" w:ascii="Times New Roman" w:hAnsi="Times New Roman" w:eastAsia="宋体" w:cs="宋体"/>
          <w:color w:val="auto"/>
          <w:spacing w:val="0"/>
          <w:w w:val="100"/>
          <w:sz w:val="21"/>
          <w:szCs w:val="21"/>
          <w:highlight w:val="none"/>
          <w:u w:val="single"/>
        </w:rPr>
        <w:t xml:space="preserve"> 五  </w:t>
      </w:r>
      <w:r>
        <w:rPr>
          <w:rFonts w:hint="eastAsia" w:ascii="Times New Roman" w:hAnsi="Times New Roman" w:eastAsia="宋体" w:cs="宋体"/>
          <w:color w:val="auto"/>
          <w:spacing w:val="0"/>
          <w:w w:val="100"/>
          <w:sz w:val="21"/>
          <w:szCs w:val="21"/>
          <w:highlight w:val="none"/>
        </w:rPr>
        <w:t xml:space="preserve"> 年；</w:t>
      </w:r>
    </w:p>
    <w:p w14:paraId="3EA8147B">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3 ．装修工程为</w:t>
      </w:r>
      <w:r>
        <w:rPr>
          <w:rFonts w:hint="eastAsia" w:ascii="Times New Roman" w:hAnsi="Times New Roman" w:eastAsia="宋体" w:cs="宋体"/>
          <w:color w:val="auto"/>
          <w:spacing w:val="0"/>
          <w:w w:val="100"/>
          <w:sz w:val="21"/>
          <w:szCs w:val="21"/>
          <w:highlight w:val="none"/>
          <w:u w:val="single"/>
        </w:rPr>
        <w:t xml:space="preserve">  两  </w:t>
      </w:r>
      <w:r>
        <w:rPr>
          <w:rFonts w:hint="eastAsia" w:ascii="Times New Roman" w:hAnsi="Times New Roman" w:eastAsia="宋体" w:cs="宋体"/>
          <w:color w:val="auto"/>
          <w:spacing w:val="0"/>
          <w:w w:val="100"/>
          <w:sz w:val="21"/>
          <w:szCs w:val="21"/>
          <w:highlight w:val="none"/>
        </w:rPr>
        <w:t xml:space="preserve"> 年；</w:t>
      </w:r>
    </w:p>
    <w:p w14:paraId="04D9B046">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4 ．电气管线、给排水管道、设备安装工程为</w:t>
      </w:r>
      <w:r>
        <w:rPr>
          <w:rFonts w:hint="eastAsia" w:ascii="Times New Roman" w:hAnsi="Times New Roman" w:eastAsia="宋体" w:cs="宋体"/>
          <w:color w:val="auto"/>
          <w:spacing w:val="0"/>
          <w:w w:val="100"/>
          <w:sz w:val="21"/>
          <w:szCs w:val="21"/>
          <w:highlight w:val="none"/>
          <w:u w:val="single"/>
        </w:rPr>
        <w:t xml:space="preserve">  两  </w:t>
      </w:r>
      <w:r>
        <w:rPr>
          <w:rFonts w:hint="eastAsia" w:ascii="Times New Roman" w:hAnsi="Times New Roman" w:eastAsia="宋体" w:cs="宋体"/>
          <w:color w:val="auto"/>
          <w:spacing w:val="0"/>
          <w:w w:val="100"/>
          <w:sz w:val="21"/>
          <w:szCs w:val="21"/>
          <w:highlight w:val="none"/>
        </w:rPr>
        <w:t xml:space="preserve"> 年；</w:t>
      </w:r>
    </w:p>
    <w:p w14:paraId="5B6F12B0">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5 ．供热与供冷系统为</w:t>
      </w:r>
      <w:r>
        <w:rPr>
          <w:rFonts w:hint="eastAsia" w:ascii="Times New Roman" w:hAnsi="Times New Roman" w:eastAsia="宋体" w:cs="宋体"/>
          <w:color w:val="auto"/>
          <w:spacing w:val="0"/>
          <w:w w:val="100"/>
          <w:sz w:val="21"/>
          <w:szCs w:val="21"/>
          <w:highlight w:val="none"/>
          <w:u w:val="single"/>
        </w:rPr>
        <w:t xml:space="preserve">  两  </w:t>
      </w:r>
      <w:r>
        <w:rPr>
          <w:rFonts w:hint="eastAsia" w:ascii="Times New Roman" w:hAnsi="Times New Roman" w:eastAsia="宋体" w:cs="宋体"/>
          <w:color w:val="auto"/>
          <w:spacing w:val="0"/>
          <w:w w:val="100"/>
          <w:sz w:val="21"/>
          <w:szCs w:val="21"/>
          <w:highlight w:val="none"/>
        </w:rPr>
        <w:t xml:space="preserve"> 个采暖期、供冷期；</w:t>
      </w:r>
    </w:p>
    <w:p w14:paraId="170B7778">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6 ．住宅小区内的给排水设施、道路等配套工程为</w:t>
      </w:r>
      <w:r>
        <w:rPr>
          <w:rFonts w:hint="eastAsia" w:ascii="Times New Roman" w:hAnsi="Times New Roman" w:eastAsia="宋体" w:cs="宋体"/>
          <w:color w:val="auto"/>
          <w:spacing w:val="0"/>
          <w:w w:val="100"/>
          <w:sz w:val="21"/>
          <w:szCs w:val="21"/>
          <w:highlight w:val="none"/>
          <w:u w:val="single"/>
        </w:rPr>
        <w:t xml:space="preserve">  两 </w:t>
      </w:r>
      <w:r>
        <w:rPr>
          <w:rFonts w:hint="eastAsia" w:ascii="Times New Roman" w:hAnsi="Times New Roman" w:eastAsia="宋体" w:cs="宋体"/>
          <w:color w:val="auto"/>
          <w:spacing w:val="0"/>
          <w:w w:val="100"/>
          <w:sz w:val="21"/>
          <w:szCs w:val="21"/>
          <w:highlight w:val="none"/>
        </w:rPr>
        <w:t>年；</w:t>
      </w:r>
    </w:p>
    <w:p w14:paraId="10A36A0A">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7 、园林绿化种植工程为</w:t>
      </w:r>
      <w:r>
        <w:rPr>
          <w:rFonts w:hint="eastAsia" w:ascii="Times New Roman" w:hAnsi="Times New Roman" w:eastAsia="宋体" w:cs="宋体"/>
          <w:color w:val="auto"/>
          <w:spacing w:val="0"/>
          <w:w w:val="100"/>
          <w:sz w:val="21"/>
          <w:szCs w:val="21"/>
          <w:highlight w:val="none"/>
          <w:u w:val="single"/>
        </w:rPr>
        <w:t xml:space="preserve"> 两 </w:t>
      </w:r>
      <w:r>
        <w:rPr>
          <w:rFonts w:hint="eastAsia" w:ascii="Times New Roman" w:hAnsi="Times New Roman" w:eastAsia="宋体" w:cs="宋体"/>
          <w:color w:val="auto"/>
          <w:spacing w:val="0"/>
          <w:w w:val="100"/>
          <w:sz w:val="21"/>
          <w:szCs w:val="21"/>
          <w:highlight w:val="none"/>
        </w:rPr>
        <w:t>年；</w:t>
      </w:r>
    </w:p>
    <w:p w14:paraId="35B77716">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8 、道路工程为</w:t>
      </w:r>
      <w:r>
        <w:rPr>
          <w:rFonts w:hint="eastAsia" w:ascii="Times New Roman" w:hAnsi="Times New Roman" w:eastAsia="宋体" w:cs="宋体"/>
          <w:color w:val="auto"/>
          <w:spacing w:val="0"/>
          <w:w w:val="100"/>
          <w:sz w:val="21"/>
          <w:szCs w:val="21"/>
          <w:highlight w:val="none"/>
          <w:u w:val="single"/>
        </w:rPr>
        <w:t xml:space="preserve"> 两 </w:t>
      </w:r>
      <w:r>
        <w:rPr>
          <w:rFonts w:hint="eastAsia" w:ascii="Times New Roman" w:hAnsi="Times New Roman" w:eastAsia="宋体" w:cs="宋体"/>
          <w:color w:val="auto"/>
          <w:spacing w:val="0"/>
          <w:w w:val="100"/>
          <w:sz w:val="21"/>
          <w:szCs w:val="21"/>
          <w:highlight w:val="none"/>
        </w:rPr>
        <w:t>年；</w:t>
      </w:r>
    </w:p>
    <w:p w14:paraId="73C7C061">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9 、其他项目保修期限约定如下：</w:t>
      </w:r>
      <w:r>
        <w:rPr>
          <w:rFonts w:hint="eastAsia" w:ascii="Times New Roman" w:hAnsi="Times New Roman" w:eastAsia="宋体" w:cs="宋体"/>
          <w:color w:val="auto"/>
          <w:spacing w:val="0"/>
          <w:w w:val="100"/>
          <w:sz w:val="21"/>
          <w:szCs w:val="21"/>
          <w:highlight w:val="none"/>
          <w:u w:val="single"/>
        </w:rPr>
        <w:t>质量保修规范如国家有新规定，则按新规定执行。</w:t>
      </w:r>
    </w:p>
    <w:p w14:paraId="69681550">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质量保修期自工程竣工验收合格之日起计算。</w:t>
      </w:r>
    </w:p>
    <w:p w14:paraId="07036483">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三、缺陷责任期</w:t>
      </w:r>
    </w:p>
    <w:p w14:paraId="1389D695">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工程缺陷责任期为</w:t>
      </w:r>
      <w:r>
        <w:rPr>
          <w:rFonts w:hint="eastAsia" w:ascii="Times New Roman" w:hAnsi="Times New Roman" w:eastAsia="宋体" w:cs="宋体"/>
          <w:color w:val="auto"/>
          <w:spacing w:val="0"/>
          <w:w w:val="100"/>
          <w:sz w:val="21"/>
          <w:szCs w:val="21"/>
          <w:highlight w:val="none"/>
          <w:u w:val="single"/>
        </w:rPr>
        <w:t xml:space="preserve">   24   </w:t>
      </w:r>
      <w:r>
        <w:rPr>
          <w:rFonts w:hint="eastAsia" w:ascii="Times New Roman" w:hAnsi="Times New Roman" w:eastAsia="宋体" w:cs="宋体"/>
          <w:color w:val="auto"/>
          <w:spacing w:val="0"/>
          <w:w w:val="100"/>
          <w:sz w:val="21"/>
          <w:szCs w:val="21"/>
          <w:highlight w:val="none"/>
        </w:rPr>
        <w:t xml:space="preserve"> 个月，缺陷责任期自工程实际竣工之日起计算。单位工程先于全部工程进行验收，单位工程缺陷责任期自单位工程验收合格之日起算。</w:t>
      </w:r>
    </w:p>
    <w:p w14:paraId="55A6778B">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四、质量保修责任</w:t>
      </w:r>
    </w:p>
    <w:p w14:paraId="298A7C6C">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1 ．属于保修范围、 内容的项目，承包人应当在接到保修通知之日起 7 天内派人保修。承包人不在约定期限内派人保修的，发包人可以委托他人修理。</w:t>
      </w:r>
    </w:p>
    <w:p w14:paraId="0C3F5102">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2 ．发生紧急事故需抢修的，承包人在接到事故通知后，应当立即到达事故现场抢修。</w:t>
      </w:r>
    </w:p>
    <w:p w14:paraId="2D652994">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3 ．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14:paraId="75FD296F">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4 ．质量保修完成后，由发包人组织验收。</w:t>
      </w:r>
    </w:p>
    <w:p w14:paraId="6DE014D6">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五、保修费用</w:t>
      </w:r>
    </w:p>
    <w:p w14:paraId="37AD6693">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保修费用由造成质量缺陷的责任方承担。</w:t>
      </w:r>
    </w:p>
    <w:p w14:paraId="3379C4FE">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六、双方约定的其他工程质量保修事项：</w:t>
      </w:r>
    </w:p>
    <w:p w14:paraId="214EAF31">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1、承包人未按照法律法规有关规定和合同约定履行质量保修义务的，发包人有权从质量保证金中扣留用于质量保修的各项支出。</w:t>
      </w:r>
    </w:p>
    <w:p w14:paraId="213B921B">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2、质量保修金比例：</w:t>
      </w:r>
      <w:r>
        <w:rPr>
          <w:rFonts w:hint="eastAsia" w:ascii="Times New Roman" w:hAnsi="Times New Roman" w:eastAsia="宋体" w:cs="宋体"/>
          <w:color w:val="auto"/>
          <w:spacing w:val="0"/>
          <w:w w:val="100"/>
          <w:sz w:val="21"/>
          <w:szCs w:val="21"/>
          <w:highlight w:val="none"/>
          <w:u w:val="single"/>
        </w:rPr>
        <w:t>工程结算价的</w:t>
      </w:r>
      <w:r>
        <w:rPr>
          <w:rFonts w:hint="eastAsia" w:ascii="Times New Roman" w:hAnsi="Times New Roman" w:eastAsia="宋体" w:cs="宋体"/>
          <w:color w:val="auto"/>
          <w:spacing w:val="0"/>
          <w:w w:val="100"/>
          <w:sz w:val="21"/>
          <w:szCs w:val="21"/>
          <w:highlight w:val="none"/>
          <w:u w:val="single"/>
          <w:lang w:val="en-US" w:eastAsia="zh-CN"/>
        </w:rPr>
        <w:t>3%</w:t>
      </w:r>
      <w:r>
        <w:rPr>
          <w:rFonts w:hint="eastAsia" w:ascii="Times New Roman" w:hAnsi="Times New Roman" w:eastAsia="宋体" w:cs="宋体"/>
          <w:color w:val="auto"/>
          <w:spacing w:val="0"/>
          <w:w w:val="100"/>
          <w:sz w:val="21"/>
          <w:szCs w:val="21"/>
          <w:highlight w:val="none"/>
          <w:u w:val="single"/>
        </w:rPr>
        <w:t xml:space="preserve"> 。</w:t>
      </w:r>
    </w:p>
    <w:p w14:paraId="42E14FB2">
      <w:pPr>
        <w:spacing w:before="66" w:line="368" w:lineRule="auto"/>
        <w:ind w:firstLine="420" w:firstLineChars="200"/>
        <w:rPr>
          <w:rFonts w:hint="eastAsia" w:ascii="Times New Roman" w:hAnsi="Times New Roman" w:eastAsia="宋体" w:cs="宋体"/>
          <w:color w:val="auto"/>
          <w:spacing w:val="0"/>
          <w:w w:val="100"/>
          <w:sz w:val="21"/>
          <w:szCs w:val="21"/>
          <w:highlight w:val="none"/>
        </w:rPr>
      </w:pPr>
      <w:r>
        <w:rPr>
          <w:rFonts w:hint="eastAsia" w:ascii="Times New Roman" w:hAnsi="Times New Roman" w:eastAsia="宋体" w:cs="宋体"/>
          <w:color w:val="auto"/>
          <w:spacing w:val="0"/>
          <w:w w:val="100"/>
          <w:sz w:val="21"/>
          <w:szCs w:val="21"/>
          <w:highlight w:val="none"/>
        </w:rPr>
        <w:t>3、质量保修金的退回：</w:t>
      </w:r>
      <w:r>
        <w:rPr>
          <w:rFonts w:hint="eastAsia" w:ascii="Times New Roman" w:hAnsi="Times New Roman" w:eastAsia="宋体" w:cs="宋体"/>
          <w:color w:val="auto"/>
          <w:spacing w:val="0"/>
          <w:w w:val="100"/>
          <w:sz w:val="21"/>
          <w:szCs w:val="21"/>
          <w:highlight w:val="none"/>
          <w:u w:val="single"/>
        </w:rPr>
        <w:t>待工程缺陷责任期满后 15 日内一次性返还（无息）</w:t>
      </w:r>
      <w:r>
        <w:rPr>
          <w:rFonts w:hint="eastAsia" w:ascii="Times New Roman" w:hAnsi="Times New Roman" w:eastAsia="宋体" w:cs="宋体"/>
          <w:color w:val="auto"/>
          <w:spacing w:val="0"/>
          <w:w w:val="100"/>
          <w:sz w:val="21"/>
          <w:szCs w:val="21"/>
          <w:highlight w:val="none"/>
        </w:rPr>
        <w:t>。</w:t>
      </w:r>
    </w:p>
    <w:p w14:paraId="06C309A4">
      <w:pPr>
        <w:spacing w:before="66" w:line="368" w:lineRule="auto"/>
        <w:ind w:firstLine="420" w:firstLineChars="200"/>
        <w:rPr>
          <w:rFonts w:hint="eastAsia" w:ascii="Times New Roman" w:hAnsi="Times New Roman" w:eastAsia="宋体" w:cs="宋体"/>
          <w:color w:val="auto"/>
          <w:spacing w:val="8"/>
          <w:sz w:val="21"/>
          <w:szCs w:val="21"/>
          <w:highlight w:val="none"/>
        </w:rPr>
      </w:pPr>
      <w:r>
        <w:rPr>
          <w:rFonts w:hint="eastAsia" w:ascii="Times New Roman" w:hAnsi="Times New Roman" w:eastAsia="宋体" w:cs="宋体"/>
          <w:color w:val="auto"/>
          <w:spacing w:val="0"/>
          <w:w w:val="100"/>
          <w:sz w:val="21"/>
          <w:szCs w:val="21"/>
          <w:highlight w:val="none"/>
        </w:rPr>
        <w:t>工程质量保修书由发包人、承包人在工程竣工验收前共同签署，作为施工合同附件，其有效期限至保修期满。</w:t>
      </w:r>
    </w:p>
    <w:p w14:paraId="04B3519E">
      <w:pPr>
        <w:pStyle w:val="13"/>
        <w:spacing w:line="295" w:lineRule="auto"/>
        <w:rPr>
          <w:rFonts w:hint="eastAsia" w:ascii="宋体" w:hAnsi="宋体" w:eastAsia="宋体" w:cs="宋体"/>
          <w:color w:val="auto"/>
          <w:sz w:val="21"/>
          <w:szCs w:val="21"/>
          <w:highlight w:val="none"/>
        </w:rPr>
      </w:pPr>
    </w:p>
    <w:p w14:paraId="1200E169">
      <w:pPr>
        <w:pStyle w:val="13"/>
        <w:spacing w:line="296" w:lineRule="auto"/>
        <w:rPr>
          <w:rFonts w:hint="eastAsia" w:ascii="宋体" w:hAnsi="宋体" w:eastAsia="宋体" w:cs="宋体"/>
          <w:color w:val="auto"/>
          <w:sz w:val="21"/>
          <w:szCs w:val="21"/>
          <w:highlight w:val="none"/>
        </w:rPr>
      </w:pPr>
    </w:p>
    <w:p w14:paraId="3AC48EF9">
      <w:pPr>
        <w:pStyle w:val="13"/>
        <w:spacing w:line="296" w:lineRule="auto"/>
        <w:rPr>
          <w:rFonts w:hint="eastAsia" w:ascii="宋体" w:hAnsi="宋体" w:eastAsia="宋体" w:cs="宋体"/>
          <w:color w:val="auto"/>
          <w:sz w:val="21"/>
          <w:szCs w:val="21"/>
          <w:highlight w:val="none"/>
        </w:rPr>
      </w:pPr>
    </w:p>
    <w:p w14:paraId="213AD891">
      <w:pPr>
        <w:pStyle w:val="13"/>
        <w:spacing w:before="66" w:line="271" w:lineRule="auto"/>
        <w:ind w:left="423"/>
        <w:rPr>
          <w:rFonts w:hint="eastAsia" w:ascii="宋体" w:hAnsi="宋体" w:eastAsia="宋体" w:cs="宋体"/>
          <w:color w:val="auto"/>
          <w:sz w:val="21"/>
          <w:szCs w:val="21"/>
          <w:highlight w:val="none"/>
        </w:rPr>
      </w:pPr>
      <w:r>
        <w:rPr>
          <w:rFonts w:hint="eastAsia" w:ascii="宋体" w:hAnsi="宋体" w:eastAsia="宋体" w:cs="宋体"/>
          <w:color w:val="auto"/>
          <w:spacing w:val="7"/>
          <w:sz w:val="21"/>
          <w:szCs w:val="21"/>
          <w:highlight w:val="none"/>
        </w:rPr>
        <w:t>发包人(公章)：</w:t>
      </w:r>
      <w:r>
        <w:rPr>
          <w:rFonts w:hint="eastAsia" w:ascii="宋体" w:hAnsi="宋体" w:eastAsia="宋体" w:cs="宋体"/>
          <w:color w:val="auto"/>
          <w:spacing w:val="2"/>
          <w:sz w:val="21"/>
          <w:szCs w:val="21"/>
          <w:highlight w:val="none"/>
          <w:u w:val="single"/>
        </w:rPr>
        <w:t xml:space="preserve">              </w:t>
      </w:r>
      <w:r>
        <w:rPr>
          <w:rFonts w:hint="eastAsia" w:ascii="宋体" w:hAnsi="宋体" w:eastAsia="宋体" w:cs="宋体"/>
          <w:color w:val="auto"/>
          <w:spacing w:val="7"/>
          <w:sz w:val="21"/>
          <w:szCs w:val="21"/>
          <w:highlight w:val="none"/>
        </w:rPr>
        <w:t xml:space="preserve"> </w:t>
      </w:r>
      <w:r>
        <w:rPr>
          <w:rFonts w:hint="eastAsia" w:ascii="宋体" w:hAnsi="宋体" w:eastAsia="宋体" w:cs="宋体"/>
          <w:color w:val="auto"/>
          <w:spacing w:val="7"/>
          <w:sz w:val="21"/>
          <w:szCs w:val="21"/>
          <w:highlight w:val="none"/>
          <w:lang w:val="en-US" w:eastAsia="zh-CN"/>
        </w:rPr>
        <w:t xml:space="preserve">       </w:t>
      </w:r>
      <w:r>
        <w:rPr>
          <w:rFonts w:hint="eastAsia" w:ascii="宋体" w:hAnsi="宋体" w:eastAsia="宋体" w:cs="宋体"/>
          <w:color w:val="auto"/>
          <w:spacing w:val="7"/>
          <w:sz w:val="21"/>
          <w:szCs w:val="21"/>
          <w:highlight w:val="none"/>
        </w:rPr>
        <w:t>承包人(公章)：</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p>
    <w:p w14:paraId="5B9EB1CD">
      <w:pPr>
        <w:spacing w:before="156" w:line="238" w:lineRule="auto"/>
        <w:ind w:left="419"/>
        <w:rPr>
          <w:rFonts w:hint="eastAsia" w:ascii="宋体" w:hAnsi="宋体" w:eastAsia="宋体" w:cs="宋体"/>
          <w:color w:val="auto"/>
          <w:sz w:val="21"/>
          <w:szCs w:val="21"/>
          <w:highlight w:val="none"/>
        </w:rPr>
      </w:pPr>
      <w:r>
        <w:rPr>
          <w:rFonts w:hint="eastAsia" w:ascii="宋体" w:hAnsi="宋体" w:eastAsia="宋体" w:cs="宋体"/>
          <w:color w:val="auto"/>
          <w:spacing w:val="3"/>
          <w:sz w:val="21"/>
          <w:szCs w:val="21"/>
          <w:highlight w:val="none"/>
        </w:rPr>
        <w:t>地</w:t>
      </w:r>
      <w:r>
        <w:rPr>
          <w:rFonts w:hint="eastAsia" w:ascii="宋体" w:hAnsi="宋体" w:eastAsia="宋体" w:cs="宋体"/>
          <w:color w:val="auto"/>
          <w:spacing w:val="11"/>
          <w:sz w:val="21"/>
          <w:szCs w:val="21"/>
          <w:highlight w:val="none"/>
        </w:rPr>
        <w:t xml:space="preserve">  </w:t>
      </w:r>
      <w:r>
        <w:rPr>
          <w:rFonts w:hint="eastAsia" w:ascii="宋体" w:hAnsi="宋体" w:eastAsia="宋体" w:cs="宋体"/>
          <w:color w:val="auto"/>
          <w:spacing w:val="3"/>
          <w:sz w:val="21"/>
          <w:szCs w:val="21"/>
          <w:highlight w:val="none"/>
        </w:rPr>
        <w:t>址：</w:t>
      </w:r>
      <w:r>
        <w:rPr>
          <w:rFonts w:hint="eastAsia" w:ascii="宋体" w:hAnsi="宋体" w:eastAsia="宋体" w:cs="宋体"/>
          <w:color w:val="auto"/>
          <w:spacing w:val="5"/>
          <w:sz w:val="21"/>
          <w:szCs w:val="21"/>
          <w:highlight w:val="none"/>
          <w:u w:val="single"/>
        </w:rPr>
        <w:t xml:space="preserve">                   </w:t>
      </w:r>
      <w:r>
        <w:rPr>
          <w:rFonts w:hint="eastAsia" w:ascii="宋体" w:hAnsi="宋体" w:eastAsia="宋体" w:cs="宋体"/>
          <w:color w:val="auto"/>
          <w:spacing w:val="10"/>
          <w:sz w:val="21"/>
          <w:szCs w:val="21"/>
          <w:highlight w:val="none"/>
        </w:rPr>
        <w:t xml:space="preserve"> </w:t>
      </w:r>
      <w:r>
        <w:rPr>
          <w:rFonts w:hint="eastAsia" w:ascii="宋体" w:hAnsi="宋体" w:eastAsia="宋体" w:cs="宋体"/>
          <w:color w:val="auto"/>
          <w:spacing w:val="10"/>
          <w:sz w:val="21"/>
          <w:szCs w:val="21"/>
          <w:highlight w:val="none"/>
          <w:lang w:val="en-US" w:eastAsia="zh-CN"/>
        </w:rPr>
        <w:t xml:space="preserve">       </w:t>
      </w:r>
      <w:r>
        <w:rPr>
          <w:rFonts w:hint="eastAsia" w:ascii="宋体" w:hAnsi="宋体" w:eastAsia="宋体" w:cs="宋体"/>
          <w:color w:val="auto"/>
          <w:spacing w:val="3"/>
          <w:sz w:val="21"/>
          <w:szCs w:val="21"/>
          <w:highlight w:val="none"/>
        </w:rPr>
        <w:t>地</w:t>
      </w:r>
      <w:r>
        <w:rPr>
          <w:rFonts w:hint="eastAsia" w:ascii="宋体" w:hAnsi="宋体" w:eastAsia="宋体" w:cs="宋体"/>
          <w:color w:val="auto"/>
          <w:spacing w:val="10"/>
          <w:sz w:val="21"/>
          <w:szCs w:val="21"/>
          <w:highlight w:val="none"/>
        </w:rPr>
        <w:t xml:space="preserve">  </w:t>
      </w:r>
      <w:r>
        <w:rPr>
          <w:rFonts w:hint="eastAsia" w:ascii="宋体" w:hAnsi="宋体" w:eastAsia="宋体" w:cs="宋体"/>
          <w:color w:val="auto"/>
          <w:spacing w:val="3"/>
          <w:sz w:val="21"/>
          <w:szCs w:val="21"/>
          <w:highlight w:val="none"/>
        </w:rPr>
        <w:t>址：</w:t>
      </w:r>
      <w:r>
        <w:rPr>
          <w:rFonts w:hint="eastAsia" w:ascii="宋体" w:hAnsi="宋体" w:eastAsia="宋体" w:cs="宋体"/>
          <w:color w:val="auto"/>
          <w:sz w:val="21"/>
          <w:szCs w:val="21"/>
          <w:highlight w:val="none"/>
          <w:u w:val="single"/>
        </w:rPr>
        <w:t xml:space="preserve">                          </w:t>
      </w:r>
    </w:p>
    <w:p w14:paraId="6F4A089F">
      <w:pPr>
        <w:pStyle w:val="13"/>
        <w:spacing w:before="132" w:line="271" w:lineRule="auto"/>
        <w:ind w:left="420"/>
        <w:rPr>
          <w:rFonts w:hint="eastAsia" w:ascii="宋体" w:hAnsi="宋体" w:eastAsia="宋体" w:cs="宋体"/>
          <w:color w:val="auto"/>
          <w:sz w:val="21"/>
          <w:szCs w:val="21"/>
          <w:highlight w:val="none"/>
        </w:rPr>
      </w:pPr>
      <w:r>
        <w:rPr>
          <w:rFonts w:hint="eastAsia" w:ascii="宋体" w:hAnsi="宋体" w:eastAsia="宋体" w:cs="宋体"/>
          <w:color w:val="auto"/>
          <w:spacing w:val="7"/>
          <w:sz w:val="21"/>
          <w:szCs w:val="21"/>
          <w:highlight w:val="none"/>
        </w:rPr>
        <w:t>法定代表人(签字)：</w:t>
      </w:r>
      <w:r>
        <w:rPr>
          <w:rFonts w:hint="eastAsia" w:ascii="宋体" w:hAnsi="宋体" w:eastAsia="宋体" w:cs="宋体"/>
          <w:color w:val="auto"/>
          <w:spacing w:val="7"/>
          <w:sz w:val="21"/>
          <w:szCs w:val="21"/>
          <w:highlight w:val="none"/>
          <w:u w:val="single"/>
        </w:rPr>
        <w:t xml:space="preserve">          </w:t>
      </w:r>
      <w:r>
        <w:rPr>
          <w:rFonts w:hint="eastAsia" w:ascii="宋体" w:hAnsi="宋体" w:eastAsia="宋体" w:cs="宋体"/>
          <w:color w:val="auto"/>
          <w:spacing w:val="7"/>
          <w:sz w:val="21"/>
          <w:szCs w:val="21"/>
          <w:highlight w:val="none"/>
        </w:rPr>
        <w:t xml:space="preserve"> </w:t>
      </w:r>
      <w:r>
        <w:rPr>
          <w:rFonts w:hint="eastAsia" w:ascii="宋体" w:hAnsi="宋体" w:eastAsia="宋体" w:cs="宋体"/>
          <w:color w:val="auto"/>
          <w:spacing w:val="7"/>
          <w:sz w:val="21"/>
          <w:szCs w:val="21"/>
          <w:highlight w:val="none"/>
          <w:lang w:val="en-US" w:eastAsia="zh-CN"/>
        </w:rPr>
        <w:t xml:space="preserve">      </w:t>
      </w:r>
      <w:r>
        <w:rPr>
          <w:rFonts w:hint="eastAsia" w:ascii="宋体" w:hAnsi="宋体" w:eastAsia="宋体" w:cs="宋体"/>
          <w:color w:val="auto"/>
          <w:spacing w:val="7"/>
          <w:sz w:val="21"/>
          <w:szCs w:val="21"/>
          <w:highlight w:val="none"/>
        </w:rPr>
        <w:t>法定代表人(签字)：</w:t>
      </w:r>
      <w:r>
        <w:rPr>
          <w:rFonts w:hint="eastAsia" w:ascii="宋体" w:hAnsi="宋体" w:eastAsia="宋体" w:cs="宋体"/>
          <w:color w:val="auto"/>
          <w:sz w:val="21"/>
          <w:szCs w:val="21"/>
          <w:highlight w:val="none"/>
          <w:u w:val="single"/>
        </w:rPr>
        <w:t xml:space="preserve">            </w:t>
      </w:r>
    </w:p>
    <w:p w14:paraId="460D4064">
      <w:pPr>
        <w:pStyle w:val="13"/>
        <w:spacing w:before="127" w:line="271" w:lineRule="auto"/>
        <w:ind w:left="419"/>
        <w:rPr>
          <w:rFonts w:hint="eastAsia" w:ascii="宋体" w:hAnsi="宋体" w:eastAsia="宋体" w:cs="宋体"/>
          <w:color w:val="auto"/>
          <w:sz w:val="21"/>
          <w:szCs w:val="21"/>
          <w:highlight w:val="none"/>
        </w:rPr>
      </w:pPr>
      <w:r>
        <w:rPr>
          <w:rFonts w:hint="eastAsia" w:ascii="宋体" w:hAnsi="宋体" w:eastAsia="宋体" w:cs="宋体"/>
          <w:color w:val="auto"/>
          <w:spacing w:val="7"/>
          <w:sz w:val="21"/>
          <w:szCs w:val="21"/>
          <w:highlight w:val="none"/>
        </w:rPr>
        <w:t>委托代理人(签字)：</w:t>
      </w:r>
      <w:r>
        <w:rPr>
          <w:rFonts w:hint="eastAsia" w:ascii="宋体" w:hAnsi="宋体" w:eastAsia="宋体" w:cs="宋体"/>
          <w:color w:val="auto"/>
          <w:spacing w:val="7"/>
          <w:sz w:val="21"/>
          <w:szCs w:val="21"/>
          <w:highlight w:val="none"/>
          <w:u w:val="single"/>
        </w:rPr>
        <w:t xml:space="preserve">          </w:t>
      </w:r>
      <w:r>
        <w:rPr>
          <w:rFonts w:hint="eastAsia" w:ascii="宋体" w:hAnsi="宋体" w:eastAsia="宋体" w:cs="宋体"/>
          <w:color w:val="auto"/>
          <w:spacing w:val="7"/>
          <w:sz w:val="21"/>
          <w:szCs w:val="21"/>
          <w:highlight w:val="none"/>
        </w:rPr>
        <w:t xml:space="preserve"> </w:t>
      </w:r>
      <w:r>
        <w:rPr>
          <w:rFonts w:hint="eastAsia" w:ascii="宋体" w:hAnsi="宋体" w:eastAsia="宋体" w:cs="宋体"/>
          <w:color w:val="auto"/>
          <w:spacing w:val="7"/>
          <w:sz w:val="21"/>
          <w:szCs w:val="21"/>
          <w:highlight w:val="none"/>
          <w:lang w:val="en-US" w:eastAsia="zh-CN"/>
        </w:rPr>
        <w:t xml:space="preserve">      </w:t>
      </w:r>
      <w:r>
        <w:rPr>
          <w:rFonts w:hint="eastAsia" w:ascii="宋体" w:hAnsi="宋体" w:eastAsia="宋体" w:cs="宋体"/>
          <w:color w:val="auto"/>
          <w:spacing w:val="7"/>
          <w:sz w:val="21"/>
          <w:szCs w:val="21"/>
          <w:highlight w:val="none"/>
        </w:rPr>
        <w:t>委托代理人(签字)：</w:t>
      </w:r>
      <w:r>
        <w:rPr>
          <w:rFonts w:hint="eastAsia" w:ascii="宋体" w:hAnsi="宋体" w:eastAsia="宋体" w:cs="宋体"/>
          <w:color w:val="auto"/>
          <w:sz w:val="21"/>
          <w:szCs w:val="21"/>
          <w:highlight w:val="none"/>
          <w:u w:val="single"/>
        </w:rPr>
        <w:t xml:space="preserve">            </w:t>
      </w:r>
    </w:p>
    <w:p w14:paraId="3FBD6957">
      <w:pPr>
        <w:spacing w:before="156" w:line="231" w:lineRule="auto"/>
        <w:ind w:left="444"/>
        <w:rPr>
          <w:rFonts w:hint="eastAsia" w:ascii="宋体" w:hAnsi="宋体" w:eastAsia="宋体" w:cs="宋体"/>
          <w:color w:val="auto"/>
          <w:sz w:val="21"/>
          <w:szCs w:val="21"/>
          <w:highlight w:val="none"/>
        </w:rPr>
      </w:pPr>
      <w:r>
        <w:rPr>
          <w:rFonts w:hint="eastAsia" w:ascii="宋体" w:hAnsi="宋体" w:eastAsia="宋体" w:cs="宋体"/>
          <w:color w:val="auto"/>
          <w:spacing w:val="-5"/>
          <w:sz w:val="21"/>
          <w:szCs w:val="21"/>
          <w:highlight w:val="none"/>
        </w:rPr>
        <w:t>电</w:t>
      </w:r>
      <w:r>
        <w:rPr>
          <w:rFonts w:hint="eastAsia" w:ascii="宋体" w:hAnsi="宋体" w:eastAsia="宋体" w:cs="宋体"/>
          <w:color w:val="auto"/>
          <w:spacing w:val="11"/>
          <w:sz w:val="21"/>
          <w:szCs w:val="21"/>
          <w:highlight w:val="none"/>
        </w:rPr>
        <w:t xml:space="preserve">  </w:t>
      </w:r>
      <w:r>
        <w:rPr>
          <w:rFonts w:hint="eastAsia" w:ascii="宋体" w:hAnsi="宋体" w:eastAsia="宋体" w:cs="宋体"/>
          <w:color w:val="auto"/>
          <w:spacing w:val="-5"/>
          <w:sz w:val="21"/>
          <w:szCs w:val="21"/>
          <w:highlight w:val="none"/>
        </w:rPr>
        <w:t>话：</w:t>
      </w:r>
      <w:r>
        <w:rPr>
          <w:rFonts w:hint="eastAsia" w:ascii="宋体" w:hAnsi="宋体" w:eastAsia="宋体" w:cs="宋体"/>
          <w:color w:val="auto"/>
          <w:spacing w:val="5"/>
          <w:sz w:val="21"/>
          <w:szCs w:val="21"/>
          <w:highlight w:val="none"/>
          <w:u w:val="single"/>
        </w:rPr>
        <w:t xml:space="preserve">                   </w:t>
      </w:r>
      <w:r>
        <w:rPr>
          <w:rFonts w:hint="eastAsia" w:ascii="宋体" w:hAnsi="宋体" w:eastAsia="宋体" w:cs="宋体"/>
          <w:color w:val="auto"/>
          <w:spacing w:val="22"/>
          <w:sz w:val="21"/>
          <w:szCs w:val="21"/>
          <w:highlight w:val="none"/>
        </w:rPr>
        <w:t xml:space="preserve"> </w:t>
      </w:r>
      <w:r>
        <w:rPr>
          <w:rFonts w:hint="eastAsia" w:ascii="宋体" w:hAnsi="宋体" w:eastAsia="宋体" w:cs="宋体"/>
          <w:color w:val="auto"/>
          <w:spacing w:val="22"/>
          <w:sz w:val="21"/>
          <w:szCs w:val="21"/>
          <w:highlight w:val="none"/>
          <w:lang w:val="en-US" w:eastAsia="zh-CN"/>
        </w:rPr>
        <w:t xml:space="preserve">      </w:t>
      </w:r>
      <w:r>
        <w:rPr>
          <w:rFonts w:hint="eastAsia" w:ascii="宋体" w:hAnsi="宋体" w:eastAsia="宋体" w:cs="宋体"/>
          <w:color w:val="auto"/>
          <w:spacing w:val="-5"/>
          <w:sz w:val="21"/>
          <w:szCs w:val="21"/>
          <w:highlight w:val="none"/>
        </w:rPr>
        <w:t>电</w:t>
      </w:r>
      <w:r>
        <w:rPr>
          <w:rFonts w:hint="eastAsia" w:ascii="宋体" w:hAnsi="宋体" w:eastAsia="宋体" w:cs="宋体"/>
          <w:color w:val="auto"/>
          <w:spacing w:val="10"/>
          <w:sz w:val="21"/>
          <w:szCs w:val="21"/>
          <w:highlight w:val="none"/>
        </w:rPr>
        <w:t xml:space="preserve"> </w:t>
      </w:r>
      <w:r>
        <w:rPr>
          <w:rFonts w:hint="eastAsia" w:ascii="宋体" w:hAnsi="宋体" w:eastAsia="宋体" w:cs="宋体"/>
          <w:color w:val="auto"/>
          <w:spacing w:val="-5"/>
          <w:sz w:val="21"/>
          <w:szCs w:val="21"/>
          <w:highlight w:val="none"/>
        </w:rPr>
        <w:t>话：</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p>
    <w:p w14:paraId="36967B02">
      <w:pPr>
        <w:spacing w:before="170" w:line="228" w:lineRule="auto"/>
        <w:ind w:left="418"/>
        <w:rPr>
          <w:rFonts w:hint="eastAsia" w:ascii="宋体" w:hAnsi="宋体" w:eastAsia="宋体" w:cs="宋体"/>
          <w:color w:val="auto"/>
          <w:sz w:val="21"/>
          <w:szCs w:val="21"/>
          <w:highlight w:val="none"/>
        </w:rPr>
      </w:pPr>
      <w:r>
        <w:rPr>
          <w:rFonts w:hint="eastAsia" w:ascii="宋体" w:hAnsi="宋体" w:eastAsia="宋体" w:cs="宋体"/>
          <w:color w:val="auto"/>
          <w:spacing w:val="1"/>
          <w:sz w:val="21"/>
          <w:szCs w:val="21"/>
          <w:highlight w:val="none"/>
        </w:rPr>
        <w:t>传</w:t>
      </w:r>
      <w:r>
        <w:rPr>
          <w:rFonts w:hint="eastAsia" w:ascii="宋体" w:hAnsi="宋体" w:eastAsia="宋体" w:cs="宋体"/>
          <w:color w:val="auto"/>
          <w:spacing w:val="17"/>
          <w:sz w:val="21"/>
          <w:szCs w:val="21"/>
          <w:highlight w:val="none"/>
        </w:rPr>
        <w:t xml:space="preserve">  </w:t>
      </w:r>
      <w:r>
        <w:rPr>
          <w:rFonts w:hint="eastAsia" w:ascii="宋体" w:hAnsi="宋体" w:eastAsia="宋体" w:cs="宋体"/>
          <w:color w:val="auto"/>
          <w:spacing w:val="1"/>
          <w:sz w:val="21"/>
          <w:szCs w:val="21"/>
          <w:highlight w:val="none"/>
        </w:rPr>
        <w:t>真：</w:t>
      </w:r>
      <w:r>
        <w:rPr>
          <w:rFonts w:hint="eastAsia" w:ascii="宋体" w:hAnsi="宋体" w:eastAsia="宋体" w:cs="宋体"/>
          <w:color w:val="auto"/>
          <w:spacing w:val="5"/>
          <w:sz w:val="21"/>
          <w:szCs w:val="21"/>
          <w:highlight w:val="none"/>
          <w:u w:val="single"/>
        </w:rPr>
        <w:t xml:space="preserve">                   </w:t>
      </w:r>
      <w:r>
        <w:rPr>
          <w:rFonts w:hint="eastAsia" w:ascii="宋体" w:hAnsi="宋体" w:eastAsia="宋体" w:cs="宋体"/>
          <w:color w:val="auto"/>
          <w:spacing w:val="1"/>
          <w:sz w:val="21"/>
          <w:szCs w:val="21"/>
          <w:highlight w:val="none"/>
        </w:rPr>
        <w:t xml:space="preserve">  </w:t>
      </w:r>
      <w:r>
        <w:rPr>
          <w:rFonts w:hint="eastAsia" w:ascii="宋体" w:hAnsi="宋体" w:eastAsia="宋体" w:cs="宋体"/>
          <w:color w:val="auto"/>
          <w:spacing w:val="1"/>
          <w:sz w:val="21"/>
          <w:szCs w:val="21"/>
          <w:highlight w:val="none"/>
          <w:lang w:val="en-US" w:eastAsia="zh-CN"/>
        </w:rPr>
        <w:t xml:space="preserve">       </w:t>
      </w:r>
      <w:r>
        <w:rPr>
          <w:rFonts w:hint="eastAsia" w:ascii="宋体" w:hAnsi="宋体" w:eastAsia="宋体" w:cs="宋体"/>
          <w:color w:val="auto"/>
          <w:spacing w:val="1"/>
          <w:sz w:val="21"/>
          <w:szCs w:val="21"/>
          <w:highlight w:val="none"/>
        </w:rPr>
        <w:t>传</w:t>
      </w:r>
      <w:r>
        <w:rPr>
          <w:rFonts w:hint="eastAsia" w:ascii="宋体" w:hAnsi="宋体" w:eastAsia="宋体" w:cs="宋体"/>
          <w:color w:val="auto"/>
          <w:spacing w:val="12"/>
          <w:sz w:val="21"/>
          <w:szCs w:val="21"/>
          <w:highlight w:val="none"/>
        </w:rPr>
        <w:t xml:space="preserve">  </w:t>
      </w:r>
      <w:r>
        <w:rPr>
          <w:rFonts w:hint="eastAsia" w:ascii="宋体" w:hAnsi="宋体" w:eastAsia="宋体" w:cs="宋体"/>
          <w:color w:val="auto"/>
          <w:spacing w:val="1"/>
          <w:sz w:val="21"/>
          <w:szCs w:val="21"/>
          <w:highlight w:val="none"/>
        </w:rPr>
        <w:t>真：</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pacing w:val="1"/>
          <w:sz w:val="21"/>
          <w:szCs w:val="21"/>
          <w:highlight w:val="none"/>
          <w:u w:val="single"/>
        </w:rPr>
        <w:t xml:space="preserve">        </w:t>
      </w:r>
    </w:p>
    <w:p w14:paraId="214CA939">
      <w:pPr>
        <w:spacing w:before="173" w:line="229" w:lineRule="auto"/>
        <w:ind w:left="420"/>
        <w:rPr>
          <w:rFonts w:hint="eastAsia" w:ascii="宋体" w:hAnsi="宋体" w:eastAsia="宋体" w:cs="宋体"/>
          <w:color w:val="auto"/>
          <w:sz w:val="21"/>
          <w:szCs w:val="21"/>
          <w:highlight w:val="none"/>
        </w:rPr>
      </w:pPr>
      <w:r>
        <w:rPr>
          <w:rFonts w:hint="eastAsia" w:ascii="宋体" w:hAnsi="宋体" w:eastAsia="宋体" w:cs="宋体"/>
          <w:color w:val="auto"/>
          <w:spacing w:val="6"/>
          <w:sz w:val="21"/>
          <w:szCs w:val="21"/>
          <w:highlight w:val="none"/>
        </w:rPr>
        <w:t>开户银行：</w:t>
      </w:r>
      <w:r>
        <w:rPr>
          <w:rFonts w:hint="eastAsia" w:ascii="宋体" w:hAnsi="宋体" w:eastAsia="宋体" w:cs="宋体"/>
          <w:color w:val="auto"/>
          <w:spacing w:val="6"/>
          <w:sz w:val="21"/>
          <w:szCs w:val="21"/>
          <w:highlight w:val="none"/>
          <w:u w:val="single"/>
        </w:rPr>
        <w:t xml:space="preserve">                 </w:t>
      </w:r>
      <w:r>
        <w:rPr>
          <w:rFonts w:hint="eastAsia" w:ascii="宋体" w:hAnsi="宋体" w:eastAsia="宋体" w:cs="宋体"/>
          <w:color w:val="auto"/>
          <w:spacing w:val="6"/>
          <w:sz w:val="21"/>
          <w:szCs w:val="21"/>
          <w:highlight w:val="none"/>
        </w:rPr>
        <w:t xml:space="preserve"> </w:t>
      </w:r>
      <w:r>
        <w:rPr>
          <w:rFonts w:hint="eastAsia" w:ascii="宋体" w:hAnsi="宋体" w:eastAsia="宋体" w:cs="宋体"/>
          <w:color w:val="auto"/>
          <w:spacing w:val="6"/>
          <w:sz w:val="21"/>
          <w:szCs w:val="21"/>
          <w:highlight w:val="none"/>
          <w:lang w:val="en-US" w:eastAsia="zh-CN"/>
        </w:rPr>
        <w:t xml:space="preserve">       </w:t>
      </w:r>
      <w:r>
        <w:rPr>
          <w:rFonts w:hint="eastAsia" w:ascii="宋体" w:hAnsi="宋体" w:eastAsia="宋体" w:cs="宋体"/>
          <w:color w:val="auto"/>
          <w:spacing w:val="6"/>
          <w:sz w:val="21"/>
          <w:szCs w:val="21"/>
          <w:highlight w:val="none"/>
        </w:rPr>
        <w:t>开户银行：</w:t>
      </w:r>
      <w:r>
        <w:rPr>
          <w:rFonts w:hint="eastAsia" w:ascii="宋体" w:hAnsi="宋体" w:eastAsia="宋体" w:cs="宋体"/>
          <w:color w:val="auto"/>
          <w:sz w:val="21"/>
          <w:szCs w:val="21"/>
          <w:highlight w:val="none"/>
          <w:u w:val="single"/>
        </w:rPr>
        <w:t xml:space="preserve">                           </w:t>
      </w:r>
    </w:p>
    <w:p w14:paraId="662F264B">
      <w:pPr>
        <w:spacing w:before="172" w:line="230" w:lineRule="auto"/>
        <w:ind w:left="423"/>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账</w:t>
      </w:r>
      <w:r>
        <w:rPr>
          <w:rFonts w:hint="eastAsia" w:ascii="宋体" w:hAnsi="宋体" w:eastAsia="宋体" w:cs="宋体"/>
          <w:color w:val="auto"/>
          <w:spacing w:val="17"/>
          <w:sz w:val="21"/>
          <w:szCs w:val="21"/>
          <w:highlight w:val="none"/>
        </w:rPr>
        <w:t xml:space="preserve">  </w:t>
      </w:r>
      <w:r>
        <w:rPr>
          <w:rFonts w:hint="eastAsia" w:ascii="宋体" w:hAnsi="宋体" w:eastAsia="宋体" w:cs="宋体"/>
          <w:color w:val="auto"/>
          <w:sz w:val="21"/>
          <w:szCs w:val="21"/>
          <w:highlight w:val="none"/>
        </w:rPr>
        <w:t>号：</w:t>
      </w:r>
      <w:r>
        <w:rPr>
          <w:rFonts w:hint="eastAsia" w:ascii="宋体" w:hAnsi="宋体" w:eastAsia="宋体" w:cs="宋体"/>
          <w:color w:val="auto"/>
          <w:spacing w:val="2"/>
          <w:sz w:val="21"/>
          <w:szCs w:val="21"/>
          <w:highlight w:val="none"/>
          <w:u w:val="single"/>
        </w:rPr>
        <w:t xml:space="preserve">                   </w:t>
      </w:r>
      <w:r>
        <w:rPr>
          <w:rFonts w:hint="eastAsia" w:ascii="宋体" w:hAnsi="宋体" w:eastAsia="宋体" w:cs="宋体"/>
          <w:color w:val="auto"/>
          <w:spacing w:val="17"/>
          <w:sz w:val="21"/>
          <w:szCs w:val="21"/>
          <w:highlight w:val="none"/>
        </w:rPr>
        <w:t xml:space="preserve">  </w:t>
      </w:r>
      <w:r>
        <w:rPr>
          <w:rFonts w:hint="eastAsia" w:ascii="宋体" w:hAnsi="宋体" w:eastAsia="宋体" w:cs="宋体"/>
          <w:color w:val="auto"/>
          <w:spacing w:val="17"/>
          <w:sz w:val="21"/>
          <w:szCs w:val="21"/>
          <w:highlight w:val="none"/>
          <w:lang w:val="en-US" w:eastAsia="zh-CN"/>
        </w:rPr>
        <w:t xml:space="preserve">      </w:t>
      </w:r>
      <w:r>
        <w:rPr>
          <w:rFonts w:hint="eastAsia" w:ascii="宋体" w:hAnsi="宋体" w:eastAsia="宋体" w:cs="宋体"/>
          <w:color w:val="auto"/>
          <w:sz w:val="21"/>
          <w:szCs w:val="21"/>
          <w:highlight w:val="none"/>
        </w:rPr>
        <w:t>账</w:t>
      </w:r>
      <w:r>
        <w:rPr>
          <w:rFonts w:hint="eastAsia" w:ascii="宋体" w:hAnsi="宋体" w:eastAsia="宋体" w:cs="宋体"/>
          <w:color w:val="auto"/>
          <w:spacing w:val="12"/>
          <w:sz w:val="21"/>
          <w:szCs w:val="21"/>
          <w:highlight w:val="none"/>
        </w:rPr>
        <w:t xml:space="preserve">  </w:t>
      </w:r>
      <w:r>
        <w:rPr>
          <w:rFonts w:hint="eastAsia" w:ascii="宋体" w:hAnsi="宋体" w:eastAsia="宋体" w:cs="宋体"/>
          <w:color w:val="auto"/>
          <w:sz w:val="21"/>
          <w:szCs w:val="21"/>
          <w:highlight w:val="none"/>
        </w:rPr>
        <w:t>号：</w:t>
      </w:r>
      <w:r>
        <w:rPr>
          <w:rFonts w:hint="eastAsia" w:ascii="宋体" w:hAnsi="宋体" w:eastAsia="宋体" w:cs="宋体"/>
          <w:color w:val="auto"/>
          <w:sz w:val="21"/>
          <w:szCs w:val="21"/>
          <w:highlight w:val="none"/>
          <w:u w:val="single"/>
        </w:rPr>
        <w:t xml:space="preserve">                         </w:t>
      </w:r>
    </w:p>
    <w:p w14:paraId="78A32CD3">
      <w:pPr>
        <w:spacing w:before="171" w:line="228" w:lineRule="auto"/>
        <w:ind w:left="435"/>
        <w:rPr>
          <w:rFonts w:hint="eastAsia" w:ascii="宋体" w:hAnsi="宋体" w:eastAsia="宋体" w:cs="宋体"/>
          <w:color w:val="auto"/>
          <w:sz w:val="21"/>
          <w:szCs w:val="21"/>
          <w:highlight w:val="none"/>
          <w:u w:val="single"/>
        </w:rPr>
      </w:pPr>
      <w:r>
        <w:rPr>
          <w:rFonts w:hint="eastAsia" w:ascii="宋体" w:hAnsi="宋体" w:eastAsia="宋体" w:cs="宋体"/>
          <w:color w:val="auto"/>
          <w:spacing w:val="5"/>
          <w:sz w:val="21"/>
          <w:szCs w:val="21"/>
          <w:highlight w:val="none"/>
        </w:rPr>
        <w:t>邮政编码：</w:t>
      </w:r>
      <w:r>
        <w:rPr>
          <w:rFonts w:hint="eastAsia" w:ascii="宋体" w:hAnsi="宋体" w:eastAsia="宋体" w:cs="宋体"/>
          <w:color w:val="auto"/>
          <w:spacing w:val="5"/>
          <w:sz w:val="21"/>
          <w:szCs w:val="21"/>
          <w:highlight w:val="none"/>
          <w:u w:val="single"/>
        </w:rPr>
        <w:t xml:space="preserve">                 </w:t>
      </w:r>
      <w:r>
        <w:rPr>
          <w:rFonts w:hint="eastAsia" w:ascii="宋体" w:hAnsi="宋体" w:eastAsia="宋体" w:cs="宋体"/>
          <w:color w:val="auto"/>
          <w:spacing w:val="18"/>
          <w:sz w:val="21"/>
          <w:szCs w:val="21"/>
          <w:highlight w:val="none"/>
        </w:rPr>
        <w:t xml:space="preserve">  </w:t>
      </w:r>
      <w:r>
        <w:rPr>
          <w:rFonts w:hint="eastAsia" w:ascii="宋体" w:hAnsi="宋体" w:eastAsia="宋体" w:cs="宋体"/>
          <w:color w:val="auto"/>
          <w:spacing w:val="18"/>
          <w:sz w:val="21"/>
          <w:szCs w:val="21"/>
          <w:highlight w:val="none"/>
          <w:lang w:val="en-US" w:eastAsia="zh-CN"/>
        </w:rPr>
        <w:t xml:space="preserve">     </w:t>
      </w:r>
      <w:r>
        <w:rPr>
          <w:rFonts w:hint="eastAsia" w:ascii="宋体" w:hAnsi="宋体" w:eastAsia="宋体" w:cs="宋体"/>
          <w:color w:val="auto"/>
          <w:spacing w:val="5"/>
          <w:sz w:val="21"/>
          <w:szCs w:val="21"/>
          <w:highlight w:val="none"/>
        </w:rPr>
        <w:t>邮政编码：</w:t>
      </w:r>
      <w:r>
        <w:rPr>
          <w:rFonts w:hint="eastAsia" w:ascii="宋体" w:hAnsi="宋体" w:eastAsia="宋体" w:cs="宋体"/>
          <w:color w:val="auto"/>
          <w:sz w:val="21"/>
          <w:szCs w:val="21"/>
          <w:highlight w:val="none"/>
          <w:u w:val="single"/>
        </w:rPr>
        <w:t xml:space="preserve">                    </w:t>
      </w:r>
    </w:p>
    <w:p w14:paraId="35F96020">
      <w:pPr>
        <w:spacing w:before="171" w:line="228" w:lineRule="auto"/>
        <w:ind w:left="435"/>
        <w:rPr>
          <w:rFonts w:hint="eastAsia" w:ascii="新宋体" w:hAnsi="新宋体" w:eastAsia="新宋体" w:cs="新宋体"/>
          <w:color w:val="auto"/>
          <w:sz w:val="20"/>
          <w:szCs w:val="20"/>
          <w:highlight w:val="none"/>
          <w:u w:val="single"/>
        </w:rPr>
      </w:pPr>
    </w:p>
    <w:p w14:paraId="15AD482A">
      <w:pPr>
        <w:pStyle w:val="13"/>
        <w:spacing w:before="240" w:line="231" w:lineRule="auto"/>
        <w:outlineLvl w:val="3"/>
        <w:rPr>
          <w:rFonts w:hint="eastAsia" w:ascii="新宋体" w:hAnsi="新宋体" w:eastAsia="新宋体" w:cs="新宋体"/>
          <w:color w:val="auto"/>
          <w:sz w:val="20"/>
          <w:szCs w:val="20"/>
          <w:highlight w:val="none"/>
        </w:rPr>
      </w:pPr>
      <w:r>
        <w:rPr>
          <w:rFonts w:hint="eastAsia" w:ascii="新宋体" w:hAnsi="新宋体" w:eastAsia="新宋体" w:cs="新宋体"/>
          <w:color w:val="auto"/>
          <w:spacing w:val="-1"/>
          <w:sz w:val="20"/>
          <w:szCs w:val="20"/>
          <w:highlight w:val="none"/>
        </w:rPr>
        <w:br w:type="page"/>
      </w:r>
      <w:bookmarkStart w:id="1023" w:name="_Toc17690"/>
      <w:r>
        <w:rPr>
          <w:rFonts w:hint="eastAsia" w:ascii="新宋体" w:hAnsi="新宋体" w:eastAsia="新宋体" w:cs="新宋体"/>
          <w:color w:val="auto"/>
          <w:spacing w:val="-1"/>
          <w:sz w:val="20"/>
          <w:szCs w:val="20"/>
          <w:highlight w:val="none"/>
        </w:rPr>
        <w:t>附件</w:t>
      </w:r>
      <w:r>
        <w:rPr>
          <w:rFonts w:hint="eastAsia" w:ascii="新宋体" w:hAnsi="新宋体" w:eastAsia="新宋体" w:cs="新宋体"/>
          <w:color w:val="auto"/>
          <w:spacing w:val="-1"/>
          <w:sz w:val="20"/>
          <w:szCs w:val="20"/>
          <w:highlight w:val="none"/>
          <w:lang w:val="en-US" w:eastAsia="zh-CN"/>
        </w:rPr>
        <w:t>4</w:t>
      </w:r>
      <w:r>
        <w:rPr>
          <w:rFonts w:hint="eastAsia" w:ascii="新宋体" w:hAnsi="新宋体" w:eastAsia="新宋体" w:cs="新宋体"/>
          <w:color w:val="auto"/>
          <w:spacing w:val="-1"/>
          <w:sz w:val="20"/>
          <w:szCs w:val="20"/>
          <w:highlight w:val="none"/>
        </w:rPr>
        <w:t>：</w:t>
      </w:r>
      <w:bookmarkEnd w:id="1023"/>
    </w:p>
    <w:p w14:paraId="51DB2C19">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z w:val="28"/>
          <w:szCs w:val="28"/>
          <w:highlight w:val="none"/>
        </w:rPr>
      </w:pPr>
      <w:bookmarkStart w:id="1024" w:name="_Toc2009"/>
      <w:r>
        <w:rPr>
          <w:rFonts w:hint="eastAsia" w:ascii="新宋体" w:hAnsi="新宋体" w:eastAsia="新宋体" w:cs="新宋体"/>
          <w:b/>
          <w:bCs/>
          <w:color w:val="auto"/>
          <w:spacing w:val="8"/>
          <w:sz w:val="28"/>
          <w:szCs w:val="28"/>
          <w:highlight w:val="none"/>
        </w:rPr>
        <w:t>主要建设工程文件目录</w:t>
      </w:r>
      <w:bookmarkEnd w:id="1024"/>
    </w:p>
    <w:tbl>
      <w:tblPr>
        <w:tblStyle w:val="28"/>
        <w:tblW w:w="967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62"/>
        <w:gridCol w:w="1272"/>
        <w:gridCol w:w="1446"/>
        <w:gridCol w:w="1239"/>
        <w:gridCol w:w="1446"/>
        <w:gridCol w:w="2306"/>
      </w:tblGrid>
      <w:tr w14:paraId="72E318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1962" w:type="dxa"/>
            <w:tcBorders>
              <w:top w:val="single" w:color="000000" w:sz="10" w:space="0"/>
              <w:left w:val="single" w:color="000000" w:sz="10" w:space="0"/>
            </w:tcBorders>
            <w:noWrap w:val="0"/>
            <w:vAlign w:val="top"/>
          </w:tcPr>
          <w:p w14:paraId="5B2E221C">
            <w:pPr>
              <w:spacing w:before="178" w:line="229" w:lineRule="auto"/>
              <w:ind w:left="559"/>
              <w:rPr>
                <w:rFonts w:hint="eastAsia" w:ascii="新宋体" w:hAnsi="新宋体" w:eastAsia="新宋体" w:cs="新宋体"/>
                <w:color w:val="auto"/>
                <w:sz w:val="20"/>
                <w:szCs w:val="20"/>
                <w:highlight w:val="none"/>
              </w:rPr>
            </w:pPr>
            <w:r>
              <w:rPr>
                <w:rFonts w:hint="eastAsia" w:ascii="新宋体" w:hAnsi="新宋体" w:eastAsia="新宋体" w:cs="新宋体"/>
                <w:color w:val="auto"/>
                <w:spacing w:val="5"/>
                <w:sz w:val="20"/>
                <w:szCs w:val="20"/>
                <w:highlight w:val="none"/>
              </w:rPr>
              <w:t>文件名称</w:t>
            </w:r>
          </w:p>
        </w:tc>
        <w:tc>
          <w:tcPr>
            <w:tcW w:w="1272" w:type="dxa"/>
            <w:tcBorders>
              <w:top w:val="single" w:color="000000" w:sz="10" w:space="0"/>
            </w:tcBorders>
            <w:noWrap w:val="0"/>
            <w:vAlign w:val="top"/>
          </w:tcPr>
          <w:p w14:paraId="740DADC4">
            <w:pPr>
              <w:spacing w:before="177" w:line="232" w:lineRule="auto"/>
              <w:ind w:left="429"/>
              <w:rPr>
                <w:rFonts w:hint="eastAsia" w:ascii="新宋体" w:hAnsi="新宋体" w:eastAsia="新宋体" w:cs="新宋体"/>
                <w:color w:val="auto"/>
                <w:sz w:val="20"/>
                <w:szCs w:val="20"/>
                <w:highlight w:val="none"/>
              </w:rPr>
            </w:pPr>
            <w:r>
              <w:rPr>
                <w:rFonts w:hint="eastAsia" w:ascii="新宋体" w:hAnsi="新宋体" w:eastAsia="新宋体" w:cs="新宋体"/>
                <w:color w:val="auto"/>
                <w:spacing w:val="2"/>
                <w:sz w:val="20"/>
                <w:szCs w:val="20"/>
                <w:highlight w:val="none"/>
              </w:rPr>
              <w:t>套数</w:t>
            </w:r>
          </w:p>
        </w:tc>
        <w:tc>
          <w:tcPr>
            <w:tcW w:w="1446" w:type="dxa"/>
            <w:tcBorders>
              <w:top w:val="single" w:color="000000" w:sz="10" w:space="0"/>
            </w:tcBorders>
            <w:noWrap w:val="0"/>
            <w:vAlign w:val="top"/>
          </w:tcPr>
          <w:p w14:paraId="6AF2F42A">
            <w:pPr>
              <w:spacing w:before="178" w:line="232" w:lineRule="auto"/>
              <w:ind w:left="212"/>
              <w:rPr>
                <w:rFonts w:hint="eastAsia" w:ascii="新宋体" w:hAnsi="新宋体" w:eastAsia="新宋体" w:cs="新宋体"/>
                <w:color w:val="auto"/>
                <w:sz w:val="20"/>
                <w:szCs w:val="20"/>
                <w:highlight w:val="none"/>
              </w:rPr>
            </w:pPr>
            <w:r>
              <w:rPr>
                <w:rFonts w:hint="eastAsia" w:ascii="新宋体" w:hAnsi="新宋体" w:eastAsia="新宋体" w:cs="新宋体"/>
                <w:color w:val="auto"/>
                <w:spacing w:val="3"/>
                <w:sz w:val="20"/>
                <w:szCs w:val="20"/>
                <w:highlight w:val="none"/>
              </w:rPr>
              <w:t>费用（元）</w:t>
            </w:r>
          </w:p>
        </w:tc>
        <w:tc>
          <w:tcPr>
            <w:tcW w:w="1239" w:type="dxa"/>
            <w:tcBorders>
              <w:top w:val="single" w:color="000000" w:sz="10" w:space="0"/>
            </w:tcBorders>
            <w:noWrap w:val="0"/>
            <w:vAlign w:val="top"/>
          </w:tcPr>
          <w:p w14:paraId="4C652C5C">
            <w:pPr>
              <w:spacing w:before="177" w:line="234" w:lineRule="auto"/>
              <w:ind w:left="425"/>
              <w:rPr>
                <w:rFonts w:hint="eastAsia" w:ascii="新宋体" w:hAnsi="新宋体" w:eastAsia="新宋体" w:cs="新宋体"/>
                <w:color w:val="auto"/>
                <w:sz w:val="20"/>
                <w:szCs w:val="20"/>
                <w:highlight w:val="none"/>
              </w:rPr>
            </w:pPr>
            <w:r>
              <w:rPr>
                <w:rFonts w:hint="eastAsia" w:ascii="新宋体" w:hAnsi="新宋体" w:eastAsia="新宋体" w:cs="新宋体"/>
                <w:color w:val="auto"/>
                <w:spacing w:val="-1"/>
                <w:sz w:val="20"/>
                <w:szCs w:val="20"/>
                <w:highlight w:val="none"/>
              </w:rPr>
              <w:t>质量</w:t>
            </w:r>
          </w:p>
        </w:tc>
        <w:tc>
          <w:tcPr>
            <w:tcW w:w="1446" w:type="dxa"/>
            <w:tcBorders>
              <w:top w:val="single" w:color="000000" w:sz="10" w:space="0"/>
            </w:tcBorders>
            <w:noWrap w:val="0"/>
            <w:vAlign w:val="top"/>
          </w:tcPr>
          <w:p w14:paraId="209D6768">
            <w:pPr>
              <w:spacing w:before="177" w:line="232" w:lineRule="auto"/>
              <w:ind w:left="319"/>
              <w:rPr>
                <w:rFonts w:hint="eastAsia" w:ascii="新宋体" w:hAnsi="新宋体" w:eastAsia="新宋体" w:cs="新宋体"/>
                <w:color w:val="auto"/>
                <w:sz w:val="20"/>
                <w:szCs w:val="20"/>
                <w:highlight w:val="none"/>
              </w:rPr>
            </w:pPr>
            <w:r>
              <w:rPr>
                <w:rFonts w:hint="eastAsia" w:ascii="新宋体" w:hAnsi="新宋体" w:eastAsia="新宋体" w:cs="新宋体"/>
                <w:color w:val="auto"/>
                <w:spacing w:val="5"/>
                <w:sz w:val="20"/>
                <w:szCs w:val="20"/>
                <w:highlight w:val="none"/>
              </w:rPr>
              <w:t>移交时间</w:t>
            </w:r>
          </w:p>
        </w:tc>
        <w:tc>
          <w:tcPr>
            <w:tcW w:w="2306" w:type="dxa"/>
            <w:tcBorders>
              <w:top w:val="single" w:color="000000" w:sz="10" w:space="0"/>
              <w:right w:val="single" w:color="000000" w:sz="10" w:space="0"/>
            </w:tcBorders>
            <w:noWrap w:val="0"/>
            <w:vAlign w:val="top"/>
          </w:tcPr>
          <w:p w14:paraId="4A73D4DC">
            <w:pPr>
              <w:spacing w:before="177" w:line="232" w:lineRule="auto"/>
              <w:ind w:left="538"/>
              <w:rPr>
                <w:rFonts w:hint="eastAsia" w:ascii="新宋体" w:hAnsi="新宋体" w:eastAsia="新宋体" w:cs="新宋体"/>
                <w:color w:val="auto"/>
                <w:sz w:val="20"/>
                <w:szCs w:val="20"/>
                <w:highlight w:val="none"/>
              </w:rPr>
            </w:pPr>
            <w:r>
              <w:rPr>
                <w:rFonts w:hint="eastAsia" w:ascii="新宋体" w:hAnsi="新宋体" w:eastAsia="新宋体" w:cs="新宋体"/>
                <w:color w:val="auto"/>
                <w:spacing w:val="4"/>
                <w:sz w:val="20"/>
                <w:szCs w:val="20"/>
                <w:highlight w:val="none"/>
              </w:rPr>
              <w:t>责任人</w:t>
            </w:r>
          </w:p>
        </w:tc>
      </w:tr>
      <w:tr w14:paraId="1E1AE4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rPr>
        <w:tc>
          <w:tcPr>
            <w:tcW w:w="1962" w:type="dxa"/>
            <w:tcBorders>
              <w:left w:val="single" w:color="000000" w:sz="10" w:space="0"/>
            </w:tcBorders>
            <w:noWrap w:val="0"/>
            <w:vAlign w:val="top"/>
          </w:tcPr>
          <w:p w14:paraId="65A9AE8E">
            <w:pPr>
              <w:rPr>
                <w:rFonts w:hint="eastAsia" w:ascii="新宋体" w:hAnsi="新宋体" w:eastAsia="新宋体" w:cs="新宋体"/>
                <w:color w:val="auto"/>
                <w:highlight w:val="none"/>
              </w:rPr>
            </w:pPr>
          </w:p>
        </w:tc>
        <w:tc>
          <w:tcPr>
            <w:tcW w:w="1272" w:type="dxa"/>
            <w:noWrap w:val="0"/>
            <w:vAlign w:val="top"/>
          </w:tcPr>
          <w:p w14:paraId="3B0B17F5">
            <w:pPr>
              <w:rPr>
                <w:rFonts w:hint="eastAsia" w:ascii="新宋体" w:hAnsi="新宋体" w:eastAsia="新宋体" w:cs="新宋体"/>
                <w:color w:val="auto"/>
                <w:highlight w:val="none"/>
              </w:rPr>
            </w:pPr>
          </w:p>
        </w:tc>
        <w:tc>
          <w:tcPr>
            <w:tcW w:w="1446" w:type="dxa"/>
            <w:noWrap w:val="0"/>
            <w:vAlign w:val="top"/>
          </w:tcPr>
          <w:p w14:paraId="7710AA66">
            <w:pPr>
              <w:rPr>
                <w:rFonts w:hint="eastAsia" w:ascii="新宋体" w:hAnsi="新宋体" w:eastAsia="新宋体" w:cs="新宋体"/>
                <w:color w:val="auto"/>
                <w:highlight w:val="none"/>
              </w:rPr>
            </w:pPr>
          </w:p>
        </w:tc>
        <w:tc>
          <w:tcPr>
            <w:tcW w:w="1239" w:type="dxa"/>
            <w:noWrap w:val="0"/>
            <w:vAlign w:val="top"/>
          </w:tcPr>
          <w:p w14:paraId="604E2CAD">
            <w:pPr>
              <w:rPr>
                <w:rFonts w:hint="eastAsia" w:ascii="新宋体" w:hAnsi="新宋体" w:eastAsia="新宋体" w:cs="新宋体"/>
                <w:color w:val="auto"/>
                <w:highlight w:val="none"/>
              </w:rPr>
            </w:pPr>
          </w:p>
        </w:tc>
        <w:tc>
          <w:tcPr>
            <w:tcW w:w="1446" w:type="dxa"/>
            <w:noWrap w:val="0"/>
            <w:vAlign w:val="top"/>
          </w:tcPr>
          <w:p w14:paraId="21EB7BB4">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6253C2F1">
            <w:pPr>
              <w:rPr>
                <w:rFonts w:hint="eastAsia" w:ascii="新宋体" w:hAnsi="新宋体" w:eastAsia="新宋体" w:cs="新宋体"/>
                <w:color w:val="auto"/>
                <w:highlight w:val="none"/>
              </w:rPr>
            </w:pPr>
          </w:p>
        </w:tc>
      </w:tr>
      <w:tr w14:paraId="63C12B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962" w:type="dxa"/>
            <w:tcBorders>
              <w:left w:val="single" w:color="000000" w:sz="10" w:space="0"/>
            </w:tcBorders>
            <w:noWrap w:val="0"/>
            <w:vAlign w:val="top"/>
          </w:tcPr>
          <w:p w14:paraId="20473EBF">
            <w:pPr>
              <w:rPr>
                <w:rFonts w:hint="eastAsia" w:ascii="新宋体" w:hAnsi="新宋体" w:eastAsia="新宋体" w:cs="新宋体"/>
                <w:color w:val="auto"/>
                <w:highlight w:val="none"/>
              </w:rPr>
            </w:pPr>
          </w:p>
        </w:tc>
        <w:tc>
          <w:tcPr>
            <w:tcW w:w="1272" w:type="dxa"/>
            <w:noWrap w:val="0"/>
            <w:vAlign w:val="top"/>
          </w:tcPr>
          <w:p w14:paraId="673C9F9E">
            <w:pPr>
              <w:rPr>
                <w:rFonts w:hint="eastAsia" w:ascii="新宋体" w:hAnsi="新宋体" w:eastAsia="新宋体" w:cs="新宋体"/>
                <w:color w:val="auto"/>
                <w:highlight w:val="none"/>
              </w:rPr>
            </w:pPr>
          </w:p>
        </w:tc>
        <w:tc>
          <w:tcPr>
            <w:tcW w:w="1446" w:type="dxa"/>
            <w:noWrap w:val="0"/>
            <w:vAlign w:val="top"/>
          </w:tcPr>
          <w:p w14:paraId="1AF2A7B6">
            <w:pPr>
              <w:rPr>
                <w:rFonts w:hint="eastAsia" w:ascii="新宋体" w:hAnsi="新宋体" w:eastAsia="新宋体" w:cs="新宋体"/>
                <w:color w:val="auto"/>
                <w:highlight w:val="none"/>
              </w:rPr>
            </w:pPr>
          </w:p>
        </w:tc>
        <w:tc>
          <w:tcPr>
            <w:tcW w:w="1239" w:type="dxa"/>
            <w:noWrap w:val="0"/>
            <w:vAlign w:val="top"/>
          </w:tcPr>
          <w:p w14:paraId="6BEC6291">
            <w:pPr>
              <w:rPr>
                <w:rFonts w:hint="eastAsia" w:ascii="新宋体" w:hAnsi="新宋体" w:eastAsia="新宋体" w:cs="新宋体"/>
                <w:color w:val="auto"/>
                <w:highlight w:val="none"/>
              </w:rPr>
            </w:pPr>
          </w:p>
        </w:tc>
        <w:tc>
          <w:tcPr>
            <w:tcW w:w="1446" w:type="dxa"/>
            <w:noWrap w:val="0"/>
            <w:vAlign w:val="top"/>
          </w:tcPr>
          <w:p w14:paraId="25912003">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23A72776">
            <w:pPr>
              <w:rPr>
                <w:rFonts w:hint="eastAsia" w:ascii="新宋体" w:hAnsi="新宋体" w:eastAsia="新宋体" w:cs="新宋体"/>
                <w:color w:val="auto"/>
                <w:highlight w:val="none"/>
              </w:rPr>
            </w:pPr>
          </w:p>
        </w:tc>
      </w:tr>
      <w:tr w14:paraId="2DF213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2637F6A2">
            <w:pPr>
              <w:rPr>
                <w:rFonts w:hint="eastAsia" w:ascii="新宋体" w:hAnsi="新宋体" w:eastAsia="新宋体" w:cs="新宋体"/>
                <w:color w:val="auto"/>
                <w:highlight w:val="none"/>
              </w:rPr>
            </w:pPr>
          </w:p>
        </w:tc>
        <w:tc>
          <w:tcPr>
            <w:tcW w:w="1272" w:type="dxa"/>
            <w:noWrap w:val="0"/>
            <w:vAlign w:val="top"/>
          </w:tcPr>
          <w:p w14:paraId="36ED93F8">
            <w:pPr>
              <w:rPr>
                <w:rFonts w:hint="eastAsia" w:ascii="新宋体" w:hAnsi="新宋体" w:eastAsia="新宋体" w:cs="新宋体"/>
                <w:color w:val="auto"/>
                <w:highlight w:val="none"/>
              </w:rPr>
            </w:pPr>
          </w:p>
        </w:tc>
        <w:tc>
          <w:tcPr>
            <w:tcW w:w="1446" w:type="dxa"/>
            <w:noWrap w:val="0"/>
            <w:vAlign w:val="top"/>
          </w:tcPr>
          <w:p w14:paraId="6BABDCC0">
            <w:pPr>
              <w:rPr>
                <w:rFonts w:hint="eastAsia" w:ascii="新宋体" w:hAnsi="新宋体" w:eastAsia="新宋体" w:cs="新宋体"/>
                <w:color w:val="auto"/>
                <w:highlight w:val="none"/>
              </w:rPr>
            </w:pPr>
          </w:p>
        </w:tc>
        <w:tc>
          <w:tcPr>
            <w:tcW w:w="1239" w:type="dxa"/>
            <w:noWrap w:val="0"/>
            <w:vAlign w:val="top"/>
          </w:tcPr>
          <w:p w14:paraId="2E4E0FF9">
            <w:pPr>
              <w:rPr>
                <w:rFonts w:hint="eastAsia" w:ascii="新宋体" w:hAnsi="新宋体" w:eastAsia="新宋体" w:cs="新宋体"/>
                <w:color w:val="auto"/>
                <w:highlight w:val="none"/>
              </w:rPr>
            </w:pPr>
          </w:p>
        </w:tc>
        <w:tc>
          <w:tcPr>
            <w:tcW w:w="1446" w:type="dxa"/>
            <w:noWrap w:val="0"/>
            <w:vAlign w:val="top"/>
          </w:tcPr>
          <w:p w14:paraId="0492543B">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309A67FA">
            <w:pPr>
              <w:rPr>
                <w:rFonts w:hint="eastAsia" w:ascii="新宋体" w:hAnsi="新宋体" w:eastAsia="新宋体" w:cs="新宋体"/>
                <w:color w:val="auto"/>
                <w:highlight w:val="none"/>
              </w:rPr>
            </w:pPr>
          </w:p>
        </w:tc>
      </w:tr>
      <w:tr w14:paraId="3E110A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1624DA6B">
            <w:pPr>
              <w:rPr>
                <w:rFonts w:hint="eastAsia" w:ascii="新宋体" w:hAnsi="新宋体" w:eastAsia="新宋体" w:cs="新宋体"/>
                <w:color w:val="auto"/>
                <w:highlight w:val="none"/>
              </w:rPr>
            </w:pPr>
          </w:p>
        </w:tc>
        <w:tc>
          <w:tcPr>
            <w:tcW w:w="1272" w:type="dxa"/>
            <w:noWrap w:val="0"/>
            <w:vAlign w:val="top"/>
          </w:tcPr>
          <w:p w14:paraId="1490CF1E">
            <w:pPr>
              <w:rPr>
                <w:rFonts w:hint="eastAsia" w:ascii="新宋体" w:hAnsi="新宋体" w:eastAsia="新宋体" w:cs="新宋体"/>
                <w:color w:val="auto"/>
                <w:highlight w:val="none"/>
              </w:rPr>
            </w:pPr>
          </w:p>
        </w:tc>
        <w:tc>
          <w:tcPr>
            <w:tcW w:w="1446" w:type="dxa"/>
            <w:noWrap w:val="0"/>
            <w:vAlign w:val="top"/>
          </w:tcPr>
          <w:p w14:paraId="564D7DA8">
            <w:pPr>
              <w:rPr>
                <w:rFonts w:hint="eastAsia" w:ascii="新宋体" w:hAnsi="新宋体" w:eastAsia="新宋体" w:cs="新宋体"/>
                <w:color w:val="auto"/>
                <w:highlight w:val="none"/>
              </w:rPr>
            </w:pPr>
          </w:p>
        </w:tc>
        <w:tc>
          <w:tcPr>
            <w:tcW w:w="1239" w:type="dxa"/>
            <w:noWrap w:val="0"/>
            <w:vAlign w:val="top"/>
          </w:tcPr>
          <w:p w14:paraId="1EECE2F3">
            <w:pPr>
              <w:rPr>
                <w:rFonts w:hint="eastAsia" w:ascii="新宋体" w:hAnsi="新宋体" w:eastAsia="新宋体" w:cs="新宋体"/>
                <w:color w:val="auto"/>
                <w:highlight w:val="none"/>
              </w:rPr>
            </w:pPr>
          </w:p>
        </w:tc>
        <w:tc>
          <w:tcPr>
            <w:tcW w:w="1446" w:type="dxa"/>
            <w:noWrap w:val="0"/>
            <w:vAlign w:val="top"/>
          </w:tcPr>
          <w:p w14:paraId="2203F80F">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71D8039E">
            <w:pPr>
              <w:rPr>
                <w:rFonts w:hint="eastAsia" w:ascii="新宋体" w:hAnsi="新宋体" w:eastAsia="新宋体" w:cs="新宋体"/>
                <w:color w:val="auto"/>
                <w:highlight w:val="none"/>
              </w:rPr>
            </w:pPr>
          </w:p>
        </w:tc>
      </w:tr>
      <w:tr w14:paraId="3F423B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10471C16">
            <w:pPr>
              <w:rPr>
                <w:rFonts w:hint="eastAsia" w:ascii="新宋体" w:hAnsi="新宋体" w:eastAsia="新宋体" w:cs="新宋体"/>
                <w:color w:val="auto"/>
                <w:highlight w:val="none"/>
              </w:rPr>
            </w:pPr>
          </w:p>
        </w:tc>
        <w:tc>
          <w:tcPr>
            <w:tcW w:w="1272" w:type="dxa"/>
            <w:noWrap w:val="0"/>
            <w:vAlign w:val="top"/>
          </w:tcPr>
          <w:p w14:paraId="563DEF12">
            <w:pPr>
              <w:rPr>
                <w:rFonts w:hint="eastAsia" w:ascii="新宋体" w:hAnsi="新宋体" w:eastAsia="新宋体" w:cs="新宋体"/>
                <w:color w:val="auto"/>
                <w:highlight w:val="none"/>
              </w:rPr>
            </w:pPr>
          </w:p>
        </w:tc>
        <w:tc>
          <w:tcPr>
            <w:tcW w:w="1446" w:type="dxa"/>
            <w:noWrap w:val="0"/>
            <w:vAlign w:val="top"/>
          </w:tcPr>
          <w:p w14:paraId="2D33F5B3">
            <w:pPr>
              <w:rPr>
                <w:rFonts w:hint="eastAsia" w:ascii="新宋体" w:hAnsi="新宋体" w:eastAsia="新宋体" w:cs="新宋体"/>
                <w:color w:val="auto"/>
                <w:highlight w:val="none"/>
              </w:rPr>
            </w:pPr>
          </w:p>
        </w:tc>
        <w:tc>
          <w:tcPr>
            <w:tcW w:w="1239" w:type="dxa"/>
            <w:noWrap w:val="0"/>
            <w:vAlign w:val="top"/>
          </w:tcPr>
          <w:p w14:paraId="4FF70791">
            <w:pPr>
              <w:rPr>
                <w:rFonts w:hint="eastAsia" w:ascii="新宋体" w:hAnsi="新宋体" w:eastAsia="新宋体" w:cs="新宋体"/>
                <w:color w:val="auto"/>
                <w:highlight w:val="none"/>
              </w:rPr>
            </w:pPr>
          </w:p>
        </w:tc>
        <w:tc>
          <w:tcPr>
            <w:tcW w:w="1446" w:type="dxa"/>
            <w:noWrap w:val="0"/>
            <w:vAlign w:val="top"/>
          </w:tcPr>
          <w:p w14:paraId="1BD53D75">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01EF70AA">
            <w:pPr>
              <w:rPr>
                <w:rFonts w:hint="eastAsia" w:ascii="新宋体" w:hAnsi="新宋体" w:eastAsia="新宋体" w:cs="新宋体"/>
                <w:color w:val="auto"/>
                <w:highlight w:val="none"/>
              </w:rPr>
            </w:pPr>
          </w:p>
        </w:tc>
      </w:tr>
      <w:tr w14:paraId="3DE5FA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962" w:type="dxa"/>
            <w:tcBorders>
              <w:left w:val="single" w:color="000000" w:sz="10" w:space="0"/>
            </w:tcBorders>
            <w:noWrap w:val="0"/>
            <w:vAlign w:val="top"/>
          </w:tcPr>
          <w:p w14:paraId="66C376E1">
            <w:pPr>
              <w:rPr>
                <w:rFonts w:hint="eastAsia" w:ascii="新宋体" w:hAnsi="新宋体" w:eastAsia="新宋体" w:cs="新宋体"/>
                <w:color w:val="auto"/>
                <w:highlight w:val="none"/>
              </w:rPr>
            </w:pPr>
          </w:p>
        </w:tc>
        <w:tc>
          <w:tcPr>
            <w:tcW w:w="1272" w:type="dxa"/>
            <w:noWrap w:val="0"/>
            <w:vAlign w:val="top"/>
          </w:tcPr>
          <w:p w14:paraId="2A0F7D42">
            <w:pPr>
              <w:rPr>
                <w:rFonts w:hint="eastAsia" w:ascii="新宋体" w:hAnsi="新宋体" w:eastAsia="新宋体" w:cs="新宋体"/>
                <w:color w:val="auto"/>
                <w:highlight w:val="none"/>
              </w:rPr>
            </w:pPr>
          </w:p>
        </w:tc>
        <w:tc>
          <w:tcPr>
            <w:tcW w:w="1446" w:type="dxa"/>
            <w:noWrap w:val="0"/>
            <w:vAlign w:val="top"/>
          </w:tcPr>
          <w:p w14:paraId="08C75611">
            <w:pPr>
              <w:rPr>
                <w:rFonts w:hint="eastAsia" w:ascii="新宋体" w:hAnsi="新宋体" w:eastAsia="新宋体" w:cs="新宋体"/>
                <w:color w:val="auto"/>
                <w:highlight w:val="none"/>
              </w:rPr>
            </w:pPr>
          </w:p>
        </w:tc>
        <w:tc>
          <w:tcPr>
            <w:tcW w:w="1239" w:type="dxa"/>
            <w:noWrap w:val="0"/>
            <w:vAlign w:val="top"/>
          </w:tcPr>
          <w:p w14:paraId="5CA9E847">
            <w:pPr>
              <w:rPr>
                <w:rFonts w:hint="eastAsia" w:ascii="新宋体" w:hAnsi="新宋体" w:eastAsia="新宋体" w:cs="新宋体"/>
                <w:color w:val="auto"/>
                <w:highlight w:val="none"/>
              </w:rPr>
            </w:pPr>
          </w:p>
        </w:tc>
        <w:tc>
          <w:tcPr>
            <w:tcW w:w="1446" w:type="dxa"/>
            <w:noWrap w:val="0"/>
            <w:vAlign w:val="top"/>
          </w:tcPr>
          <w:p w14:paraId="4431749E">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1AECE771">
            <w:pPr>
              <w:rPr>
                <w:rFonts w:hint="eastAsia" w:ascii="新宋体" w:hAnsi="新宋体" w:eastAsia="新宋体" w:cs="新宋体"/>
                <w:color w:val="auto"/>
                <w:highlight w:val="none"/>
              </w:rPr>
            </w:pPr>
          </w:p>
        </w:tc>
      </w:tr>
      <w:tr w14:paraId="140177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467DFE9B">
            <w:pPr>
              <w:rPr>
                <w:rFonts w:hint="eastAsia" w:ascii="新宋体" w:hAnsi="新宋体" w:eastAsia="新宋体" w:cs="新宋体"/>
                <w:color w:val="auto"/>
                <w:highlight w:val="none"/>
              </w:rPr>
            </w:pPr>
          </w:p>
        </w:tc>
        <w:tc>
          <w:tcPr>
            <w:tcW w:w="1272" w:type="dxa"/>
            <w:noWrap w:val="0"/>
            <w:vAlign w:val="top"/>
          </w:tcPr>
          <w:p w14:paraId="61D9BA7C">
            <w:pPr>
              <w:rPr>
                <w:rFonts w:hint="eastAsia" w:ascii="新宋体" w:hAnsi="新宋体" w:eastAsia="新宋体" w:cs="新宋体"/>
                <w:color w:val="auto"/>
                <w:highlight w:val="none"/>
              </w:rPr>
            </w:pPr>
          </w:p>
        </w:tc>
        <w:tc>
          <w:tcPr>
            <w:tcW w:w="1446" w:type="dxa"/>
            <w:noWrap w:val="0"/>
            <w:vAlign w:val="top"/>
          </w:tcPr>
          <w:p w14:paraId="0B27B274">
            <w:pPr>
              <w:rPr>
                <w:rFonts w:hint="eastAsia" w:ascii="新宋体" w:hAnsi="新宋体" w:eastAsia="新宋体" w:cs="新宋体"/>
                <w:color w:val="auto"/>
                <w:highlight w:val="none"/>
              </w:rPr>
            </w:pPr>
          </w:p>
        </w:tc>
        <w:tc>
          <w:tcPr>
            <w:tcW w:w="1239" w:type="dxa"/>
            <w:noWrap w:val="0"/>
            <w:vAlign w:val="top"/>
          </w:tcPr>
          <w:p w14:paraId="75920284">
            <w:pPr>
              <w:rPr>
                <w:rFonts w:hint="eastAsia" w:ascii="新宋体" w:hAnsi="新宋体" w:eastAsia="新宋体" w:cs="新宋体"/>
                <w:color w:val="auto"/>
                <w:highlight w:val="none"/>
              </w:rPr>
            </w:pPr>
          </w:p>
        </w:tc>
        <w:tc>
          <w:tcPr>
            <w:tcW w:w="1446" w:type="dxa"/>
            <w:noWrap w:val="0"/>
            <w:vAlign w:val="top"/>
          </w:tcPr>
          <w:p w14:paraId="4AC2FA07">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178BE1AA">
            <w:pPr>
              <w:rPr>
                <w:rFonts w:hint="eastAsia" w:ascii="新宋体" w:hAnsi="新宋体" w:eastAsia="新宋体" w:cs="新宋体"/>
                <w:color w:val="auto"/>
                <w:highlight w:val="none"/>
              </w:rPr>
            </w:pPr>
          </w:p>
        </w:tc>
      </w:tr>
      <w:tr w14:paraId="4482DD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4BB0224C">
            <w:pPr>
              <w:rPr>
                <w:rFonts w:hint="eastAsia" w:ascii="新宋体" w:hAnsi="新宋体" w:eastAsia="新宋体" w:cs="新宋体"/>
                <w:color w:val="auto"/>
                <w:highlight w:val="none"/>
              </w:rPr>
            </w:pPr>
          </w:p>
        </w:tc>
        <w:tc>
          <w:tcPr>
            <w:tcW w:w="1272" w:type="dxa"/>
            <w:noWrap w:val="0"/>
            <w:vAlign w:val="top"/>
          </w:tcPr>
          <w:p w14:paraId="23A4210C">
            <w:pPr>
              <w:rPr>
                <w:rFonts w:hint="eastAsia" w:ascii="新宋体" w:hAnsi="新宋体" w:eastAsia="新宋体" w:cs="新宋体"/>
                <w:color w:val="auto"/>
                <w:highlight w:val="none"/>
              </w:rPr>
            </w:pPr>
          </w:p>
        </w:tc>
        <w:tc>
          <w:tcPr>
            <w:tcW w:w="1446" w:type="dxa"/>
            <w:noWrap w:val="0"/>
            <w:vAlign w:val="top"/>
          </w:tcPr>
          <w:p w14:paraId="529447AF">
            <w:pPr>
              <w:rPr>
                <w:rFonts w:hint="eastAsia" w:ascii="新宋体" w:hAnsi="新宋体" w:eastAsia="新宋体" w:cs="新宋体"/>
                <w:color w:val="auto"/>
                <w:highlight w:val="none"/>
              </w:rPr>
            </w:pPr>
          </w:p>
        </w:tc>
        <w:tc>
          <w:tcPr>
            <w:tcW w:w="1239" w:type="dxa"/>
            <w:noWrap w:val="0"/>
            <w:vAlign w:val="top"/>
          </w:tcPr>
          <w:p w14:paraId="67AF582C">
            <w:pPr>
              <w:rPr>
                <w:rFonts w:hint="eastAsia" w:ascii="新宋体" w:hAnsi="新宋体" w:eastAsia="新宋体" w:cs="新宋体"/>
                <w:color w:val="auto"/>
                <w:highlight w:val="none"/>
              </w:rPr>
            </w:pPr>
          </w:p>
        </w:tc>
        <w:tc>
          <w:tcPr>
            <w:tcW w:w="1446" w:type="dxa"/>
            <w:noWrap w:val="0"/>
            <w:vAlign w:val="top"/>
          </w:tcPr>
          <w:p w14:paraId="3A2D59B0">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0FAA10D2">
            <w:pPr>
              <w:rPr>
                <w:rFonts w:hint="eastAsia" w:ascii="新宋体" w:hAnsi="新宋体" w:eastAsia="新宋体" w:cs="新宋体"/>
                <w:color w:val="auto"/>
                <w:highlight w:val="none"/>
              </w:rPr>
            </w:pPr>
          </w:p>
        </w:tc>
      </w:tr>
      <w:tr w14:paraId="65B25D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480C413E">
            <w:pPr>
              <w:rPr>
                <w:rFonts w:hint="eastAsia" w:ascii="新宋体" w:hAnsi="新宋体" w:eastAsia="新宋体" w:cs="新宋体"/>
                <w:color w:val="auto"/>
                <w:highlight w:val="none"/>
              </w:rPr>
            </w:pPr>
          </w:p>
        </w:tc>
        <w:tc>
          <w:tcPr>
            <w:tcW w:w="1272" w:type="dxa"/>
            <w:noWrap w:val="0"/>
            <w:vAlign w:val="top"/>
          </w:tcPr>
          <w:p w14:paraId="284DB783">
            <w:pPr>
              <w:rPr>
                <w:rFonts w:hint="eastAsia" w:ascii="新宋体" w:hAnsi="新宋体" w:eastAsia="新宋体" w:cs="新宋体"/>
                <w:color w:val="auto"/>
                <w:highlight w:val="none"/>
              </w:rPr>
            </w:pPr>
          </w:p>
        </w:tc>
        <w:tc>
          <w:tcPr>
            <w:tcW w:w="1446" w:type="dxa"/>
            <w:noWrap w:val="0"/>
            <w:vAlign w:val="top"/>
          </w:tcPr>
          <w:p w14:paraId="4E0C182D">
            <w:pPr>
              <w:rPr>
                <w:rFonts w:hint="eastAsia" w:ascii="新宋体" w:hAnsi="新宋体" w:eastAsia="新宋体" w:cs="新宋体"/>
                <w:color w:val="auto"/>
                <w:highlight w:val="none"/>
              </w:rPr>
            </w:pPr>
          </w:p>
        </w:tc>
        <w:tc>
          <w:tcPr>
            <w:tcW w:w="1239" w:type="dxa"/>
            <w:noWrap w:val="0"/>
            <w:vAlign w:val="top"/>
          </w:tcPr>
          <w:p w14:paraId="7DA8368D">
            <w:pPr>
              <w:rPr>
                <w:rFonts w:hint="eastAsia" w:ascii="新宋体" w:hAnsi="新宋体" w:eastAsia="新宋体" w:cs="新宋体"/>
                <w:color w:val="auto"/>
                <w:highlight w:val="none"/>
              </w:rPr>
            </w:pPr>
          </w:p>
        </w:tc>
        <w:tc>
          <w:tcPr>
            <w:tcW w:w="1446" w:type="dxa"/>
            <w:noWrap w:val="0"/>
            <w:vAlign w:val="top"/>
          </w:tcPr>
          <w:p w14:paraId="5FE666D2">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7E56F9CD">
            <w:pPr>
              <w:rPr>
                <w:rFonts w:hint="eastAsia" w:ascii="新宋体" w:hAnsi="新宋体" w:eastAsia="新宋体" w:cs="新宋体"/>
                <w:color w:val="auto"/>
                <w:highlight w:val="none"/>
              </w:rPr>
            </w:pPr>
          </w:p>
        </w:tc>
      </w:tr>
      <w:tr w14:paraId="1AC810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1CA39A1C">
            <w:pPr>
              <w:rPr>
                <w:rFonts w:hint="eastAsia" w:ascii="新宋体" w:hAnsi="新宋体" w:eastAsia="新宋体" w:cs="新宋体"/>
                <w:color w:val="auto"/>
                <w:highlight w:val="none"/>
              </w:rPr>
            </w:pPr>
          </w:p>
        </w:tc>
        <w:tc>
          <w:tcPr>
            <w:tcW w:w="1272" w:type="dxa"/>
            <w:noWrap w:val="0"/>
            <w:vAlign w:val="top"/>
          </w:tcPr>
          <w:p w14:paraId="0C78278C">
            <w:pPr>
              <w:rPr>
                <w:rFonts w:hint="eastAsia" w:ascii="新宋体" w:hAnsi="新宋体" w:eastAsia="新宋体" w:cs="新宋体"/>
                <w:color w:val="auto"/>
                <w:highlight w:val="none"/>
              </w:rPr>
            </w:pPr>
          </w:p>
        </w:tc>
        <w:tc>
          <w:tcPr>
            <w:tcW w:w="1446" w:type="dxa"/>
            <w:noWrap w:val="0"/>
            <w:vAlign w:val="top"/>
          </w:tcPr>
          <w:p w14:paraId="529B80C4">
            <w:pPr>
              <w:rPr>
                <w:rFonts w:hint="eastAsia" w:ascii="新宋体" w:hAnsi="新宋体" w:eastAsia="新宋体" w:cs="新宋体"/>
                <w:color w:val="auto"/>
                <w:highlight w:val="none"/>
              </w:rPr>
            </w:pPr>
          </w:p>
        </w:tc>
        <w:tc>
          <w:tcPr>
            <w:tcW w:w="1239" w:type="dxa"/>
            <w:noWrap w:val="0"/>
            <w:vAlign w:val="top"/>
          </w:tcPr>
          <w:p w14:paraId="5A92FBB3">
            <w:pPr>
              <w:rPr>
                <w:rFonts w:hint="eastAsia" w:ascii="新宋体" w:hAnsi="新宋体" w:eastAsia="新宋体" w:cs="新宋体"/>
                <w:color w:val="auto"/>
                <w:highlight w:val="none"/>
              </w:rPr>
            </w:pPr>
          </w:p>
        </w:tc>
        <w:tc>
          <w:tcPr>
            <w:tcW w:w="1446" w:type="dxa"/>
            <w:noWrap w:val="0"/>
            <w:vAlign w:val="top"/>
          </w:tcPr>
          <w:p w14:paraId="6A0C5807">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5AD79371">
            <w:pPr>
              <w:rPr>
                <w:rFonts w:hint="eastAsia" w:ascii="新宋体" w:hAnsi="新宋体" w:eastAsia="新宋体" w:cs="新宋体"/>
                <w:color w:val="auto"/>
                <w:highlight w:val="none"/>
              </w:rPr>
            </w:pPr>
          </w:p>
        </w:tc>
      </w:tr>
      <w:tr w14:paraId="64CE6B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962" w:type="dxa"/>
            <w:tcBorders>
              <w:left w:val="single" w:color="000000" w:sz="10" w:space="0"/>
            </w:tcBorders>
            <w:noWrap w:val="0"/>
            <w:vAlign w:val="top"/>
          </w:tcPr>
          <w:p w14:paraId="4E8A2C44">
            <w:pPr>
              <w:rPr>
                <w:rFonts w:hint="eastAsia" w:ascii="新宋体" w:hAnsi="新宋体" w:eastAsia="新宋体" w:cs="新宋体"/>
                <w:color w:val="auto"/>
                <w:highlight w:val="none"/>
              </w:rPr>
            </w:pPr>
          </w:p>
        </w:tc>
        <w:tc>
          <w:tcPr>
            <w:tcW w:w="1272" w:type="dxa"/>
            <w:noWrap w:val="0"/>
            <w:vAlign w:val="top"/>
          </w:tcPr>
          <w:p w14:paraId="3F863DC1">
            <w:pPr>
              <w:rPr>
                <w:rFonts w:hint="eastAsia" w:ascii="新宋体" w:hAnsi="新宋体" w:eastAsia="新宋体" w:cs="新宋体"/>
                <w:color w:val="auto"/>
                <w:highlight w:val="none"/>
              </w:rPr>
            </w:pPr>
          </w:p>
        </w:tc>
        <w:tc>
          <w:tcPr>
            <w:tcW w:w="1446" w:type="dxa"/>
            <w:noWrap w:val="0"/>
            <w:vAlign w:val="top"/>
          </w:tcPr>
          <w:p w14:paraId="287CBA48">
            <w:pPr>
              <w:rPr>
                <w:rFonts w:hint="eastAsia" w:ascii="新宋体" w:hAnsi="新宋体" w:eastAsia="新宋体" w:cs="新宋体"/>
                <w:color w:val="auto"/>
                <w:highlight w:val="none"/>
              </w:rPr>
            </w:pPr>
          </w:p>
        </w:tc>
        <w:tc>
          <w:tcPr>
            <w:tcW w:w="1239" w:type="dxa"/>
            <w:noWrap w:val="0"/>
            <w:vAlign w:val="top"/>
          </w:tcPr>
          <w:p w14:paraId="711C5E74">
            <w:pPr>
              <w:rPr>
                <w:rFonts w:hint="eastAsia" w:ascii="新宋体" w:hAnsi="新宋体" w:eastAsia="新宋体" w:cs="新宋体"/>
                <w:color w:val="auto"/>
                <w:highlight w:val="none"/>
              </w:rPr>
            </w:pPr>
          </w:p>
        </w:tc>
        <w:tc>
          <w:tcPr>
            <w:tcW w:w="1446" w:type="dxa"/>
            <w:noWrap w:val="0"/>
            <w:vAlign w:val="top"/>
          </w:tcPr>
          <w:p w14:paraId="1F378E81">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31517BD2">
            <w:pPr>
              <w:rPr>
                <w:rFonts w:hint="eastAsia" w:ascii="新宋体" w:hAnsi="新宋体" w:eastAsia="新宋体" w:cs="新宋体"/>
                <w:color w:val="auto"/>
                <w:highlight w:val="none"/>
              </w:rPr>
            </w:pPr>
          </w:p>
        </w:tc>
      </w:tr>
      <w:tr w14:paraId="2F0233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962" w:type="dxa"/>
            <w:tcBorders>
              <w:left w:val="single" w:color="000000" w:sz="10" w:space="0"/>
            </w:tcBorders>
            <w:noWrap w:val="0"/>
            <w:vAlign w:val="top"/>
          </w:tcPr>
          <w:p w14:paraId="5FBDAC42">
            <w:pPr>
              <w:rPr>
                <w:rFonts w:hint="eastAsia" w:ascii="新宋体" w:hAnsi="新宋体" w:eastAsia="新宋体" w:cs="新宋体"/>
                <w:color w:val="auto"/>
                <w:highlight w:val="none"/>
              </w:rPr>
            </w:pPr>
          </w:p>
        </w:tc>
        <w:tc>
          <w:tcPr>
            <w:tcW w:w="1272" w:type="dxa"/>
            <w:noWrap w:val="0"/>
            <w:vAlign w:val="top"/>
          </w:tcPr>
          <w:p w14:paraId="198A9DC8">
            <w:pPr>
              <w:rPr>
                <w:rFonts w:hint="eastAsia" w:ascii="新宋体" w:hAnsi="新宋体" w:eastAsia="新宋体" w:cs="新宋体"/>
                <w:color w:val="auto"/>
                <w:highlight w:val="none"/>
              </w:rPr>
            </w:pPr>
          </w:p>
        </w:tc>
        <w:tc>
          <w:tcPr>
            <w:tcW w:w="1446" w:type="dxa"/>
            <w:noWrap w:val="0"/>
            <w:vAlign w:val="top"/>
          </w:tcPr>
          <w:p w14:paraId="178BBCAD">
            <w:pPr>
              <w:rPr>
                <w:rFonts w:hint="eastAsia" w:ascii="新宋体" w:hAnsi="新宋体" w:eastAsia="新宋体" w:cs="新宋体"/>
                <w:color w:val="auto"/>
                <w:highlight w:val="none"/>
              </w:rPr>
            </w:pPr>
          </w:p>
        </w:tc>
        <w:tc>
          <w:tcPr>
            <w:tcW w:w="1239" w:type="dxa"/>
            <w:noWrap w:val="0"/>
            <w:vAlign w:val="top"/>
          </w:tcPr>
          <w:p w14:paraId="67A3CDF6">
            <w:pPr>
              <w:rPr>
                <w:rFonts w:hint="eastAsia" w:ascii="新宋体" w:hAnsi="新宋体" w:eastAsia="新宋体" w:cs="新宋体"/>
                <w:color w:val="auto"/>
                <w:highlight w:val="none"/>
              </w:rPr>
            </w:pPr>
          </w:p>
        </w:tc>
        <w:tc>
          <w:tcPr>
            <w:tcW w:w="1446" w:type="dxa"/>
            <w:noWrap w:val="0"/>
            <w:vAlign w:val="top"/>
          </w:tcPr>
          <w:p w14:paraId="1627D4A7">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365E342D">
            <w:pPr>
              <w:rPr>
                <w:rFonts w:hint="eastAsia" w:ascii="新宋体" w:hAnsi="新宋体" w:eastAsia="新宋体" w:cs="新宋体"/>
                <w:color w:val="auto"/>
                <w:highlight w:val="none"/>
              </w:rPr>
            </w:pPr>
          </w:p>
        </w:tc>
      </w:tr>
      <w:tr w14:paraId="3C36CC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962" w:type="dxa"/>
            <w:tcBorders>
              <w:left w:val="single" w:color="000000" w:sz="10" w:space="0"/>
            </w:tcBorders>
            <w:noWrap w:val="0"/>
            <w:vAlign w:val="top"/>
          </w:tcPr>
          <w:p w14:paraId="5FD39726">
            <w:pPr>
              <w:rPr>
                <w:rFonts w:hint="eastAsia" w:ascii="新宋体" w:hAnsi="新宋体" w:eastAsia="新宋体" w:cs="新宋体"/>
                <w:color w:val="auto"/>
                <w:highlight w:val="none"/>
              </w:rPr>
            </w:pPr>
          </w:p>
        </w:tc>
        <w:tc>
          <w:tcPr>
            <w:tcW w:w="1272" w:type="dxa"/>
            <w:noWrap w:val="0"/>
            <w:vAlign w:val="top"/>
          </w:tcPr>
          <w:p w14:paraId="7EEC9B25">
            <w:pPr>
              <w:rPr>
                <w:rFonts w:hint="eastAsia" w:ascii="新宋体" w:hAnsi="新宋体" w:eastAsia="新宋体" w:cs="新宋体"/>
                <w:color w:val="auto"/>
                <w:highlight w:val="none"/>
              </w:rPr>
            </w:pPr>
          </w:p>
        </w:tc>
        <w:tc>
          <w:tcPr>
            <w:tcW w:w="1446" w:type="dxa"/>
            <w:noWrap w:val="0"/>
            <w:vAlign w:val="top"/>
          </w:tcPr>
          <w:p w14:paraId="08BA2A5B">
            <w:pPr>
              <w:rPr>
                <w:rFonts w:hint="eastAsia" w:ascii="新宋体" w:hAnsi="新宋体" w:eastAsia="新宋体" w:cs="新宋体"/>
                <w:color w:val="auto"/>
                <w:highlight w:val="none"/>
              </w:rPr>
            </w:pPr>
          </w:p>
        </w:tc>
        <w:tc>
          <w:tcPr>
            <w:tcW w:w="1239" w:type="dxa"/>
            <w:noWrap w:val="0"/>
            <w:vAlign w:val="top"/>
          </w:tcPr>
          <w:p w14:paraId="35239A67">
            <w:pPr>
              <w:rPr>
                <w:rFonts w:hint="eastAsia" w:ascii="新宋体" w:hAnsi="新宋体" w:eastAsia="新宋体" w:cs="新宋体"/>
                <w:color w:val="auto"/>
                <w:highlight w:val="none"/>
              </w:rPr>
            </w:pPr>
          </w:p>
        </w:tc>
        <w:tc>
          <w:tcPr>
            <w:tcW w:w="1446" w:type="dxa"/>
            <w:noWrap w:val="0"/>
            <w:vAlign w:val="top"/>
          </w:tcPr>
          <w:p w14:paraId="52F6376F">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19510794">
            <w:pPr>
              <w:rPr>
                <w:rFonts w:hint="eastAsia" w:ascii="新宋体" w:hAnsi="新宋体" w:eastAsia="新宋体" w:cs="新宋体"/>
                <w:color w:val="auto"/>
                <w:highlight w:val="none"/>
              </w:rPr>
            </w:pPr>
          </w:p>
        </w:tc>
      </w:tr>
      <w:tr w14:paraId="73795F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962" w:type="dxa"/>
            <w:tcBorders>
              <w:left w:val="single" w:color="000000" w:sz="10" w:space="0"/>
            </w:tcBorders>
            <w:noWrap w:val="0"/>
            <w:vAlign w:val="top"/>
          </w:tcPr>
          <w:p w14:paraId="63E57C37">
            <w:pPr>
              <w:rPr>
                <w:rFonts w:hint="eastAsia" w:ascii="新宋体" w:hAnsi="新宋体" w:eastAsia="新宋体" w:cs="新宋体"/>
                <w:color w:val="auto"/>
                <w:highlight w:val="none"/>
              </w:rPr>
            </w:pPr>
          </w:p>
        </w:tc>
        <w:tc>
          <w:tcPr>
            <w:tcW w:w="1272" w:type="dxa"/>
            <w:noWrap w:val="0"/>
            <w:vAlign w:val="top"/>
          </w:tcPr>
          <w:p w14:paraId="44D71F3F">
            <w:pPr>
              <w:rPr>
                <w:rFonts w:hint="eastAsia" w:ascii="新宋体" w:hAnsi="新宋体" w:eastAsia="新宋体" w:cs="新宋体"/>
                <w:color w:val="auto"/>
                <w:highlight w:val="none"/>
              </w:rPr>
            </w:pPr>
          </w:p>
        </w:tc>
        <w:tc>
          <w:tcPr>
            <w:tcW w:w="1446" w:type="dxa"/>
            <w:noWrap w:val="0"/>
            <w:vAlign w:val="top"/>
          </w:tcPr>
          <w:p w14:paraId="074DAAD6">
            <w:pPr>
              <w:rPr>
                <w:rFonts w:hint="eastAsia" w:ascii="新宋体" w:hAnsi="新宋体" w:eastAsia="新宋体" w:cs="新宋体"/>
                <w:color w:val="auto"/>
                <w:highlight w:val="none"/>
              </w:rPr>
            </w:pPr>
          </w:p>
        </w:tc>
        <w:tc>
          <w:tcPr>
            <w:tcW w:w="1239" w:type="dxa"/>
            <w:noWrap w:val="0"/>
            <w:vAlign w:val="top"/>
          </w:tcPr>
          <w:p w14:paraId="780A2FB1">
            <w:pPr>
              <w:rPr>
                <w:rFonts w:hint="eastAsia" w:ascii="新宋体" w:hAnsi="新宋体" w:eastAsia="新宋体" w:cs="新宋体"/>
                <w:color w:val="auto"/>
                <w:highlight w:val="none"/>
              </w:rPr>
            </w:pPr>
          </w:p>
        </w:tc>
        <w:tc>
          <w:tcPr>
            <w:tcW w:w="1446" w:type="dxa"/>
            <w:noWrap w:val="0"/>
            <w:vAlign w:val="top"/>
          </w:tcPr>
          <w:p w14:paraId="459AE719">
            <w:pPr>
              <w:rPr>
                <w:rFonts w:hint="eastAsia" w:ascii="新宋体" w:hAnsi="新宋体" w:eastAsia="新宋体" w:cs="新宋体"/>
                <w:color w:val="auto"/>
                <w:highlight w:val="none"/>
              </w:rPr>
            </w:pPr>
          </w:p>
        </w:tc>
        <w:tc>
          <w:tcPr>
            <w:tcW w:w="2306" w:type="dxa"/>
            <w:tcBorders>
              <w:right w:val="single" w:color="000000" w:sz="10" w:space="0"/>
            </w:tcBorders>
            <w:noWrap w:val="0"/>
            <w:vAlign w:val="top"/>
          </w:tcPr>
          <w:p w14:paraId="1E45E225">
            <w:pPr>
              <w:rPr>
                <w:rFonts w:hint="eastAsia" w:ascii="新宋体" w:hAnsi="新宋体" w:eastAsia="新宋体" w:cs="新宋体"/>
                <w:color w:val="auto"/>
                <w:highlight w:val="none"/>
              </w:rPr>
            </w:pPr>
          </w:p>
        </w:tc>
      </w:tr>
      <w:tr w14:paraId="4B7E71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2" w:hRule="atLeast"/>
        </w:trPr>
        <w:tc>
          <w:tcPr>
            <w:tcW w:w="1962" w:type="dxa"/>
            <w:tcBorders>
              <w:left w:val="single" w:color="000000" w:sz="10" w:space="0"/>
              <w:bottom w:val="single" w:color="000000" w:sz="10" w:space="0"/>
            </w:tcBorders>
            <w:noWrap w:val="0"/>
            <w:vAlign w:val="top"/>
          </w:tcPr>
          <w:p w14:paraId="71166F40">
            <w:pPr>
              <w:rPr>
                <w:rFonts w:hint="eastAsia" w:ascii="新宋体" w:hAnsi="新宋体" w:eastAsia="新宋体" w:cs="新宋体"/>
                <w:color w:val="auto"/>
                <w:highlight w:val="none"/>
              </w:rPr>
            </w:pPr>
          </w:p>
        </w:tc>
        <w:tc>
          <w:tcPr>
            <w:tcW w:w="1272" w:type="dxa"/>
            <w:tcBorders>
              <w:bottom w:val="single" w:color="000000" w:sz="10" w:space="0"/>
            </w:tcBorders>
            <w:noWrap w:val="0"/>
            <w:vAlign w:val="top"/>
          </w:tcPr>
          <w:p w14:paraId="295088CB">
            <w:pPr>
              <w:rPr>
                <w:rFonts w:hint="eastAsia" w:ascii="新宋体" w:hAnsi="新宋体" w:eastAsia="新宋体" w:cs="新宋体"/>
                <w:color w:val="auto"/>
                <w:highlight w:val="none"/>
              </w:rPr>
            </w:pPr>
          </w:p>
        </w:tc>
        <w:tc>
          <w:tcPr>
            <w:tcW w:w="1446" w:type="dxa"/>
            <w:tcBorders>
              <w:bottom w:val="single" w:color="000000" w:sz="10" w:space="0"/>
            </w:tcBorders>
            <w:noWrap w:val="0"/>
            <w:vAlign w:val="top"/>
          </w:tcPr>
          <w:p w14:paraId="67D87ADE">
            <w:pPr>
              <w:rPr>
                <w:rFonts w:hint="eastAsia" w:ascii="新宋体" w:hAnsi="新宋体" w:eastAsia="新宋体" w:cs="新宋体"/>
                <w:color w:val="auto"/>
                <w:highlight w:val="none"/>
              </w:rPr>
            </w:pPr>
          </w:p>
        </w:tc>
        <w:tc>
          <w:tcPr>
            <w:tcW w:w="1239" w:type="dxa"/>
            <w:tcBorders>
              <w:bottom w:val="single" w:color="000000" w:sz="10" w:space="0"/>
            </w:tcBorders>
            <w:noWrap w:val="0"/>
            <w:vAlign w:val="top"/>
          </w:tcPr>
          <w:p w14:paraId="26352C64">
            <w:pPr>
              <w:rPr>
                <w:rFonts w:hint="eastAsia" w:ascii="新宋体" w:hAnsi="新宋体" w:eastAsia="新宋体" w:cs="新宋体"/>
                <w:color w:val="auto"/>
                <w:highlight w:val="none"/>
              </w:rPr>
            </w:pPr>
          </w:p>
        </w:tc>
        <w:tc>
          <w:tcPr>
            <w:tcW w:w="1446" w:type="dxa"/>
            <w:tcBorders>
              <w:bottom w:val="single" w:color="000000" w:sz="10" w:space="0"/>
            </w:tcBorders>
            <w:noWrap w:val="0"/>
            <w:vAlign w:val="top"/>
          </w:tcPr>
          <w:p w14:paraId="4BC709DE">
            <w:pPr>
              <w:rPr>
                <w:rFonts w:hint="eastAsia" w:ascii="新宋体" w:hAnsi="新宋体" w:eastAsia="新宋体" w:cs="新宋体"/>
                <w:color w:val="auto"/>
                <w:highlight w:val="none"/>
              </w:rPr>
            </w:pPr>
          </w:p>
        </w:tc>
        <w:tc>
          <w:tcPr>
            <w:tcW w:w="2306" w:type="dxa"/>
            <w:tcBorders>
              <w:bottom w:val="single" w:color="000000" w:sz="10" w:space="0"/>
              <w:right w:val="single" w:color="000000" w:sz="10" w:space="0"/>
            </w:tcBorders>
            <w:noWrap w:val="0"/>
            <w:vAlign w:val="top"/>
          </w:tcPr>
          <w:p w14:paraId="292EA08D">
            <w:pPr>
              <w:rPr>
                <w:rFonts w:hint="eastAsia" w:ascii="新宋体" w:hAnsi="新宋体" w:eastAsia="新宋体" w:cs="新宋体"/>
                <w:color w:val="auto"/>
                <w:highlight w:val="none"/>
              </w:rPr>
            </w:pPr>
          </w:p>
        </w:tc>
      </w:tr>
    </w:tbl>
    <w:p w14:paraId="7633F937">
      <w:pPr>
        <w:pStyle w:val="13"/>
        <w:spacing w:before="240" w:line="231" w:lineRule="auto"/>
        <w:ind w:left="121"/>
        <w:rPr>
          <w:rFonts w:hint="eastAsia" w:ascii="新宋体" w:hAnsi="新宋体" w:eastAsia="新宋体" w:cs="新宋体"/>
          <w:color w:val="auto"/>
          <w:spacing w:val="-3"/>
          <w:sz w:val="20"/>
          <w:szCs w:val="20"/>
          <w:highlight w:val="none"/>
        </w:rPr>
      </w:pPr>
    </w:p>
    <w:p w14:paraId="00B3D85A">
      <w:pPr>
        <w:pStyle w:val="13"/>
        <w:spacing w:before="240" w:line="231" w:lineRule="auto"/>
        <w:outlineLvl w:val="3"/>
        <w:rPr>
          <w:rFonts w:hint="eastAsia" w:ascii="新宋体" w:hAnsi="新宋体" w:eastAsia="新宋体" w:cs="新宋体"/>
          <w:color w:val="auto"/>
          <w:spacing w:val="-1"/>
          <w:sz w:val="20"/>
          <w:szCs w:val="20"/>
          <w:highlight w:val="none"/>
        </w:rPr>
      </w:pPr>
      <w:r>
        <w:rPr>
          <w:rFonts w:hint="eastAsia" w:ascii="新宋体" w:hAnsi="新宋体" w:eastAsia="新宋体" w:cs="新宋体"/>
          <w:color w:val="auto"/>
          <w:spacing w:val="-3"/>
          <w:sz w:val="20"/>
          <w:szCs w:val="20"/>
          <w:highlight w:val="none"/>
        </w:rPr>
        <w:br w:type="page"/>
      </w:r>
      <w:bookmarkStart w:id="1025" w:name="_Toc19945"/>
      <w:r>
        <w:rPr>
          <w:rFonts w:hint="eastAsia" w:ascii="新宋体" w:hAnsi="新宋体" w:eastAsia="新宋体" w:cs="新宋体"/>
          <w:color w:val="auto"/>
          <w:spacing w:val="-1"/>
          <w:sz w:val="20"/>
          <w:szCs w:val="20"/>
          <w:highlight w:val="none"/>
        </w:rPr>
        <w:t>附件5：</w:t>
      </w:r>
      <w:bookmarkEnd w:id="1025"/>
    </w:p>
    <w:p w14:paraId="40B97626">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26" w:name="_Toc2940"/>
      <w:r>
        <w:rPr>
          <w:rFonts w:hint="eastAsia" w:ascii="新宋体" w:hAnsi="新宋体" w:eastAsia="新宋体" w:cs="新宋体"/>
          <w:b/>
          <w:bCs/>
          <w:color w:val="auto"/>
          <w:spacing w:val="8"/>
          <w:sz w:val="28"/>
          <w:szCs w:val="28"/>
          <w:highlight w:val="none"/>
        </w:rPr>
        <w:t>承包人用于本工程施工的机械设备表</w:t>
      </w:r>
      <w:bookmarkEnd w:id="1026"/>
    </w:p>
    <w:tbl>
      <w:tblPr>
        <w:tblStyle w:val="28"/>
        <w:tblW w:w="9812"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74"/>
        <w:gridCol w:w="1414"/>
        <w:gridCol w:w="848"/>
        <w:gridCol w:w="1055"/>
        <w:gridCol w:w="878"/>
        <w:gridCol w:w="1017"/>
        <w:gridCol w:w="1476"/>
        <w:gridCol w:w="1017"/>
        <w:gridCol w:w="933"/>
      </w:tblGrid>
      <w:tr w14:paraId="642327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174" w:type="dxa"/>
            <w:tcBorders>
              <w:top w:val="single" w:color="000000" w:sz="10" w:space="0"/>
              <w:left w:val="single" w:color="000000" w:sz="10" w:space="0"/>
            </w:tcBorders>
            <w:noWrap w:val="0"/>
            <w:vAlign w:val="center"/>
          </w:tcPr>
          <w:p w14:paraId="125B9390">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序号</w:t>
            </w:r>
          </w:p>
        </w:tc>
        <w:tc>
          <w:tcPr>
            <w:tcW w:w="1414" w:type="dxa"/>
            <w:tcBorders>
              <w:top w:val="single" w:color="000000" w:sz="10" w:space="0"/>
            </w:tcBorders>
            <w:noWrap w:val="0"/>
            <w:vAlign w:val="center"/>
          </w:tcPr>
          <w:p w14:paraId="3DAF72E0">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机械或设备名称</w:t>
            </w:r>
          </w:p>
        </w:tc>
        <w:tc>
          <w:tcPr>
            <w:tcW w:w="848" w:type="dxa"/>
            <w:tcBorders>
              <w:top w:val="single" w:color="000000" w:sz="10" w:space="0"/>
            </w:tcBorders>
            <w:noWrap w:val="0"/>
            <w:vAlign w:val="center"/>
          </w:tcPr>
          <w:p w14:paraId="11F05733">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规格型号</w:t>
            </w:r>
          </w:p>
        </w:tc>
        <w:tc>
          <w:tcPr>
            <w:tcW w:w="1055" w:type="dxa"/>
            <w:tcBorders>
              <w:top w:val="single" w:color="000000" w:sz="10" w:space="0"/>
            </w:tcBorders>
            <w:noWrap w:val="0"/>
            <w:vAlign w:val="center"/>
          </w:tcPr>
          <w:p w14:paraId="47DDBC92">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数量</w:t>
            </w:r>
          </w:p>
        </w:tc>
        <w:tc>
          <w:tcPr>
            <w:tcW w:w="878" w:type="dxa"/>
            <w:tcBorders>
              <w:top w:val="single" w:color="000000" w:sz="10" w:space="0"/>
            </w:tcBorders>
            <w:noWrap w:val="0"/>
            <w:vAlign w:val="center"/>
          </w:tcPr>
          <w:p w14:paraId="642F150C">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产地</w:t>
            </w:r>
          </w:p>
        </w:tc>
        <w:tc>
          <w:tcPr>
            <w:tcW w:w="1017" w:type="dxa"/>
            <w:tcBorders>
              <w:top w:val="single" w:color="000000" w:sz="10" w:space="0"/>
            </w:tcBorders>
            <w:noWrap w:val="0"/>
            <w:vAlign w:val="center"/>
          </w:tcPr>
          <w:p w14:paraId="3F4B0C34">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制造年份</w:t>
            </w:r>
          </w:p>
        </w:tc>
        <w:tc>
          <w:tcPr>
            <w:tcW w:w="1476" w:type="dxa"/>
            <w:tcBorders>
              <w:top w:val="single" w:color="000000" w:sz="10" w:space="0"/>
            </w:tcBorders>
            <w:noWrap w:val="0"/>
            <w:vAlign w:val="center"/>
          </w:tcPr>
          <w:p w14:paraId="21E8563B">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额定功率(kW)</w:t>
            </w:r>
          </w:p>
        </w:tc>
        <w:tc>
          <w:tcPr>
            <w:tcW w:w="1017" w:type="dxa"/>
            <w:tcBorders>
              <w:top w:val="single" w:color="000000" w:sz="10" w:space="0"/>
            </w:tcBorders>
            <w:noWrap w:val="0"/>
            <w:vAlign w:val="center"/>
          </w:tcPr>
          <w:p w14:paraId="6C4A1622">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生产能力</w:t>
            </w:r>
          </w:p>
        </w:tc>
        <w:tc>
          <w:tcPr>
            <w:tcW w:w="933" w:type="dxa"/>
            <w:tcBorders>
              <w:top w:val="single" w:color="000000" w:sz="10" w:space="0"/>
              <w:right w:val="single" w:color="000000" w:sz="10" w:space="0"/>
            </w:tcBorders>
            <w:noWrap w:val="0"/>
            <w:vAlign w:val="center"/>
          </w:tcPr>
          <w:p w14:paraId="682E863A">
            <w:pPr>
              <w:keepNext w:val="0"/>
              <w:keepLines w:val="0"/>
              <w:pageBreakBefore w:val="0"/>
              <w:widowControl w:val="0"/>
              <w:kinsoku/>
              <w:wordWrap/>
              <w:overflowPunct/>
              <w:topLinePunct w:val="0"/>
              <w:autoSpaceDE/>
              <w:autoSpaceDN/>
              <w:bidi w:val="0"/>
              <w:adjustRightInd/>
              <w:snapToGrid/>
              <w:spacing w:line="240" w:lineRule="auto"/>
              <w:ind w:left="110"/>
              <w:jc w:val="center"/>
              <w:textAlignment w:val="auto"/>
              <w:rPr>
                <w:rFonts w:hint="eastAsia" w:ascii="新宋体" w:hAnsi="新宋体" w:eastAsia="新宋体" w:cs="新宋体"/>
                <w:b/>
                <w:bCs/>
                <w:color w:val="auto"/>
                <w:spacing w:val="5"/>
                <w:position w:val="17"/>
                <w:sz w:val="21"/>
                <w:szCs w:val="21"/>
                <w:highlight w:val="none"/>
              </w:rPr>
            </w:pPr>
            <w:r>
              <w:rPr>
                <w:rFonts w:hint="eastAsia" w:ascii="新宋体" w:hAnsi="新宋体" w:eastAsia="新宋体" w:cs="新宋体"/>
                <w:b/>
                <w:bCs/>
                <w:color w:val="auto"/>
                <w:spacing w:val="5"/>
                <w:position w:val="17"/>
                <w:sz w:val="21"/>
                <w:szCs w:val="21"/>
                <w:highlight w:val="none"/>
              </w:rPr>
              <w:t>备注</w:t>
            </w:r>
          </w:p>
        </w:tc>
      </w:tr>
      <w:tr w14:paraId="5D5DB7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rPr>
        <w:tc>
          <w:tcPr>
            <w:tcW w:w="1174" w:type="dxa"/>
            <w:tcBorders>
              <w:left w:val="single" w:color="000000" w:sz="10" w:space="0"/>
            </w:tcBorders>
            <w:noWrap w:val="0"/>
            <w:vAlign w:val="top"/>
          </w:tcPr>
          <w:p w14:paraId="319A496E">
            <w:pPr>
              <w:rPr>
                <w:rFonts w:hint="eastAsia" w:ascii="新宋体" w:hAnsi="新宋体" w:eastAsia="新宋体" w:cs="新宋体"/>
                <w:color w:val="auto"/>
                <w:highlight w:val="none"/>
              </w:rPr>
            </w:pPr>
          </w:p>
        </w:tc>
        <w:tc>
          <w:tcPr>
            <w:tcW w:w="1414" w:type="dxa"/>
            <w:noWrap w:val="0"/>
            <w:vAlign w:val="top"/>
          </w:tcPr>
          <w:p w14:paraId="6F57BD09">
            <w:pPr>
              <w:rPr>
                <w:rFonts w:hint="eastAsia" w:ascii="新宋体" w:hAnsi="新宋体" w:eastAsia="新宋体" w:cs="新宋体"/>
                <w:color w:val="auto"/>
                <w:highlight w:val="none"/>
              </w:rPr>
            </w:pPr>
          </w:p>
        </w:tc>
        <w:tc>
          <w:tcPr>
            <w:tcW w:w="848" w:type="dxa"/>
            <w:noWrap w:val="0"/>
            <w:vAlign w:val="top"/>
          </w:tcPr>
          <w:p w14:paraId="3AC697B4">
            <w:pPr>
              <w:rPr>
                <w:rFonts w:hint="eastAsia" w:ascii="新宋体" w:hAnsi="新宋体" w:eastAsia="新宋体" w:cs="新宋体"/>
                <w:color w:val="auto"/>
                <w:highlight w:val="none"/>
              </w:rPr>
            </w:pPr>
          </w:p>
        </w:tc>
        <w:tc>
          <w:tcPr>
            <w:tcW w:w="1055" w:type="dxa"/>
            <w:noWrap w:val="0"/>
            <w:vAlign w:val="top"/>
          </w:tcPr>
          <w:p w14:paraId="2D1C291D">
            <w:pPr>
              <w:rPr>
                <w:rFonts w:hint="eastAsia" w:ascii="新宋体" w:hAnsi="新宋体" w:eastAsia="新宋体" w:cs="新宋体"/>
                <w:color w:val="auto"/>
                <w:highlight w:val="none"/>
              </w:rPr>
            </w:pPr>
          </w:p>
        </w:tc>
        <w:tc>
          <w:tcPr>
            <w:tcW w:w="878" w:type="dxa"/>
            <w:noWrap w:val="0"/>
            <w:vAlign w:val="top"/>
          </w:tcPr>
          <w:p w14:paraId="4596BEDF">
            <w:pPr>
              <w:rPr>
                <w:rFonts w:hint="eastAsia" w:ascii="新宋体" w:hAnsi="新宋体" w:eastAsia="新宋体" w:cs="新宋体"/>
                <w:color w:val="auto"/>
                <w:highlight w:val="none"/>
              </w:rPr>
            </w:pPr>
          </w:p>
        </w:tc>
        <w:tc>
          <w:tcPr>
            <w:tcW w:w="1017" w:type="dxa"/>
            <w:noWrap w:val="0"/>
            <w:vAlign w:val="top"/>
          </w:tcPr>
          <w:p w14:paraId="632C7CE3">
            <w:pPr>
              <w:rPr>
                <w:rFonts w:hint="eastAsia" w:ascii="新宋体" w:hAnsi="新宋体" w:eastAsia="新宋体" w:cs="新宋体"/>
                <w:color w:val="auto"/>
                <w:highlight w:val="none"/>
              </w:rPr>
            </w:pPr>
          </w:p>
        </w:tc>
        <w:tc>
          <w:tcPr>
            <w:tcW w:w="1476" w:type="dxa"/>
            <w:noWrap w:val="0"/>
            <w:vAlign w:val="top"/>
          </w:tcPr>
          <w:p w14:paraId="32958411">
            <w:pPr>
              <w:rPr>
                <w:rFonts w:hint="eastAsia" w:ascii="新宋体" w:hAnsi="新宋体" w:eastAsia="新宋体" w:cs="新宋体"/>
                <w:color w:val="auto"/>
                <w:highlight w:val="none"/>
              </w:rPr>
            </w:pPr>
          </w:p>
        </w:tc>
        <w:tc>
          <w:tcPr>
            <w:tcW w:w="1017" w:type="dxa"/>
            <w:noWrap w:val="0"/>
            <w:vAlign w:val="top"/>
          </w:tcPr>
          <w:p w14:paraId="3EEE47D9">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2D70130A">
            <w:pPr>
              <w:rPr>
                <w:rFonts w:hint="eastAsia" w:ascii="新宋体" w:hAnsi="新宋体" w:eastAsia="新宋体" w:cs="新宋体"/>
                <w:color w:val="auto"/>
                <w:highlight w:val="none"/>
              </w:rPr>
            </w:pPr>
          </w:p>
        </w:tc>
      </w:tr>
      <w:tr w14:paraId="7D6EA9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174" w:type="dxa"/>
            <w:tcBorders>
              <w:left w:val="single" w:color="000000" w:sz="10" w:space="0"/>
            </w:tcBorders>
            <w:noWrap w:val="0"/>
            <w:vAlign w:val="top"/>
          </w:tcPr>
          <w:p w14:paraId="00E17337">
            <w:pPr>
              <w:rPr>
                <w:rFonts w:hint="eastAsia" w:ascii="新宋体" w:hAnsi="新宋体" w:eastAsia="新宋体" w:cs="新宋体"/>
                <w:color w:val="auto"/>
                <w:highlight w:val="none"/>
              </w:rPr>
            </w:pPr>
          </w:p>
        </w:tc>
        <w:tc>
          <w:tcPr>
            <w:tcW w:w="1414" w:type="dxa"/>
            <w:noWrap w:val="0"/>
            <w:vAlign w:val="top"/>
          </w:tcPr>
          <w:p w14:paraId="731AFB82">
            <w:pPr>
              <w:rPr>
                <w:rFonts w:hint="eastAsia" w:ascii="新宋体" w:hAnsi="新宋体" w:eastAsia="新宋体" w:cs="新宋体"/>
                <w:color w:val="auto"/>
                <w:highlight w:val="none"/>
              </w:rPr>
            </w:pPr>
          </w:p>
        </w:tc>
        <w:tc>
          <w:tcPr>
            <w:tcW w:w="848" w:type="dxa"/>
            <w:noWrap w:val="0"/>
            <w:vAlign w:val="top"/>
          </w:tcPr>
          <w:p w14:paraId="5AF282DC">
            <w:pPr>
              <w:rPr>
                <w:rFonts w:hint="eastAsia" w:ascii="新宋体" w:hAnsi="新宋体" w:eastAsia="新宋体" w:cs="新宋体"/>
                <w:color w:val="auto"/>
                <w:highlight w:val="none"/>
              </w:rPr>
            </w:pPr>
          </w:p>
        </w:tc>
        <w:tc>
          <w:tcPr>
            <w:tcW w:w="1055" w:type="dxa"/>
            <w:noWrap w:val="0"/>
            <w:vAlign w:val="top"/>
          </w:tcPr>
          <w:p w14:paraId="79E17875">
            <w:pPr>
              <w:rPr>
                <w:rFonts w:hint="eastAsia" w:ascii="新宋体" w:hAnsi="新宋体" w:eastAsia="新宋体" w:cs="新宋体"/>
                <w:color w:val="auto"/>
                <w:highlight w:val="none"/>
              </w:rPr>
            </w:pPr>
          </w:p>
        </w:tc>
        <w:tc>
          <w:tcPr>
            <w:tcW w:w="878" w:type="dxa"/>
            <w:noWrap w:val="0"/>
            <w:vAlign w:val="top"/>
          </w:tcPr>
          <w:p w14:paraId="38C9A4D9">
            <w:pPr>
              <w:rPr>
                <w:rFonts w:hint="eastAsia" w:ascii="新宋体" w:hAnsi="新宋体" w:eastAsia="新宋体" w:cs="新宋体"/>
                <w:color w:val="auto"/>
                <w:highlight w:val="none"/>
              </w:rPr>
            </w:pPr>
          </w:p>
        </w:tc>
        <w:tc>
          <w:tcPr>
            <w:tcW w:w="1017" w:type="dxa"/>
            <w:noWrap w:val="0"/>
            <w:vAlign w:val="top"/>
          </w:tcPr>
          <w:p w14:paraId="1C40A158">
            <w:pPr>
              <w:rPr>
                <w:rFonts w:hint="eastAsia" w:ascii="新宋体" w:hAnsi="新宋体" w:eastAsia="新宋体" w:cs="新宋体"/>
                <w:color w:val="auto"/>
                <w:highlight w:val="none"/>
              </w:rPr>
            </w:pPr>
          </w:p>
        </w:tc>
        <w:tc>
          <w:tcPr>
            <w:tcW w:w="1476" w:type="dxa"/>
            <w:noWrap w:val="0"/>
            <w:vAlign w:val="top"/>
          </w:tcPr>
          <w:p w14:paraId="1B3D5BC4">
            <w:pPr>
              <w:rPr>
                <w:rFonts w:hint="eastAsia" w:ascii="新宋体" w:hAnsi="新宋体" w:eastAsia="新宋体" w:cs="新宋体"/>
                <w:color w:val="auto"/>
                <w:highlight w:val="none"/>
              </w:rPr>
            </w:pPr>
          </w:p>
        </w:tc>
        <w:tc>
          <w:tcPr>
            <w:tcW w:w="1017" w:type="dxa"/>
            <w:noWrap w:val="0"/>
            <w:vAlign w:val="top"/>
          </w:tcPr>
          <w:p w14:paraId="3BD15501">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1D0C674F">
            <w:pPr>
              <w:rPr>
                <w:rFonts w:hint="eastAsia" w:ascii="新宋体" w:hAnsi="新宋体" w:eastAsia="新宋体" w:cs="新宋体"/>
                <w:color w:val="auto"/>
                <w:highlight w:val="none"/>
              </w:rPr>
            </w:pPr>
          </w:p>
        </w:tc>
      </w:tr>
      <w:tr w14:paraId="2C120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174" w:type="dxa"/>
            <w:tcBorders>
              <w:left w:val="single" w:color="000000" w:sz="10" w:space="0"/>
            </w:tcBorders>
            <w:noWrap w:val="0"/>
            <w:vAlign w:val="top"/>
          </w:tcPr>
          <w:p w14:paraId="59082A98">
            <w:pPr>
              <w:rPr>
                <w:rFonts w:hint="eastAsia" w:ascii="新宋体" w:hAnsi="新宋体" w:eastAsia="新宋体" w:cs="新宋体"/>
                <w:color w:val="auto"/>
                <w:highlight w:val="none"/>
              </w:rPr>
            </w:pPr>
          </w:p>
        </w:tc>
        <w:tc>
          <w:tcPr>
            <w:tcW w:w="1414" w:type="dxa"/>
            <w:noWrap w:val="0"/>
            <w:vAlign w:val="top"/>
          </w:tcPr>
          <w:p w14:paraId="74F6F0E0">
            <w:pPr>
              <w:rPr>
                <w:rFonts w:hint="eastAsia" w:ascii="新宋体" w:hAnsi="新宋体" w:eastAsia="新宋体" w:cs="新宋体"/>
                <w:color w:val="auto"/>
                <w:highlight w:val="none"/>
              </w:rPr>
            </w:pPr>
          </w:p>
        </w:tc>
        <w:tc>
          <w:tcPr>
            <w:tcW w:w="848" w:type="dxa"/>
            <w:noWrap w:val="0"/>
            <w:vAlign w:val="top"/>
          </w:tcPr>
          <w:p w14:paraId="1340C36A">
            <w:pPr>
              <w:rPr>
                <w:rFonts w:hint="eastAsia" w:ascii="新宋体" w:hAnsi="新宋体" w:eastAsia="新宋体" w:cs="新宋体"/>
                <w:color w:val="auto"/>
                <w:highlight w:val="none"/>
              </w:rPr>
            </w:pPr>
          </w:p>
        </w:tc>
        <w:tc>
          <w:tcPr>
            <w:tcW w:w="1055" w:type="dxa"/>
            <w:noWrap w:val="0"/>
            <w:vAlign w:val="top"/>
          </w:tcPr>
          <w:p w14:paraId="02F2CFF9">
            <w:pPr>
              <w:rPr>
                <w:rFonts w:hint="eastAsia" w:ascii="新宋体" w:hAnsi="新宋体" w:eastAsia="新宋体" w:cs="新宋体"/>
                <w:color w:val="auto"/>
                <w:highlight w:val="none"/>
              </w:rPr>
            </w:pPr>
          </w:p>
        </w:tc>
        <w:tc>
          <w:tcPr>
            <w:tcW w:w="878" w:type="dxa"/>
            <w:noWrap w:val="0"/>
            <w:vAlign w:val="top"/>
          </w:tcPr>
          <w:p w14:paraId="5F039BC9">
            <w:pPr>
              <w:rPr>
                <w:rFonts w:hint="eastAsia" w:ascii="新宋体" w:hAnsi="新宋体" w:eastAsia="新宋体" w:cs="新宋体"/>
                <w:color w:val="auto"/>
                <w:highlight w:val="none"/>
              </w:rPr>
            </w:pPr>
          </w:p>
        </w:tc>
        <w:tc>
          <w:tcPr>
            <w:tcW w:w="1017" w:type="dxa"/>
            <w:noWrap w:val="0"/>
            <w:vAlign w:val="top"/>
          </w:tcPr>
          <w:p w14:paraId="15A9A2F6">
            <w:pPr>
              <w:rPr>
                <w:rFonts w:hint="eastAsia" w:ascii="新宋体" w:hAnsi="新宋体" w:eastAsia="新宋体" w:cs="新宋体"/>
                <w:color w:val="auto"/>
                <w:highlight w:val="none"/>
              </w:rPr>
            </w:pPr>
          </w:p>
        </w:tc>
        <w:tc>
          <w:tcPr>
            <w:tcW w:w="1476" w:type="dxa"/>
            <w:noWrap w:val="0"/>
            <w:vAlign w:val="top"/>
          </w:tcPr>
          <w:p w14:paraId="01752406">
            <w:pPr>
              <w:rPr>
                <w:rFonts w:hint="eastAsia" w:ascii="新宋体" w:hAnsi="新宋体" w:eastAsia="新宋体" w:cs="新宋体"/>
                <w:color w:val="auto"/>
                <w:highlight w:val="none"/>
              </w:rPr>
            </w:pPr>
          </w:p>
        </w:tc>
        <w:tc>
          <w:tcPr>
            <w:tcW w:w="1017" w:type="dxa"/>
            <w:noWrap w:val="0"/>
            <w:vAlign w:val="top"/>
          </w:tcPr>
          <w:p w14:paraId="421ECA47">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61885175">
            <w:pPr>
              <w:rPr>
                <w:rFonts w:hint="eastAsia" w:ascii="新宋体" w:hAnsi="新宋体" w:eastAsia="新宋体" w:cs="新宋体"/>
                <w:color w:val="auto"/>
                <w:highlight w:val="none"/>
              </w:rPr>
            </w:pPr>
          </w:p>
        </w:tc>
      </w:tr>
      <w:tr w14:paraId="73D3CB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174" w:type="dxa"/>
            <w:tcBorders>
              <w:left w:val="single" w:color="000000" w:sz="10" w:space="0"/>
            </w:tcBorders>
            <w:noWrap w:val="0"/>
            <w:vAlign w:val="top"/>
          </w:tcPr>
          <w:p w14:paraId="055C6BA8">
            <w:pPr>
              <w:rPr>
                <w:rFonts w:hint="eastAsia" w:ascii="新宋体" w:hAnsi="新宋体" w:eastAsia="新宋体" w:cs="新宋体"/>
                <w:color w:val="auto"/>
                <w:highlight w:val="none"/>
              </w:rPr>
            </w:pPr>
          </w:p>
        </w:tc>
        <w:tc>
          <w:tcPr>
            <w:tcW w:w="1414" w:type="dxa"/>
            <w:noWrap w:val="0"/>
            <w:vAlign w:val="top"/>
          </w:tcPr>
          <w:p w14:paraId="28DE2945">
            <w:pPr>
              <w:rPr>
                <w:rFonts w:hint="eastAsia" w:ascii="新宋体" w:hAnsi="新宋体" w:eastAsia="新宋体" w:cs="新宋体"/>
                <w:color w:val="auto"/>
                <w:highlight w:val="none"/>
              </w:rPr>
            </w:pPr>
          </w:p>
        </w:tc>
        <w:tc>
          <w:tcPr>
            <w:tcW w:w="848" w:type="dxa"/>
            <w:noWrap w:val="0"/>
            <w:vAlign w:val="top"/>
          </w:tcPr>
          <w:p w14:paraId="4C1B5FFF">
            <w:pPr>
              <w:rPr>
                <w:rFonts w:hint="eastAsia" w:ascii="新宋体" w:hAnsi="新宋体" w:eastAsia="新宋体" w:cs="新宋体"/>
                <w:color w:val="auto"/>
                <w:highlight w:val="none"/>
              </w:rPr>
            </w:pPr>
          </w:p>
        </w:tc>
        <w:tc>
          <w:tcPr>
            <w:tcW w:w="1055" w:type="dxa"/>
            <w:noWrap w:val="0"/>
            <w:vAlign w:val="top"/>
          </w:tcPr>
          <w:p w14:paraId="3CBAC01A">
            <w:pPr>
              <w:rPr>
                <w:rFonts w:hint="eastAsia" w:ascii="新宋体" w:hAnsi="新宋体" w:eastAsia="新宋体" w:cs="新宋体"/>
                <w:color w:val="auto"/>
                <w:highlight w:val="none"/>
              </w:rPr>
            </w:pPr>
          </w:p>
        </w:tc>
        <w:tc>
          <w:tcPr>
            <w:tcW w:w="878" w:type="dxa"/>
            <w:noWrap w:val="0"/>
            <w:vAlign w:val="top"/>
          </w:tcPr>
          <w:p w14:paraId="193D5DA5">
            <w:pPr>
              <w:rPr>
                <w:rFonts w:hint="eastAsia" w:ascii="新宋体" w:hAnsi="新宋体" w:eastAsia="新宋体" w:cs="新宋体"/>
                <w:color w:val="auto"/>
                <w:highlight w:val="none"/>
              </w:rPr>
            </w:pPr>
          </w:p>
        </w:tc>
        <w:tc>
          <w:tcPr>
            <w:tcW w:w="1017" w:type="dxa"/>
            <w:noWrap w:val="0"/>
            <w:vAlign w:val="top"/>
          </w:tcPr>
          <w:p w14:paraId="1D45F5AF">
            <w:pPr>
              <w:rPr>
                <w:rFonts w:hint="eastAsia" w:ascii="新宋体" w:hAnsi="新宋体" w:eastAsia="新宋体" w:cs="新宋体"/>
                <w:color w:val="auto"/>
                <w:highlight w:val="none"/>
              </w:rPr>
            </w:pPr>
          </w:p>
        </w:tc>
        <w:tc>
          <w:tcPr>
            <w:tcW w:w="1476" w:type="dxa"/>
            <w:noWrap w:val="0"/>
            <w:vAlign w:val="top"/>
          </w:tcPr>
          <w:p w14:paraId="191CF19B">
            <w:pPr>
              <w:rPr>
                <w:rFonts w:hint="eastAsia" w:ascii="新宋体" w:hAnsi="新宋体" w:eastAsia="新宋体" w:cs="新宋体"/>
                <w:color w:val="auto"/>
                <w:highlight w:val="none"/>
              </w:rPr>
            </w:pPr>
          </w:p>
        </w:tc>
        <w:tc>
          <w:tcPr>
            <w:tcW w:w="1017" w:type="dxa"/>
            <w:noWrap w:val="0"/>
            <w:vAlign w:val="top"/>
          </w:tcPr>
          <w:p w14:paraId="60DC0CA3">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45CDB3C9">
            <w:pPr>
              <w:rPr>
                <w:rFonts w:hint="eastAsia" w:ascii="新宋体" w:hAnsi="新宋体" w:eastAsia="新宋体" w:cs="新宋体"/>
                <w:color w:val="auto"/>
                <w:highlight w:val="none"/>
              </w:rPr>
            </w:pPr>
          </w:p>
        </w:tc>
      </w:tr>
      <w:tr w14:paraId="424ED0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174" w:type="dxa"/>
            <w:tcBorders>
              <w:left w:val="single" w:color="000000" w:sz="10" w:space="0"/>
            </w:tcBorders>
            <w:noWrap w:val="0"/>
            <w:vAlign w:val="top"/>
          </w:tcPr>
          <w:p w14:paraId="2FCCA18F">
            <w:pPr>
              <w:rPr>
                <w:rFonts w:hint="eastAsia" w:ascii="新宋体" w:hAnsi="新宋体" w:eastAsia="新宋体" w:cs="新宋体"/>
                <w:color w:val="auto"/>
                <w:highlight w:val="none"/>
              </w:rPr>
            </w:pPr>
          </w:p>
        </w:tc>
        <w:tc>
          <w:tcPr>
            <w:tcW w:w="1414" w:type="dxa"/>
            <w:noWrap w:val="0"/>
            <w:vAlign w:val="top"/>
          </w:tcPr>
          <w:p w14:paraId="4E810F79">
            <w:pPr>
              <w:rPr>
                <w:rFonts w:hint="eastAsia" w:ascii="新宋体" w:hAnsi="新宋体" w:eastAsia="新宋体" w:cs="新宋体"/>
                <w:color w:val="auto"/>
                <w:highlight w:val="none"/>
              </w:rPr>
            </w:pPr>
          </w:p>
        </w:tc>
        <w:tc>
          <w:tcPr>
            <w:tcW w:w="848" w:type="dxa"/>
            <w:noWrap w:val="0"/>
            <w:vAlign w:val="top"/>
          </w:tcPr>
          <w:p w14:paraId="679AA0E8">
            <w:pPr>
              <w:rPr>
                <w:rFonts w:hint="eastAsia" w:ascii="新宋体" w:hAnsi="新宋体" w:eastAsia="新宋体" w:cs="新宋体"/>
                <w:color w:val="auto"/>
                <w:highlight w:val="none"/>
              </w:rPr>
            </w:pPr>
          </w:p>
        </w:tc>
        <w:tc>
          <w:tcPr>
            <w:tcW w:w="1055" w:type="dxa"/>
            <w:noWrap w:val="0"/>
            <w:vAlign w:val="top"/>
          </w:tcPr>
          <w:p w14:paraId="624FF8B2">
            <w:pPr>
              <w:rPr>
                <w:rFonts w:hint="eastAsia" w:ascii="新宋体" w:hAnsi="新宋体" w:eastAsia="新宋体" w:cs="新宋体"/>
                <w:color w:val="auto"/>
                <w:highlight w:val="none"/>
              </w:rPr>
            </w:pPr>
          </w:p>
        </w:tc>
        <w:tc>
          <w:tcPr>
            <w:tcW w:w="878" w:type="dxa"/>
            <w:noWrap w:val="0"/>
            <w:vAlign w:val="top"/>
          </w:tcPr>
          <w:p w14:paraId="653C7DAE">
            <w:pPr>
              <w:rPr>
                <w:rFonts w:hint="eastAsia" w:ascii="新宋体" w:hAnsi="新宋体" w:eastAsia="新宋体" w:cs="新宋体"/>
                <w:color w:val="auto"/>
                <w:highlight w:val="none"/>
              </w:rPr>
            </w:pPr>
          </w:p>
        </w:tc>
        <w:tc>
          <w:tcPr>
            <w:tcW w:w="1017" w:type="dxa"/>
            <w:noWrap w:val="0"/>
            <w:vAlign w:val="top"/>
          </w:tcPr>
          <w:p w14:paraId="037AD466">
            <w:pPr>
              <w:rPr>
                <w:rFonts w:hint="eastAsia" w:ascii="新宋体" w:hAnsi="新宋体" w:eastAsia="新宋体" w:cs="新宋体"/>
                <w:color w:val="auto"/>
                <w:highlight w:val="none"/>
              </w:rPr>
            </w:pPr>
          </w:p>
        </w:tc>
        <w:tc>
          <w:tcPr>
            <w:tcW w:w="1476" w:type="dxa"/>
            <w:noWrap w:val="0"/>
            <w:vAlign w:val="top"/>
          </w:tcPr>
          <w:p w14:paraId="0CDEEB27">
            <w:pPr>
              <w:rPr>
                <w:rFonts w:hint="eastAsia" w:ascii="新宋体" w:hAnsi="新宋体" w:eastAsia="新宋体" w:cs="新宋体"/>
                <w:color w:val="auto"/>
                <w:highlight w:val="none"/>
              </w:rPr>
            </w:pPr>
          </w:p>
        </w:tc>
        <w:tc>
          <w:tcPr>
            <w:tcW w:w="1017" w:type="dxa"/>
            <w:noWrap w:val="0"/>
            <w:vAlign w:val="top"/>
          </w:tcPr>
          <w:p w14:paraId="3404907F">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04D21F33">
            <w:pPr>
              <w:rPr>
                <w:rFonts w:hint="eastAsia" w:ascii="新宋体" w:hAnsi="新宋体" w:eastAsia="新宋体" w:cs="新宋体"/>
                <w:color w:val="auto"/>
                <w:highlight w:val="none"/>
              </w:rPr>
            </w:pPr>
          </w:p>
        </w:tc>
      </w:tr>
      <w:tr w14:paraId="30947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174" w:type="dxa"/>
            <w:tcBorders>
              <w:left w:val="single" w:color="000000" w:sz="10" w:space="0"/>
            </w:tcBorders>
            <w:noWrap w:val="0"/>
            <w:vAlign w:val="top"/>
          </w:tcPr>
          <w:p w14:paraId="6A8DBF04">
            <w:pPr>
              <w:rPr>
                <w:rFonts w:hint="eastAsia" w:ascii="新宋体" w:hAnsi="新宋体" w:eastAsia="新宋体" w:cs="新宋体"/>
                <w:color w:val="auto"/>
                <w:highlight w:val="none"/>
              </w:rPr>
            </w:pPr>
          </w:p>
        </w:tc>
        <w:tc>
          <w:tcPr>
            <w:tcW w:w="1414" w:type="dxa"/>
            <w:noWrap w:val="0"/>
            <w:vAlign w:val="top"/>
          </w:tcPr>
          <w:p w14:paraId="6F7CD447">
            <w:pPr>
              <w:rPr>
                <w:rFonts w:hint="eastAsia" w:ascii="新宋体" w:hAnsi="新宋体" w:eastAsia="新宋体" w:cs="新宋体"/>
                <w:color w:val="auto"/>
                <w:highlight w:val="none"/>
              </w:rPr>
            </w:pPr>
          </w:p>
        </w:tc>
        <w:tc>
          <w:tcPr>
            <w:tcW w:w="848" w:type="dxa"/>
            <w:noWrap w:val="0"/>
            <w:vAlign w:val="top"/>
          </w:tcPr>
          <w:p w14:paraId="2ACD9368">
            <w:pPr>
              <w:rPr>
                <w:rFonts w:hint="eastAsia" w:ascii="新宋体" w:hAnsi="新宋体" w:eastAsia="新宋体" w:cs="新宋体"/>
                <w:color w:val="auto"/>
                <w:highlight w:val="none"/>
              </w:rPr>
            </w:pPr>
          </w:p>
        </w:tc>
        <w:tc>
          <w:tcPr>
            <w:tcW w:w="1055" w:type="dxa"/>
            <w:noWrap w:val="0"/>
            <w:vAlign w:val="top"/>
          </w:tcPr>
          <w:p w14:paraId="2E0E8A88">
            <w:pPr>
              <w:rPr>
                <w:rFonts w:hint="eastAsia" w:ascii="新宋体" w:hAnsi="新宋体" w:eastAsia="新宋体" w:cs="新宋体"/>
                <w:color w:val="auto"/>
                <w:highlight w:val="none"/>
              </w:rPr>
            </w:pPr>
          </w:p>
        </w:tc>
        <w:tc>
          <w:tcPr>
            <w:tcW w:w="878" w:type="dxa"/>
            <w:noWrap w:val="0"/>
            <w:vAlign w:val="top"/>
          </w:tcPr>
          <w:p w14:paraId="0943AB29">
            <w:pPr>
              <w:rPr>
                <w:rFonts w:hint="eastAsia" w:ascii="新宋体" w:hAnsi="新宋体" w:eastAsia="新宋体" w:cs="新宋体"/>
                <w:color w:val="auto"/>
                <w:highlight w:val="none"/>
              </w:rPr>
            </w:pPr>
          </w:p>
        </w:tc>
        <w:tc>
          <w:tcPr>
            <w:tcW w:w="1017" w:type="dxa"/>
            <w:noWrap w:val="0"/>
            <w:vAlign w:val="top"/>
          </w:tcPr>
          <w:p w14:paraId="02237013">
            <w:pPr>
              <w:rPr>
                <w:rFonts w:hint="eastAsia" w:ascii="新宋体" w:hAnsi="新宋体" w:eastAsia="新宋体" w:cs="新宋体"/>
                <w:color w:val="auto"/>
                <w:highlight w:val="none"/>
              </w:rPr>
            </w:pPr>
          </w:p>
        </w:tc>
        <w:tc>
          <w:tcPr>
            <w:tcW w:w="1476" w:type="dxa"/>
            <w:noWrap w:val="0"/>
            <w:vAlign w:val="top"/>
          </w:tcPr>
          <w:p w14:paraId="3C0BD651">
            <w:pPr>
              <w:rPr>
                <w:rFonts w:hint="eastAsia" w:ascii="新宋体" w:hAnsi="新宋体" w:eastAsia="新宋体" w:cs="新宋体"/>
                <w:color w:val="auto"/>
                <w:highlight w:val="none"/>
              </w:rPr>
            </w:pPr>
          </w:p>
        </w:tc>
        <w:tc>
          <w:tcPr>
            <w:tcW w:w="1017" w:type="dxa"/>
            <w:noWrap w:val="0"/>
            <w:vAlign w:val="top"/>
          </w:tcPr>
          <w:p w14:paraId="1DC47E4B">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74EEBBE3">
            <w:pPr>
              <w:rPr>
                <w:rFonts w:hint="eastAsia" w:ascii="新宋体" w:hAnsi="新宋体" w:eastAsia="新宋体" w:cs="新宋体"/>
                <w:color w:val="auto"/>
                <w:highlight w:val="none"/>
              </w:rPr>
            </w:pPr>
          </w:p>
        </w:tc>
      </w:tr>
      <w:tr w14:paraId="285016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174" w:type="dxa"/>
            <w:tcBorders>
              <w:left w:val="single" w:color="000000" w:sz="10" w:space="0"/>
            </w:tcBorders>
            <w:noWrap w:val="0"/>
            <w:vAlign w:val="top"/>
          </w:tcPr>
          <w:p w14:paraId="0EB8604C">
            <w:pPr>
              <w:rPr>
                <w:rFonts w:hint="eastAsia" w:ascii="新宋体" w:hAnsi="新宋体" w:eastAsia="新宋体" w:cs="新宋体"/>
                <w:color w:val="auto"/>
                <w:highlight w:val="none"/>
              </w:rPr>
            </w:pPr>
          </w:p>
        </w:tc>
        <w:tc>
          <w:tcPr>
            <w:tcW w:w="1414" w:type="dxa"/>
            <w:noWrap w:val="0"/>
            <w:vAlign w:val="top"/>
          </w:tcPr>
          <w:p w14:paraId="3331EDA0">
            <w:pPr>
              <w:rPr>
                <w:rFonts w:hint="eastAsia" w:ascii="新宋体" w:hAnsi="新宋体" w:eastAsia="新宋体" w:cs="新宋体"/>
                <w:color w:val="auto"/>
                <w:highlight w:val="none"/>
              </w:rPr>
            </w:pPr>
          </w:p>
        </w:tc>
        <w:tc>
          <w:tcPr>
            <w:tcW w:w="848" w:type="dxa"/>
            <w:noWrap w:val="0"/>
            <w:vAlign w:val="top"/>
          </w:tcPr>
          <w:p w14:paraId="2321E196">
            <w:pPr>
              <w:rPr>
                <w:rFonts w:hint="eastAsia" w:ascii="新宋体" w:hAnsi="新宋体" w:eastAsia="新宋体" w:cs="新宋体"/>
                <w:color w:val="auto"/>
                <w:highlight w:val="none"/>
              </w:rPr>
            </w:pPr>
          </w:p>
        </w:tc>
        <w:tc>
          <w:tcPr>
            <w:tcW w:w="1055" w:type="dxa"/>
            <w:noWrap w:val="0"/>
            <w:vAlign w:val="top"/>
          </w:tcPr>
          <w:p w14:paraId="7E5CAAF5">
            <w:pPr>
              <w:rPr>
                <w:rFonts w:hint="eastAsia" w:ascii="新宋体" w:hAnsi="新宋体" w:eastAsia="新宋体" w:cs="新宋体"/>
                <w:color w:val="auto"/>
                <w:highlight w:val="none"/>
              </w:rPr>
            </w:pPr>
          </w:p>
        </w:tc>
        <w:tc>
          <w:tcPr>
            <w:tcW w:w="878" w:type="dxa"/>
            <w:noWrap w:val="0"/>
            <w:vAlign w:val="top"/>
          </w:tcPr>
          <w:p w14:paraId="790DA8EA">
            <w:pPr>
              <w:rPr>
                <w:rFonts w:hint="eastAsia" w:ascii="新宋体" w:hAnsi="新宋体" w:eastAsia="新宋体" w:cs="新宋体"/>
                <w:color w:val="auto"/>
                <w:highlight w:val="none"/>
              </w:rPr>
            </w:pPr>
          </w:p>
        </w:tc>
        <w:tc>
          <w:tcPr>
            <w:tcW w:w="1017" w:type="dxa"/>
            <w:noWrap w:val="0"/>
            <w:vAlign w:val="top"/>
          </w:tcPr>
          <w:p w14:paraId="4077D866">
            <w:pPr>
              <w:rPr>
                <w:rFonts w:hint="eastAsia" w:ascii="新宋体" w:hAnsi="新宋体" w:eastAsia="新宋体" w:cs="新宋体"/>
                <w:color w:val="auto"/>
                <w:highlight w:val="none"/>
              </w:rPr>
            </w:pPr>
          </w:p>
        </w:tc>
        <w:tc>
          <w:tcPr>
            <w:tcW w:w="1476" w:type="dxa"/>
            <w:noWrap w:val="0"/>
            <w:vAlign w:val="top"/>
          </w:tcPr>
          <w:p w14:paraId="24419058">
            <w:pPr>
              <w:rPr>
                <w:rFonts w:hint="eastAsia" w:ascii="新宋体" w:hAnsi="新宋体" w:eastAsia="新宋体" w:cs="新宋体"/>
                <w:color w:val="auto"/>
                <w:highlight w:val="none"/>
              </w:rPr>
            </w:pPr>
          </w:p>
        </w:tc>
        <w:tc>
          <w:tcPr>
            <w:tcW w:w="1017" w:type="dxa"/>
            <w:noWrap w:val="0"/>
            <w:vAlign w:val="top"/>
          </w:tcPr>
          <w:p w14:paraId="3363D281">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6B2A29A6">
            <w:pPr>
              <w:rPr>
                <w:rFonts w:hint="eastAsia" w:ascii="新宋体" w:hAnsi="新宋体" w:eastAsia="新宋体" w:cs="新宋体"/>
                <w:color w:val="auto"/>
                <w:highlight w:val="none"/>
              </w:rPr>
            </w:pPr>
          </w:p>
        </w:tc>
      </w:tr>
      <w:tr w14:paraId="6B958F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174" w:type="dxa"/>
            <w:tcBorders>
              <w:left w:val="single" w:color="000000" w:sz="10" w:space="0"/>
            </w:tcBorders>
            <w:noWrap w:val="0"/>
            <w:vAlign w:val="top"/>
          </w:tcPr>
          <w:p w14:paraId="18235458">
            <w:pPr>
              <w:rPr>
                <w:rFonts w:hint="eastAsia" w:ascii="新宋体" w:hAnsi="新宋体" w:eastAsia="新宋体" w:cs="新宋体"/>
                <w:color w:val="auto"/>
                <w:highlight w:val="none"/>
              </w:rPr>
            </w:pPr>
          </w:p>
        </w:tc>
        <w:tc>
          <w:tcPr>
            <w:tcW w:w="1414" w:type="dxa"/>
            <w:noWrap w:val="0"/>
            <w:vAlign w:val="top"/>
          </w:tcPr>
          <w:p w14:paraId="600245B6">
            <w:pPr>
              <w:rPr>
                <w:rFonts w:hint="eastAsia" w:ascii="新宋体" w:hAnsi="新宋体" w:eastAsia="新宋体" w:cs="新宋体"/>
                <w:color w:val="auto"/>
                <w:highlight w:val="none"/>
              </w:rPr>
            </w:pPr>
          </w:p>
        </w:tc>
        <w:tc>
          <w:tcPr>
            <w:tcW w:w="848" w:type="dxa"/>
            <w:noWrap w:val="0"/>
            <w:vAlign w:val="top"/>
          </w:tcPr>
          <w:p w14:paraId="044B6A6B">
            <w:pPr>
              <w:rPr>
                <w:rFonts w:hint="eastAsia" w:ascii="新宋体" w:hAnsi="新宋体" w:eastAsia="新宋体" w:cs="新宋体"/>
                <w:color w:val="auto"/>
                <w:highlight w:val="none"/>
              </w:rPr>
            </w:pPr>
          </w:p>
        </w:tc>
        <w:tc>
          <w:tcPr>
            <w:tcW w:w="1055" w:type="dxa"/>
            <w:noWrap w:val="0"/>
            <w:vAlign w:val="top"/>
          </w:tcPr>
          <w:p w14:paraId="54791C79">
            <w:pPr>
              <w:rPr>
                <w:rFonts w:hint="eastAsia" w:ascii="新宋体" w:hAnsi="新宋体" w:eastAsia="新宋体" w:cs="新宋体"/>
                <w:color w:val="auto"/>
                <w:highlight w:val="none"/>
              </w:rPr>
            </w:pPr>
          </w:p>
        </w:tc>
        <w:tc>
          <w:tcPr>
            <w:tcW w:w="878" w:type="dxa"/>
            <w:noWrap w:val="0"/>
            <w:vAlign w:val="top"/>
          </w:tcPr>
          <w:p w14:paraId="0EBA9DFA">
            <w:pPr>
              <w:rPr>
                <w:rFonts w:hint="eastAsia" w:ascii="新宋体" w:hAnsi="新宋体" w:eastAsia="新宋体" w:cs="新宋体"/>
                <w:color w:val="auto"/>
                <w:highlight w:val="none"/>
              </w:rPr>
            </w:pPr>
          </w:p>
        </w:tc>
        <w:tc>
          <w:tcPr>
            <w:tcW w:w="1017" w:type="dxa"/>
            <w:noWrap w:val="0"/>
            <w:vAlign w:val="top"/>
          </w:tcPr>
          <w:p w14:paraId="67ED66ED">
            <w:pPr>
              <w:rPr>
                <w:rFonts w:hint="eastAsia" w:ascii="新宋体" w:hAnsi="新宋体" w:eastAsia="新宋体" w:cs="新宋体"/>
                <w:color w:val="auto"/>
                <w:highlight w:val="none"/>
              </w:rPr>
            </w:pPr>
          </w:p>
        </w:tc>
        <w:tc>
          <w:tcPr>
            <w:tcW w:w="1476" w:type="dxa"/>
            <w:noWrap w:val="0"/>
            <w:vAlign w:val="top"/>
          </w:tcPr>
          <w:p w14:paraId="2DF46175">
            <w:pPr>
              <w:rPr>
                <w:rFonts w:hint="eastAsia" w:ascii="新宋体" w:hAnsi="新宋体" w:eastAsia="新宋体" w:cs="新宋体"/>
                <w:color w:val="auto"/>
                <w:highlight w:val="none"/>
              </w:rPr>
            </w:pPr>
          </w:p>
        </w:tc>
        <w:tc>
          <w:tcPr>
            <w:tcW w:w="1017" w:type="dxa"/>
            <w:noWrap w:val="0"/>
            <w:vAlign w:val="top"/>
          </w:tcPr>
          <w:p w14:paraId="78D37CD8">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354EB037">
            <w:pPr>
              <w:rPr>
                <w:rFonts w:hint="eastAsia" w:ascii="新宋体" w:hAnsi="新宋体" w:eastAsia="新宋体" w:cs="新宋体"/>
                <w:color w:val="auto"/>
                <w:highlight w:val="none"/>
              </w:rPr>
            </w:pPr>
          </w:p>
        </w:tc>
      </w:tr>
      <w:tr w14:paraId="1CA59F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174" w:type="dxa"/>
            <w:tcBorders>
              <w:left w:val="single" w:color="000000" w:sz="10" w:space="0"/>
            </w:tcBorders>
            <w:noWrap w:val="0"/>
            <w:vAlign w:val="top"/>
          </w:tcPr>
          <w:p w14:paraId="30DFACDB">
            <w:pPr>
              <w:rPr>
                <w:rFonts w:hint="eastAsia" w:ascii="新宋体" w:hAnsi="新宋体" w:eastAsia="新宋体" w:cs="新宋体"/>
                <w:color w:val="auto"/>
                <w:highlight w:val="none"/>
              </w:rPr>
            </w:pPr>
          </w:p>
        </w:tc>
        <w:tc>
          <w:tcPr>
            <w:tcW w:w="1414" w:type="dxa"/>
            <w:noWrap w:val="0"/>
            <w:vAlign w:val="top"/>
          </w:tcPr>
          <w:p w14:paraId="6EB6051E">
            <w:pPr>
              <w:rPr>
                <w:rFonts w:hint="eastAsia" w:ascii="新宋体" w:hAnsi="新宋体" w:eastAsia="新宋体" w:cs="新宋体"/>
                <w:color w:val="auto"/>
                <w:highlight w:val="none"/>
              </w:rPr>
            </w:pPr>
          </w:p>
        </w:tc>
        <w:tc>
          <w:tcPr>
            <w:tcW w:w="848" w:type="dxa"/>
            <w:noWrap w:val="0"/>
            <w:vAlign w:val="top"/>
          </w:tcPr>
          <w:p w14:paraId="1B46096C">
            <w:pPr>
              <w:rPr>
                <w:rFonts w:hint="eastAsia" w:ascii="新宋体" w:hAnsi="新宋体" w:eastAsia="新宋体" w:cs="新宋体"/>
                <w:color w:val="auto"/>
                <w:highlight w:val="none"/>
              </w:rPr>
            </w:pPr>
          </w:p>
        </w:tc>
        <w:tc>
          <w:tcPr>
            <w:tcW w:w="1055" w:type="dxa"/>
            <w:noWrap w:val="0"/>
            <w:vAlign w:val="top"/>
          </w:tcPr>
          <w:p w14:paraId="25B56F4E">
            <w:pPr>
              <w:rPr>
                <w:rFonts w:hint="eastAsia" w:ascii="新宋体" w:hAnsi="新宋体" w:eastAsia="新宋体" w:cs="新宋体"/>
                <w:color w:val="auto"/>
                <w:highlight w:val="none"/>
              </w:rPr>
            </w:pPr>
          </w:p>
        </w:tc>
        <w:tc>
          <w:tcPr>
            <w:tcW w:w="878" w:type="dxa"/>
            <w:noWrap w:val="0"/>
            <w:vAlign w:val="top"/>
          </w:tcPr>
          <w:p w14:paraId="25B0ACDA">
            <w:pPr>
              <w:rPr>
                <w:rFonts w:hint="eastAsia" w:ascii="新宋体" w:hAnsi="新宋体" w:eastAsia="新宋体" w:cs="新宋体"/>
                <w:color w:val="auto"/>
                <w:highlight w:val="none"/>
              </w:rPr>
            </w:pPr>
          </w:p>
        </w:tc>
        <w:tc>
          <w:tcPr>
            <w:tcW w:w="1017" w:type="dxa"/>
            <w:noWrap w:val="0"/>
            <w:vAlign w:val="top"/>
          </w:tcPr>
          <w:p w14:paraId="7729EA99">
            <w:pPr>
              <w:rPr>
                <w:rFonts w:hint="eastAsia" w:ascii="新宋体" w:hAnsi="新宋体" w:eastAsia="新宋体" w:cs="新宋体"/>
                <w:color w:val="auto"/>
                <w:highlight w:val="none"/>
              </w:rPr>
            </w:pPr>
          </w:p>
        </w:tc>
        <w:tc>
          <w:tcPr>
            <w:tcW w:w="1476" w:type="dxa"/>
            <w:noWrap w:val="0"/>
            <w:vAlign w:val="top"/>
          </w:tcPr>
          <w:p w14:paraId="177E3465">
            <w:pPr>
              <w:rPr>
                <w:rFonts w:hint="eastAsia" w:ascii="新宋体" w:hAnsi="新宋体" w:eastAsia="新宋体" w:cs="新宋体"/>
                <w:color w:val="auto"/>
                <w:highlight w:val="none"/>
              </w:rPr>
            </w:pPr>
          </w:p>
        </w:tc>
        <w:tc>
          <w:tcPr>
            <w:tcW w:w="1017" w:type="dxa"/>
            <w:noWrap w:val="0"/>
            <w:vAlign w:val="top"/>
          </w:tcPr>
          <w:p w14:paraId="005C9016">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558ACAAA">
            <w:pPr>
              <w:rPr>
                <w:rFonts w:hint="eastAsia" w:ascii="新宋体" w:hAnsi="新宋体" w:eastAsia="新宋体" w:cs="新宋体"/>
                <w:color w:val="auto"/>
                <w:highlight w:val="none"/>
              </w:rPr>
            </w:pPr>
          </w:p>
        </w:tc>
      </w:tr>
      <w:tr w14:paraId="52E321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174" w:type="dxa"/>
            <w:tcBorders>
              <w:left w:val="single" w:color="000000" w:sz="10" w:space="0"/>
            </w:tcBorders>
            <w:noWrap w:val="0"/>
            <w:vAlign w:val="top"/>
          </w:tcPr>
          <w:p w14:paraId="0E913FAC">
            <w:pPr>
              <w:rPr>
                <w:rFonts w:hint="eastAsia" w:ascii="新宋体" w:hAnsi="新宋体" w:eastAsia="新宋体" w:cs="新宋体"/>
                <w:color w:val="auto"/>
                <w:highlight w:val="none"/>
              </w:rPr>
            </w:pPr>
          </w:p>
        </w:tc>
        <w:tc>
          <w:tcPr>
            <w:tcW w:w="1414" w:type="dxa"/>
            <w:noWrap w:val="0"/>
            <w:vAlign w:val="top"/>
          </w:tcPr>
          <w:p w14:paraId="1361504D">
            <w:pPr>
              <w:rPr>
                <w:rFonts w:hint="eastAsia" w:ascii="新宋体" w:hAnsi="新宋体" w:eastAsia="新宋体" w:cs="新宋体"/>
                <w:color w:val="auto"/>
                <w:highlight w:val="none"/>
              </w:rPr>
            </w:pPr>
          </w:p>
        </w:tc>
        <w:tc>
          <w:tcPr>
            <w:tcW w:w="848" w:type="dxa"/>
            <w:noWrap w:val="0"/>
            <w:vAlign w:val="top"/>
          </w:tcPr>
          <w:p w14:paraId="27B31A1E">
            <w:pPr>
              <w:rPr>
                <w:rFonts w:hint="eastAsia" w:ascii="新宋体" w:hAnsi="新宋体" w:eastAsia="新宋体" w:cs="新宋体"/>
                <w:color w:val="auto"/>
                <w:highlight w:val="none"/>
              </w:rPr>
            </w:pPr>
          </w:p>
        </w:tc>
        <w:tc>
          <w:tcPr>
            <w:tcW w:w="1055" w:type="dxa"/>
            <w:noWrap w:val="0"/>
            <w:vAlign w:val="top"/>
          </w:tcPr>
          <w:p w14:paraId="009815A6">
            <w:pPr>
              <w:rPr>
                <w:rFonts w:hint="eastAsia" w:ascii="新宋体" w:hAnsi="新宋体" w:eastAsia="新宋体" w:cs="新宋体"/>
                <w:color w:val="auto"/>
                <w:highlight w:val="none"/>
              </w:rPr>
            </w:pPr>
          </w:p>
        </w:tc>
        <w:tc>
          <w:tcPr>
            <w:tcW w:w="878" w:type="dxa"/>
            <w:noWrap w:val="0"/>
            <w:vAlign w:val="top"/>
          </w:tcPr>
          <w:p w14:paraId="48506E60">
            <w:pPr>
              <w:rPr>
                <w:rFonts w:hint="eastAsia" w:ascii="新宋体" w:hAnsi="新宋体" w:eastAsia="新宋体" w:cs="新宋体"/>
                <w:color w:val="auto"/>
                <w:highlight w:val="none"/>
              </w:rPr>
            </w:pPr>
          </w:p>
        </w:tc>
        <w:tc>
          <w:tcPr>
            <w:tcW w:w="1017" w:type="dxa"/>
            <w:noWrap w:val="0"/>
            <w:vAlign w:val="top"/>
          </w:tcPr>
          <w:p w14:paraId="2DBAA702">
            <w:pPr>
              <w:rPr>
                <w:rFonts w:hint="eastAsia" w:ascii="新宋体" w:hAnsi="新宋体" w:eastAsia="新宋体" w:cs="新宋体"/>
                <w:color w:val="auto"/>
                <w:highlight w:val="none"/>
              </w:rPr>
            </w:pPr>
          </w:p>
        </w:tc>
        <w:tc>
          <w:tcPr>
            <w:tcW w:w="1476" w:type="dxa"/>
            <w:noWrap w:val="0"/>
            <w:vAlign w:val="top"/>
          </w:tcPr>
          <w:p w14:paraId="118B483C">
            <w:pPr>
              <w:rPr>
                <w:rFonts w:hint="eastAsia" w:ascii="新宋体" w:hAnsi="新宋体" w:eastAsia="新宋体" w:cs="新宋体"/>
                <w:color w:val="auto"/>
                <w:highlight w:val="none"/>
              </w:rPr>
            </w:pPr>
          </w:p>
        </w:tc>
        <w:tc>
          <w:tcPr>
            <w:tcW w:w="1017" w:type="dxa"/>
            <w:noWrap w:val="0"/>
            <w:vAlign w:val="top"/>
          </w:tcPr>
          <w:p w14:paraId="2088CE3F">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37D69543">
            <w:pPr>
              <w:rPr>
                <w:rFonts w:hint="eastAsia" w:ascii="新宋体" w:hAnsi="新宋体" w:eastAsia="新宋体" w:cs="新宋体"/>
                <w:color w:val="auto"/>
                <w:highlight w:val="none"/>
              </w:rPr>
            </w:pPr>
          </w:p>
        </w:tc>
      </w:tr>
      <w:tr w14:paraId="2BC499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174" w:type="dxa"/>
            <w:tcBorders>
              <w:left w:val="single" w:color="000000" w:sz="10" w:space="0"/>
            </w:tcBorders>
            <w:noWrap w:val="0"/>
            <w:vAlign w:val="top"/>
          </w:tcPr>
          <w:p w14:paraId="2A78D47B">
            <w:pPr>
              <w:rPr>
                <w:rFonts w:hint="eastAsia" w:ascii="新宋体" w:hAnsi="新宋体" w:eastAsia="新宋体" w:cs="新宋体"/>
                <w:color w:val="auto"/>
                <w:highlight w:val="none"/>
              </w:rPr>
            </w:pPr>
          </w:p>
        </w:tc>
        <w:tc>
          <w:tcPr>
            <w:tcW w:w="1414" w:type="dxa"/>
            <w:noWrap w:val="0"/>
            <w:vAlign w:val="top"/>
          </w:tcPr>
          <w:p w14:paraId="2FFE0227">
            <w:pPr>
              <w:rPr>
                <w:rFonts w:hint="eastAsia" w:ascii="新宋体" w:hAnsi="新宋体" w:eastAsia="新宋体" w:cs="新宋体"/>
                <w:color w:val="auto"/>
                <w:highlight w:val="none"/>
              </w:rPr>
            </w:pPr>
          </w:p>
        </w:tc>
        <w:tc>
          <w:tcPr>
            <w:tcW w:w="848" w:type="dxa"/>
            <w:noWrap w:val="0"/>
            <w:vAlign w:val="top"/>
          </w:tcPr>
          <w:p w14:paraId="17B02430">
            <w:pPr>
              <w:rPr>
                <w:rFonts w:hint="eastAsia" w:ascii="新宋体" w:hAnsi="新宋体" w:eastAsia="新宋体" w:cs="新宋体"/>
                <w:color w:val="auto"/>
                <w:highlight w:val="none"/>
              </w:rPr>
            </w:pPr>
          </w:p>
        </w:tc>
        <w:tc>
          <w:tcPr>
            <w:tcW w:w="1055" w:type="dxa"/>
            <w:noWrap w:val="0"/>
            <w:vAlign w:val="top"/>
          </w:tcPr>
          <w:p w14:paraId="250A978E">
            <w:pPr>
              <w:rPr>
                <w:rFonts w:hint="eastAsia" w:ascii="新宋体" w:hAnsi="新宋体" w:eastAsia="新宋体" w:cs="新宋体"/>
                <w:color w:val="auto"/>
                <w:highlight w:val="none"/>
              </w:rPr>
            </w:pPr>
          </w:p>
        </w:tc>
        <w:tc>
          <w:tcPr>
            <w:tcW w:w="878" w:type="dxa"/>
            <w:noWrap w:val="0"/>
            <w:vAlign w:val="top"/>
          </w:tcPr>
          <w:p w14:paraId="263AFDCF">
            <w:pPr>
              <w:rPr>
                <w:rFonts w:hint="eastAsia" w:ascii="新宋体" w:hAnsi="新宋体" w:eastAsia="新宋体" w:cs="新宋体"/>
                <w:color w:val="auto"/>
                <w:highlight w:val="none"/>
              </w:rPr>
            </w:pPr>
          </w:p>
        </w:tc>
        <w:tc>
          <w:tcPr>
            <w:tcW w:w="1017" w:type="dxa"/>
            <w:noWrap w:val="0"/>
            <w:vAlign w:val="top"/>
          </w:tcPr>
          <w:p w14:paraId="29CBCE5D">
            <w:pPr>
              <w:rPr>
                <w:rFonts w:hint="eastAsia" w:ascii="新宋体" w:hAnsi="新宋体" w:eastAsia="新宋体" w:cs="新宋体"/>
                <w:color w:val="auto"/>
                <w:highlight w:val="none"/>
              </w:rPr>
            </w:pPr>
          </w:p>
        </w:tc>
        <w:tc>
          <w:tcPr>
            <w:tcW w:w="1476" w:type="dxa"/>
            <w:noWrap w:val="0"/>
            <w:vAlign w:val="top"/>
          </w:tcPr>
          <w:p w14:paraId="396D4DC4">
            <w:pPr>
              <w:rPr>
                <w:rFonts w:hint="eastAsia" w:ascii="新宋体" w:hAnsi="新宋体" w:eastAsia="新宋体" w:cs="新宋体"/>
                <w:color w:val="auto"/>
                <w:highlight w:val="none"/>
              </w:rPr>
            </w:pPr>
          </w:p>
        </w:tc>
        <w:tc>
          <w:tcPr>
            <w:tcW w:w="1017" w:type="dxa"/>
            <w:noWrap w:val="0"/>
            <w:vAlign w:val="top"/>
          </w:tcPr>
          <w:p w14:paraId="1CC6FEF7">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7E2D368F">
            <w:pPr>
              <w:rPr>
                <w:rFonts w:hint="eastAsia" w:ascii="新宋体" w:hAnsi="新宋体" w:eastAsia="新宋体" w:cs="新宋体"/>
                <w:color w:val="auto"/>
                <w:highlight w:val="none"/>
              </w:rPr>
            </w:pPr>
          </w:p>
        </w:tc>
      </w:tr>
      <w:tr w14:paraId="58FC30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174" w:type="dxa"/>
            <w:tcBorders>
              <w:left w:val="single" w:color="000000" w:sz="10" w:space="0"/>
            </w:tcBorders>
            <w:noWrap w:val="0"/>
            <w:vAlign w:val="top"/>
          </w:tcPr>
          <w:p w14:paraId="0EB42385">
            <w:pPr>
              <w:rPr>
                <w:rFonts w:hint="eastAsia" w:ascii="新宋体" w:hAnsi="新宋体" w:eastAsia="新宋体" w:cs="新宋体"/>
                <w:color w:val="auto"/>
                <w:highlight w:val="none"/>
              </w:rPr>
            </w:pPr>
          </w:p>
        </w:tc>
        <w:tc>
          <w:tcPr>
            <w:tcW w:w="1414" w:type="dxa"/>
            <w:noWrap w:val="0"/>
            <w:vAlign w:val="top"/>
          </w:tcPr>
          <w:p w14:paraId="248333D3">
            <w:pPr>
              <w:rPr>
                <w:rFonts w:hint="eastAsia" w:ascii="新宋体" w:hAnsi="新宋体" w:eastAsia="新宋体" w:cs="新宋体"/>
                <w:color w:val="auto"/>
                <w:highlight w:val="none"/>
              </w:rPr>
            </w:pPr>
          </w:p>
        </w:tc>
        <w:tc>
          <w:tcPr>
            <w:tcW w:w="848" w:type="dxa"/>
            <w:noWrap w:val="0"/>
            <w:vAlign w:val="top"/>
          </w:tcPr>
          <w:p w14:paraId="0D6C27D8">
            <w:pPr>
              <w:rPr>
                <w:rFonts w:hint="eastAsia" w:ascii="新宋体" w:hAnsi="新宋体" w:eastAsia="新宋体" w:cs="新宋体"/>
                <w:color w:val="auto"/>
                <w:highlight w:val="none"/>
              </w:rPr>
            </w:pPr>
          </w:p>
        </w:tc>
        <w:tc>
          <w:tcPr>
            <w:tcW w:w="1055" w:type="dxa"/>
            <w:noWrap w:val="0"/>
            <w:vAlign w:val="top"/>
          </w:tcPr>
          <w:p w14:paraId="54B20827">
            <w:pPr>
              <w:rPr>
                <w:rFonts w:hint="eastAsia" w:ascii="新宋体" w:hAnsi="新宋体" w:eastAsia="新宋体" w:cs="新宋体"/>
                <w:color w:val="auto"/>
                <w:highlight w:val="none"/>
              </w:rPr>
            </w:pPr>
          </w:p>
        </w:tc>
        <w:tc>
          <w:tcPr>
            <w:tcW w:w="878" w:type="dxa"/>
            <w:noWrap w:val="0"/>
            <w:vAlign w:val="top"/>
          </w:tcPr>
          <w:p w14:paraId="4376EDEE">
            <w:pPr>
              <w:rPr>
                <w:rFonts w:hint="eastAsia" w:ascii="新宋体" w:hAnsi="新宋体" w:eastAsia="新宋体" w:cs="新宋体"/>
                <w:color w:val="auto"/>
                <w:highlight w:val="none"/>
              </w:rPr>
            </w:pPr>
          </w:p>
        </w:tc>
        <w:tc>
          <w:tcPr>
            <w:tcW w:w="1017" w:type="dxa"/>
            <w:noWrap w:val="0"/>
            <w:vAlign w:val="top"/>
          </w:tcPr>
          <w:p w14:paraId="2AEA3945">
            <w:pPr>
              <w:rPr>
                <w:rFonts w:hint="eastAsia" w:ascii="新宋体" w:hAnsi="新宋体" w:eastAsia="新宋体" w:cs="新宋体"/>
                <w:color w:val="auto"/>
                <w:highlight w:val="none"/>
              </w:rPr>
            </w:pPr>
          </w:p>
        </w:tc>
        <w:tc>
          <w:tcPr>
            <w:tcW w:w="1476" w:type="dxa"/>
            <w:noWrap w:val="0"/>
            <w:vAlign w:val="top"/>
          </w:tcPr>
          <w:p w14:paraId="1F686021">
            <w:pPr>
              <w:rPr>
                <w:rFonts w:hint="eastAsia" w:ascii="新宋体" w:hAnsi="新宋体" w:eastAsia="新宋体" w:cs="新宋体"/>
                <w:color w:val="auto"/>
                <w:highlight w:val="none"/>
              </w:rPr>
            </w:pPr>
          </w:p>
        </w:tc>
        <w:tc>
          <w:tcPr>
            <w:tcW w:w="1017" w:type="dxa"/>
            <w:noWrap w:val="0"/>
            <w:vAlign w:val="top"/>
          </w:tcPr>
          <w:p w14:paraId="6A9271B0">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2B1F04F6">
            <w:pPr>
              <w:rPr>
                <w:rFonts w:hint="eastAsia" w:ascii="新宋体" w:hAnsi="新宋体" w:eastAsia="新宋体" w:cs="新宋体"/>
                <w:color w:val="auto"/>
                <w:highlight w:val="none"/>
              </w:rPr>
            </w:pPr>
          </w:p>
        </w:tc>
      </w:tr>
      <w:tr w14:paraId="5B41F6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1174" w:type="dxa"/>
            <w:tcBorders>
              <w:left w:val="single" w:color="000000" w:sz="10" w:space="0"/>
            </w:tcBorders>
            <w:noWrap w:val="0"/>
            <w:vAlign w:val="top"/>
          </w:tcPr>
          <w:p w14:paraId="7B6BE4E8">
            <w:pPr>
              <w:rPr>
                <w:rFonts w:hint="eastAsia" w:ascii="新宋体" w:hAnsi="新宋体" w:eastAsia="新宋体" w:cs="新宋体"/>
                <w:color w:val="auto"/>
                <w:highlight w:val="none"/>
              </w:rPr>
            </w:pPr>
          </w:p>
        </w:tc>
        <w:tc>
          <w:tcPr>
            <w:tcW w:w="1414" w:type="dxa"/>
            <w:noWrap w:val="0"/>
            <w:vAlign w:val="top"/>
          </w:tcPr>
          <w:p w14:paraId="678EB7FD">
            <w:pPr>
              <w:rPr>
                <w:rFonts w:hint="eastAsia" w:ascii="新宋体" w:hAnsi="新宋体" w:eastAsia="新宋体" w:cs="新宋体"/>
                <w:color w:val="auto"/>
                <w:highlight w:val="none"/>
              </w:rPr>
            </w:pPr>
          </w:p>
        </w:tc>
        <w:tc>
          <w:tcPr>
            <w:tcW w:w="848" w:type="dxa"/>
            <w:noWrap w:val="0"/>
            <w:vAlign w:val="top"/>
          </w:tcPr>
          <w:p w14:paraId="1FE45FEC">
            <w:pPr>
              <w:rPr>
                <w:rFonts w:hint="eastAsia" w:ascii="新宋体" w:hAnsi="新宋体" w:eastAsia="新宋体" w:cs="新宋体"/>
                <w:color w:val="auto"/>
                <w:highlight w:val="none"/>
              </w:rPr>
            </w:pPr>
          </w:p>
        </w:tc>
        <w:tc>
          <w:tcPr>
            <w:tcW w:w="1055" w:type="dxa"/>
            <w:noWrap w:val="0"/>
            <w:vAlign w:val="top"/>
          </w:tcPr>
          <w:p w14:paraId="53E5ADF4">
            <w:pPr>
              <w:rPr>
                <w:rFonts w:hint="eastAsia" w:ascii="新宋体" w:hAnsi="新宋体" w:eastAsia="新宋体" w:cs="新宋体"/>
                <w:color w:val="auto"/>
                <w:highlight w:val="none"/>
              </w:rPr>
            </w:pPr>
          </w:p>
        </w:tc>
        <w:tc>
          <w:tcPr>
            <w:tcW w:w="878" w:type="dxa"/>
            <w:noWrap w:val="0"/>
            <w:vAlign w:val="top"/>
          </w:tcPr>
          <w:p w14:paraId="79009164">
            <w:pPr>
              <w:rPr>
                <w:rFonts w:hint="eastAsia" w:ascii="新宋体" w:hAnsi="新宋体" w:eastAsia="新宋体" w:cs="新宋体"/>
                <w:color w:val="auto"/>
                <w:highlight w:val="none"/>
              </w:rPr>
            </w:pPr>
          </w:p>
        </w:tc>
        <w:tc>
          <w:tcPr>
            <w:tcW w:w="1017" w:type="dxa"/>
            <w:noWrap w:val="0"/>
            <w:vAlign w:val="top"/>
          </w:tcPr>
          <w:p w14:paraId="72391D8D">
            <w:pPr>
              <w:rPr>
                <w:rFonts w:hint="eastAsia" w:ascii="新宋体" w:hAnsi="新宋体" w:eastAsia="新宋体" w:cs="新宋体"/>
                <w:color w:val="auto"/>
                <w:highlight w:val="none"/>
              </w:rPr>
            </w:pPr>
          </w:p>
        </w:tc>
        <w:tc>
          <w:tcPr>
            <w:tcW w:w="1476" w:type="dxa"/>
            <w:noWrap w:val="0"/>
            <w:vAlign w:val="top"/>
          </w:tcPr>
          <w:p w14:paraId="53884C4E">
            <w:pPr>
              <w:rPr>
                <w:rFonts w:hint="eastAsia" w:ascii="新宋体" w:hAnsi="新宋体" w:eastAsia="新宋体" w:cs="新宋体"/>
                <w:color w:val="auto"/>
                <w:highlight w:val="none"/>
              </w:rPr>
            </w:pPr>
          </w:p>
        </w:tc>
        <w:tc>
          <w:tcPr>
            <w:tcW w:w="1017" w:type="dxa"/>
            <w:noWrap w:val="0"/>
            <w:vAlign w:val="top"/>
          </w:tcPr>
          <w:p w14:paraId="52AA84DE">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0B28B271">
            <w:pPr>
              <w:rPr>
                <w:rFonts w:hint="eastAsia" w:ascii="新宋体" w:hAnsi="新宋体" w:eastAsia="新宋体" w:cs="新宋体"/>
                <w:color w:val="auto"/>
                <w:highlight w:val="none"/>
              </w:rPr>
            </w:pPr>
          </w:p>
        </w:tc>
      </w:tr>
      <w:tr w14:paraId="19623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1174" w:type="dxa"/>
            <w:tcBorders>
              <w:left w:val="single" w:color="000000" w:sz="10" w:space="0"/>
            </w:tcBorders>
            <w:noWrap w:val="0"/>
            <w:vAlign w:val="top"/>
          </w:tcPr>
          <w:p w14:paraId="23708FC5">
            <w:pPr>
              <w:rPr>
                <w:rFonts w:hint="eastAsia" w:ascii="新宋体" w:hAnsi="新宋体" w:eastAsia="新宋体" w:cs="新宋体"/>
                <w:color w:val="auto"/>
                <w:highlight w:val="none"/>
              </w:rPr>
            </w:pPr>
          </w:p>
        </w:tc>
        <w:tc>
          <w:tcPr>
            <w:tcW w:w="1414" w:type="dxa"/>
            <w:noWrap w:val="0"/>
            <w:vAlign w:val="top"/>
          </w:tcPr>
          <w:p w14:paraId="532325CE">
            <w:pPr>
              <w:rPr>
                <w:rFonts w:hint="eastAsia" w:ascii="新宋体" w:hAnsi="新宋体" w:eastAsia="新宋体" w:cs="新宋体"/>
                <w:color w:val="auto"/>
                <w:highlight w:val="none"/>
              </w:rPr>
            </w:pPr>
          </w:p>
        </w:tc>
        <w:tc>
          <w:tcPr>
            <w:tcW w:w="848" w:type="dxa"/>
            <w:noWrap w:val="0"/>
            <w:vAlign w:val="top"/>
          </w:tcPr>
          <w:p w14:paraId="4BCF74BD">
            <w:pPr>
              <w:rPr>
                <w:rFonts w:hint="eastAsia" w:ascii="新宋体" w:hAnsi="新宋体" w:eastAsia="新宋体" w:cs="新宋体"/>
                <w:color w:val="auto"/>
                <w:highlight w:val="none"/>
              </w:rPr>
            </w:pPr>
          </w:p>
        </w:tc>
        <w:tc>
          <w:tcPr>
            <w:tcW w:w="1055" w:type="dxa"/>
            <w:noWrap w:val="0"/>
            <w:vAlign w:val="top"/>
          </w:tcPr>
          <w:p w14:paraId="6A9CBB6D">
            <w:pPr>
              <w:rPr>
                <w:rFonts w:hint="eastAsia" w:ascii="新宋体" w:hAnsi="新宋体" w:eastAsia="新宋体" w:cs="新宋体"/>
                <w:color w:val="auto"/>
                <w:highlight w:val="none"/>
              </w:rPr>
            </w:pPr>
          </w:p>
        </w:tc>
        <w:tc>
          <w:tcPr>
            <w:tcW w:w="878" w:type="dxa"/>
            <w:noWrap w:val="0"/>
            <w:vAlign w:val="top"/>
          </w:tcPr>
          <w:p w14:paraId="67F83C0E">
            <w:pPr>
              <w:rPr>
                <w:rFonts w:hint="eastAsia" w:ascii="新宋体" w:hAnsi="新宋体" w:eastAsia="新宋体" w:cs="新宋体"/>
                <w:color w:val="auto"/>
                <w:highlight w:val="none"/>
              </w:rPr>
            </w:pPr>
          </w:p>
        </w:tc>
        <w:tc>
          <w:tcPr>
            <w:tcW w:w="1017" w:type="dxa"/>
            <w:noWrap w:val="0"/>
            <w:vAlign w:val="top"/>
          </w:tcPr>
          <w:p w14:paraId="0365F60A">
            <w:pPr>
              <w:rPr>
                <w:rFonts w:hint="eastAsia" w:ascii="新宋体" w:hAnsi="新宋体" w:eastAsia="新宋体" w:cs="新宋体"/>
                <w:color w:val="auto"/>
                <w:highlight w:val="none"/>
              </w:rPr>
            </w:pPr>
          </w:p>
        </w:tc>
        <w:tc>
          <w:tcPr>
            <w:tcW w:w="1476" w:type="dxa"/>
            <w:noWrap w:val="0"/>
            <w:vAlign w:val="top"/>
          </w:tcPr>
          <w:p w14:paraId="42D9332F">
            <w:pPr>
              <w:rPr>
                <w:rFonts w:hint="eastAsia" w:ascii="新宋体" w:hAnsi="新宋体" w:eastAsia="新宋体" w:cs="新宋体"/>
                <w:color w:val="auto"/>
                <w:highlight w:val="none"/>
              </w:rPr>
            </w:pPr>
          </w:p>
        </w:tc>
        <w:tc>
          <w:tcPr>
            <w:tcW w:w="1017" w:type="dxa"/>
            <w:noWrap w:val="0"/>
            <w:vAlign w:val="top"/>
          </w:tcPr>
          <w:p w14:paraId="359AC653">
            <w:pPr>
              <w:rPr>
                <w:rFonts w:hint="eastAsia" w:ascii="新宋体" w:hAnsi="新宋体" w:eastAsia="新宋体" w:cs="新宋体"/>
                <w:color w:val="auto"/>
                <w:highlight w:val="none"/>
              </w:rPr>
            </w:pPr>
          </w:p>
        </w:tc>
        <w:tc>
          <w:tcPr>
            <w:tcW w:w="933" w:type="dxa"/>
            <w:tcBorders>
              <w:right w:val="single" w:color="000000" w:sz="10" w:space="0"/>
            </w:tcBorders>
            <w:noWrap w:val="0"/>
            <w:vAlign w:val="top"/>
          </w:tcPr>
          <w:p w14:paraId="3E960121">
            <w:pPr>
              <w:rPr>
                <w:rFonts w:hint="eastAsia" w:ascii="新宋体" w:hAnsi="新宋体" w:eastAsia="新宋体" w:cs="新宋体"/>
                <w:color w:val="auto"/>
                <w:highlight w:val="none"/>
              </w:rPr>
            </w:pPr>
          </w:p>
        </w:tc>
      </w:tr>
      <w:tr w14:paraId="7B7921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2" w:hRule="atLeast"/>
        </w:trPr>
        <w:tc>
          <w:tcPr>
            <w:tcW w:w="1174" w:type="dxa"/>
            <w:tcBorders>
              <w:left w:val="single" w:color="000000" w:sz="10" w:space="0"/>
              <w:bottom w:val="single" w:color="000000" w:sz="10" w:space="0"/>
            </w:tcBorders>
            <w:noWrap w:val="0"/>
            <w:vAlign w:val="top"/>
          </w:tcPr>
          <w:p w14:paraId="5479BDA6">
            <w:pPr>
              <w:rPr>
                <w:rFonts w:hint="eastAsia" w:ascii="新宋体" w:hAnsi="新宋体" w:eastAsia="新宋体" w:cs="新宋体"/>
                <w:color w:val="auto"/>
                <w:highlight w:val="none"/>
              </w:rPr>
            </w:pPr>
          </w:p>
        </w:tc>
        <w:tc>
          <w:tcPr>
            <w:tcW w:w="1414" w:type="dxa"/>
            <w:tcBorders>
              <w:bottom w:val="single" w:color="000000" w:sz="10" w:space="0"/>
            </w:tcBorders>
            <w:noWrap w:val="0"/>
            <w:vAlign w:val="top"/>
          </w:tcPr>
          <w:p w14:paraId="0A98E01C">
            <w:pPr>
              <w:rPr>
                <w:rFonts w:hint="eastAsia" w:ascii="新宋体" w:hAnsi="新宋体" w:eastAsia="新宋体" w:cs="新宋体"/>
                <w:color w:val="auto"/>
                <w:highlight w:val="none"/>
              </w:rPr>
            </w:pPr>
          </w:p>
        </w:tc>
        <w:tc>
          <w:tcPr>
            <w:tcW w:w="848" w:type="dxa"/>
            <w:tcBorders>
              <w:bottom w:val="single" w:color="000000" w:sz="10" w:space="0"/>
            </w:tcBorders>
            <w:noWrap w:val="0"/>
            <w:vAlign w:val="top"/>
          </w:tcPr>
          <w:p w14:paraId="4E6E12E2">
            <w:pPr>
              <w:rPr>
                <w:rFonts w:hint="eastAsia" w:ascii="新宋体" w:hAnsi="新宋体" w:eastAsia="新宋体" w:cs="新宋体"/>
                <w:color w:val="auto"/>
                <w:highlight w:val="none"/>
              </w:rPr>
            </w:pPr>
          </w:p>
        </w:tc>
        <w:tc>
          <w:tcPr>
            <w:tcW w:w="1055" w:type="dxa"/>
            <w:tcBorders>
              <w:bottom w:val="single" w:color="000000" w:sz="10" w:space="0"/>
            </w:tcBorders>
            <w:noWrap w:val="0"/>
            <w:vAlign w:val="top"/>
          </w:tcPr>
          <w:p w14:paraId="634C6402">
            <w:pPr>
              <w:rPr>
                <w:rFonts w:hint="eastAsia" w:ascii="新宋体" w:hAnsi="新宋体" w:eastAsia="新宋体" w:cs="新宋体"/>
                <w:color w:val="auto"/>
                <w:highlight w:val="none"/>
              </w:rPr>
            </w:pPr>
          </w:p>
        </w:tc>
        <w:tc>
          <w:tcPr>
            <w:tcW w:w="878" w:type="dxa"/>
            <w:tcBorders>
              <w:bottom w:val="single" w:color="000000" w:sz="10" w:space="0"/>
            </w:tcBorders>
            <w:noWrap w:val="0"/>
            <w:vAlign w:val="top"/>
          </w:tcPr>
          <w:p w14:paraId="08236129">
            <w:pPr>
              <w:rPr>
                <w:rFonts w:hint="eastAsia" w:ascii="新宋体" w:hAnsi="新宋体" w:eastAsia="新宋体" w:cs="新宋体"/>
                <w:color w:val="auto"/>
                <w:highlight w:val="none"/>
              </w:rPr>
            </w:pPr>
          </w:p>
        </w:tc>
        <w:tc>
          <w:tcPr>
            <w:tcW w:w="1017" w:type="dxa"/>
            <w:tcBorders>
              <w:bottom w:val="single" w:color="000000" w:sz="10" w:space="0"/>
            </w:tcBorders>
            <w:noWrap w:val="0"/>
            <w:vAlign w:val="top"/>
          </w:tcPr>
          <w:p w14:paraId="5815D524">
            <w:pPr>
              <w:rPr>
                <w:rFonts w:hint="eastAsia" w:ascii="新宋体" w:hAnsi="新宋体" w:eastAsia="新宋体" w:cs="新宋体"/>
                <w:color w:val="auto"/>
                <w:highlight w:val="none"/>
              </w:rPr>
            </w:pPr>
          </w:p>
        </w:tc>
        <w:tc>
          <w:tcPr>
            <w:tcW w:w="1476" w:type="dxa"/>
            <w:tcBorders>
              <w:bottom w:val="single" w:color="000000" w:sz="10" w:space="0"/>
            </w:tcBorders>
            <w:noWrap w:val="0"/>
            <w:vAlign w:val="top"/>
          </w:tcPr>
          <w:p w14:paraId="68D81AE2">
            <w:pPr>
              <w:rPr>
                <w:rFonts w:hint="eastAsia" w:ascii="新宋体" w:hAnsi="新宋体" w:eastAsia="新宋体" w:cs="新宋体"/>
                <w:color w:val="auto"/>
                <w:highlight w:val="none"/>
              </w:rPr>
            </w:pPr>
          </w:p>
        </w:tc>
        <w:tc>
          <w:tcPr>
            <w:tcW w:w="1017" w:type="dxa"/>
            <w:tcBorders>
              <w:bottom w:val="single" w:color="000000" w:sz="10" w:space="0"/>
            </w:tcBorders>
            <w:noWrap w:val="0"/>
            <w:vAlign w:val="top"/>
          </w:tcPr>
          <w:p w14:paraId="1B4951B5">
            <w:pPr>
              <w:rPr>
                <w:rFonts w:hint="eastAsia" w:ascii="新宋体" w:hAnsi="新宋体" w:eastAsia="新宋体" w:cs="新宋体"/>
                <w:color w:val="auto"/>
                <w:highlight w:val="none"/>
              </w:rPr>
            </w:pPr>
          </w:p>
        </w:tc>
        <w:tc>
          <w:tcPr>
            <w:tcW w:w="933" w:type="dxa"/>
            <w:tcBorders>
              <w:bottom w:val="single" w:color="000000" w:sz="10" w:space="0"/>
              <w:right w:val="single" w:color="000000" w:sz="10" w:space="0"/>
            </w:tcBorders>
            <w:noWrap w:val="0"/>
            <w:vAlign w:val="top"/>
          </w:tcPr>
          <w:p w14:paraId="27FFABE8">
            <w:pPr>
              <w:rPr>
                <w:rFonts w:hint="eastAsia" w:ascii="新宋体" w:hAnsi="新宋体" w:eastAsia="新宋体" w:cs="新宋体"/>
                <w:color w:val="auto"/>
                <w:highlight w:val="none"/>
              </w:rPr>
            </w:pPr>
          </w:p>
        </w:tc>
      </w:tr>
    </w:tbl>
    <w:p w14:paraId="172E394B">
      <w:pPr>
        <w:pStyle w:val="13"/>
        <w:spacing w:before="240" w:line="231" w:lineRule="auto"/>
        <w:outlineLvl w:val="3"/>
        <w:rPr>
          <w:rFonts w:hint="eastAsia" w:ascii="新宋体" w:hAnsi="新宋体" w:eastAsia="新宋体" w:cs="新宋体"/>
          <w:color w:val="auto"/>
          <w:spacing w:val="-1"/>
          <w:sz w:val="20"/>
          <w:szCs w:val="20"/>
          <w:highlight w:val="none"/>
        </w:rPr>
      </w:pPr>
      <w:r>
        <w:rPr>
          <w:rFonts w:hint="eastAsia" w:ascii="新宋体" w:hAnsi="新宋体" w:eastAsia="新宋体" w:cs="新宋体"/>
          <w:color w:val="auto"/>
          <w:spacing w:val="-2"/>
          <w:sz w:val="20"/>
          <w:szCs w:val="20"/>
          <w:highlight w:val="none"/>
        </w:rPr>
        <w:br w:type="page"/>
      </w:r>
      <w:bookmarkStart w:id="1027" w:name="_Toc13163"/>
      <w:r>
        <w:rPr>
          <w:rFonts w:hint="eastAsia" w:ascii="新宋体" w:hAnsi="新宋体" w:eastAsia="新宋体" w:cs="新宋体"/>
          <w:color w:val="auto"/>
          <w:spacing w:val="-1"/>
          <w:sz w:val="20"/>
          <w:szCs w:val="20"/>
          <w:highlight w:val="none"/>
        </w:rPr>
        <w:t>附件6：</w:t>
      </w:r>
      <w:bookmarkEnd w:id="1027"/>
    </w:p>
    <w:p w14:paraId="297CA58C">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color w:val="auto"/>
          <w:highlight w:val="none"/>
        </w:rPr>
      </w:pPr>
      <w:bookmarkStart w:id="1028" w:name="_Toc10715"/>
      <w:r>
        <w:rPr>
          <w:rFonts w:hint="eastAsia" w:ascii="新宋体" w:hAnsi="新宋体" w:eastAsia="新宋体" w:cs="新宋体"/>
          <w:b/>
          <w:bCs/>
          <w:color w:val="auto"/>
          <w:spacing w:val="8"/>
          <w:sz w:val="28"/>
          <w:szCs w:val="28"/>
          <w:highlight w:val="none"/>
        </w:rPr>
        <w:t>承包人主要施工管理人员表</w:t>
      </w:r>
      <w:bookmarkEnd w:id="1028"/>
    </w:p>
    <w:tbl>
      <w:tblPr>
        <w:tblStyle w:val="28"/>
        <w:tblW w:w="9213"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67"/>
        <w:gridCol w:w="1327"/>
        <w:gridCol w:w="1061"/>
        <w:gridCol w:w="1061"/>
        <w:gridCol w:w="3997"/>
      </w:tblGrid>
      <w:tr w14:paraId="507DB1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1767" w:type="dxa"/>
            <w:tcBorders>
              <w:top w:val="single" w:color="000000" w:sz="10" w:space="0"/>
              <w:left w:val="single" w:color="000000" w:sz="10" w:space="0"/>
            </w:tcBorders>
            <w:noWrap w:val="0"/>
            <w:vAlign w:val="top"/>
          </w:tcPr>
          <w:p w14:paraId="73934337">
            <w:pPr>
              <w:spacing w:before="177" w:line="229" w:lineRule="auto"/>
              <w:ind w:left="462"/>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3"/>
                <w:sz w:val="21"/>
                <w:szCs w:val="21"/>
                <w:highlight w:val="none"/>
              </w:rPr>
              <w:t>名</w:t>
            </w:r>
            <w:r>
              <w:rPr>
                <w:rFonts w:hint="eastAsia" w:ascii="新宋体" w:hAnsi="新宋体" w:eastAsia="新宋体" w:cs="新宋体"/>
                <w:color w:val="auto"/>
                <w:spacing w:val="8"/>
                <w:sz w:val="21"/>
                <w:szCs w:val="21"/>
                <w:highlight w:val="none"/>
              </w:rPr>
              <w:t xml:space="preserve">    </w:t>
            </w:r>
            <w:r>
              <w:rPr>
                <w:rFonts w:hint="eastAsia" w:ascii="新宋体" w:hAnsi="新宋体" w:eastAsia="新宋体" w:cs="新宋体"/>
                <w:color w:val="auto"/>
                <w:spacing w:val="-3"/>
                <w:sz w:val="21"/>
                <w:szCs w:val="21"/>
                <w:highlight w:val="none"/>
              </w:rPr>
              <w:t>称</w:t>
            </w:r>
          </w:p>
        </w:tc>
        <w:tc>
          <w:tcPr>
            <w:tcW w:w="1327" w:type="dxa"/>
            <w:tcBorders>
              <w:top w:val="single" w:color="000000" w:sz="10" w:space="0"/>
            </w:tcBorders>
            <w:noWrap w:val="0"/>
            <w:vAlign w:val="top"/>
          </w:tcPr>
          <w:p w14:paraId="69DBC0FF">
            <w:pPr>
              <w:spacing w:before="177" w:line="233" w:lineRule="auto"/>
              <w:ind w:left="454"/>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2"/>
                <w:sz w:val="21"/>
                <w:szCs w:val="21"/>
                <w:highlight w:val="none"/>
              </w:rPr>
              <w:t>姓名</w:t>
            </w:r>
          </w:p>
        </w:tc>
        <w:tc>
          <w:tcPr>
            <w:tcW w:w="1061" w:type="dxa"/>
            <w:tcBorders>
              <w:top w:val="single" w:color="000000" w:sz="10" w:space="0"/>
            </w:tcBorders>
            <w:noWrap w:val="0"/>
            <w:vAlign w:val="top"/>
          </w:tcPr>
          <w:p w14:paraId="210D1E66">
            <w:pPr>
              <w:spacing w:before="176" w:line="232" w:lineRule="auto"/>
              <w:ind w:left="326"/>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2"/>
                <w:sz w:val="21"/>
                <w:szCs w:val="21"/>
                <w:highlight w:val="none"/>
              </w:rPr>
              <w:t>职务</w:t>
            </w:r>
          </w:p>
        </w:tc>
        <w:tc>
          <w:tcPr>
            <w:tcW w:w="1061" w:type="dxa"/>
            <w:tcBorders>
              <w:top w:val="single" w:color="000000" w:sz="10" w:space="0"/>
            </w:tcBorders>
            <w:noWrap w:val="0"/>
            <w:vAlign w:val="top"/>
          </w:tcPr>
          <w:p w14:paraId="6E4AD9BF">
            <w:pPr>
              <w:spacing w:before="177" w:line="229" w:lineRule="auto"/>
              <w:ind w:left="329"/>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2"/>
                <w:sz w:val="21"/>
                <w:szCs w:val="21"/>
                <w:highlight w:val="none"/>
              </w:rPr>
              <w:t>职称</w:t>
            </w:r>
          </w:p>
        </w:tc>
        <w:tc>
          <w:tcPr>
            <w:tcW w:w="3997" w:type="dxa"/>
            <w:tcBorders>
              <w:top w:val="single" w:color="000000" w:sz="10" w:space="0"/>
              <w:right w:val="single" w:color="000000" w:sz="10" w:space="0"/>
            </w:tcBorders>
            <w:noWrap w:val="0"/>
            <w:vAlign w:val="top"/>
          </w:tcPr>
          <w:p w14:paraId="2750923B">
            <w:pPr>
              <w:spacing w:before="177" w:line="232" w:lineRule="auto"/>
              <w:ind w:left="544"/>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8"/>
                <w:sz w:val="21"/>
                <w:szCs w:val="21"/>
                <w:highlight w:val="none"/>
              </w:rPr>
              <w:t>主要资历、经验及承担过的项目</w:t>
            </w:r>
          </w:p>
        </w:tc>
      </w:tr>
      <w:tr w14:paraId="4F7AD5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3" w:hRule="atLeast"/>
        </w:trPr>
        <w:tc>
          <w:tcPr>
            <w:tcW w:w="9213" w:type="dxa"/>
            <w:gridSpan w:val="5"/>
            <w:tcBorders>
              <w:left w:val="single" w:color="000000" w:sz="10" w:space="0"/>
              <w:right w:val="single" w:color="000000" w:sz="10" w:space="0"/>
            </w:tcBorders>
            <w:noWrap w:val="0"/>
            <w:vAlign w:val="top"/>
          </w:tcPr>
          <w:p w14:paraId="341994BE">
            <w:pPr>
              <w:spacing w:before="201" w:line="231" w:lineRule="auto"/>
              <w:ind w:left="3981"/>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一、总部人员</w:t>
            </w:r>
          </w:p>
        </w:tc>
      </w:tr>
      <w:tr w14:paraId="26B201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48E3B66F">
            <w:pPr>
              <w:spacing w:before="174" w:line="232" w:lineRule="auto"/>
              <w:ind w:left="462"/>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项目主管</w:t>
            </w:r>
          </w:p>
        </w:tc>
        <w:tc>
          <w:tcPr>
            <w:tcW w:w="1327" w:type="dxa"/>
            <w:noWrap w:val="0"/>
            <w:vAlign w:val="top"/>
          </w:tcPr>
          <w:p w14:paraId="7595EEC6">
            <w:pPr>
              <w:rPr>
                <w:rFonts w:hint="eastAsia" w:ascii="新宋体" w:hAnsi="新宋体" w:eastAsia="新宋体" w:cs="新宋体"/>
                <w:color w:val="auto"/>
                <w:sz w:val="21"/>
                <w:szCs w:val="21"/>
                <w:highlight w:val="none"/>
              </w:rPr>
            </w:pPr>
          </w:p>
        </w:tc>
        <w:tc>
          <w:tcPr>
            <w:tcW w:w="1061" w:type="dxa"/>
            <w:noWrap w:val="0"/>
            <w:vAlign w:val="top"/>
          </w:tcPr>
          <w:p w14:paraId="4680D000">
            <w:pPr>
              <w:rPr>
                <w:rFonts w:hint="eastAsia" w:ascii="新宋体" w:hAnsi="新宋体" w:eastAsia="新宋体" w:cs="新宋体"/>
                <w:color w:val="auto"/>
                <w:sz w:val="21"/>
                <w:szCs w:val="21"/>
                <w:highlight w:val="none"/>
              </w:rPr>
            </w:pPr>
          </w:p>
        </w:tc>
        <w:tc>
          <w:tcPr>
            <w:tcW w:w="1061" w:type="dxa"/>
            <w:noWrap w:val="0"/>
            <w:vAlign w:val="top"/>
          </w:tcPr>
          <w:p w14:paraId="43294E08">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65B19490">
            <w:pPr>
              <w:rPr>
                <w:rFonts w:hint="eastAsia" w:ascii="新宋体" w:hAnsi="新宋体" w:eastAsia="新宋体" w:cs="新宋体"/>
                <w:color w:val="auto"/>
                <w:sz w:val="21"/>
                <w:szCs w:val="21"/>
                <w:highlight w:val="none"/>
              </w:rPr>
            </w:pPr>
          </w:p>
        </w:tc>
      </w:tr>
      <w:tr w14:paraId="4621BA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vMerge w:val="restart"/>
            <w:tcBorders>
              <w:left w:val="single" w:color="000000" w:sz="10" w:space="0"/>
              <w:bottom w:val="nil"/>
            </w:tcBorders>
            <w:noWrap w:val="0"/>
            <w:vAlign w:val="top"/>
          </w:tcPr>
          <w:p w14:paraId="17D01BE3">
            <w:pPr>
              <w:spacing w:line="280" w:lineRule="auto"/>
              <w:rPr>
                <w:rFonts w:hint="eastAsia" w:ascii="新宋体" w:hAnsi="新宋体" w:eastAsia="新宋体" w:cs="新宋体"/>
                <w:color w:val="auto"/>
                <w:sz w:val="21"/>
                <w:szCs w:val="21"/>
                <w:highlight w:val="none"/>
              </w:rPr>
            </w:pPr>
          </w:p>
          <w:p w14:paraId="2423F330">
            <w:pPr>
              <w:spacing w:line="281" w:lineRule="auto"/>
              <w:rPr>
                <w:rFonts w:hint="eastAsia" w:ascii="新宋体" w:hAnsi="新宋体" w:eastAsia="新宋体" w:cs="新宋体"/>
                <w:color w:val="auto"/>
                <w:sz w:val="21"/>
                <w:szCs w:val="21"/>
                <w:highlight w:val="none"/>
              </w:rPr>
            </w:pPr>
          </w:p>
          <w:p w14:paraId="354B0AF3">
            <w:pPr>
              <w:spacing w:before="65" w:line="230" w:lineRule="auto"/>
              <w:ind w:left="463"/>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其他人员</w:t>
            </w:r>
          </w:p>
        </w:tc>
        <w:tc>
          <w:tcPr>
            <w:tcW w:w="1327" w:type="dxa"/>
            <w:noWrap w:val="0"/>
            <w:vAlign w:val="top"/>
          </w:tcPr>
          <w:p w14:paraId="5E359331">
            <w:pPr>
              <w:rPr>
                <w:rFonts w:hint="eastAsia" w:ascii="新宋体" w:hAnsi="新宋体" w:eastAsia="新宋体" w:cs="新宋体"/>
                <w:color w:val="auto"/>
                <w:sz w:val="21"/>
                <w:szCs w:val="21"/>
                <w:highlight w:val="none"/>
              </w:rPr>
            </w:pPr>
          </w:p>
        </w:tc>
        <w:tc>
          <w:tcPr>
            <w:tcW w:w="1061" w:type="dxa"/>
            <w:noWrap w:val="0"/>
            <w:vAlign w:val="top"/>
          </w:tcPr>
          <w:p w14:paraId="54AA6627">
            <w:pPr>
              <w:rPr>
                <w:rFonts w:hint="eastAsia" w:ascii="新宋体" w:hAnsi="新宋体" w:eastAsia="新宋体" w:cs="新宋体"/>
                <w:color w:val="auto"/>
                <w:sz w:val="21"/>
                <w:szCs w:val="21"/>
                <w:highlight w:val="none"/>
              </w:rPr>
            </w:pPr>
          </w:p>
        </w:tc>
        <w:tc>
          <w:tcPr>
            <w:tcW w:w="1061" w:type="dxa"/>
            <w:noWrap w:val="0"/>
            <w:vAlign w:val="top"/>
          </w:tcPr>
          <w:p w14:paraId="696D15CF">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6315225F">
            <w:pPr>
              <w:rPr>
                <w:rFonts w:hint="eastAsia" w:ascii="新宋体" w:hAnsi="新宋体" w:eastAsia="新宋体" w:cs="新宋体"/>
                <w:color w:val="auto"/>
                <w:sz w:val="21"/>
                <w:szCs w:val="21"/>
                <w:highlight w:val="none"/>
              </w:rPr>
            </w:pPr>
          </w:p>
        </w:tc>
      </w:tr>
      <w:tr w14:paraId="0CE4F6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vMerge w:val="continue"/>
            <w:tcBorders>
              <w:top w:val="nil"/>
              <w:left w:val="single" w:color="000000" w:sz="10" w:space="0"/>
              <w:bottom w:val="nil"/>
            </w:tcBorders>
            <w:noWrap w:val="0"/>
            <w:vAlign w:val="top"/>
          </w:tcPr>
          <w:p w14:paraId="30401C1C">
            <w:pPr>
              <w:rPr>
                <w:rFonts w:hint="eastAsia" w:ascii="新宋体" w:hAnsi="新宋体" w:eastAsia="新宋体" w:cs="新宋体"/>
                <w:color w:val="auto"/>
                <w:sz w:val="21"/>
                <w:szCs w:val="21"/>
                <w:highlight w:val="none"/>
              </w:rPr>
            </w:pPr>
          </w:p>
        </w:tc>
        <w:tc>
          <w:tcPr>
            <w:tcW w:w="1327" w:type="dxa"/>
            <w:noWrap w:val="0"/>
            <w:vAlign w:val="top"/>
          </w:tcPr>
          <w:p w14:paraId="3D263B75">
            <w:pPr>
              <w:rPr>
                <w:rFonts w:hint="eastAsia" w:ascii="新宋体" w:hAnsi="新宋体" w:eastAsia="新宋体" w:cs="新宋体"/>
                <w:color w:val="auto"/>
                <w:sz w:val="21"/>
                <w:szCs w:val="21"/>
                <w:highlight w:val="none"/>
              </w:rPr>
            </w:pPr>
          </w:p>
        </w:tc>
        <w:tc>
          <w:tcPr>
            <w:tcW w:w="1061" w:type="dxa"/>
            <w:noWrap w:val="0"/>
            <w:vAlign w:val="top"/>
          </w:tcPr>
          <w:p w14:paraId="73A08A93">
            <w:pPr>
              <w:rPr>
                <w:rFonts w:hint="eastAsia" w:ascii="新宋体" w:hAnsi="新宋体" w:eastAsia="新宋体" w:cs="新宋体"/>
                <w:color w:val="auto"/>
                <w:sz w:val="21"/>
                <w:szCs w:val="21"/>
                <w:highlight w:val="none"/>
              </w:rPr>
            </w:pPr>
          </w:p>
        </w:tc>
        <w:tc>
          <w:tcPr>
            <w:tcW w:w="1061" w:type="dxa"/>
            <w:noWrap w:val="0"/>
            <w:vAlign w:val="top"/>
          </w:tcPr>
          <w:p w14:paraId="3FB40EE4">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028C5EFB">
            <w:pPr>
              <w:rPr>
                <w:rFonts w:hint="eastAsia" w:ascii="新宋体" w:hAnsi="新宋体" w:eastAsia="新宋体" w:cs="新宋体"/>
                <w:color w:val="auto"/>
                <w:sz w:val="21"/>
                <w:szCs w:val="21"/>
                <w:highlight w:val="none"/>
              </w:rPr>
            </w:pPr>
          </w:p>
        </w:tc>
      </w:tr>
      <w:tr w14:paraId="0EE99A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vMerge w:val="continue"/>
            <w:tcBorders>
              <w:top w:val="nil"/>
              <w:left w:val="single" w:color="000000" w:sz="10" w:space="0"/>
            </w:tcBorders>
            <w:noWrap w:val="0"/>
            <w:vAlign w:val="top"/>
          </w:tcPr>
          <w:p w14:paraId="20A84FC7">
            <w:pPr>
              <w:rPr>
                <w:rFonts w:hint="eastAsia" w:ascii="新宋体" w:hAnsi="新宋体" w:eastAsia="新宋体" w:cs="新宋体"/>
                <w:color w:val="auto"/>
                <w:sz w:val="21"/>
                <w:szCs w:val="21"/>
                <w:highlight w:val="none"/>
              </w:rPr>
            </w:pPr>
          </w:p>
        </w:tc>
        <w:tc>
          <w:tcPr>
            <w:tcW w:w="1327" w:type="dxa"/>
            <w:noWrap w:val="0"/>
            <w:vAlign w:val="top"/>
          </w:tcPr>
          <w:p w14:paraId="22EF2FB5">
            <w:pPr>
              <w:rPr>
                <w:rFonts w:hint="eastAsia" w:ascii="新宋体" w:hAnsi="新宋体" w:eastAsia="新宋体" w:cs="新宋体"/>
                <w:color w:val="auto"/>
                <w:sz w:val="21"/>
                <w:szCs w:val="21"/>
                <w:highlight w:val="none"/>
              </w:rPr>
            </w:pPr>
          </w:p>
        </w:tc>
        <w:tc>
          <w:tcPr>
            <w:tcW w:w="1061" w:type="dxa"/>
            <w:noWrap w:val="0"/>
            <w:vAlign w:val="top"/>
          </w:tcPr>
          <w:p w14:paraId="6CFA96E5">
            <w:pPr>
              <w:rPr>
                <w:rFonts w:hint="eastAsia" w:ascii="新宋体" w:hAnsi="新宋体" w:eastAsia="新宋体" w:cs="新宋体"/>
                <w:color w:val="auto"/>
                <w:sz w:val="21"/>
                <w:szCs w:val="21"/>
                <w:highlight w:val="none"/>
              </w:rPr>
            </w:pPr>
          </w:p>
        </w:tc>
        <w:tc>
          <w:tcPr>
            <w:tcW w:w="1061" w:type="dxa"/>
            <w:noWrap w:val="0"/>
            <w:vAlign w:val="top"/>
          </w:tcPr>
          <w:p w14:paraId="771F1C7B">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4D4D9D9F">
            <w:pPr>
              <w:rPr>
                <w:rFonts w:hint="eastAsia" w:ascii="新宋体" w:hAnsi="新宋体" w:eastAsia="新宋体" w:cs="新宋体"/>
                <w:color w:val="auto"/>
                <w:sz w:val="21"/>
                <w:szCs w:val="21"/>
                <w:highlight w:val="none"/>
              </w:rPr>
            </w:pPr>
          </w:p>
        </w:tc>
      </w:tr>
      <w:tr w14:paraId="742826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9213" w:type="dxa"/>
            <w:gridSpan w:val="5"/>
            <w:tcBorders>
              <w:left w:val="single" w:color="000000" w:sz="10" w:space="0"/>
              <w:right w:val="single" w:color="000000" w:sz="10" w:space="0"/>
            </w:tcBorders>
            <w:noWrap w:val="0"/>
            <w:vAlign w:val="top"/>
          </w:tcPr>
          <w:p w14:paraId="2BD9AA5F">
            <w:pPr>
              <w:spacing w:before="176" w:line="232" w:lineRule="auto"/>
              <w:ind w:left="3984"/>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二、现场人员</w:t>
            </w:r>
          </w:p>
        </w:tc>
      </w:tr>
      <w:tr w14:paraId="5DBDC9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6AFE08BB">
            <w:pPr>
              <w:spacing w:before="179" w:line="232" w:lineRule="auto"/>
              <w:ind w:left="462"/>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项目经理</w:t>
            </w:r>
          </w:p>
        </w:tc>
        <w:tc>
          <w:tcPr>
            <w:tcW w:w="1327" w:type="dxa"/>
            <w:noWrap w:val="0"/>
            <w:vAlign w:val="top"/>
          </w:tcPr>
          <w:p w14:paraId="20D877DD">
            <w:pPr>
              <w:rPr>
                <w:rFonts w:hint="eastAsia" w:ascii="新宋体" w:hAnsi="新宋体" w:eastAsia="新宋体" w:cs="新宋体"/>
                <w:color w:val="auto"/>
                <w:sz w:val="21"/>
                <w:szCs w:val="21"/>
                <w:highlight w:val="none"/>
              </w:rPr>
            </w:pPr>
          </w:p>
        </w:tc>
        <w:tc>
          <w:tcPr>
            <w:tcW w:w="1061" w:type="dxa"/>
            <w:noWrap w:val="0"/>
            <w:vAlign w:val="top"/>
          </w:tcPr>
          <w:p w14:paraId="14343F2F">
            <w:pPr>
              <w:rPr>
                <w:rFonts w:hint="eastAsia" w:ascii="新宋体" w:hAnsi="新宋体" w:eastAsia="新宋体" w:cs="新宋体"/>
                <w:color w:val="auto"/>
                <w:sz w:val="21"/>
                <w:szCs w:val="21"/>
                <w:highlight w:val="none"/>
              </w:rPr>
            </w:pPr>
          </w:p>
        </w:tc>
        <w:tc>
          <w:tcPr>
            <w:tcW w:w="1061" w:type="dxa"/>
            <w:noWrap w:val="0"/>
            <w:vAlign w:val="top"/>
          </w:tcPr>
          <w:p w14:paraId="14CDB8E1">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1EF0E4D7">
            <w:pPr>
              <w:rPr>
                <w:rFonts w:hint="eastAsia" w:ascii="新宋体" w:hAnsi="新宋体" w:eastAsia="新宋体" w:cs="新宋体"/>
                <w:color w:val="auto"/>
                <w:sz w:val="21"/>
                <w:szCs w:val="21"/>
                <w:highlight w:val="none"/>
              </w:rPr>
            </w:pPr>
          </w:p>
        </w:tc>
      </w:tr>
      <w:tr w14:paraId="7FE8E9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1767" w:type="dxa"/>
            <w:tcBorders>
              <w:left w:val="single" w:color="000000" w:sz="10" w:space="0"/>
            </w:tcBorders>
            <w:noWrap w:val="0"/>
            <w:vAlign w:val="top"/>
          </w:tcPr>
          <w:p w14:paraId="1DE22333">
            <w:pPr>
              <w:spacing w:before="179" w:line="232" w:lineRule="auto"/>
              <w:ind w:left="357"/>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项目副经理</w:t>
            </w:r>
          </w:p>
        </w:tc>
        <w:tc>
          <w:tcPr>
            <w:tcW w:w="1327" w:type="dxa"/>
            <w:noWrap w:val="0"/>
            <w:vAlign w:val="top"/>
          </w:tcPr>
          <w:p w14:paraId="61144C89">
            <w:pPr>
              <w:rPr>
                <w:rFonts w:hint="eastAsia" w:ascii="新宋体" w:hAnsi="新宋体" w:eastAsia="新宋体" w:cs="新宋体"/>
                <w:color w:val="auto"/>
                <w:sz w:val="21"/>
                <w:szCs w:val="21"/>
                <w:highlight w:val="none"/>
              </w:rPr>
            </w:pPr>
          </w:p>
        </w:tc>
        <w:tc>
          <w:tcPr>
            <w:tcW w:w="1061" w:type="dxa"/>
            <w:noWrap w:val="0"/>
            <w:vAlign w:val="top"/>
          </w:tcPr>
          <w:p w14:paraId="064AB97A">
            <w:pPr>
              <w:rPr>
                <w:rFonts w:hint="eastAsia" w:ascii="新宋体" w:hAnsi="新宋体" w:eastAsia="新宋体" w:cs="新宋体"/>
                <w:color w:val="auto"/>
                <w:sz w:val="21"/>
                <w:szCs w:val="21"/>
                <w:highlight w:val="none"/>
              </w:rPr>
            </w:pPr>
          </w:p>
        </w:tc>
        <w:tc>
          <w:tcPr>
            <w:tcW w:w="1061" w:type="dxa"/>
            <w:noWrap w:val="0"/>
            <w:vAlign w:val="top"/>
          </w:tcPr>
          <w:p w14:paraId="0756FD29">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5F9833FA">
            <w:pPr>
              <w:rPr>
                <w:rFonts w:hint="eastAsia" w:ascii="新宋体" w:hAnsi="新宋体" w:eastAsia="新宋体" w:cs="新宋体"/>
                <w:color w:val="auto"/>
                <w:sz w:val="21"/>
                <w:szCs w:val="21"/>
                <w:highlight w:val="none"/>
              </w:rPr>
            </w:pPr>
          </w:p>
        </w:tc>
      </w:tr>
      <w:tr w14:paraId="36E12B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71AC8481">
            <w:pPr>
              <w:spacing w:before="181" w:line="231" w:lineRule="auto"/>
              <w:ind w:left="357"/>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技术负责人</w:t>
            </w:r>
          </w:p>
        </w:tc>
        <w:tc>
          <w:tcPr>
            <w:tcW w:w="1327" w:type="dxa"/>
            <w:noWrap w:val="0"/>
            <w:vAlign w:val="top"/>
          </w:tcPr>
          <w:p w14:paraId="7BAE9020">
            <w:pPr>
              <w:rPr>
                <w:rFonts w:hint="eastAsia" w:ascii="新宋体" w:hAnsi="新宋体" w:eastAsia="新宋体" w:cs="新宋体"/>
                <w:color w:val="auto"/>
                <w:sz w:val="21"/>
                <w:szCs w:val="21"/>
                <w:highlight w:val="none"/>
              </w:rPr>
            </w:pPr>
          </w:p>
        </w:tc>
        <w:tc>
          <w:tcPr>
            <w:tcW w:w="1061" w:type="dxa"/>
            <w:noWrap w:val="0"/>
            <w:vAlign w:val="top"/>
          </w:tcPr>
          <w:p w14:paraId="25068D25">
            <w:pPr>
              <w:rPr>
                <w:rFonts w:hint="eastAsia" w:ascii="新宋体" w:hAnsi="新宋体" w:eastAsia="新宋体" w:cs="新宋体"/>
                <w:color w:val="auto"/>
                <w:sz w:val="21"/>
                <w:szCs w:val="21"/>
                <w:highlight w:val="none"/>
              </w:rPr>
            </w:pPr>
          </w:p>
        </w:tc>
        <w:tc>
          <w:tcPr>
            <w:tcW w:w="1061" w:type="dxa"/>
            <w:noWrap w:val="0"/>
            <w:vAlign w:val="top"/>
          </w:tcPr>
          <w:p w14:paraId="285A9CB7">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4CFB6A86">
            <w:pPr>
              <w:rPr>
                <w:rFonts w:hint="eastAsia" w:ascii="新宋体" w:hAnsi="新宋体" w:eastAsia="新宋体" w:cs="新宋体"/>
                <w:color w:val="auto"/>
                <w:sz w:val="21"/>
                <w:szCs w:val="21"/>
                <w:highlight w:val="none"/>
              </w:rPr>
            </w:pPr>
          </w:p>
        </w:tc>
      </w:tr>
      <w:tr w14:paraId="3B5E8D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67A77910">
            <w:pPr>
              <w:spacing w:before="181" w:line="231" w:lineRule="auto"/>
              <w:ind w:left="461"/>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造价管理</w:t>
            </w:r>
          </w:p>
        </w:tc>
        <w:tc>
          <w:tcPr>
            <w:tcW w:w="1327" w:type="dxa"/>
            <w:noWrap w:val="0"/>
            <w:vAlign w:val="top"/>
          </w:tcPr>
          <w:p w14:paraId="7F9E8548">
            <w:pPr>
              <w:rPr>
                <w:rFonts w:hint="eastAsia" w:ascii="新宋体" w:hAnsi="新宋体" w:eastAsia="新宋体" w:cs="新宋体"/>
                <w:color w:val="auto"/>
                <w:sz w:val="21"/>
                <w:szCs w:val="21"/>
                <w:highlight w:val="none"/>
              </w:rPr>
            </w:pPr>
          </w:p>
        </w:tc>
        <w:tc>
          <w:tcPr>
            <w:tcW w:w="1061" w:type="dxa"/>
            <w:noWrap w:val="0"/>
            <w:vAlign w:val="top"/>
          </w:tcPr>
          <w:p w14:paraId="0A91A5DD">
            <w:pPr>
              <w:rPr>
                <w:rFonts w:hint="eastAsia" w:ascii="新宋体" w:hAnsi="新宋体" w:eastAsia="新宋体" w:cs="新宋体"/>
                <w:color w:val="auto"/>
                <w:sz w:val="21"/>
                <w:szCs w:val="21"/>
                <w:highlight w:val="none"/>
              </w:rPr>
            </w:pPr>
          </w:p>
        </w:tc>
        <w:tc>
          <w:tcPr>
            <w:tcW w:w="1061" w:type="dxa"/>
            <w:noWrap w:val="0"/>
            <w:vAlign w:val="top"/>
          </w:tcPr>
          <w:p w14:paraId="349D6F1B">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19504AFF">
            <w:pPr>
              <w:rPr>
                <w:rFonts w:hint="eastAsia" w:ascii="新宋体" w:hAnsi="新宋体" w:eastAsia="新宋体" w:cs="新宋体"/>
                <w:color w:val="auto"/>
                <w:sz w:val="21"/>
                <w:szCs w:val="21"/>
                <w:highlight w:val="none"/>
              </w:rPr>
            </w:pPr>
          </w:p>
        </w:tc>
      </w:tr>
      <w:tr w14:paraId="3B8F5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46A95512">
            <w:pPr>
              <w:spacing w:before="183" w:line="231" w:lineRule="auto"/>
              <w:ind w:left="467"/>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4"/>
                <w:sz w:val="21"/>
                <w:szCs w:val="21"/>
                <w:highlight w:val="none"/>
              </w:rPr>
              <w:t>质量管理</w:t>
            </w:r>
          </w:p>
        </w:tc>
        <w:tc>
          <w:tcPr>
            <w:tcW w:w="1327" w:type="dxa"/>
            <w:noWrap w:val="0"/>
            <w:vAlign w:val="top"/>
          </w:tcPr>
          <w:p w14:paraId="155F3598">
            <w:pPr>
              <w:rPr>
                <w:rFonts w:hint="eastAsia" w:ascii="新宋体" w:hAnsi="新宋体" w:eastAsia="新宋体" w:cs="新宋体"/>
                <w:color w:val="auto"/>
                <w:sz w:val="21"/>
                <w:szCs w:val="21"/>
                <w:highlight w:val="none"/>
              </w:rPr>
            </w:pPr>
          </w:p>
        </w:tc>
        <w:tc>
          <w:tcPr>
            <w:tcW w:w="1061" w:type="dxa"/>
            <w:noWrap w:val="0"/>
            <w:vAlign w:val="top"/>
          </w:tcPr>
          <w:p w14:paraId="1E7305BB">
            <w:pPr>
              <w:rPr>
                <w:rFonts w:hint="eastAsia" w:ascii="新宋体" w:hAnsi="新宋体" w:eastAsia="新宋体" w:cs="新宋体"/>
                <w:color w:val="auto"/>
                <w:sz w:val="21"/>
                <w:szCs w:val="21"/>
                <w:highlight w:val="none"/>
              </w:rPr>
            </w:pPr>
          </w:p>
        </w:tc>
        <w:tc>
          <w:tcPr>
            <w:tcW w:w="1061" w:type="dxa"/>
            <w:noWrap w:val="0"/>
            <w:vAlign w:val="top"/>
          </w:tcPr>
          <w:p w14:paraId="31B4B59B">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6FDA796C">
            <w:pPr>
              <w:rPr>
                <w:rFonts w:hint="eastAsia" w:ascii="新宋体" w:hAnsi="新宋体" w:eastAsia="新宋体" w:cs="新宋体"/>
                <w:color w:val="auto"/>
                <w:sz w:val="21"/>
                <w:szCs w:val="21"/>
                <w:highlight w:val="none"/>
              </w:rPr>
            </w:pPr>
          </w:p>
        </w:tc>
      </w:tr>
      <w:tr w14:paraId="1C72B0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27E268F3">
            <w:pPr>
              <w:spacing w:before="182" w:line="229" w:lineRule="auto"/>
              <w:ind w:left="461"/>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材料管理</w:t>
            </w:r>
          </w:p>
        </w:tc>
        <w:tc>
          <w:tcPr>
            <w:tcW w:w="1327" w:type="dxa"/>
            <w:noWrap w:val="0"/>
            <w:vAlign w:val="top"/>
          </w:tcPr>
          <w:p w14:paraId="6ACA6E3E">
            <w:pPr>
              <w:rPr>
                <w:rFonts w:hint="eastAsia" w:ascii="新宋体" w:hAnsi="新宋体" w:eastAsia="新宋体" w:cs="新宋体"/>
                <w:color w:val="auto"/>
                <w:sz w:val="21"/>
                <w:szCs w:val="21"/>
                <w:highlight w:val="none"/>
              </w:rPr>
            </w:pPr>
          </w:p>
        </w:tc>
        <w:tc>
          <w:tcPr>
            <w:tcW w:w="1061" w:type="dxa"/>
            <w:noWrap w:val="0"/>
            <w:vAlign w:val="top"/>
          </w:tcPr>
          <w:p w14:paraId="118E25FE">
            <w:pPr>
              <w:rPr>
                <w:rFonts w:hint="eastAsia" w:ascii="新宋体" w:hAnsi="新宋体" w:eastAsia="新宋体" w:cs="新宋体"/>
                <w:color w:val="auto"/>
                <w:sz w:val="21"/>
                <w:szCs w:val="21"/>
                <w:highlight w:val="none"/>
              </w:rPr>
            </w:pPr>
          </w:p>
        </w:tc>
        <w:tc>
          <w:tcPr>
            <w:tcW w:w="1061" w:type="dxa"/>
            <w:noWrap w:val="0"/>
            <w:vAlign w:val="top"/>
          </w:tcPr>
          <w:p w14:paraId="45B4A216">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287E1A24">
            <w:pPr>
              <w:rPr>
                <w:rFonts w:hint="eastAsia" w:ascii="新宋体" w:hAnsi="新宋体" w:eastAsia="新宋体" w:cs="新宋体"/>
                <w:color w:val="auto"/>
                <w:sz w:val="21"/>
                <w:szCs w:val="21"/>
                <w:highlight w:val="none"/>
              </w:rPr>
            </w:pPr>
          </w:p>
        </w:tc>
      </w:tr>
      <w:tr w14:paraId="49203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6B893351">
            <w:pPr>
              <w:spacing w:before="184" w:line="230" w:lineRule="auto"/>
              <w:ind w:left="461"/>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计划管理</w:t>
            </w:r>
          </w:p>
        </w:tc>
        <w:tc>
          <w:tcPr>
            <w:tcW w:w="1327" w:type="dxa"/>
            <w:noWrap w:val="0"/>
            <w:vAlign w:val="top"/>
          </w:tcPr>
          <w:p w14:paraId="72767D84">
            <w:pPr>
              <w:rPr>
                <w:rFonts w:hint="eastAsia" w:ascii="新宋体" w:hAnsi="新宋体" w:eastAsia="新宋体" w:cs="新宋体"/>
                <w:color w:val="auto"/>
                <w:sz w:val="21"/>
                <w:szCs w:val="21"/>
                <w:highlight w:val="none"/>
              </w:rPr>
            </w:pPr>
          </w:p>
        </w:tc>
        <w:tc>
          <w:tcPr>
            <w:tcW w:w="1061" w:type="dxa"/>
            <w:noWrap w:val="0"/>
            <w:vAlign w:val="top"/>
          </w:tcPr>
          <w:p w14:paraId="65699A42">
            <w:pPr>
              <w:rPr>
                <w:rFonts w:hint="eastAsia" w:ascii="新宋体" w:hAnsi="新宋体" w:eastAsia="新宋体" w:cs="新宋体"/>
                <w:color w:val="auto"/>
                <w:sz w:val="21"/>
                <w:szCs w:val="21"/>
                <w:highlight w:val="none"/>
              </w:rPr>
            </w:pPr>
          </w:p>
        </w:tc>
        <w:tc>
          <w:tcPr>
            <w:tcW w:w="1061" w:type="dxa"/>
            <w:noWrap w:val="0"/>
            <w:vAlign w:val="top"/>
          </w:tcPr>
          <w:p w14:paraId="642B4469">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1A6B7C9B">
            <w:pPr>
              <w:rPr>
                <w:rFonts w:hint="eastAsia" w:ascii="新宋体" w:hAnsi="新宋体" w:eastAsia="新宋体" w:cs="新宋体"/>
                <w:color w:val="auto"/>
                <w:sz w:val="21"/>
                <w:szCs w:val="21"/>
                <w:highlight w:val="none"/>
              </w:rPr>
            </w:pPr>
          </w:p>
        </w:tc>
      </w:tr>
      <w:tr w14:paraId="5F8E91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2FF7EFD9">
            <w:pPr>
              <w:spacing w:before="187" w:line="228" w:lineRule="auto"/>
              <w:ind w:left="464"/>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安全管理</w:t>
            </w:r>
          </w:p>
        </w:tc>
        <w:tc>
          <w:tcPr>
            <w:tcW w:w="1327" w:type="dxa"/>
            <w:noWrap w:val="0"/>
            <w:vAlign w:val="top"/>
          </w:tcPr>
          <w:p w14:paraId="0C565DF1">
            <w:pPr>
              <w:rPr>
                <w:rFonts w:hint="eastAsia" w:ascii="新宋体" w:hAnsi="新宋体" w:eastAsia="新宋体" w:cs="新宋体"/>
                <w:color w:val="auto"/>
                <w:sz w:val="21"/>
                <w:szCs w:val="21"/>
                <w:highlight w:val="none"/>
              </w:rPr>
            </w:pPr>
          </w:p>
        </w:tc>
        <w:tc>
          <w:tcPr>
            <w:tcW w:w="1061" w:type="dxa"/>
            <w:noWrap w:val="0"/>
            <w:vAlign w:val="top"/>
          </w:tcPr>
          <w:p w14:paraId="6970513C">
            <w:pPr>
              <w:rPr>
                <w:rFonts w:hint="eastAsia" w:ascii="新宋体" w:hAnsi="新宋体" w:eastAsia="新宋体" w:cs="新宋体"/>
                <w:color w:val="auto"/>
                <w:sz w:val="21"/>
                <w:szCs w:val="21"/>
                <w:highlight w:val="none"/>
              </w:rPr>
            </w:pPr>
          </w:p>
        </w:tc>
        <w:tc>
          <w:tcPr>
            <w:tcW w:w="1061" w:type="dxa"/>
            <w:noWrap w:val="0"/>
            <w:vAlign w:val="top"/>
          </w:tcPr>
          <w:p w14:paraId="5B052C72">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71987B20">
            <w:pPr>
              <w:rPr>
                <w:rFonts w:hint="eastAsia" w:ascii="新宋体" w:hAnsi="新宋体" w:eastAsia="新宋体" w:cs="新宋体"/>
                <w:color w:val="auto"/>
                <w:sz w:val="21"/>
                <w:szCs w:val="21"/>
                <w:highlight w:val="none"/>
              </w:rPr>
            </w:pPr>
          </w:p>
        </w:tc>
      </w:tr>
      <w:tr w14:paraId="405E00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vMerge w:val="restart"/>
            <w:tcBorders>
              <w:left w:val="single" w:color="000000" w:sz="10" w:space="0"/>
              <w:bottom w:val="nil"/>
            </w:tcBorders>
            <w:noWrap w:val="0"/>
            <w:vAlign w:val="top"/>
          </w:tcPr>
          <w:p w14:paraId="5BC1E255">
            <w:pPr>
              <w:spacing w:line="287" w:lineRule="auto"/>
              <w:rPr>
                <w:rFonts w:hint="eastAsia" w:ascii="新宋体" w:hAnsi="新宋体" w:eastAsia="新宋体" w:cs="新宋体"/>
                <w:color w:val="auto"/>
                <w:sz w:val="21"/>
                <w:szCs w:val="21"/>
                <w:highlight w:val="none"/>
              </w:rPr>
            </w:pPr>
          </w:p>
          <w:p w14:paraId="39FAF07C">
            <w:pPr>
              <w:spacing w:line="287" w:lineRule="auto"/>
              <w:rPr>
                <w:rFonts w:hint="eastAsia" w:ascii="新宋体" w:hAnsi="新宋体" w:eastAsia="新宋体" w:cs="新宋体"/>
                <w:color w:val="auto"/>
                <w:sz w:val="21"/>
                <w:szCs w:val="21"/>
                <w:highlight w:val="none"/>
              </w:rPr>
            </w:pPr>
          </w:p>
          <w:p w14:paraId="70D0CA61">
            <w:pPr>
              <w:spacing w:before="65" w:line="230" w:lineRule="auto"/>
              <w:ind w:left="463"/>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其他人员</w:t>
            </w:r>
          </w:p>
        </w:tc>
        <w:tc>
          <w:tcPr>
            <w:tcW w:w="1327" w:type="dxa"/>
            <w:noWrap w:val="0"/>
            <w:vAlign w:val="top"/>
          </w:tcPr>
          <w:p w14:paraId="4FBBDB54">
            <w:pPr>
              <w:rPr>
                <w:rFonts w:hint="eastAsia" w:ascii="新宋体" w:hAnsi="新宋体" w:eastAsia="新宋体" w:cs="新宋体"/>
                <w:color w:val="auto"/>
                <w:sz w:val="21"/>
                <w:szCs w:val="21"/>
                <w:highlight w:val="none"/>
              </w:rPr>
            </w:pPr>
          </w:p>
        </w:tc>
        <w:tc>
          <w:tcPr>
            <w:tcW w:w="1061" w:type="dxa"/>
            <w:noWrap w:val="0"/>
            <w:vAlign w:val="top"/>
          </w:tcPr>
          <w:p w14:paraId="4D86A2D9">
            <w:pPr>
              <w:rPr>
                <w:rFonts w:hint="eastAsia" w:ascii="新宋体" w:hAnsi="新宋体" w:eastAsia="新宋体" w:cs="新宋体"/>
                <w:color w:val="auto"/>
                <w:sz w:val="21"/>
                <w:szCs w:val="21"/>
                <w:highlight w:val="none"/>
              </w:rPr>
            </w:pPr>
          </w:p>
        </w:tc>
        <w:tc>
          <w:tcPr>
            <w:tcW w:w="1061" w:type="dxa"/>
            <w:noWrap w:val="0"/>
            <w:vAlign w:val="top"/>
          </w:tcPr>
          <w:p w14:paraId="71294DCC">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4A84FAA6">
            <w:pPr>
              <w:rPr>
                <w:rFonts w:hint="eastAsia" w:ascii="新宋体" w:hAnsi="新宋体" w:eastAsia="新宋体" w:cs="新宋体"/>
                <w:color w:val="auto"/>
                <w:sz w:val="21"/>
                <w:szCs w:val="21"/>
                <w:highlight w:val="none"/>
              </w:rPr>
            </w:pPr>
          </w:p>
        </w:tc>
      </w:tr>
      <w:tr w14:paraId="64213A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vMerge w:val="continue"/>
            <w:tcBorders>
              <w:top w:val="nil"/>
              <w:left w:val="single" w:color="000000" w:sz="10" w:space="0"/>
              <w:bottom w:val="nil"/>
            </w:tcBorders>
            <w:noWrap w:val="0"/>
            <w:vAlign w:val="top"/>
          </w:tcPr>
          <w:p w14:paraId="037557CF">
            <w:pPr>
              <w:rPr>
                <w:rFonts w:hint="eastAsia" w:ascii="新宋体" w:hAnsi="新宋体" w:eastAsia="新宋体" w:cs="新宋体"/>
                <w:color w:val="auto"/>
                <w:sz w:val="21"/>
                <w:szCs w:val="21"/>
                <w:highlight w:val="none"/>
              </w:rPr>
            </w:pPr>
          </w:p>
        </w:tc>
        <w:tc>
          <w:tcPr>
            <w:tcW w:w="1327" w:type="dxa"/>
            <w:noWrap w:val="0"/>
            <w:vAlign w:val="top"/>
          </w:tcPr>
          <w:p w14:paraId="1B073FF0">
            <w:pPr>
              <w:rPr>
                <w:rFonts w:hint="eastAsia" w:ascii="新宋体" w:hAnsi="新宋体" w:eastAsia="新宋体" w:cs="新宋体"/>
                <w:color w:val="auto"/>
                <w:sz w:val="21"/>
                <w:szCs w:val="21"/>
                <w:highlight w:val="none"/>
              </w:rPr>
            </w:pPr>
          </w:p>
        </w:tc>
        <w:tc>
          <w:tcPr>
            <w:tcW w:w="1061" w:type="dxa"/>
            <w:noWrap w:val="0"/>
            <w:vAlign w:val="top"/>
          </w:tcPr>
          <w:p w14:paraId="5A363578">
            <w:pPr>
              <w:rPr>
                <w:rFonts w:hint="eastAsia" w:ascii="新宋体" w:hAnsi="新宋体" w:eastAsia="新宋体" w:cs="新宋体"/>
                <w:color w:val="auto"/>
                <w:sz w:val="21"/>
                <w:szCs w:val="21"/>
                <w:highlight w:val="none"/>
              </w:rPr>
            </w:pPr>
          </w:p>
        </w:tc>
        <w:tc>
          <w:tcPr>
            <w:tcW w:w="1061" w:type="dxa"/>
            <w:noWrap w:val="0"/>
            <w:vAlign w:val="top"/>
          </w:tcPr>
          <w:p w14:paraId="60CCB965">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4E7E187F">
            <w:pPr>
              <w:rPr>
                <w:rFonts w:hint="eastAsia" w:ascii="新宋体" w:hAnsi="新宋体" w:eastAsia="新宋体" w:cs="新宋体"/>
                <w:color w:val="auto"/>
                <w:sz w:val="21"/>
                <w:szCs w:val="21"/>
                <w:highlight w:val="none"/>
              </w:rPr>
            </w:pPr>
          </w:p>
        </w:tc>
      </w:tr>
      <w:tr w14:paraId="5F605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1767" w:type="dxa"/>
            <w:vMerge w:val="continue"/>
            <w:tcBorders>
              <w:top w:val="nil"/>
              <w:left w:val="single" w:color="000000" w:sz="10" w:space="0"/>
            </w:tcBorders>
            <w:noWrap w:val="0"/>
            <w:vAlign w:val="top"/>
          </w:tcPr>
          <w:p w14:paraId="75065DBB">
            <w:pPr>
              <w:rPr>
                <w:rFonts w:hint="eastAsia" w:ascii="新宋体" w:hAnsi="新宋体" w:eastAsia="新宋体" w:cs="新宋体"/>
                <w:color w:val="auto"/>
                <w:sz w:val="21"/>
                <w:szCs w:val="21"/>
                <w:highlight w:val="none"/>
              </w:rPr>
            </w:pPr>
          </w:p>
        </w:tc>
        <w:tc>
          <w:tcPr>
            <w:tcW w:w="1327" w:type="dxa"/>
            <w:noWrap w:val="0"/>
            <w:vAlign w:val="top"/>
          </w:tcPr>
          <w:p w14:paraId="1D74B6AF">
            <w:pPr>
              <w:rPr>
                <w:rFonts w:hint="eastAsia" w:ascii="新宋体" w:hAnsi="新宋体" w:eastAsia="新宋体" w:cs="新宋体"/>
                <w:color w:val="auto"/>
                <w:sz w:val="21"/>
                <w:szCs w:val="21"/>
                <w:highlight w:val="none"/>
              </w:rPr>
            </w:pPr>
          </w:p>
        </w:tc>
        <w:tc>
          <w:tcPr>
            <w:tcW w:w="1061" w:type="dxa"/>
            <w:noWrap w:val="0"/>
            <w:vAlign w:val="top"/>
          </w:tcPr>
          <w:p w14:paraId="3BCDA397">
            <w:pPr>
              <w:rPr>
                <w:rFonts w:hint="eastAsia" w:ascii="新宋体" w:hAnsi="新宋体" w:eastAsia="新宋体" w:cs="新宋体"/>
                <w:color w:val="auto"/>
                <w:sz w:val="21"/>
                <w:szCs w:val="21"/>
                <w:highlight w:val="none"/>
              </w:rPr>
            </w:pPr>
          </w:p>
        </w:tc>
        <w:tc>
          <w:tcPr>
            <w:tcW w:w="1061" w:type="dxa"/>
            <w:noWrap w:val="0"/>
            <w:vAlign w:val="top"/>
          </w:tcPr>
          <w:p w14:paraId="6ACFCCE0">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6E037FD5">
            <w:pPr>
              <w:rPr>
                <w:rFonts w:hint="eastAsia" w:ascii="新宋体" w:hAnsi="新宋体" w:eastAsia="新宋体" w:cs="新宋体"/>
                <w:color w:val="auto"/>
                <w:sz w:val="21"/>
                <w:szCs w:val="21"/>
                <w:highlight w:val="none"/>
              </w:rPr>
            </w:pPr>
          </w:p>
        </w:tc>
      </w:tr>
      <w:tr w14:paraId="18327E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767" w:type="dxa"/>
            <w:tcBorders>
              <w:left w:val="single" w:color="000000" w:sz="10" w:space="0"/>
            </w:tcBorders>
            <w:noWrap w:val="0"/>
            <w:vAlign w:val="top"/>
          </w:tcPr>
          <w:p w14:paraId="3AA03B64">
            <w:pPr>
              <w:rPr>
                <w:rFonts w:hint="eastAsia" w:ascii="新宋体" w:hAnsi="新宋体" w:eastAsia="新宋体" w:cs="新宋体"/>
                <w:color w:val="auto"/>
                <w:sz w:val="21"/>
                <w:szCs w:val="21"/>
                <w:highlight w:val="none"/>
              </w:rPr>
            </w:pPr>
          </w:p>
        </w:tc>
        <w:tc>
          <w:tcPr>
            <w:tcW w:w="1327" w:type="dxa"/>
            <w:noWrap w:val="0"/>
            <w:vAlign w:val="top"/>
          </w:tcPr>
          <w:p w14:paraId="21DBCCBC">
            <w:pPr>
              <w:rPr>
                <w:rFonts w:hint="eastAsia" w:ascii="新宋体" w:hAnsi="新宋体" w:eastAsia="新宋体" w:cs="新宋体"/>
                <w:color w:val="auto"/>
                <w:sz w:val="21"/>
                <w:szCs w:val="21"/>
                <w:highlight w:val="none"/>
              </w:rPr>
            </w:pPr>
          </w:p>
        </w:tc>
        <w:tc>
          <w:tcPr>
            <w:tcW w:w="1061" w:type="dxa"/>
            <w:noWrap w:val="0"/>
            <w:vAlign w:val="top"/>
          </w:tcPr>
          <w:p w14:paraId="4F91073B">
            <w:pPr>
              <w:rPr>
                <w:rFonts w:hint="eastAsia" w:ascii="新宋体" w:hAnsi="新宋体" w:eastAsia="新宋体" w:cs="新宋体"/>
                <w:color w:val="auto"/>
                <w:sz w:val="21"/>
                <w:szCs w:val="21"/>
                <w:highlight w:val="none"/>
              </w:rPr>
            </w:pPr>
          </w:p>
        </w:tc>
        <w:tc>
          <w:tcPr>
            <w:tcW w:w="1061" w:type="dxa"/>
            <w:noWrap w:val="0"/>
            <w:vAlign w:val="top"/>
          </w:tcPr>
          <w:p w14:paraId="4A7B524A">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142148A2">
            <w:pPr>
              <w:rPr>
                <w:rFonts w:hint="eastAsia" w:ascii="新宋体" w:hAnsi="新宋体" w:eastAsia="新宋体" w:cs="新宋体"/>
                <w:color w:val="auto"/>
                <w:sz w:val="21"/>
                <w:szCs w:val="21"/>
                <w:highlight w:val="none"/>
              </w:rPr>
            </w:pPr>
          </w:p>
        </w:tc>
      </w:tr>
      <w:tr w14:paraId="0B66B0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1767" w:type="dxa"/>
            <w:tcBorders>
              <w:left w:val="single" w:color="000000" w:sz="10" w:space="0"/>
            </w:tcBorders>
            <w:noWrap w:val="0"/>
            <w:vAlign w:val="top"/>
          </w:tcPr>
          <w:p w14:paraId="2AD211F8">
            <w:pPr>
              <w:rPr>
                <w:rFonts w:hint="eastAsia" w:ascii="新宋体" w:hAnsi="新宋体" w:eastAsia="新宋体" w:cs="新宋体"/>
                <w:color w:val="auto"/>
                <w:sz w:val="21"/>
                <w:szCs w:val="21"/>
                <w:highlight w:val="none"/>
              </w:rPr>
            </w:pPr>
          </w:p>
        </w:tc>
        <w:tc>
          <w:tcPr>
            <w:tcW w:w="1327" w:type="dxa"/>
            <w:noWrap w:val="0"/>
            <w:vAlign w:val="top"/>
          </w:tcPr>
          <w:p w14:paraId="684312F6">
            <w:pPr>
              <w:rPr>
                <w:rFonts w:hint="eastAsia" w:ascii="新宋体" w:hAnsi="新宋体" w:eastAsia="新宋体" w:cs="新宋体"/>
                <w:color w:val="auto"/>
                <w:sz w:val="21"/>
                <w:szCs w:val="21"/>
                <w:highlight w:val="none"/>
              </w:rPr>
            </w:pPr>
          </w:p>
        </w:tc>
        <w:tc>
          <w:tcPr>
            <w:tcW w:w="1061" w:type="dxa"/>
            <w:noWrap w:val="0"/>
            <w:vAlign w:val="top"/>
          </w:tcPr>
          <w:p w14:paraId="56ACE65F">
            <w:pPr>
              <w:rPr>
                <w:rFonts w:hint="eastAsia" w:ascii="新宋体" w:hAnsi="新宋体" w:eastAsia="新宋体" w:cs="新宋体"/>
                <w:color w:val="auto"/>
                <w:sz w:val="21"/>
                <w:szCs w:val="21"/>
                <w:highlight w:val="none"/>
              </w:rPr>
            </w:pPr>
          </w:p>
        </w:tc>
        <w:tc>
          <w:tcPr>
            <w:tcW w:w="1061" w:type="dxa"/>
            <w:noWrap w:val="0"/>
            <w:vAlign w:val="top"/>
          </w:tcPr>
          <w:p w14:paraId="5D09B738">
            <w:pPr>
              <w:rPr>
                <w:rFonts w:hint="eastAsia" w:ascii="新宋体" w:hAnsi="新宋体" w:eastAsia="新宋体" w:cs="新宋体"/>
                <w:color w:val="auto"/>
                <w:sz w:val="21"/>
                <w:szCs w:val="21"/>
                <w:highlight w:val="none"/>
              </w:rPr>
            </w:pPr>
          </w:p>
        </w:tc>
        <w:tc>
          <w:tcPr>
            <w:tcW w:w="3997" w:type="dxa"/>
            <w:tcBorders>
              <w:right w:val="single" w:color="000000" w:sz="10" w:space="0"/>
            </w:tcBorders>
            <w:noWrap w:val="0"/>
            <w:vAlign w:val="top"/>
          </w:tcPr>
          <w:p w14:paraId="2B6BE0DC">
            <w:pPr>
              <w:rPr>
                <w:rFonts w:hint="eastAsia" w:ascii="新宋体" w:hAnsi="新宋体" w:eastAsia="新宋体" w:cs="新宋体"/>
                <w:color w:val="auto"/>
                <w:sz w:val="21"/>
                <w:szCs w:val="21"/>
                <w:highlight w:val="none"/>
              </w:rPr>
            </w:pPr>
          </w:p>
        </w:tc>
      </w:tr>
      <w:tr w14:paraId="1E80A9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1767" w:type="dxa"/>
            <w:tcBorders>
              <w:left w:val="single" w:color="000000" w:sz="10" w:space="0"/>
              <w:bottom w:val="single" w:color="000000" w:sz="10" w:space="0"/>
            </w:tcBorders>
            <w:noWrap w:val="0"/>
            <w:vAlign w:val="top"/>
          </w:tcPr>
          <w:p w14:paraId="66BCC1E7">
            <w:pPr>
              <w:rPr>
                <w:rFonts w:hint="eastAsia" w:ascii="新宋体" w:hAnsi="新宋体" w:eastAsia="新宋体" w:cs="新宋体"/>
                <w:color w:val="auto"/>
                <w:sz w:val="21"/>
                <w:szCs w:val="21"/>
                <w:highlight w:val="none"/>
              </w:rPr>
            </w:pPr>
          </w:p>
        </w:tc>
        <w:tc>
          <w:tcPr>
            <w:tcW w:w="1327" w:type="dxa"/>
            <w:tcBorders>
              <w:bottom w:val="single" w:color="000000" w:sz="10" w:space="0"/>
            </w:tcBorders>
            <w:noWrap w:val="0"/>
            <w:vAlign w:val="top"/>
          </w:tcPr>
          <w:p w14:paraId="6467BEDD">
            <w:pPr>
              <w:rPr>
                <w:rFonts w:hint="eastAsia" w:ascii="新宋体" w:hAnsi="新宋体" w:eastAsia="新宋体" w:cs="新宋体"/>
                <w:color w:val="auto"/>
                <w:sz w:val="21"/>
                <w:szCs w:val="21"/>
                <w:highlight w:val="none"/>
              </w:rPr>
            </w:pPr>
          </w:p>
        </w:tc>
        <w:tc>
          <w:tcPr>
            <w:tcW w:w="1061" w:type="dxa"/>
            <w:tcBorders>
              <w:bottom w:val="single" w:color="000000" w:sz="10" w:space="0"/>
            </w:tcBorders>
            <w:noWrap w:val="0"/>
            <w:vAlign w:val="top"/>
          </w:tcPr>
          <w:p w14:paraId="0B416781">
            <w:pPr>
              <w:rPr>
                <w:rFonts w:hint="eastAsia" w:ascii="新宋体" w:hAnsi="新宋体" w:eastAsia="新宋体" w:cs="新宋体"/>
                <w:color w:val="auto"/>
                <w:sz w:val="21"/>
                <w:szCs w:val="21"/>
                <w:highlight w:val="none"/>
              </w:rPr>
            </w:pPr>
          </w:p>
        </w:tc>
        <w:tc>
          <w:tcPr>
            <w:tcW w:w="1061" w:type="dxa"/>
            <w:tcBorders>
              <w:bottom w:val="single" w:color="000000" w:sz="10" w:space="0"/>
            </w:tcBorders>
            <w:noWrap w:val="0"/>
            <w:vAlign w:val="top"/>
          </w:tcPr>
          <w:p w14:paraId="553B81DC">
            <w:pPr>
              <w:rPr>
                <w:rFonts w:hint="eastAsia" w:ascii="新宋体" w:hAnsi="新宋体" w:eastAsia="新宋体" w:cs="新宋体"/>
                <w:color w:val="auto"/>
                <w:sz w:val="21"/>
                <w:szCs w:val="21"/>
                <w:highlight w:val="none"/>
              </w:rPr>
            </w:pPr>
          </w:p>
        </w:tc>
        <w:tc>
          <w:tcPr>
            <w:tcW w:w="3997" w:type="dxa"/>
            <w:tcBorders>
              <w:bottom w:val="single" w:color="000000" w:sz="10" w:space="0"/>
              <w:right w:val="single" w:color="000000" w:sz="10" w:space="0"/>
            </w:tcBorders>
            <w:noWrap w:val="0"/>
            <w:vAlign w:val="top"/>
          </w:tcPr>
          <w:p w14:paraId="152BB4A7">
            <w:pPr>
              <w:rPr>
                <w:rFonts w:hint="eastAsia" w:ascii="新宋体" w:hAnsi="新宋体" w:eastAsia="新宋体" w:cs="新宋体"/>
                <w:color w:val="auto"/>
                <w:sz w:val="21"/>
                <w:szCs w:val="21"/>
                <w:highlight w:val="none"/>
              </w:rPr>
            </w:pPr>
          </w:p>
        </w:tc>
      </w:tr>
    </w:tbl>
    <w:p w14:paraId="3DC8BA28">
      <w:pPr>
        <w:pStyle w:val="13"/>
        <w:spacing w:before="240" w:line="231" w:lineRule="auto"/>
        <w:outlineLvl w:val="3"/>
        <w:rPr>
          <w:rFonts w:hint="eastAsia" w:ascii="新宋体" w:hAnsi="新宋体" w:eastAsia="新宋体" w:cs="新宋体"/>
          <w:color w:val="auto"/>
          <w:spacing w:val="-1"/>
          <w:sz w:val="20"/>
          <w:szCs w:val="20"/>
          <w:highlight w:val="none"/>
        </w:rPr>
      </w:pPr>
      <w:r>
        <w:rPr>
          <w:rFonts w:hint="eastAsia" w:ascii="新宋体" w:hAnsi="新宋体" w:eastAsia="新宋体" w:cs="新宋体"/>
          <w:color w:val="auto"/>
          <w:spacing w:val="-3"/>
          <w:sz w:val="20"/>
          <w:szCs w:val="20"/>
          <w:highlight w:val="none"/>
        </w:rPr>
        <w:br w:type="page"/>
      </w:r>
      <w:bookmarkStart w:id="1029" w:name="_Toc2882"/>
      <w:r>
        <w:rPr>
          <w:rFonts w:hint="eastAsia" w:ascii="新宋体" w:hAnsi="新宋体" w:eastAsia="新宋体" w:cs="新宋体"/>
          <w:color w:val="auto"/>
          <w:spacing w:val="-1"/>
          <w:sz w:val="20"/>
          <w:szCs w:val="20"/>
          <w:highlight w:val="none"/>
        </w:rPr>
        <w:t>附件7：</w:t>
      </w:r>
      <w:bookmarkEnd w:id="1029"/>
    </w:p>
    <w:p w14:paraId="1B521FCE">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color w:val="auto"/>
          <w:highlight w:val="none"/>
        </w:rPr>
      </w:pPr>
      <w:bookmarkStart w:id="1030" w:name="_Toc10900"/>
      <w:r>
        <w:rPr>
          <w:rFonts w:hint="eastAsia" w:ascii="新宋体" w:hAnsi="新宋体" w:eastAsia="新宋体" w:cs="新宋体"/>
          <w:b/>
          <w:bCs/>
          <w:color w:val="auto"/>
          <w:spacing w:val="8"/>
          <w:sz w:val="28"/>
          <w:szCs w:val="28"/>
          <w:highlight w:val="none"/>
        </w:rPr>
        <w:t>分包人主要施工管理人员表</w:t>
      </w:r>
      <w:bookmarkEnd w:id="1030"/>
    </w:p>
    <w:tbl>
      <w:tblPr>
        <w:tblStyle w:val="28"/>
        <w:tblW w:w="9812"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81"/>
        <w:gridCol w:w="1414"/>
        <w:gridCol w:w="1131"/>
        <w:gridCol w:w="1131"/>
        <w:gridCol w:w="4255"/>
      </w:tblGrid>
      <w:tr w14:paraId="2E511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1881" w:type="dxa"/>
            <w:tcBorders>
              <w:top w:val="single" w:color="000000" w:sz="10" w:space="0"/>
              <w:left w:val="single" w:color="000000" w:sz="10" w:space="0"/>
            </w:tcBorders>
            <w:noWrap w:val="0"/>
            <w:vAlign w:val="top"/>
          </w:tcPr>
          <w:p w14:paraId="753D9CC5">
            <w:pPr>
              <w:spacing w:before="177" w:line="229" w:lineRule="auto"/>
              <w:ind w:left="518"/>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3"/>
                <w:sz w:val="21"/>
                <w:szCs w:val="21"/>
                <w:highlight w:val="none"/>
              </w:rPr>
              <w:t>名</w:t>
            </w:r>
            <w:r>
              <w:rPr>
                <w:rFonts w:hint="eastAsia" w:ascii="新宋体" w:hAnsi="新宋体" w:eastAsia="新宋体" w:cs="新宋体"/>
                <w:color w:val="auto"/>
                <w:spacing w:val="8"/>
                <w:sz w:val="21"/>
                <w:szCs w:val="21"/>
                <w:highlight w:val="none"/>
              </w:rPr>
              <w:t xml:space="preserve">    </w:t>
            </w:r>
            <w:r>
              <w:rPr>
                <w:rFonts w:hint="eastAsia" w:ascii="新宋体" w:hAnsi="新宋体" w:eastAsia="新宋体" w:cs="新宋体"/>
                <w:color w:val="auto"/>
                <w:spacing w:val="-3"/>
                <w:sz w:val="21"/>
                <w:szCs w:val="21"/>
                <w:highlight w:val="none"/>
              </w:rPr>
              <w:t>称</w:t>
            </w:r>
          </w:p>
        </w:tc>
        <w:tc>
          <w:tcPr>
            <w:tcW w:w="1414" w:type="dxa"/>
            <w:tcBorders>
              <w:top w:val="single" w:color="000000" w:sz="10" w:space="0"/>
            </w:tcBorders>
            <w:noWrap w:val="0"/>
            <w:vAlign w:val="top"/>
          </w:tcPr>
          <w:p w14:paraId="3717F35B">
            <w:pPr>
              <w:spacing w:before="177" w:line="233" w:lineRule="auto"/>
              <w:ind w:left="498"/>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2"/>
                <w:sz w:val="21"/>
                <w:szCs w:val="21"/>
                <w:highlight w:val="none"/>
              </w:rPr>
              <w:t>姓名</w:t>
            </w:r>
          </w:p>
        </w:tc>
        <w:tc>
          <w:tcPr>
            <w:tcW w:w="1131" w:type="dxa"/>
            <w:tcBorders>
              <w:top w:val="single" w:color="000000" w:sz="10" w:space="0"/>
            </w:tcBorders>
            <w:noWrap w:val="0"/>
            <w:vAlign w:val="top"/>
          </w:tcPr>
          <w:p w14:paraId="74214792">
            <w:pPr>
              <w:spacing w:before="176" w:line="232" w:lineRule="auto"/>
              <w:ind w:left="361"/>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2"/>
                <w:sz w:val="21"/>
                <w:szCs w:val="21"/>
                <w:highlight w:val="none"/>
              </w:rPr>
              <w:t>职务</w:t>
            </w:r>
          </w:p>
        </w:tc>
        <w:tc>
          <w:tcPr>
            <w:tcW w:w="1131" w:type="dxa"/>
            <w:tcBorders>
              <w:top w:val="single" w:color="000000" w:sz="10" w:space="0"/>
            </w:tcBorders>
            <w:noWrap w:val="0"/>
            <w:vAlign w:val="top"/>
          </w:tcPr>
          <w:p w14:paraId="6EB97425">
            <w:pPr>
              <w:spacing w:before="177" w:line="229" w:lineRule="auto"/>
              <w:ind w:left="362"/>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2"/>
                <w:sz w:val="21"/>
                <w:szCs w:val="21"/>
                <w:highlight w:val="none"/>
              </w:rPr>
              <w:t>职称</w:t>
            </w:r>
          </w:p>
        </w:tc>
        <w:tc>
          <w:tcPr>
            <w:tcW w:w="4255" w:type="dxa"/>
            <w:tcBorders>
              <w:top w:val="single" w:color="000000" w:sz="10" w:space="0"/>
              <w:right w:val="single" w:color="000000" w:sz="10" w:space="0"/>
            </w:tcBorders>
            <w:noWrap w:val="0"/>
            <w:vAlign w:val="top"/>
          </w:tcPr>
          <w:p w14:paraId="68D6170F">
            <w:pPr>
              <w:spacing w:before="177" w:line="232" w:lineRule="auto"/>
              <w:ind w:left="673"/>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8"/>
                <w:sz w:val="21"/>
                <w:szCs w:val="21"/>
                <w:highlight w:val="none"/>
              </w:rPr>
              <w:t>主要资历、经验及承担过的项目</w:t>
            </w:r>
          </w:p>
        </w:tc>
      </w:tr>
      <w:tr w14:paraId="550638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3" w:hRule="atLeast"/>
        </w:trPr>
        <w:tc>
          <w:tcPr>
            <w:tcW w:w="9812" w:type="dxa"/>
            <w:gridSpan w:val="5"/>
            <w:tcBorders>
              <w:left w:val="single" w:color="000000" w:sz="10" w:space="0"/>
              <w:right w:val="single" w:color="000000" w:sz="10" w:space="0"/>
            </w:tcBorders>
            <w:noWrap w:val="0"/>
            <w:vAlign w:val="top"/>
          </w:tcPr>
          <w:p w14:paraId="07A314DC">
            <w:pPr>
              <w:spacing w:before="201" w:line="231" w:lineRule="auto"/>
              <w:ind w:left="4281"/>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一、总部人员</w:t>
            </w:r>
          </w:p>
        </w:tc>
      </w:tr>
      <w:tr w14:paraId="5B453D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3AF2FF98">
            <w:pPr>
              <w:spacing w:before="174" w:line="232" w:lineRule="auto"/>
              <w:ind w:left="518"/>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项目主管</w:t>
            </w:r>
          </w:p>
        </w:tc>
        <w:tc>
          <w:tcPr>
            <w:tcW w:w="1414" w:type="dxa"/>
            <w:noWrap w:val="0"/>
            <w:vAlign w:val="top"/>
          </w:tcPr>
          <w:p w14:paraId="33A7B3E5">
            <w:pPr>
              <w:rPr>
                <w:rFonts w:hint="eastAsia" w:ascii="新宋体" w:hAnsi="新宋体" w:eastAsia="新宋体" w:cs="新宋体"/>
                <w:color w:val="auto"/>
                <w:sz w:val="21"/>
                <w:szCs w:val="21"/>
                <w:highlight w:val="none"/>
              </w:rPr>
            </w:pPr>
          </w:p>
        </w:tc>
        <w:tc>
          <w:tcPr>
            <w:tcW w:w="1131" w:type="dxa"/>
            <w:noWrap w:val="0"/>
            <w:vAlign w:val="top"/>
          </w:tcPr>
          <w:p w14:paraId="0CD8273C">
            <w:pPr>
              <w:rPr>
                <w:rFonts w:hint="eastAsia" w:ascii="新宋体" w:hAnsi="新宋体" w:eastAsia="新宋体" w:cs="新宋体"/>
                <w:color w:val="auto"/>
                <w:sz w:val="21"/>
                <w:szCs w:val="21"/>
                <w:highlight w:val="none"/>
              </w:rPr>
            </w:pPr>
          </w:p>
        </w:tc>
        <w:tc>
          <w:tcPr>
            <w:tcW w:w="1131" w:type="dxa"/>
            <w:noWrap w:val="0"/>
            <w:vAlign w:val="top"/>
          </w:tcPr>
          <w:p w14:paraId="6813FCE5">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17070BC2">
            <w:pPr>
              <w:rPr>
                <w:rFonts w:hint="eastAsia" w:ascii="新宋体" w:hAnsi="新宋体" w:eastAsia="新宋体" w:cs="新宋体"/>
                <w:color w:val="auto"/>
                <w:sz w:val="21"/>
                <w:szCs w:val="21"/>
                <w:highlight w:val="none"/>
              </w:rPr>
            </w:pPr>
          </w:p>
        </w:tc>
      </w:tr>
      <w:tr w14:paraId="6E2737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vMerge w:val="restart"/>
            <w:tcBorders>
              <w:left w:val="single" w:color="000000" w:sz="10" w:space="0"/>
              <w:bottom w:val="nil"/>
            </w:tcBorders>
            <w:noWrap w:val="0"/>
            <w:vAlign w:val="top"/>
          </w:tcPr>
          <w:p w14:paraId="4C967A1A">
            <w:pPr>
              <w:spacing w:line="280" w:lineRule="auto"/>
              <w:rPr>
                <w:rFonts w:hint="eastAsia" w:ascii="新宋体" w:hAnsi="新宋体" w:eastAsia="新宋体" w:cs="新宋体"/>
                <w:color w:val="auto"/>
                <w:sz w:val="21"/>
                <w:szCs w:val="21"/>
                <w:highlight w:val="none"/>
              </w:rPr>
            </w:pPr>
          </w:p>
          <w:p w14:paraId="00E755A9">
            <w:pPr>
              <w:spacing w:line="281" w:lineRule="auto"/>
              <w:rPr>
                <w:rFonts w:hint="eastAsia" w:ascii="新宋体" w:hAnsi="新宋体" w:eastAsia="新宋体" w:cs="新宋体"/>
                <w:color w:val="auto"/>
                <w:sz w:val="21"/>
                <w:szCs w:val="21"/>
                <w:highlight w:val="none"/>
              </w:rPr>
            </w:pPr>
          </w:p>
          <w:p w14:paraId="13600632">
            <w:pPr>
              <w:spacing w:before="65" w:line="230" w:lineRule="auto"/>
              <w:ind w:left="518"/>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其他人员</w:t>
            </w:r>
          </w:p>
        </w:tc>
        <w:tc>
          <w:tcPr>
            <w:tcW w:w="1414" w:type="dxa"/>
            <w:noWrap w:val="0"/>
            <w:vAlign w:val="top"/>
          </w:tcPr>
          <w:p w14:paraId="31B102FB">
            <w:pPr>
              <w:rPr>
                <w:rFonts w:hint="eastAsia" w:ascii="新宋体" w:hAnsi="新宋体" w:eastAsia="新宋体" w:cs="新宋体"/>
                <w:color w:val="auto"/>
                <w:sz w:val="21"/>
                <w:szCs w:val="21"/>
                <w:highlight w:val="none"/>
              </w:rPr>
            </w:pPr>
          </w:p>
        </w:tc>
        <w:tc>
          <w:tcPr>
            <w:tcW w:w="1131" w:type="dxa"/>
            <w:noWrap w:val="0"/>
            <w:vAlign w:val="top"/>
          </w:tcPr>
          <w:p w14:paraId="637CAF0B">
            <w:pPr>
              <w:rPr>
                <w:rFonts w:hint="eastAsia" w:ascii="新宋体" w:hAnsi="新宋体" w:eastAsia="新宋体" w:cs="新宋体"/>
                <w:color w:val="auto"/>
                <w:sz w:val="21"/>
                <w:szCs w:val="21"/>
                <w:highlight w:val="none"/>
              </w:rPr>
            </w:pPr>
          </w:p>
        </w:tc>
        <w:tc>
          <w:tcPr>
            <w:tcW w:w="1131" w:type="dxa"/>
            <w:noWrap w:val="0"/>
            <w:vAlign w:val="top"/>
          </w:tcPr>
          <w:p w14:paraId="763E0AB3">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1C491835">
            <w:pPr>
              <w:rPr>
                <w:rFonts w:hint="eastAsia" w:ascii="新宋体" w:hAnsi="新宋体" w:eastAsia="新宋体" w:cs="新宋体"/>
                <w:color w:val="auto"/>
                <w:sz w:val="21"/>
                <w:szCs w:val="21"/>
                <w:highlight w:val="none"/>
              </w:rPr>
            </w:pPr>
          </w:p>
        </w:tc>
      </w:tr>
      <w:tr w14:paraId="595B25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vMerge w:val="continue"/>
            <w:tcBorders>
              <w:top w:val="nil"/>
              <w:left w:val="single" w:color="000000" w:sz="10" w:space="0"/>
              <w:bottom w:val="nil"/>
            </w:tcBorders>
            <w:noWrap w:val="0"/>
            <w:vAlign w:val="top"/>
          </w:tcPr>
          <w:p w14:paraId="349D25AE">
            <w:pPr>
              <w:rPr>
                <w:rFonts w:hint="eastAsia" w:ascii="新宋体" w:hAnsi="新宋体" w:eastAsia="新宋体" w:cs="新宋体"/>
                <w:color w:val="auto"/>
                <w:sz w:val="21"/>
                <w:szCs w:val="21"/>
                <w:highlight w:val="none"/>
              </w:rPr>
            </w:pPr>
          </w:p>
        </w:tc>
        <w:tc>
          <w:tcPr>
            <w:tcW w:w="1414" w:type="dxa"/>
            <w:noWrap w:val="0"/>
            <w:vAlign w:val="top"/>
          </w:tcPr>
          <w:p w14:paraId="450C6F79">
            <w:pPr>
              <w:rPr>
                <w:rFonts w:hint="eastAsia" w:ascii="新宋体" w:hAnsi="新宋体" w:eastAsia="新宋体" w:cs="新宋体"/>
                <w:color w:val="auto"/>
                <w:sz w:val="21"/>
                <w:szCs w:val="21"/>
                <w:highlight w:val="none"/>
              </w:rPr>
            </w:pPr>
          </w:p>
        </w:tc>
        <w:tc>
          <w:tcPr>
            <w:tcW w:w="1131" w:type="dxa"/>
            <w:noWrap w:val="0"/>
            <w:vAlign w:val="top"/>
          </w:tcPr>
          <w:p w14:paraId="40485B38">
            <w:pPr>
              <w:rPr>
                <w:rFonts w:hint="eastAsia" w:ascii="新宋体" w:hAnsi="新宋体" w:eastAsia="新宋体" w:cs="新宋体"/>
                <w:color w:val="auto"/>
                <w:sz w:val="21"/>
                <w:szCs w:val="21"/>
                <w:highlight w:val="none"/>
              </w:rPr>
            </w:pPr>
          </w:p>
        </w:tc>
        <w:tc>
          <w:tcPr>
            <w:tcW w:w="1131" w:type="dxa"/>
            <w:noWrap w:val="0"/>
            <w:vAlign w:val="top"/>
          </w:tcPr>
          <w:p w14:paraId="0B8F1284">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42E48E81">
            <w:pPr>
              <w:rPr>
                <w:rFonts w:hint="eastAsia" w:ascii="新宋体" w:hAnsi="新宋体" w:eastAsia="新宋体" w:cs="新宋体"/>
                <w:color w:val="auto"/>
                <w:sz w:val="21"/>
                <w:szCs w:val="21"/>
                <w:highlight w:val="none"/>
              </w:rPr>
            </w:pPr>
          </w:p>
        </w:tc>
      </w:tr>
      <w:tr w14:paraId="43712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vMerge w:val="continue"/>
            <w:tcBorders>
              <w:top w:val="nil"/>
              <w:left w:val="single" w:color="000000" w:sz="10" w:space="0"/>
            </w:tcBorders>
            <w:noWrap w:val="0"/>
            <w:vAlign w:val="top"/>
          </w:tcPr>
          <w:p w14:paraId="1EB66B43">
            <w:pPr>
              <w:rPr>
                <w:rFonts w:hint="eastAsia" w:ascii="新宋体" w:hAnsi="新宋体" w:eastAsia="新宋体" w:cs="新宋体"/>
                <w:color w:val="auto"/>
                <w:sz w:val="21"/>
                <w:szCs w:val="21"/>
                <w:highlight w:val="none"/>
              </w:rPr>
            </w:pPr>
          </w:p>
        </w:tc>
        <w:tc>
          <w:tcPr>
            <w:tcW w:w="1414" w:type="dxa"/>
            <w:noWrap w:val="0"/>
            <w:vAlign w:val="top"/>
          </w:tcPr>
          <w:p w14:paraId="1DCAD88A">
            <w:pPr>
              <w:rPr>
                <w:rFonts w:hint="eastAsia" w:ascii="新宋体" w:hAnsi="新宋体" w:eastAsia="新宋体" w:cs="新宋体"/>
                <w:color w:val="auto"/>
                <w:sz w:val="21"/>
                <w:szCs w:val="21"/>
                <w:highlight w:val="none"/>
              </w:rPr>
            </w:pPr>
          </w:p>
        </w:tc>
        <w:tc>
          <w:tcPr>
            <w:tcW w:w="1131" w:type="dxa"/>
            <w:noWrap w:val="0"/>
            <w:vAlign w:val="top"/>
          </w:tcPr>
          <w:p w14:paraId="5D27F3C9">
            <w:pPr>
              <w:rPr>
                <w:rFonts w:hint="eastAsia" w:ascii="新宋体" w:hAnsi="新宋体" w:eastAsia="新宋体" w:cs="新宋体"/>
                <w:color w:val="auto"/>
                <w:sz w:val="21"/>
                <w:szCs w:val="21"/>
                <w:highlight w:val="none"/>
              </w:rPr>
            </w:pPr>
          </w:p>
        </w:tc>
        <w:tc>
          <w:tcPr>
            <w:tcW w:w="1131" w:type="dxa"/>
            <w:noWrap w:val="0"/>
            <w:vAlign w:val="top"/>
          </w:tcPr>
          <w:p w14:paraId="7DDA6CBE">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2545BCDB">
            <w:pPr>
              <w:rPr>
                <w:rFonts w:hint="eastAsia" w:ascii="新宋体" w:hAnsi="新宋体" w:eastAsia="新宋体" w:cs="新宋体"/>
                <w:color w:val="auto"/>
                <w:sz w:val="21"/>
                <w:szCs w:val="21"/>
                <w:highlight w:val="none"/>
              </w:rPr>
            </w:pPr>
          </w:p>
        </w:tc>
      </w:tr>
      <w:tr w14:paraId="1A87E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9812" w:type="dxa"/>
            <w:gridSpan w:val="5"/>
            <w:tcBorders>
              <w:left w:val="single" w:color="000000" w:sz="10" w:space="0"/>
              <w:right w:val="single" w:color="000000" w:sz="10" w:space="0"/>
            </w:tcBorders>
            <w:noWrap w:val="0"/>
            <w:vAlign w:val="top"/>
          </w:tcPr>
          <w:p w14:paraId="4028D4CA">
            <w:pPr>
              <w:spacing w:before="176" w:line="232" w:lineRule="auto"/>
              <w:ind w:left="4284"/>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二、现场人员</w:t>
            </w:r>
          </w:p>
        </w:tc>
      </w:tr>
      <w:tr w14:paraId="7617B7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1881" w:type="dxa"/>
            <w:tcBorders>
              <w:left w:val="single" w:color="000000" w:sz="10" w:space="0"/>
            </w:tcBorders>
            <w:noWrap w:val="0"/>
            <w:vAlign w:val="top"/>
          </w:tcPr>
          <w:p w14:paraId="053F3481">
            <w:pPr>
              <w:spacing w:before="179" w:line="232" w:lineRule="auto"/>
              <w:ind w:left="518"/>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项目经理</w:t>
            </w:r>
          </w:p>
        </w:tc>
        <w:tc>
          <w:tcPr>
            <w:tcW w:w="1414" w:type="dxa"/>
            <w:noWrap w:val="0"/>
            <w:vAlign w:val="top"/>
          </w:tcPr>
          <w:p w14:paraId="06FF3975">
            <w:pPr>
              <w:rPr>
                <w:rFonts w:hint="eastAsia" w:ascii="新宋体" w:hAnsi="新宋体" w:eastAsia="新宋体" w:cs="新宋体"/>
                <w:color w:val="auto"/>
                <w:sz w:val="21"/>
                <w:szCs w:val="21"/>
                <w:highlight w:val="none"/>
              </w:rPr>
            </w:pPr>
          </w:p>
        </w:tc>
        <w:tc>
          <w:tcPr>
            <w:tcW w:w="1131" w:type="dxa"/>
            <w:noWrap w:val="0"/>
            <w:vAlign w:val="top"/>
          </w:tcPr>
          <w:p w14:paraId="3CBB7270">
            <w:pPr>
              <w:rPr>
                <w:rFonts w:hint="eastAsia" w:ascii="新宋体" w:hAnsi="新宋体" w:eastAsia="新宋体" w:cs="新宋体"/>
                <w:color w:val="auto"/>
                <w:sz w:val="21"/>
                <w:szCs w:val="21"/>
                <w:highlight w:val="none"/>
              </w:rPr>
            </w:pPr>
          </w:p>
        </w:tc>
        <w:tc>
          <w:tcPr>
            <w:tcW w:w="1131" w:type="dxa"/>
            <w:noWrap w:val="0"/>
            <w:vAlign w:val="top"/>
          </w:tcPr>
          <w:p w14:paraId="30667FEF">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68879E31">
            <w:pPr>
              <w:rPr>
                <w:rFonts w:hint="eastAsia" w:ascii="新宋体" w:hAnsi="新宋体" w:eastAsia="新宋体" w:cs="新宋体"/>
                <w:color w:val="auto"/>
                <w:sz w:val="21"/>
                <w:szCs w:val="21"/>
                <w:highlight w:val="none"/>
              </w:rPr>
            </w:pPr>
          </w:p>
        </w:tc>
      </w:tr>
      <w:tr w14:paraId="48C7BE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4CE1118C">
            <w:pPr>
              <w:spacing w:before="180" w:line="232" w:lineRule="auto"/>
              <w:ind w:left="414"/>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项目副经理</w:t>
            </w:r>
          </w:p>
        </w:tc>
        <w:tc>
          <w:tcPr>
            <w:tcW w:w="1414" w:type="dxa"/>
            <w:noWrap w:val="0"/>
            <w:vAlign w:val="top"/>
          </w:tcPr>
          <w:p w14:paraId="69ACAC20">
            <w:pPr>
              <w:rPr>
                <w:rFonts w:hint="eastAsia" w:ascii="新宋体" w:hAnsi="新宋体" w:eastAsia="新宋体" w:cs="新宋体"/>
                <w:color w:val="auto"/>
                <w:sz w:val="21"/>
                <w:szCs w:val="21"/>
                <w:highlight w:val="none"/>
              </w:rPr>
            </w:pPr>
          </w:p>
        </w:tc>
        <w:tc>
          <w:tcPr>
            <w:tcW w:w="1131" w:type="dxa"/>
            <w:noWrap w:val="0"/>
            <w:vAlign w:val="top"/>
          </w:tcPr>
          <w:p w14:paraId="475DDE8E">
            <w:pPr>
              <w:rPr>
                <w:rFonts w:hint="eastAsia" w:ascii="新宋体" w:hAnsi="新宋体" w:eastAsia="新宋体" w:cs="新宋体"/>
                <w:color w:val="auto"/>
                <w:sz w:val="21"/>
                <w:szCs w:val="21"/>
                <w:highlight w:val="none"/>
              </w:rPr>
            </w:pPr>
          </w:p>
        </w:tc>
        <w:tc>
          <w:tcPr>
            <w:tcW w:w="1131" w:type="dxa"/>
            <w:noWrap w:val="0"/>
            <w:vAlign w:val="top"/>
          </w:tcPr>
          <w:p w14:paraId="47FDC446">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644F17CE">
            <w:pPr>
              <w:rPr>
                <w:rFonts w:hint="eastAsia" w:ascii="新宋体" w:hAnsi="新宋体" w:eastAsia="新宋体" w:cs="新宋体"/>
                <w:color w:val="auto"/>
                <w:sz w:val="21"/>
                <w:szCs w:val="21"/>
                <w:highlight w:val="none"/>
              </w:rPr>
            </w:pPr>
          </w:p>
        </w:tc>
      </w:tr>
      <w:tr w14:paraId="6CCD85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433D0BAC">
            <w:pPr>
              <w:spacing w:before="181" w:line="231" w:lineRule="auto"/>
              <w:ind w:left="414"/>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技术负责人</w:t>
            </w:r>
          </w:p>
        </w:tc>
        <w:tc>
          <w:tcPr>
            <w:tcW w:w="1414" w:type="dxa"/>
            <w:noWrap w:val="0"/>
            <w:vAlign w:val="top"/>
          </w:tcPr>
          <w:p w14:paraId="39AE99A9">
            <w:pPr>
              <w:rPr>
                <w:rFonts w:hint="eastAsia" w:ascii="新宋体" w:hAnsi="新宋体" w:eastAsia="新宋体" w:cs="新宋体"/>
                <w:color w:val="auto"/>
                <w:sz w:val="21"/>
                <w:szCs w:val="21"/>
                <w:highlight w:val="none"/>
              </w:rPr>
            </w:pPr>
          </w:p>
        </w:tc>
        <w:tc>
          <w:tcPr>
            <w:tcW w:w="1131" w:type="dxa"/>
            <w:noWrap w:val="0"/>
            <w:vAlign w:val="top"/>
          </w:tcPr>
          <w:p w14:paraId="05877DCE">
            <w:pPr>
              <w:rPr>
                <w:rFonts w:hint="eastAsia" w:ascii="新宋体" w:hAnsi="新宋体" w:eastAsia="新宋体" w:cs="新宋体"/>
                <w:color w:val="auto"/>
                <w:sz w:val="21"/>
                <w:szCs w:val="21"/>
                <w:highlight w:val="none"/>
              </w:rPr>
            </w:pPr>
          </w:p>
        </w:tc>
        <w:tc>
          <w:tcPr>
            <w:tcW w:w="1131" w:type="dxa"/>
            <w:noWrap w:val="0"/>
            <w:vAlign w:val="top"/>
          </w:tcPr>
          <w:p w14:paraId="43272809">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10D9BA30">
            <w:pPr>
              <w:rPr>
                <w:rFonts w:hint="eastAsia" w:ascii="新宋体" w:hAnsi="新宋体" w:eastAsia="新宋体" w:cs="新宋体"/>
                <w:color w:val="auto"/>
                <w:sz w:val="21"/>
                <w:szCs w:val="21"/>
                <w:highlight w:val="none"/>
              </w:rPr>
            </w:pPr>
          </w:p>
        </w:tc>
      </w:tr>
      <w:tr w14:paraId="62F98E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07DB05FC">
            <w:pPr>
              <w:spacing w:before="181" w:line="231" w:lineRule="auto"/>
              <w:ind w:left="516"/>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造价管理</w:t>
            </w:r>
          </w:p>
        </w:tc>
        <w:tc>
          <w:tcPr>
            <w:tcW w:w="1414" w:type="dxa"/>
            <w:noWrap w:val="0"/>
            <w:vAlign w:val="top"/>
          </w:tcPr>
          <w:p w14:paraId="4D1D5E2B">
            <w:pPr>
              <w:rPr>
                <w:rFonts w:hint="eastAsia" w:ascii="新宋体" w:hAnsi="新宋体" w:eastAsia="新宋体" w:cs="新宋体"/>
                <w:color w:val="auto"/>
                <w:sz w:val="21"/>
                <w:szCs w:val="21"/>
                <w:highlight w:val="none"/>
              </w:rPr>
            </w:pPr>
          </w:p>
        </w:tc>
        <w:tc>
          <w:tcPr>
            <w:tcW w:w="1131" w:type="dxa"/>
            <w:noWrap w:val="0"/>
            <w:vAlign w:val="top"/>
          </w:tcPr>
          <w:p w14:paraId="57637634">
            <w:pPr>
              <w:rPr>
                <w:rFonts w:hint="eastAsia" w:ascii="新宋体" w:hAnsi="新宋体" w:eastAsia="新宋体" w:cs="新宋体"/>
                <w:color w:val="auto"/>
                <w:sz w:val="21"/>
                <w:szCs w:val="21"/>
                <w:highlight w:val="none"/>
              </w:rPr>
            </w:pPr>
          </w:p>
        </w:tc>
        <w:tc>
          <w:tcPr>
            <w:tcW w:w="1131" w:type="dxa"/>
            <w:noWrap w:val="0"/>
            <w:vAlign w:val="top"/>
          </w:tcPr>
          <w:p w14:paraId="55220CBD">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199751D6">
            <w:pPr>
              <w:rPr>
                <w:rFonts w:hint="eastAsia" w:ascii="新宋体" w:hAnsi="新宋体" w:eastAsia="新宋体" w:cs="新宋体"/>
                <w:color w:val="auto"/>
                <w:sz w:val="21"/>
                <w:szCs w:val="21"/>
                <w:highlight w:val="none"/>
              </w:rPr>
            </w:pPr>
          </w:p>
        </w:tc>
      </w:tr>
      <w:tr w14:paraId="108AE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1F3F33AB">
            <w:pPr>
              <w:spacing w:before="183" w:line="231" w:lineRule="auto"/>
              <w:ind w:left="522"/>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4"/>
                <w:sz w:val="21"/>
                <w:szCs w:val="21"/>
                <w:highlight w:val="none"/>
              </w:rPr>
              <w:t>质量管理</w:t>
            </w:r>
          </w:p>
        </w:tc>
        <w:tc>
          <w:tcPr>
            <w:tcW w:w="1414" w:type="dxa"/>
            <w:noWrap w:val="0"/>
            <w:vAlign w:val="top"/>
          </w:tcPr>
          <w:p w14:paraId="40E215F4">
            <w:pPr>
              <w:rPr>
                <w:rFonts w:hint="eastAsia" w:ascii="新宋体" w:hAnsi="新宋体" w:eastAsia="新宋体" w:cs="新宋体"/>
                <w:color w:val="auto"/>
                <w:sz w:val="21"/>
                <w:szCs w:val="21"/>
                <w:highlight w:val="none"/>
              </w:rPr>
            </w:pPr>
          </w:p>
        </w:tc>
        <w:tc>
          <w:tcPr>
            <w:tcW w:w="1131" w:type="dxa"/>
            <w:noWrap w:val="0"/>
            <w:vAlign w:val="top"/>
          </w:tcPr>
          <w:p w14:paraId="084CD738">
            <w:pPr>
              <w:rPr>
                <w:rFonts w:hint="eastAsia" w:ascii="新宋体" w:hAnsi="新宋体" w:eastAsia="新宋体" w:cs="新宋体"/>
                <w:color w:val="auto"/>
                <w:sz w:val="21"/>
                <w:szCs w:val="21"/>
                <w:highlight w:val="none"/>
              </w:rPr>
            </w:pPr>
          </w:p>
        </w:tc>
        <w:tc>
          <w:tcPr>
            <w:tcW w:w="1131" w:type="dxa"/>
            <w:noWrap w:val="0"/>
            <w:vAlign w:val="top"/>
          </w:tcPr>
          <w:p w14:paraId="283A4C40">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53EEA867">
            <w:pPr>
              <w:rPr>
                <w:rFonts w:hint="eastAsia" w:ascii="新宋体" w:hAnsi="新宋体" w:eastAsia="新宋体" w:cs="新宋体"/>
                <w:color w:val="auto"/>
                <w:sz w:val="21"/>
                <w:szCs w:val="21"/>
                <w:highlight w:val="none"/>
              </w:rPr>
            </w:pPr>
          </w:p>
        </w:tc>
      </w:tr>
      <w:tr w14:paraId="2A87E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7DB1BC72">
            <w:pPr>
              <w:spacing w:before="182" w:line="229" w:lineRule="auto"/>
              <w:ind w:left="516"/>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6"/>
                <w:sz w:val="21"/>
                <w:szCs w:val="21"/>
                <w:highlight w:val="none"/>
              </w:rPr>
              <w:t>材料管理</w:t>
            </w:r>
          </w:p>
        </w:tc>
        <w:tc>
          <w:tcPr>
            <w:tcW w:w="1414" w:type="dxa"/>
            <w:noWrap w:val="0"/>
            <w:vAlign w:val="top"/>
          </w:tcPr>
          <w:p w14:paraId="61970BAC">
            <w:pPr>
              <w:rPr>
                <w:rFonts w:hint="eastAsia" w:ascii="新宋体" w:hAnsi="新宋体" w:eastAsia="新宋体" w:cs="新宋体"/>
                <w:color w:val="auto"/>
                <w:sz w:val="21"/>
                <w:szCs w:val="21"/>
                <w:highlight w:val="none"/>
              </w:rPr>
            </w:pPr>
          </w:p>
        </w:tc>
        <w:tc>
          <w:tcPr>
            <w:tcW w:w="1131" w:type="dxa"/>
            <w:noWrap w:val="0"/>
            <w:vAlign w:val="top"/>
          </w:tcPr>
          <w:p w14:paraId="7EFE81FE">
            <w:pPr>
              <w:rPr>
                <w:rFonts w:hint="eastAsia" w:ascii="新宋体" w:hAnsi="新宋体" w:eastAsia="新宋体" w:cs="新宋体"/>
                <w:color w:val="auto"/>
                <w:sz w:val="21"/>
                <w:szCs w:val="21"/>
                <w:highlight w:val="none"/>
              </w:rPr>
            </w:pPr>
          </w:p>
        </w:tc>
        <w:tc>
          <w:tcPr>
            <w:tcW w:w="1131" w:type="dxa"/>
            <w:noWrap w:val="0"/>
            <w:vAlign w:val="top"/>
          </w:tcPr>
          <w:p w14:paraId="3AEEF69C">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27D010EA">
            <w:pPr>
              <w:rPr>
                <w:rFonts w:hint="eastAsia" w:ascii="新宋体" w:hAnsi="新宋体" w:eastAsia="新宋体" w:cs="新宋体"/>
                <w:color w:val="auto"/>
                <w:sz w:val="21"/>
                <w:szCs w:val="21"/>
                <w:highlight w:val="none"/>
              </w:rPr>
            </w:pPr>
          </w:p>
        </w:tc>
      </w:tr>
      <w:tr w14:paraId="20E863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71867A8C">
            <w:pPr>
              <w:spacing w:before="184" w:line="230" w:lineRule="auto"/>
              <w:ind w:left="517"/>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计划管理</w:t>
            </w:r>
          </w:p>
        </w:tc>
        <w:tc>
          <w:tcPr>
            <w:tcW w:w="1414" w:type="dxa"/>
            <w:noWrap w:val="0"/>
            <w:vAlign w:val="top"/>
          </w:tcPr>
          <w:p w14:paraId="0A0F9A77">
            <w:pPr>
              <w:rPr>
                <w:rFonts w:hint="eastAsia" w:ascii="新宋体" w:hAnsi="新宋体" w:eastAsia="新宋体" w:cs="新宋体"/>
                <w:color w:val="auto"/>
                <w:sz w:val="21"/>
                <w:szCs w:val="21"/>
                <w:highlight w:val="none"/>
              </w:rPr>
            </w:pPr>
          </w:p>
        </w:tc>
        <w:tc>
          <w:tcPr>
            <w:tcW w:w="1131" w:type="dxa"/>
            <w:noWrap w:val="0"/>
            <w:vAlign w:val="top"/>
          </w:tcPr>
          <w:p w14:paraId="0C37A4EE">
            <w:pPr>
              <w:rPr>
                <w:rFonts w:hint="eastAsia" w:ascii="新宋体" w:hAnsi="新宋体" w:eastAsia="新宋体" w:cs="新宋体"/>
                <w:color w:val="auto"/>
                <w:sz w:val="21"/>
                <w:szCs w:val="21"/>
                <w:highlight w:val="none"/>
              </w:rPr>
            </w:pPr>
          </w:p>
        </w:tc>
        <w:tc>
          <w:tcPr>
            <w:tcW w:w="1131" w:type="dxa"/>
            <w:noWrap w:val="0"/>
            <w:vAlign w:val="top"/>
          </w:tcPr>
          <w:p w14:paraId="76FF7ACB">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68F4CF57">
            <w:pPr>
              <w:rPr>
                <w:rFonts w:hint="eastAsia" w:ascii="新宋体" w:hAnsi="新宋体" w:eastAsia="新宋体" w:cs="新宋体"/>
                <w:color w:val="auto"/>
                <w:sz w:val="21"/>
                <w:szCs w:val="21"/>
                <w:highlight w:val="none"/>
              </w:rPr>
            </w:pPr>
          </w:p>
        </w:tc>
      </w:tr>
      <w:tr w14:paraId="09A2B1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tcBorders>
              <w:left w:val="single" w:color="000000" w:sz="10" w:space="0"/>
            </w:tcBorders>
            <w:noWrap w:val="0"/>
            <w:vAlign w:val="top"/>
          </w:tcPr>
          <w:p w14:paraId="68145BB3">
            <w:pPr>
              <w:spacing w:before="187" w:line="228" w:lineRule="auto"/>
              <w:ind w:left="519"/>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安全管理</w:t>
            </w:r>
          </w:p>
        </w:tc>
        <w:tc>
          <w:tcPr>
            <w:tcW w:w="1414" w:type="dxa"/>
            <w:noWrap w:val="0"/>
            <w:vAlign w:val="top"/>
          </w:tcPr>
          <w:p w14:paraId="50682D71">
            <w:pPr>
              <w:rPr>
                <w:rFonts w:hint="eastAsia" w:ascii="新宋体" w:hAnsi="新宋体" w:eastAsia="新宋体" w:cs="新宋体"/>
                <w:color w:val="auto"/>
                <w:sz w:val="21"/>
                <w:szCs w:val="21"/>
                <w:highlight w:val="none"/>
              </w:rPr>
            </w:pPr>
          </w:p>
        </w:tc>
        <w:tc>
          <w:tcPr>
            <w:tcW w:w="1131" w:type="dxa"/>
            <w:noWrap w:val="0"/>
            <w:vAlign w:val="top"/>
          </w:tcPr>
          <w:p w14:paraId="3EBA70FD">
            <w:pPr>
              <w:rPr>
                <w:rFonts w:hint="eastAsia" w:ascii="新宋体" w:hAnsi="新宋体" w:eastAsia="新宋体" w:cs="新宋体"/>
                <w:color w:val="auto"/>
                <w:sz w:val="21"/>
                <w:szCs w:val="21"/>
                <w:highlight w:val="none"/>
              </w:rPr>
            </w:pPr>
          </w:p>
        </w:tc>
        <w:tc>
          <w:tcPr>
            <w:tcW w:w="1131" w:type="dxa"/>
            <w:noWrap w:val="0"/>
            <w:vAlign w:val="top"/>
          </w:tcPr>
          <w:p w14:paraId="2FF535B5">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7A07E80E">
            <w:pPr>
              <w:rPr>
                <w:rFonts w:hint="eastAsia" w:ascii="新宋体" w:hAnsi="新宋体" w:eastAsia="新宋体" w:cs="新宋体"/>
                <w:color w:val="auto"/>
                <w:sz w:val="21"/>
                <w:szCs w:val="21"/>
                <w:highlight w:val="none"/>
              </w:rPr>
            </w:pPr>
          </w:p>
        </w:tc>
      </w:tr>
      <w:tr w14:paraId="307868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vMerge w:val="restart"/>
            <w:tcBorders>
              <w:left w:val="single" w:color="000000" w:sz="10" w:space="0"/>
              <w:bottom w:val="nil"/>
            </w:tcBorders>
            <w:noWrap w:val="0"/>
            <w:vAlign w:val="top"/>
          </w:tcPr>
          <w:p w14:paraId="1274D7BA">
            <w:pPr>
              <w:spacing w:line="250" w:lineRule="auto"/>
              <w:rPr>
                <w:rFonts w:hint="eastAsia" w:ascii="新宋体" w:hAnsi="新宋体" w:eastAsia="新宋体" w:cs="新宋体"/>
                <w:color w:val="auto"/>
                <w:sz w:val="21"/>
                <w:szCs w:val="21"/>
                <w:highlight w:val="none"/>
              </w:rPr>
            </w:pPr>
          </w:p>
          <w:p w14:paraId="5A3F89CE">
            <w:pPr>
              <w:spacing w:line="250" w:lineRule="auto"/>
              <w:rPr>
                <w:rFonts w:hint="eastAsia" w:ascii="新宋体" w:hAnsi="新宋体" w:eastAsia="新宋体" w:cs="新宋体"/>
                <w:color w:val="auto"/>
                <w:sz w:val="21"/>
                <w:szCs w:val="21"/>
                <w:highlight w:val="none"/>
              </w:rPr>
            </w:pPr>
          </w:p>
          <w:p w14:paraId="72A8775D">
            <w:pPr>
              <w:spacing w:line="250" w:lineRule="auto"/>
              <w:rPr>
                <w:rFonts w:hint="eastAsia" w:ascii="新宋体" w:hAnsi="新宋体" w:eastAsia="新宋体" w:cs="新宋体"/>
                <w:color w:val="auto"/>
                <w:sz w:val="21"/>
                <w:szCs w:val="21"/>
                <w:highlight w:val="none"/>
              </w:rPr>
            </w:pPr>
          </w:p>
          <w:p w14:paraId="4A745D2C">
            <w:pPr>
              <w:spacing w:line="250" w:lineRule="auto"/>
              <w:rPr>
                <w:rFonts w:hint="eastAsia" w:ascii="新宋体" w:hAnsi="新宋体" w:eastAsia="新宋体" w:cs="新宋体"/>
                <w:color w:val="auto"/>
                <w:sz w:val="21"/>
                <w:szCs w:val="21"/>
                <w:highlight w:val="none"/>
              </w:rPr>
            </w:pPr>
          </w:p>
          <w:p w14:paraId="615696CF">
            <w:pPr>
              <w:spacing w:line="251" w:lineRule="auto"/>
              <w:rPr>
                <w:rFonts w:hint="eastAsia" w:ascii="新宋体" w:hAnsi="新宋体" w:eastAsia="新宋体" w:cs="新宋体"/>
                <w:color w:val="auto"/>
                <w:sz w:val="21"/>
                <w:szCs w:val="21"/>
                <w:highlight w:val="none"/>
              </w:rPr>
            </w:pPr>
          </w:p>
          <w:p w14:paraId="2D6E7E95">
            <w:pPr>
              <w:spacing w:before="65" w:line="230" w:lineRule="auto"/>
              <w:ind w:left="518"/>
              <w:rPr>
                <w:rFonts w:hint="eastAsia" w:ascii="新宋体" w:hAnsi="新宋体" w:eastAsia="新宋体" w:cs="新宋体"/>
                <w:color w:val="auto"/>
                <w:sz w:val="21"/>
                <w:szCs w:val="21"/>
                <w:highlight w:val="none"/>
              </w:rPr>
            </w:pPr>
            <w:r>
              <w:rPr>
                <w:rFonts w:hint="eastAsia" w:ascii="新宋体" w:hAnsi="新宋体" w:eastAsia="新宋体" w:cs="新宋体"/>
                <w:color w:val="auto"/>
                <w:spacing w:val="5"/>
                <w:sz w:val="21"/>
                <w:szCs w:val="21"/>
                <w:highlight w:val="none"/>
              </w:rPr>
              <w:t>其他人员</w:t>
            </w:r>
          </w:p>
        </w:tc>
        <w:tc>
          <w:tcPr>
            <w:tcW w:w="1414" w:type="dxa"/>
            <w:noWrap w:val="0"/>
            <w:vAlign w:val="top"/>
          </w:tcPr>
          <w:p w14:paraId="786FBA98">
            <w:pPr>
              <w:rPr>
                <w:rFonts w:hint="eastAsia" w:ascii="新宋体" w:hAnsi="新宋体" w:eastAsia="新宋体" w:cs="新宋体"/>
                <w:color w:val="auto"/>
                <w:sz w:val="21"/>
                <w:szCs w:val="21"/>
                <w:highlight w:val="none"/>
              </w:rPr>
            </w:pPr>
          </w:p>
        </w:tc>
        <w:tc>
          <w:tcPr>
            <w:tcW w:w="1131" w:type="dxa"/>
            <w:noWrap w:val="0"/>
            <w:vAlign w:val="top"/>
          </w:tcPr>
          <w:p w14:paraId="468AAC0E">
            <w:pPr>
              <w:rPr>
                <w:rFonts w:hint="eastAsia" w:ascii="新宋体" w:hAnsi="新宋体" w:eastAsia="新宋体" w:cs="新宋体"/>
                <w:color w:val="auto"/>
                <w:sz w:val="21"/>
                <w:szCs w:val="21"/>
                <w:highlight w:val="none"/>
              </w:rPr>
            </w:pPr>
          </w:p>
        </w:tc>
        <w:tc>
          <w:tcPr>
            <w:tcW w:w="1131" w:type="dxa"/>
            <w:noWrap w:val="0"/>
            <w:vAlign w:val="top"/>
          </w:tcPr>
          <w:p w14:paraId="7F865389">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386B921C">
            <w:pPr>
              <w:rPr>
                <w:rFonts w:hint="eastAsia" w:ascii="新宋体" w:hAnsi="新宋体" w:eastAsia="新宋体" w:cs="新宋体"/>
                <w:color w:val="auto"/>
                <w:sz w:val="21"/>
                <w:szCs w:val="21"/>
                <w:highlight w:val="none"/>
              </w:rPr>
            </w:pPr>
          </w:p>
        </w:tc>
      </w:tr>
      <w:tr w14:paraId="65BD19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vMerge w:val="continue"/>
            <w:tcBorders>
              <w:top w:val="nil"/>
              <w:left w:val="single" w:color="000000" w:sz="10" w:space="0"/>
              <w:bottom w:val="nil"/>
            </w:tcBorders>
            <w:noWrap w:val="0"/>
            <w:vAlign w:val="top"/>
          </w:tcPr>
          <w:p w14:paraId="239CC98D">
            <w:pPr>
              <w:rPr>
                <w:rFonts w:hint="eastAsia" w:ascii="新宋体" w:hAnsi="新宋体" w:eastAsia="新宋体" w:cs="新宋体"/>
                <w:color w:val="auto"/>
                <w:sz w:val="21"/>
                <w:szCs w:val="21"/>
                <w:highlight w:val="none"/>
              </w:rPr>
            </w:pPr>
          </w:p>
        </w:tc>
        <w:tc>
          <w:tcPr>
            <w:tcW w:w="1414" w:type="dxa"/>
            <w:noWrap w:val="0"/>
            <w:vAlign w:val="top"/>
          </w:tcPr>
          <w:p w14:paraId="1AB4A839">
            <w:pPr>
              <w:rPr>
                <w:rFonts w:hint="eastAsia" w:ascii="新宋体" w:hAnsi="新宋体" w:eastAsia="新宋体" w:cs="新宋体"/>
                <w:color w:val="auto"/>
                <w:sz w:val="21"/>
                <w:szCs w:val="21"/>
                <w:highlight w:val="none"/>
              </w:rPr>
            </w:pPr>
          </w:p>
        </w:tc>
        <w:tc>
          <w:tcPr>
            <w:tcW w:w="1131" w:type="dxa"/>
            <w:noWrap w:val="0"/>
            <w:vAlign w:val="top"/>
          </w:tcPr>
          <w:p w14:paraId="5EE02A75">
            <w:pPr>
              <w:rPr>
                <w:rFonts w:hint="eastAsia" w:ascii="新宋体" w:hAnsi="新宋体" w:eastAsia="新宋体" w:cs="新宋体"/>
                <w:color w:val="auto"/>
                <w:sz w:val="21"/>
                <w:szCs w:val="21"/>
                <w:highlight w:val="none"/>
              </w:rPr>
            </w:pPr>
          </w:p>
        </w:tc>
        <w:tc>
          <w:tcPr>
            <w:tcW w:w="1131" w:type="dxa"/>
            <w:noWrap w:val="0"/>
            <w:vAlign w:val="top"/>
          </w:tcPr>
          <w:p w14:paraId="49B5320B">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793E0CBB">
            <w:pPr>
              <w:rPr>
                <w:rFonts w:hint="eastAsia" w:ascii="新宋体" w:hAnsi="新宋体" w:eastAsia="新宋体" w:cs="新宋体"/>
                <w:color w:val="auto"/>
                <w:sz w:val="21"/>
                <w:szCs w:val="21"/>
                <w:highlight w:val="none"/>
              </w:rPr>
            </w:pPr>
          </w:p>
        </w:tc>
      </w:tr>
      <w:tr w14:paraId="5342A4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1881" w:type="dxa"/>
            <w:vMerge w:val="continue"/>
            <w:tcBorders>
              <w:top w:val="nil"/>
              <w:left w:val="single" w:color="000000" w:sz="10" w:space="0"/>
              <w:bottom w:val="nil"/>
            </w:tcBorders>
            <w:noWrap w:val="0"/>
            <w:vAlign w:val="top"/>
          </w:tcPr>
          <w:p w14:paraId="1C0606C5">
            <w:pPr>
              <w:rPr>
                <w:rFonts w:hint="eastAsia" w:ascii="新宋体" w:hAnsi="新宋体" w:eastAsia="新宋体" w:cs="新宋体"/>
                <w:color w:val="auto"/>
                <w:sz w:val="21"/>
                <w:szCs w:val="21"/>
                <w:highlight w:val="none"/>
              </w:rPr>
            </w:pPr>
          </w:p>
        </w:tc>
        <w:tc>
          <w:tcPr>
            <w:tcW w:w="1414" w:type="dxa"/>
            <w:noWrap w:val="0"/>
            <w:vAlign w:val="top"/>
          </w:tcPr>
          <w:p w14:paraId="3DE148D5">
            <w:pPr>
              <w:rPr>
                <w:rFonts w:hint="eastAsia" w:ascii="新宋体" w:hAnsi="新宋体" w:eastAsia="新宋体" w:cs="新宋体"/>
                <w:color w:val="auto"/>
                <w:sz w:val="21"/>
                <w:szCs w:val="21"/>
                <w:highlight w:val="none"/>
              </w:rPr>
            </w:pPr>
          </w:p>
        </w:tc>
        <w:tc>
          <w:tcPr>
            <w:tcW w:w="1131" w:type="dxa"/>
            <w:noWrap w:val="0"/>
            <w:vAlign w:val="top"/>
          </w:tcPr>
          <w:p w14:paraId="7D2C98F6">
            <w:pPr>
              <w:rPr>
                <w:rFonts w:hint="eastAsia" w:ascii="新宋体" w:hAnsi="新宋体" w:eastAsia="新宋体" w:cs="新宋体"/>
                <w:color w:val="auto"/>
                <w:sz w:val="21"/>
                <w:szCs w:val="21"/>
                <w:highlight w:val="none"/>
              </w:rPr>
            </w:pPr>
          </w:p>
        </w:tc>
        <w:tc>
          <w:tcPr>
            <w:tcW w:w="1131" w:type="dxa"/>
            <w:noWrap w:val="0"/>
            <w:vAlign w:val="top"/>
          </w:tcPr>
          <w:p w14:paraId="6F20BC43">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7B551A2D">
            <w:pPr>
              <w:rPr>
                <w:rFonts w:hint="eastAsia" w:ascii="新宋体" w:hAnsi="新宋体" w:eastAsia="新宋体" w:cs="新宋体"/>
                <w:color w:val="auto"/>
                <w:sz w:val="21"/>
                <w:szCs w:val="21"/>
                <w:highlight w:val="none"/>
              </w:rPr>
            </w:pPr>
          </w:p>
        </w:tc>
      </w:tr>
      <w:tr w14:paraId="2F1B86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1881" w:type="dxa"/>
            <w:vMerge w:val="continue"/>
            <w:tcBorders>
              <w:top w:val="nil"/>
              <w:left w:val="single" w:color="000000" w:sz="10" w:space="0"/>
              <w:bottom w:val="nil"/>
            </w:tcBorders>
            <w:noWrap w:val="0"/>
            <w:vAlign w:val="top"/>
          </w:tcPr>
          <w:p w14:paraId="518F7D35">
            <w:pPr>
              <w:rPr>
                <w:rFonts w:hint="eastAsia" w:ascii="新宋体" w:hAnsi="新宋体" w:eastAsia="新宋体" w:cs="新宋体"/>
                <w:color w:val="auto"/>
                <w:sz w:val="21"/>
                <w:szCs w:val="21"/>
                <w:highlight w:val="none"/>
              </w:rPr>
            </w:pPr>
          </w:p>
        </w:tc>
        <w:tc>
          <w:tcPr>
            <w:tcW w:w="1414" w:type="dxa"/>
            <w:noWrap w:val="0"/>
            <w:vAlign w:val="top"/>
          </w:tcPr>
          <w:p w14:paraId="3FDC313B">
            <w:pPr>
              <w:rPr>
                <w:rFonts w:hint="eastAsia" w:ascii="新宋体" w:hAnsi="新宋体" w:eastAsia="新宋体" w:cs="新宋体"/>
                <w:color w:val="auto"/>
                <w:sz w:val="21"/>
                <w:szCs w:val="21"/>
                <w:highlight w:val="none"/>
              </w:rPr>
            </w:pPr>
          </w:p>
        </w:tc>
        <w:tc>
          <w:tcPr>
            <w:tcW w:w="1131" w:type="dxa"/>
            <w:noWrap w:val="0"/>
            <w:vAlign w:val="top"/>
          </w:tcPr>
          <w:p w14:paraId="67BC1990">
            <w:pPr>
              <w:rPr>
                <w:rFonts w:hint="eastAsia" w:ascii="新宋体" w:hAnsi="新宋体" w:eastAsia="新宋体" w:cs="新宋体"/>
                <w:color w:val="auto"/>
                <w:sz w:val="21"/>
                <w:szCs w:val="21"/>
                <w:highlight w:val="none"/>
              </w:rPr>
            </w:pPr>
          </w:p>
        </w:tc>
        <w:tc>
          <w:tcPr>
            <w:tcW w:w="1131" w:type="dxa"/>
            <w:noWrap w:val="0"/>
            <w:vAlign w:val="top"/>
          </w:tcPr>
          <w:p w14:paraId="1275F92A">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6197887E">
            <w:pPr>
              <w:rPr>
                <w:rFonts w:hint="eastAsia" w:ascii="新宋体" w:hAnsi="新宋体" w:eastAsia="新宋体" w:cs="新宋体"/>
                <w:color w:val="auto"/>
                <w:sz w:val="21"/>
                <w:szCs w:val="21"/>
                <w:highlight w:val="none"/>
              </w:rPr>
            </w:pPr>
          </w:p>
        </w:tc>
      </w:tr>
      <w:tr w14:paraId="01C2C3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1881" w:type="dxa"/>
            <w:vMerge w:val="continue"/>
            <w:tcBorders>
              <w:top w:val="nil"/>
              <w:left w:val="single" w:color="000000" w:sz="10" w:space="0"/>
              <w:bottom w:val="nil"/>
            </w:tcBorders>
            <w:noWrap w:val="0"/>
            <w:vAlign w:val="top"/>
          </w:tcPr>
          <w:p w14:paraId="30D4BEAA">
            <w:pPr>
              <w:rPr>
                <w:rFonts w:hint="eastAsia" w:ascii="新宋体" w:hAnsi="新宋体" w:eastAsia="新宋体" w:cs="新宋体"/>
                <w:color w:val="auto"/>
                <w:sz w:val="21"/>
                <w:szCs w:val="21"/>
                <w:highlight w:val="none"/>
              </w:rPr>
            </w:pPr>
          </w:p>
        </w:tc>
        <w:tc>
          <w:tcPr>
            <w:tcW w:w="1414" w:type="dxa"/>
            <w:noWrap w:val="0"/>
            <w:vAlign w:val="top"/>
          </w:tcPr>
          <w:p w14:paraId="322F0FD4">
            <w:pPr>
              <w:rPr>
                <w:rFonts w:hint="eastAsia" w:ascii="新宋体" w:hAnsi="新宋体" w:eastAsia="新宋体" w:cs="新宋体"/>
                <w:color w:val="auto"/>
                <w:sz w:val="21"/>
                <w:szCs w:val="21"/>
                <w:highlight w:val="none"/>
              </w:rPr>
            </w:pPr>
          </w:p>
        </w:tc>
        <w:tc>
          <w:tcPr>
            <w:tcW w:w="1131" w:type="dxa"/>
            <w:noWrap w:val="0"/>
            <w:vAlign w:val="top"/>
          </w:tcPr>
          <w:p w14:paraId="64AEF2C7">
            <w:pPr>
              <w:rPr>
                <w:rFonts w:hint="eastAsia" w:ascii="新宋体" w:hAnsi="新宋体" w:eastAsia="新宋体" w:cs="新宋体"/>
                <w:color w:val="auto"/>
                <w:sz w:val="21"/>
                <w:szCs w:val="21"/>
                <w:highlight w:val="none"/>
              </w:rPr>
            </w:pPr>
          </w:p>
        </w:tc>
        <w:tc>
          <w:tcPr>
            <w:tcW w:w="1131" w:type="dxa"/>
            <w:noWrap w:val="0"/>
            <w:vAlign w:val="top"/>
          </w:tcPr>
          <w:p w14:paraId="1AF635C5">
            <w:pPr>
              <w:rPr>
                <w:rFonts w:hint="eastAsia" w:ascii="新宋体" w:hAnsi="新宋体" w:eastAsia="新宋体" w:cs="新宋体"/>
                <w:color w:val="auto"/>
                <w:sz w:val="21"/>
                <w:szCs w:val="21"/>
                <w:highlight w:val="none"/>
              </w:rPr>
            </w:pPr>
          </w:p>
        </w:tc>
        <w:tc>
          <w:tcPr>
            <w:tcW w:w="4255" w:type="dxa"/>
            <w:tcBorders>
              <w:right w:val="single" w:color="000000" w:sz="10" w:space="0"/>
            </w:tcBorders>
            <w:noWrap w:val="0"/>
            <w:vAlign w:val="top"/>
          </w:tcPr>
          <w:p w14:paraId="5CAB6521">
            <w:pPr>
              <w:rPr>
                <w:rFonts w:hint="eastAsia" w:ascii="新宋体" w:hAnsi="新宋体" w:eastAsia="新宋体" w:cs="新宋体"/>
                <w:color w:val="auto"/>
                <w:sz w:val="21"/>
                <w:szCs w:val="21"/>
                <w:highlight w:val="none"/>
              </w:rPr>
            </w:pPr>
          </w:p>
        </w:tc>
      </w:tr>
      <w:tr w14:paraId="487521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1881" w:type="dxa"/>
            <w:vMerge w:val="continue"/>
            <w:tcBorders>
              <w:top w:val="nil"/>
              <w:left w:val="single" w:color="000000" w:sz="10" w:space="0"/>
              <w:bottom w:val="single" w:color="000000" w:sz="10" w:space="0"/>
            </w:tcBorders>
            <w:noWrap w:val="0"/>
            <w:vAlign w:val="top"/>
          </w:tcPr>
          <w:p w14:paraId="45A3247F">
            <w:pPr>
              <w:rPr>
                <w:rFonts w:hint="eastAsia" w:ascii="新宋体" w:hAnsi="新宋体" w:eastAsia="新宋体" w:cs="新宋体"/>
                <w:color w:val="auto"/>
                <w:sz w:val="21"/>
                <w:szCs w:val="21"/>
                <w:highlight w:val="none"/>
              </w:rPr>
            </w:pPr>
          </w:p>
        </w:tc>
        <w:tc>
          <w:tcPr>
            <w:tcW w:w="1414" w:type="dxa"/>
            <w:tcBorders>
              <w:bottom w:val="single" w:color="000000" w:sz="10" w:space="0"/>
            </w:tcBorders>
            <w:noWrap w:val="0"/>
            <w:vAlign w:val="top"/>
          </w:tcPr>
          <w:p w14:paraId="4E1A5085">
            <w:pPr>
              <w:rPr>
                <w:rFonts w:hint="eastAsia" w:ascii="新宋体" w:hAnsi="新宋体" w:eastAsia="新宋体" w:cs="新宋体"/>
                <w:color w:val="auto"/>
                <w:sz w:val="21"/>
                <w:szCs w:val="21"/>
                <w:highlight w:val="none"/>
              </w:rPr>
            </w:pPr>
          </w:p>
        </w:tc>
        <w:tc>
          <w:tcPr>
            <w:tcW w:w="1131" w:type="dxa"/>
            <w:tcBorders>
              <w:bottom w:val="single" w:color="000000" w:sz="10" w:space="0"/>
            </w:tcBorders>
            <w:noWrap w:val="0"/>
            <w:vAlign w:val="top"/>
          </w:tcPr>
          <w:p w14:paraId="53DD1E28">
            <w:pPr>
              <w:rPr>
                <w:rFonts w:hint="eastAsia" w:ascii="新宋体" w:hAnsi="新宋体" w:eastAsia="新宋体" w:cs="新宋体"/>
                <w:color w:val="auto"/>
                <w:sz w:val="21"/>
                <w:szCs w:val="21"/>
                <w:highlight w:val="none"/>
              </w:rPr>
            </w:pPr>
          </w:p>
        </w:tc>
        <w:tc>
          <w:tcPr>
            <w:tcW w:w="1131" w:type="dxa"/>
            <w:tcBorders>
              <w:bottom w:val="single" w:color="000000" w:sz="10" w:space="0"/>
            </w:tcBorders>
            <w:noWrap w:val="0"/>
            <w:vAlign w:val="top"/>
          </w:tcPr>
          <w:p w14:paraId="3FEB2120">
            <w:pPr>
              <w:rPr>
                <w:rFonts w:hint="eastAsia" w:ascii="新宋体" w:hAnsi="新宋体" w:eastAsia="新宋体" w:cs="新宋体"/>
                <w:color w:val="auto"/>
                <w:sz w:val="21"/>
                <w:szCs w:val="21"/>
                <w:highlight w:val="none"/>
              </w:rPr>
            </w:pPr>
          </w:p>
        </w:tc>
        <w:tc>
          <w:tcPr>
            <w:tcW w:w="4255" w:type="dxa"/>
            <w:tcBorders>
              <w:bottom w:val="single" w:color="000000" w:sz="10" w:space="0"/>
              <w:right w:val="single" w:color="000000" w:sz="10" w:space="0"/>
            </w:tcBorders>
            <w:noWrap w:val="0"/>
            <w:vAlign w:val="top"/>
          </w:tcPr>
          <w:p w14:paraId="57A158D6">
            <w:pPr>
              <w:rPr>
                <w:rFonts w:hint="eastAsia" w:ascii="新宋体" w:hAnsi="新宋体" w:eastAsia="新宋体" w:cs="新宋体"/>
                <w:color w:val="auto"/>
                <w:sz w:val="21"/>
                <w:szCs w:val="21"/>
                <w:highlight w:val="none"/>
              </w:rPr>
            </w:pPr>
          </w:p>
        </w:tc>
      </w:tr>
    </w:tbl>
    <w:p w14:paraId="4C704D5C">
      <w:pPr>
        <w:pStyle w:val="76"/>
        <w:spacing w:line="288" w:lineRule="auto"/>
        <w:rPr>
          <w:rFonts w:hint="eastAsia" w:ascii="新宋体" w:hAnsi="新宋体" w:eastAsia="新宋体" w:cs="新宋体"/>
          <w:color w:val="auto"/>
          <w:highlight w:val="none"/>
        </w:rPr>
      </w:pPr>
    </w:p>
    <w:p w14:paraId="245B2703">
      <w:pPr>
        <w:pStyle w:val="13"/>
        <w:spacing w:before="240" w:line="231" w:lineRule="auto"/>
        <w:outlineLvl w:val="3"/>
        <w:rPr>
          <w:rFonts w:hint="eastAsia" w:ascii="新宋体" w:hAnsi="新宋体" w:eastAsia="新宋体" w:cs="新宋体"/>
          <w:color w:val="auto"/>
          <w:spacing w:val="-1"/>
          <w:kern w:val="2"/>
          <w:sz w:val="20"/>
          <w:szCs w:val="20"/>
          <w:highlight w:val="none"/>
          <w:lang w:val="en-US" w:eastAsia="zh-CN" w:bidi="ar-SA"/>
        </w:rPr>
      </w:pPr>
      <w:r>
        <w:rPr>
          <w:rFonts w:hint="eastAsia" w:ascii="Times New Roman" w:hAnsi="Times New Roman" w:eastAsia="宋体" w:cs="宋体"/>
          <w:color w:val="auto"/>
          <w:sz w:val="21"/>
          <w:szCs w:val="21"/>
          <w:highlight w:val="none"/>
        </w:rPr>
        <w:br w:type="page"/>
      </w:r>
      <w:bookmarkStart w:id="1031" w:name="_Toc3325"/>
      <w:r>
        <w:rPr>
          <w:rFonts w:hint="eastAsia" w:ascii="新宋体" w:hAnsi="新宋体" w:eastAsia="新宋体" w:cs="新宋体"/>
          <w:color w:val="auto"/>
          <w:spacing w:val="-1"/>
          <w:kern w:val="2"/>
          <w:sz w:val="20"/>
          <w:szCs w:val="20"/>
          <w:highlight w:val="none"/>
          <w:lang w:val="en-US" w:eastAsia="zh-CN" w:bidi="ar-SA"/>
        </w:rPr>
        <w:t>附件8：</w:t>
      </w:r>
      <w:bookmarkEnd w:id="1031"/>
    </w:p>
    <w:p w14:paraId="39A67B51">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32" w:name="_Toc17367"/>
      <w:r>
        <w:rPr>
          <w:rFonts w:hint="eastAsia" w:ascii="新宋体" w:hAnsi="新宋体" w:eastAsia="新宋体" w:cs="新宋体"/>
          <w:b/>
          <w:bCs/>
          <w:color w:val="auto"/>
          <w:spacing w:val="8"/>
          <w:sz w:val="28"/>
          <w:szCs w:val="28"/>
          <w:highlight w:val="none"/>
        </w:rPr>
        <w:t>履约担保</w:t>
      </w:r>
      <w:bookmarkEnd w:id="1032"/>
    </w:p>
    <w:p w14:paraId="7B217588">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rPr>
        <w:t>（发包人名称）：</w:t>
      </w:r>
    </w:p>
    <w:p w14:paraId="467041DF">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p>
    <w:p w14:paraId="394553B7">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鉴于</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 xml:space="preserve">（发包人名称，以下简称“发包人”）与 </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（承包人名称）（以下称“承包人”）于</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年</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月</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日就</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 xml:space="preserve">（工程名称）施工及有关事项协商一致共同签订《建设工程施工合同》。我方愿意无条件地、不可撤销地就承包人履行与你方签订的合同，向你方提供连带责任担保。 </w:t>
      </w:r>
    </w:p>
    <w:p w14:paraId="03358397">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 担保金额人民币（大写）</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元（¥</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w:t>
      </w:r>
    </w:p>
    <w:p w14:paraId="1B1F266C">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 担保有效期自你方与承包人签订的合同生效之日起至你方签发或应签发工程接收证书之日止。</w:t>
      </w:r>
    </w:p>
    <w:p w14:paraId="56827C21">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 在本担保有效期内，因承包人违反合同约定的义务给你方造成经济损失时，我方在收到你方以书面形式提出的在担保金额内的赔偿要求后，在7天内无条件支付。</w:t>
      </w:r>
    </w:p>
    <w:p w14:paraId="577FAEA1">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 你方和承包人按合同约定变更合同时，我方承担本担保规定的义务不变。</w:t>
      </w:r>
    </w:p>
    <w:p w14:paraId="382AB80F">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 因本保函发生的纠纷，可由双方协商解决，协商不成的，任何一方均可提请</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仲裁委员会仲裁。</w:t>
      </w:r>
    </w:p>
    <w:p w14:paraId="72AF4721">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6. 本保函自我方法定代表人（或其授权代理人）签字并加盖公章之日起生效。</w:t>
      </w:r>
    </w:p>
    <w:p w14:paraId="0FA23B38">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p>
    <w:p w14:paraId="7EA8393B">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担 保 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（盖单位章）</w:t>
      </w:r>
    </w:p>
    <w:p w14:paraId="28E11132">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法定代表人或其委托代理人：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（签字）</w:t>
      </w:r>
    </w:p>
    <w:p w14:paraId="69136873">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地    址：</w:t>
      </w:r>
      <w:r>
        <w:rPr>
          <w:rFonts w:hint="eastAsia" w:ascii="Times New Roman" w:hAnsi="Times New Roman" w:eastAsia="宋体" w:cs="宋体"/>
          <w:color w:val="auto"/>
          <w:sz w:val="21"/>
          <w:szCs w:val="21"/>
          <w:highlight w:val="none"/>
          <w:u w:val="single"/>
        </w:rPr>
        <w:t xml:space="preserve">                                      </w:t>
      </w:r>
    </w:p>
    <w:p w14:paraId="6965B9B0">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邮政编码：</w:t>
      </w:r>
      <w:r>
        <w:rPr>
          <w:rFonts w:hint="eastAsia" w:ascii="Times New Roman" w:hAnsi="Times New Roman" w:eastAsia="宋体" w:cs="宋体"/>
          <w:color w:val="auto"/>
          <w:sz w:val="21"/>
          <w:szCs w:val="21"/>
          <w:highlight w:val="none"/>
          <w:u w:val="single"/>
        </w:rPr>
        <w:t xml:space="preserve">                                      </w:t>
      </w:r>
    </w:p>
    <w:p w14:paraId="019C89FC">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u w:val="single"/>
        </w:rPr>
      </w:pPr>
      <w:r>
        <w:rPr>
          <w:rFonts w:hint="eastAsia" w:ascii="Times New Roman" w:hAnsi="Times New Roman" w:eastAsia="宋体" w:cs="宋体"/>
          <w:color w:val="auto"/>
          <w:sz w:val="21"/>
          <w:szCs w:val="21"/>
          <w:highlight w:val="none"/>
        </w:rPr>
        <w:t>电    话：</w:t>
      </w:r>
      <w:r>
        <w:rPr>
          <w:rFonts w:hint="eastAsia" w:ascii="Times New Roman" w:hAnsi="Times New Roman" w:eastAsia="宋体" w:cs="宋体"/>
          <w:color w:val="auto"/>
          <w:sz w:val="21"/>
          <w:szCs w:val="21"/>
          <w:highlight w:val="none"/>
          <w:u w:val="single"/>
        </w:rPr>
        <w:t xml:space="preserve">                                      </w:t>
      </w:r>
    </w:p>
    <w:p w14:paraId="7C349A98">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传    真：</w:t>
      </w:r>
      <w:r>
        <w:rPr>
          <w:rFonts w:hint="eastAsia" w:ascii="Times New Roman" w:hAnsi="Times New Roman" w:eastAsia="宋体" w:cs="宋体"/>
          <w:color w:val="auto"/>
          <w:sz w:val="21"/>
          <w:szCs w:val="21"/>
          <w:highlight w:val="none"/>
          <w:u w:val="single"/>
        </w:rPr>
        <w:t xml:space="preserve">                                      </w:t>
      </w:r>
    </w:p>
    <w:p w14:paraId="38866FD3">
      <w:pPr>
        <w:pageBreakBefore w:val="0"/>
        <w:widowControl w:val="0"/>
        <w:kinsoku/>
        <w:wordWrap/>
        <w:overflowPunct/>
        <w:topLinePunct w:val="0"/>
        <w:bidi w:val="0"/>
        <w:snapToGrid/>
        <w:spacing w:line="360" w:lineRule="exact"/>
        <w:ind w:left="0" w:leftChars="0" w:right="0" w:rightChars="0"/>
        <w:jc w:val="left"/>
        <w:rPr>
          <w:rFonts w:hint="eastAsia" w:ascii="Times New Roman" w:hAnsi="Times New Roman" w:eastAsia="宋体" w:cs="宋体"/>
          <w:color w:val="auto"/>
          <w:sz w:val="21"/>
          <w:szCs w:val="21"/>
          <w:highlight w:val="none"/>
          <w:u w:val="single"/>
        </w:rPr>
      </w:pPr>
    </w:p>
    <w:p w14:paraId="61115027">
      <w:pPr>
        <w:pageBreakBefore w:val="0"/>
        <w:widowControl w:val="0"/>
        <w:kinsoku/>
        <w:wordWrap/>
        <w:overflowPunct/>
        <w:topLinePunct w:val="0"/>
        <w:bidi w:val="0"/>
        <w:snapToGrid/>
        <w:spacing w:line="360" w:lineRule="exact"/>
        <w:ind w:left="1329" w:leftChars="0" w:right="0" w:rightChars="0" w:hanging="1329" w:hangingChars="633"/>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 xml:space="preserve">               </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年</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月</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日</w:t>
      </w:r>
    </w:p>
    <w:p w14:paraId="6717C135">
      <w:pPr>
        <w:pageBreakBefore w:val="0"/>
        <w:widowControl w:val="0"/>
        <w:kinsoku/>
        <w:wordWrap/>
        <w:overflowPunct/>
        <w:topLinePunct w:val="0"/>
        <w:bidi w:val="0"/>
        <w:snapToGrid/>
        <w:spacing w:line="360" w:lineRule="exact"/>
        <w:ind w:left="1329" w:leftChars="0" w:right="0" w:rightChars="0" w:hanging="1329" w:hangingChars="633"/>
        <w:rPr>
          <w:rFonts w:hint="eastAsia" w:ascii="Times New Roman" w:hAnsi="Times New Roman" w:eastAsia="宋体" w:cs="宋体"/>
          <w:color w:val="auto"/>
          <w:sz w:val="21"/>
          <w:szCs w:val="21"/>
          <w:highlight w:val="none"/>
        </w:rPr>
      </w:pPr>
    </w:p>
    <w:p w14:paraId="5585A3BC">
      <w:pPr>
        <w:pageBreakBefore w:val="0"/>
        <w:widowControl w:val="0"/>
        <w:kinsoku/>
        <w:wordWrap/>
        <w:overflowPunct/>
        <w:topLinePunct w:val="0"/>
        <w:bidi w:val="0"/>
        <w:snapToGrid/>
        <w:spacing w:line="360" w:lineRule="exact"/>
        <w:ind w:left="1329" w:leftChars="0" w:right="0" w:rightChars="0" w:hanging="1329" w:hangingChars="633"/>
        <w:rPr>
          <w:rFonts w:hint="eastAsia" w:ascii="Times New Roman" w:hAnsi="Times New Roman" w:eastAsia="宋体" w:cs="宋体"/>
          <w:color w:val="auto"/>
          <w:sz w:val="21"/>
          <w:szCs w:val="21"/>
          <w:highlight w:val="none"/>
        </w:rPr>
      </w:pPr>
    </w:p>
    <w:p w14:paraId="26A77CDF">
      <w:pPr>
        <w:pStyle w:val="13"/>
        <w:rPr>
          <w:rFonts w:hint="eastAsia" w:ascii="Times New Roman" w:hAnsi="Times New Roman" w:eastAsia="宋体" w:cs="宋体"/>
          <w:color w:val="auto"/>
          <w:sz w:val="21"/>
          <w:szCs w:val="21"/>
          <w:highlight w:val="none"/>
        </w:rPr>
      </w:pPr>
    </w:p>
    <w:p w14:paraId="408BBE1B">
      <w:pPr>
        <w:pStyle w:val="13"/>
        <w:rPr>
          <w:rFonts w:hint="eastAsia" w:ascii="Times New Roman" w:hAnsi="Times New Roman" w:eastAsia="宋体" w:cs="宋体"/>
          <w:color w:val="auto"/>
          <w:sz w:val="21"/>
          <w:szCs w:val="21"/>
          <w:highlight w:val="none"/>
        </w:rPr>
      </w:pPr>
    </w:p>
    <w:p w14:paraId="7AC30131">
      <w:pPr>
        <w:pStyle w:val="13"/>
        <w:spacing w:before="240" w:line="231" w:lineRule="auto"/>
        <w:outlineLvl w:val="3"/>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br w:type="page"/>
      </w:r>
      <w:bookmarkStart w:id="1033" w:name="_Toc26489"/>
      <w:r>
        <w:rPr>
          <w:rFonts w:hint="eastAsia" w:ascii="Times New Roman" w:hAnsi="Times New Roman" w:eastAsia="宋体" w:cs="宋体"/>
          <w:color w:val="auto"/>
          <w:sz w:val="21"/>
          <w:szCs w:val="21"/>
          <w:highlight w:val="none"/>
        </w:rPr>
        <w:t>附</w:t>
      </w:r>
      <w:bookmarkStart w:id="1034" w:name="_Toc296347231"/>
      <w:bookmarkStart w:id="1035" w:name="_Toc296891272"/>
      <w:bookmarkStart w:id="1036" w:name="_Toc267261702"/>
      <w:bookmarkStart w:id="1037" w:name="_Toc296891060"/>
      <w:bookmarkStart w:id="1038" w:name="_Toc296944571"/>
      <w:bookmarkStart w:id="1039" w:name="_Toc296346733"/>
      <w:bookmarkStart w:id="1040" w:name="_Toc296503232"/>
      <w:r>
        <w:rPr>
          <w:rFonts w:hint="eastAsia" w:ascii="Times New Roman" w:hAnsi="Times New Roman" w:eastAsia="宋体" w:cs="宋体"/>
          <w:color w:val="auto"/>
          <w:sz w:val="21"/>
          <w:szCs w:val="21"/>
          <w:highlight w:val="none"/>
        </w:rPr>
        <w:t>件9 ：</w:t>
      </w:r>
      <w:bookmarkEnd w:id="1033"/>
    </w:p>
    <w:bookmarkEnd w:id="1034"/>
    <w:bookmarkEnd w:id="1035"/>
    <w:bookmarkEnd w:id="1036"/>
    <w:bookmarkEnd w:id="1037"/>
    <w:bookmarkEnd w:id="1038"/>
    <w:bookmarkEnd w:id="1039"/>
    <w:bookmarkEnd w:id="1040"/>
    <w:p w14:paraId="5EFC47A9">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41" w:name="_Toc15544"/>
      <w:r>
        <w:rPr>
          <w:rFonts w:hint="eastAsia" w:ascii="新宋体" w:hAnsi="新宋体" w:eastAsia="新宋体" w:cs="新宋体"/>
          <w:b/>
          <w:bCs/>
          <w:color w:val="auto"/>
          <w:spacing w:val="8"/>
          <w:sz w:val="28"/>
          <w:szCs w:val="28"/>
          <w:highlight w:val="none"/>
        </w:rPr>
        <w:t>预付款担保</w:t>
      </w:r>
      <w:bookmarkEnd w:id="1041"/>
    </w:p>
    <w:p w14:paraId="13FC2019">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 xml:space="preserve"> （发包人名称）：</w:t>
      </w:r>
    </w:p>
    <w:p w14:paraId="2A41C30E">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p>
    <w:p w14:paraId="496F48A2">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根据</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（承包人名称）（以下称“承包人”）与</w:t>
      </w:r>
      <w:r>
        <w:rPr>
          <w:rFonts w:hint="eastAsia" w:ascii="Times New Roman" w:hAnsi="Times New Roman" w:eastAsia="宋体" w:cs="宋体"/>
          <w:color w:val="auto"/>
          <w:sz w:val="21"/>
          <w:szCs w:val="21"/>
          <w:highlight w:val="none"/>
          <w:u w:val="single"/>
        </w:rPr>
        <w:t xml:space="preserve">                        </w:t>
      </w:r>
      <w:bookmarkStart w:id="1042" w:name="_Toc23079"/>
      <w:bookmarkStart w:id="1043" w:name="_Toc19561"/>
      <w:bookmarkStart w:id="1044" w:name="_Toc29110"/>
      <w:r>
        <w:rPr>
          <w:rFonts w:hint="eastAsia" w:ascii="Times New Roman" w:hAnsi="Times New Roman" w:eastAsia="宋体" w:cs="宋体"/>
          <w:color w:val="auto"/>
          <w:sz w:val="21"/>
          <w:szCs w:val="21"/>
          <w:highlight w:val="none"/>
        </w:rPr>
        <w:t>（发包人名称）（以下简称“发包人”）</w:t>
      </w:r>
      <w:bookmarkEnd w:id="1042"/>
      <w:bookmarkEnd w:id="1043"/>
      <w:bookmarkEnd w:id="1044"/>
      <w:r>
        <w:rPr>
          <w:rFonts w:hint="eastAsia" w:ascii="Times New Roman" w:hAnsi="Times New Roman" w:eastAsia="宋体" w:cs="宋体"/>
          <w:color w:val="auto"/>
          <w:sz w:val="21"/>
          <w:szCs w:val="21"/>
          <w:highlight w:val="none"/>
        </w:rPr>
        <w:t>于</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年</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月</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日签订的</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（工程名称）《建设工程施工合同》，承包人按约定的金额向你方提交一份预付款担保，即有权得到你方支付相等金额的预付款。我方愿意就你方提供给承包人的预付款为承包人提供连带责任担保。</w:t>
      </w:r>
    </w:p>
    <w:p w14:paraId="4C463ACE">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 担保金额人民币（大写）</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元（¥</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w:t>
      </w:r>
    </w:p>
    <w:p w14:paraId="3BA5B8FB">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 担保有效期自预付款支付给承包人起生效，至你方签发的进度款支付证书说明已完全扣清止。</w:t>
      </w:r>
    </w:p>
    <w:p w14:paraId="37E11438">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 在本保函有效期内，因承包人违反合同约定的义务而要求收回预付款时，我方在收到你方的书面通知后，在７天内无条件支付。但本保函的担保金额，在任何时候不应超过预付款金额减去你方按合同约定在向承包人签发的进度款支付证书中扣除的金额。</w:t>
      </w:r>
    </w:p>
    <w:p w14:paraId="46DEDACD">
      <w:pPr>
        <w:pageBreakBefore w:val="0"/>
        <w:widowControl w:val="0"/>
        <w:kinsoku/>
        <w:wordWrap/>
        <w:overflowPunct/>
        <w:topLinePunct w:val="0"/>
        <w:bidi w:val="0"/>
        <w:snapToGrid/>
        <w:spacing w:line="360" w:lineRule="exact"/>
        <w:ind w:left="0" w:leftChars="0" w:right="0" w:rightChars="0" w:firstLine="420" w:firstLineChars="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 你方和承包人按合同约定变更合同时，我方承担本保函规定的义务不变。</w:t>
      </w:r>
    </w:p>
    <w:p w14:paraId="6886BE2C">
      <w:pPr>
        <w:pageBreakBefore w:val="0"/>
        <w:widowControl w:val="0"/>
        <w:kinsoku/>
        <w:wordWrap/>
        <w:overflowPunct/>
        <w:topLinePunct w:val="0"/>
        <w:bidi w:val="0"/>
        <w:snapToGrid/>
        <w:spacing w:line="360" w:lineRule="exact"/>
        <w:ind w:left="0" w:leftChars="0" w:right="0" w:rightChars="0" w:firstLine="420" w:firstLineChars="200"/>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 因本保函发生的纠纷，可由双方协商解决，协商不成的，任何一方均可提请</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仲裁委员会仲裁。</w:t>
      </w:r>
    </w:p>
    <w:p w14:paraId="17A9F20D">
      <w:pPr>
        <w:pageBreakBefore w:val="0"/>
        <w:widowControl w:val="0"/>
        <w:kinsoku/>
        <w:wordWrap/>
        <w:overflowPunct/>
        <w:topLinePunct w:val="0"/>
        <w:bidi w:val="0"/>
        <w:snapToGrid/>
        <w:spacing w:line="360" w:lineRule="exact"/>
        <w:ind w:left="0" w:leftChars="0" w:right="0" w:rightChars="0" w:firstLine="420" w:firstLineChars="200"/>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6. 本保函自我方法定代表人（或其授权代理人）签字并加盖公章之日起生效。</w:t>
      </w:r>
    </w:p>
    <w:p w14:paraId="61884500">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p>
    <w:p w14:paraId="4A2C9957">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p>
    <w:p w14:paraId="76368639">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担保人：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（盖单位章）</w:t>
      </w:r>
    </w:p>
    <w:p w14:paraId="07EC66AF">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法定代表人或其委托代理人：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（签字）</w:t>
      </w:r>
    </w:p>
    <w:p w14:paraId="4A682495">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地    址：</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p>
    <w:p w14:paraId="1BF7D15D">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u w:val="single"/>
        </w:rPr>
      </w:pPr>
      <w:r>
        <w:rPr>
          <w:rFonts w:hint="eastAsia" w:ascii="Times New Roman" w:hAnsi="Times New Roman" w:eastAsia="宋体" w:cs="宋体"/>
          <w:color w:val="auto"/>
          <w:sz w:val="21"/>
          <w:szCs w:val="21"/>
          <w:highlight w:val="none"/>
        </w:rPr>
        <w:t>邮政编码：</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p>
    <w:p w14:paraId="7F0BC90C">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u w:val="single"/>
        </w:rPr>
      </w:pPr>
      <w:r>
        <w:rPr>
          <w:rFonts w:hint="eastAsia" w:ascii="Times New Roman" w:hAnsi="Times New Roman" w:eastAsia="宋体" w:cs="宋体"/>
          <w:color w:val="auto"/>
          <w:sz w:val="21"/>
          <w:szCs w:val="21"/>
          <w:highlight w:val="none"/>
        </w:rPr>
        <w:t>电    话：</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p>
    <w:p w14:paraId="325233E4">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u w:val="single"/>
        </w:rPr>
      </w:pPr>
      <w:r>
        <w:rPr>
          <w:rFonts w:hint="eastAsia" w:ascii="Times New Roman" w:hAnsi="Times New Roman" w:eastAsia="宋体" w:cs="宋体"/>
          <w:color w:val="auto"/>
          <w:sz w:val="21"/>
          <w:szCs w:val="21"/>
          <w:highlight w:val="none"/>
        </w:rPr>
        <w:t>传    真：</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r>
        <w:rPr>
          <w:rFonts w:hint="eastAsia" w:ascii="Times New Roman" w:hAnsi="Times New Roman" w:eastAsia="宋体" w:cs="宋体"/>
          <w:color w:val="auto"/>
          <w:sz w:val="21"/>
          <w:szCs w:val="21"/>
          <w:highlight w:val="none"/>
          <w:u w:val="single"/>
        </w:rPr>
        <w:tab/>
      </w:r>
    </w:p>
    <w:p w14:paraId="4FDBDA4A">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 xml:space="preserve">  </w:t>
      </w:r>
    </w:p>
    <w:p w14:paraId="12AC7BC7">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u w:val="single"/>
        </w:rPr>
      </w:pPr>
    </w:p>
    <w:p w14:paraId="5879A13D">
      <w:pPr>
        <w:pageBreakBefore w:val="0"/>
        <w:widowControl w:val="0"/>
        <w:kinsoku/>
        <w:wordWrap/>
        <w:overflowPunct/>
        <w:topLinePunct w:val="0"/>
        <w:bidi w:val="0"/>
        <w:snapToGrid/>
        <w:spacing w:line="360" w:lineRule="exact"/>
        <w:ind w:left="0" w:leftChars="0" w:right="0" w:rightChars="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 xml:space="preserve">            </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年</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月</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日</w:t>
      </w:r>
    </w:p>
    <w:p w14:paraId="06FF8E43">
      <w:pPr>
        <w:pStyle w:val="13"/>
        <w:spacing w:before="240" w:line="231" w:lineRule="auto"/>
        <w:outlineLvl w:val="3"/>
        <w:rPr>
          <w:rFonts w:hint="eastAsia" w:ascii="Times New Roman" w:hAnsi="Times New Roman" w:eastAsia="宋体" w:cs="宋体"/>
          <w:color w:val="auto"/>
          <w:sz w:val="21"/>
          <w:szCs w:val="21"/>
          <w:highlight w:val="none"/>
        </w:rPr>
      </w:pPr>
      <w:r>
        <w:rPr>
          <w:rFonts w:ascii="Times New Roman" w:hAnsi="Times New Roman" w:eastAsia="仿宋_GB2312"/>
          <w:b/>
          <w:color w:val="auto"/>
          <w:sz w:val="30"/>
          <w:szCs w:val="30"/>
          <w:highlight w:val="none"/>
        </w:rPr>
        <w:br w:type="page"/>
      </w:r>
      <w:bookmarkStart w:id="1045" w:name="_Toc29308"/>
      <w:r>
        <w:rPr>
          <w:rFonts w:hint="eastAsia" w:ascii="Times New Roman" w:hAnsi="Times New Roman" w:eastAsia="宋体" w:cs="宋体"/>
          <w:color w:val="auto"/>
          <w:sz w:val="21"/>
          <w:szCs w:val="21"/>
          <w:highlight w:val="none"/>
        </w:rPr>
        <w:t>附件10:</w:t>
      </w:r>
      <w:bookmarkEnd w:id="1045"/>
      <w:r>
        <w:rPr>
          <w:rFonts w:hint="eastAsia" w:ascii="Times New Roman" w:hAnsi="Times New Roman" w:eastAsia="宋体" w:cs="宋体"/>
          <w:color w:val="auto"/>
          <w:sz w:val="21"/>
          <w:szCs w:val="21"/>
          <w:highlight w:val="none"/>
        </w:rPr>
        <w:t xml:space="preserve">  </w:t>
      </w:r>
    </w:p>
    <w:p w14:paraId="621AFA98">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46" w:name="_Toc3801"/>
      <w:r>
        <w:rPr>
          <w:rFonts w:hint="eastAsia" w:ascii="新宋体" w:hAnsi="新宋体" w:eastAsia="新宋体" w:cs="新宋体"/>
          <w:b/>
          <w:bCs/>
          <w:color w:val="auto"/>
          <w:spacing w:val="8"/>
          <w:sz w:val="28"/>
          <w:szCs w:val="28"/>
          <w:highlight w:val="none"/>
        </w:rPr>
        <w:t>支付担保</w:t>
      </w:r>
      <w:bookmarkEnd w:id="1046"/>
    </w:p>
    <w:p w14:paraId="4D2E0F66">
      <w:pPr>
        <w:spacing w:line="440" w:lineRule="exact"/>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（承包人）：</w:t>
      </w:r>
    </w:p>
    <w:p w14:paraId="36FD1CF8">
      <w:pPr>
        <w:spacing w:line="440" w:lineRule="exact"/>
        <w:jc w:val="left"/>
        <w:rPr>
          <w:rFonts w:hint="eastAsia" w:ascii="Times New Roman" w:hAnsi="Times New Roman" w:eastAsia="宋体" w:cs="宋体"/>
          <w:color w:val="auto"/>
          <w:sz w:val="21"/>
          <w:szCs w:val="21"/>
          <w:highlight w:val="none"/>
        </w:rPr>
      </w:pPr>
    </w:p>
    <w:p w14:paraId="7F6A8B16">
      <w:pPr>
        <w:spacing w:line="360" w:lineRule="auto"/>
        <w:ind w:firstLine="420" w:firstLineChars="200"/>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鉴于你方作为承包人已经与</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（发包人名称）（以下称“发包人”）于</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年</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月</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日签订了</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（工程名称）《建设工程施工合同》（以下称“主合同”），应发包人的申请，我方愿就发包人履行主合同约定的工程款支付义务以保证的方式向你方提供如下担保：</w:t>
      </w:r>
    </w:p>
    <w:p w14:paraId="641A9151">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47" w:name="_Toc25964"/>
      <w:bookmarkStart w:id="1048" w:name="_Toc31131"/>
      <w:bookmarkStart w:id="1049" w:name="_Toc20380"/>
      <w:r>
        <w:rPr>
          <w:rFonts w:hint="eastAsia" w:ascii="Times New Roman" w:hAnsi="Times New Roman" w:eastAsia="宋体" w:cs="宋体"/>
          <w:color w:val="auto"/>
          <w:sz w:val="21"/>
          <w:szCs w:val="21"/>
          <w:highlight w:val="none"/>
        </w:rPr>
        <w:t>一、保证的范围及保证金额</w:t>
      </w:r>
      <w:bookmarkEnd w:id="1047"/>
      <w:bookmarkEnd w:id="1048"/>
      <w:bookmarkEnd w:id="1049"/>
    </w:p>
    <w:p w14:paraId="7A2FE2CB">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 我方的保证范围是主合同约定的工程款。</w:t>
      </w:r>
    </w:p>
    <w:p w14:paraId="5814A852">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 本保函所称主合同约定的工程款是指主合同约定的除工程质量保证金以外的合同价款。</w:t>
      </w:r>
    </w:p>
    <w:p w14:paraId="1844C1EB">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 我方保证的金额是主合同约定的工程款的</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%，数额最高不超过人民币元（大写：</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w:t>
      </w:r>
    </w:p>
    <w:p w14:paraId="5AF384DB">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50" w:name="_Toc10162"/>
      <w:bookmarkStart w:id="1051" w:name="_Toc31793"/>
      <w:bookmarkStart w:id="1052" w:name="_Toc16286"/>
      <w:r>
        <w:rPr>
          <w:rFonts w:hint="eastAsia" w:ascii="Times New Roman" w:hAnsi="Times New Roman" w:eastAsia="宋体" w:cs="宋体"/>
          <w:color w:val="auto"/>
          <w:sz w:val="21"/>
          <w:szCs w:val="21"/>
          <w:highlight w:val="none"/>
        </w:rPr>
        <w:t>二、保证的方式及保证期间</w:t>
      </w:r>
      <w:bookmarkEnd w:id="1050"/>
      <w:bookmarkEnd w:id="1051"/>
      <w:bookmarkEnd w:id="1052"/>
    </w:p>
    <w:p w14:paraId="4894F45E">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 我方保证的方式为：连带责任保证。</w:t>
      </w:r>
    </w:p>
    <w:p w14:paraId="2F73B18C">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 我方保证的期间为：自本合同生效之日起至主合同约定的工程款支付完毕之日后</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日内。</w:t>
      </w:r>
    </w:p>
    <w:p w14:paraId="455ADBF6">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 你方与发包人协议变更工程款支付日期的，经我方书面同意后，保证期间按照变更后的支付日期做相应调整。</w:t>
      </w:r>
    </w:p>
    <w:p w14:paraId="7536D137">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53" w:name="_Toc3217"/>
      <w:bookmarkStart w:id="1054" w:name="_Toc30010"/>
      <w:bookmarkStart w:id="1055" w:name="_Toc30478"/>
      <w:r>
        <w:rPr>
          <w:rFonts w:hint="eastAsia" w:ascii="Times New Roman" w:hAnsi="Times New Roman" w:eastAsia="宋体" w:cs="宋体"/>
          <w:color w:val="auto"/>
          <w:sz w:val="21"/>
          <w:szCs w:val="21"/>
          <w:highlight w:val="none"/>
        </w:rPr>
        <w:t>三、承担保证责任的形式</w:t>
      </w:r>
      <w:bookmarkEnd w:id="1053"/>
      <w:bookmarkEnd w:id="1054"/>
      <w:bookmarkEnd w:id="1055"/>
    </w:p>
    <w:p w14:paraId="4502BAB1">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我方承担保证责任的形式是代为支付。发包人未按主合同约定向你方支付工程款的，由我方在保证金额内代为支付。</w:t>
      </w:r>
    </w:p>
    <w:p w14:paraId="2198610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56" w:name="_Toc4883"/>
      <w:bookmarkStart w:id="1057" w:name="_Toc19016"/>
      <w:bookmarkStart w:id="1058" w:name="_Toc11312"/>
      <w:r>
        <w:rPr>
          <w:rFonts w:hint="eastAsia" w:ascii="Times New Roman" w:hAnsi="Times New Roman" w:eastAsia="宋体" w:cs="宋体"/>
          <w:color w:val="auto"/>
          <w:sz w:val="21"/>
          <w:szCs w:val="21"/>
          <w:highlight w:val="none"/>
        </w:rPr>
        <w:t>四、代偿的安排</w:t>
      </w:r>
      <w:bookmarkEnd w:id="1056"/>
      <w:bookmarkEnd w:id="1057"/>
      <w:bookmarkEnd w:id="1058"/>
    </w:p>
    <w:p w14:paraId="1BBC0C0F">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 你方要求我方承担保证责任的，应向我方发出书面索赔通知及发包人未支付主合同约定工程款的证明材料。索赔通知应写明要求索赔的金额，支付款项应到达的账号。</w:t>
      </w:r>
    </w:p>
    <w:p w14:paraId="485656B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 在出现你方与发包人因工程质量发生争议，发包人拒绝向你方支付工程款的情形时，你方要求我方履行保证责任代为支付的，需提供符合相应条件要求的工程质量检测机构出具的质量说明材料。</w:t>
      </w:r>
    </w:p>
    <w:p w14:paraId="188FFF8F">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 我方收到你方的书面索赔通知及相应的证明材料后７天内无条件支付。</w:t>
      </w:r>
    </w:p>
    <w:p w14:paraId="170B95CA">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59" w:name="_Toc30624"/>
      <w:bookmarkStart w:id="1060" w:name="_Toc25107"/>
      <w:bookmarkStart w:id="1061" w:name="_Toc1507"/>
      <w:r>
        <w:rPr>
          <w:rFonts w:hint="eastAsia" w:ascii="Times New Roman" w:hAnsi="Times New Roman" w:eastAsia="宋体" w:cs="宋体"/>
          <w:color w:val="auto"/>
          <w:sz w:val="21"/>
          <w:szCs w:val="21"/>
          <w:highlight w:val="none"/>
        </w:rPr>
        <w:t>五、保证责任的解除</w:t>
      </w:r>
      <w:bookmarkEnd w:id="1059"/>
      <w:bookmarkEnd w:id="1060"/>
      <w:bookmarkEnd w:id="1061"/>
    </w:p>
    <w:p w14:paraId="7416936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 在本保函承诺的保证期间内，你方未书面向我方主张保证责任的，自保证期间届满次日起，我方保证责任解除。</w:t>
      </w:r>
    </w:p>
    <w:p w14:paraId="071CF695">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 发包人按主合同约定履行了工程款的全部支付义务的，自本保函承诺的保证期间届满次日起，我方保证责任解除。</w:t>
      </w:r>
    </w:p>
    <w:p w14:paraId="5340B545">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 我方按照本保函向你方履行保证责任所支付金额达到本保函保证金额时，自我方向你方支付（支付款项从我方账户划出）之日起，保证责任即解除。</w:t>
      </w:r>
    </w:p>
    <w:p w14:paraId="1403F93A">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 按照法律法规的规定或出现应解除我方保证责任的其他情形的，我方在本保函项下的保证责任亦解除。</w:t>
      </w:r>
    </w:p>
    <w:p w14:paraId="536F9721">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5. 我方解除保证责任后，你方应自我方保证责任解除之日起</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个工作日内，将本保函原件返还我方。</w:t>
      </w:r>
    </w:p>
    <w:p w14:paraId="3478232A">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62" w:name="_Toc23407"/>
      <w:bookmarkStart w:id="1063" w:name="_Toc3962"/>
      <w:bookmarkStart w:id="1064" w:name="_Toc11064"/>
      <w:r>
        <w:rPr>
          <w:rFonts w:hint="eastAsia" w:ascii="Times New Roman" w:hAnsi="Times New Roman" w:eastAsia="宋体" w:cs="宋体"/>
          <w:color w:val="auto"/>
          <w:sz w:val="21"/>
          <w:szCs w:val="21"/>
          <w:highlight w:val="none"/>
        </w:rPr>
        <w:t>六、免责条款</w:t>
      </w:r>
      <w:bookmarkEnd w:id="1062"/>
      <w:bookmarkEnd w:id="1063"/>
      <w:bookmarkEnd w:id="1064"/>
    </w:p>
    <w:p w14:paraId="4F35C3B6">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 因你方违约致使发包人不能履行义务的，我方不承担保证责任。</w:t>
      </w:r>
    </w:p>
    <w:p w14:paraId="7E01E04B">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 依照法律法规的规定或你方与发包人的另行约定，免除发包人部分或全部义务的，我方亦免除其相应的保证责任。</w:t>
      </w:r>
    </w:p>
    <w:p w14:paraId="2CEA51EA">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3. 你方与发包人协议变更主合同的，如加重发包人责任致使我方保证责任加重的，需征得我方书面同意，否则我方不再承担因此而加重部分的保证责任，但主合同第10条〔变更〕约定的变更不受本款限制。</w:t>
      </w:r>
    </w:p>
    <w:p w14:paraId="3980BFE5">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4. 因不可抗力造成发包人不能履行义务的，我方不承担保证责任。</w:t>
      </w:r>
    </w:p>
    <w:p w14:paraId="692161F6">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65" w:name="_Toc5169"/>
      <w:bookmarkStart w:id="1066" w:name="_Toc20106"/>
      <w:bookmarkStart w:id="1067" w:name="_Toc28001"/>
      <w:r>
        <w:rPr>
          <w:rFonts w:hint="eastAsia" w:ascii="Times New Roman" w:hAnsi="Times New Roman" w:eastAsia="宋体" w:cs="宋体"/>
          <w:color w:val="auto"/>
          <w:sz w:val="21"/>
          <w:szCs w:val="21"/>
          <w:highlight w:val="none"/>
        </w:rPr>
        <w:t>七、争议解决</w:t>
      </w:r>
      <w:bookmarkEnd w:id="1065"/>
      <w:bookmarkEnd w:id="1066"/>
      <w:bookmarkEnd w:id="1067"/>
    </w:p>
    <w:p w14:paraId="58DC6129">
      <w:pPr>
        <w:keepNext w:val="0"/>
        <w:keepLines w:val="0"/>
        <w:pageBreakBefore w:val="0"/>
        <w:widowControl w:val="0"/>
        <w:kinsoku/>
        <w:wordWrap/>
        <w:overflowPunct/>
        <w:topLinePunct w:val="0"/>
        <w:autoSpaceDE/>
        <w:autoSpaceDN/>
        <w:bidi w:val="0"/>
        <w:adjustRightInd/>
        <w:snapToGrid/>
        <w:spacing w:after="120" w:line="360" w:lineRule="auto"/>
        <w:ind w:firstLine="420" w:firstLineChars="200"/>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因本保函或本保函相关事项发生的纠纷，可由双方协商解决，协商不成的，按下列第</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种方式解决：</w:t>
      </w:r>
    </w:p>
    <w:p w14:paraId="5A549F96">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（1）向</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仲裁委员会申请仲裁；</w:t>
      </w:r>
    </w:p>
    <w:p w14:paraId="5745A607">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（2）向</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人民法院起诉。</w:t>
      </w:r>
    </w:p>
    <w:p w14:paraId="56B77A1F">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bookmarkStart w:id="1068" w:name="_Toc5124"/>
      <w:bookmarkStart w:id="1069" w:name="_Toc24785"/>
      <w:bookmarkStart w:id="1070" w:name="_Toc29914"/>
      <w:r>
        <w:rPr>
          <w:rFonts w:hint="eastAsia" w:ascii="Times New Roman" w:hAnsi="Times New Roman" w:eastAsia="宋体" w:cs="宋体"/>
          <w:color w:val="auto"/>
          <w:sz w:val="21"/>
          <w:szCs w:val="21"/>
          <w:highlight w:val="none"/>
        </w:rPr>
        <w:t>八、保函的生效</w:t>
      </w:r>
      <w:bookmarkEnd w:id="1068"/>
      <w:bookmarkEnd w:id="1069"/>
      <w:bookmarkEnd w:id="1070"/>
    </w:p>
    <w:p w14:paraId="3259AABB">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outlineLvl w:val="9"/>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本保函自我方法定代表人（或其授权代理人）签字并加盖公章之日起生效。</w:t>
      </w:r>
    </w:p>
    <w:p w14:paraId="5A50D43F">
      <w:pPr>
        <w:spacing w:line="360" w:lineRule="auto"/>
        <w:ind w:firstLine="420" w:firstLineChars="200"/>
        <w:jc w:val="left"/>
        <w:rPr>
          <w:rFonts w:hint="eastAsia" w:ascii="Times New Roman" w:hAnsi="Times New Roman" w:eastAsia="宋体" w:cs="宋体"/>
          <w:color w:val="auto"/>
          <w:sz w:val="21"/>
          <w:szCs w:val="21"/>
          <w:highlight w:val="none"/>
        </w:rPr>
      </w:pPr>
    </w:p>
    <w:p w14:paraId="3B3FAAD1">
      <w:pPr>
        <w:spacing w:line="360" w:lineRule="auto"/>
        <w:ind w:right="600"/>
        <w:jc w:val="left"/>
        <w:rPr>
          <w:rFonts w:hint="eastAsia" w:ascii="Times New Roman" w:hAnsi="Times New Roman" w:eastAsia="宋体" w:cs="宋体"/>
          <w:color w:val="auto"/>
          <w:sz w:val="21"/>
          <w:szCs w:val="21"/>
          <w:highlight w:val="none"/>
        </w:rPr>
      </w:pPr>
    </w:p>
    <w:p w14:paraId="544E29E6">
      <w:pPr>
        <w:spacing w:line="360" w:lineRule="auto"/>
        <w:ind w:right="600"/>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担保人：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（盖章）</w:t>
      </w:r>
    </w:p>
    <w:p w14:paraId="23FCFB4B">
      <w:pPr>
        <w:spacing w:line="360" w:lineRule="auto"/>
        <w:ind w:right="1200"/>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法定代表人或委托代理人：</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（签字）</w:t>
      </w:r>
    </w:p>
    <w:p w14:paraId="48809D9E">
      <w:pPr>
        <w:spacing w:line="360" w:lineRule="auto"/>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地    址：</w:t>
      </w:r>
      <w:r>
        <w:rPr>
          <w:rFonts w:hint="eastAsia" w:ascii="Times New Roman" w:hAnsi="Times New Roman" w:eastAsia="宋体" w:cs="宋体"/>
          <w:color w:val="auto"/>
          <w:sz w:val="21"/>
          <w:szCs w:val="21"/>
          <w:highlight w:val="none"/>
          <w:u w:val="single"/>
        </w:rPr>
        <w:t xml:space="preserve">                                        </w:t>
      </w:r>
    </w:p>
    <w:p w14:paraId="4A564FD8">
      <w:pPr>
        <w:spacing w:line="360" w:lineRule="auto"/>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邮政编码：</w:t>
      </w:r>
      <w:r>
        <w:rPr>
          <w:rFonts w:hint="eastAsia" w:ascii="Times New Roman" w:hAnsi="Times New Roman" w:eastAsia="宋体" w:cs="宋体"/>
          <w:color w:val="auto"/>
          <w:sz w:val="21"/>
          <w:szCs w:val="21"/>
          <w:highlight w:val="none"/>
          <w:u w:val="single"/>
        </w:rPr>
        <w:t xml:space="preserve">                                        </w:t>
      </w:r>
    </w:p>
    <w:p w14:paraId="122A4268">
      <w:pPr>
        <w:spacing w:line="360" w:lineRule="auto"/>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传    真：</w:t>
      </w:r>
      <w:r>
        <w:rPr>
          <w:rFonts w:hint="eastAsia" w:ascii="Times New Roman" w:hAnsi="Times New Roman" w:eastAsia="宋体" w:cs="宋体"/>
          <w:color w:val="auto"/>
          <w:sz w:val="21"/>
          <w:szCs w:val="21"/>
          <w:highlight w:val="none"/>
          <w:u w:val="single"/>
        </w:rPr>
        <w:t xml:space="preserve">                                        </w:t>
      </w:r>
    </w:p>
    <w:p w14:paraId="06219786">
      <w:pPr>
        <w:spacing w:line="360" w:lineRule="auto"/>
        <w:ind w:right="150" w:firstLine="420" w:firstLineChars="200"/>
        <w:jc w:val="left"/>
        <w:rPr>
          <w:rFonts w:hint="eastAsia" w:ascii="Times New Roman" w:hAnsi="Times New Roman" w:eastAsia="宋体" w:cs="宋体"/>
          <w:color w:val="auto"/>
          <w:sz w:val="21"/>
          <w:szCs w:val="21"/>
          <w:highlight w:val="none"/>
          <w:u w:val="single"/>
        </w:rPr>
      </w:pPr>
    </w:p>
    <w:p w14:paraId="6071E05C">
      <w:pPr>
        <w:spacing w:line="360" w:lineRule="auto"/>
        <w:ind w:right="150" w:firstLine="420" w:firstLineChars="200"/>
        <w:jc w:val="left"/>
        <w:rPr>
          <w:rFonts w:hint="eastAsia" w:ascii="Times New Roman" w:hAnsi="Times New Roman" w:eastAsia="宋体" w:cs="宋体"/>
          <w:color w:val="auto"/>
          <w:sz w:val="21"/>
          <w:szCs w:val="21"/>
          <w:highlight w:val="none"/>
        </w:rPr>
      </w:pPr>
      <w:r>
        <w:rPr>
          <w:rFonts w:hint="eastAsia" w:ascii="Times New Roman" w:hAnsi="Times New Roman" w:eastAsia="宋体" w:cs="宋体"/>
          <w:color w:val="auto"/>
          <w:sz w:val="21"/>
          <w:szCs w:val="21"/>
          <w:highlight w:val="none"/>
        </w:rPr>
        <w:t xml:space="preserve">             </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年</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月</w:t>
      </w:r>
      <w:r>
        <w:rPr>
          <w:rFonts w:hint="eastAsia" w:ascii="Times New Roman" w:hAnsi="Times New Roman" w:eastAsia="宋体" w:cs="宋体"/>
          <w:color w:val="auto"/>
          <w:sz w:val="21"/>
          <w:szCs w:val="21"/>
          <w:highlight w:val="none"/>
          <w:u w:val="single"/>
        </w:rPr>
        <w:t xml:space="preserve">      </w:t>
      </w:r>
      <w:r>
        <w:rPr>
          <w:rFonts w:hint="eastAsia" w:ascii="Times New Roman" w:hAnsi="Times New Roman" w:eastAsia="宋体" w:cs="宋体"/>
          <w:color w:val="auto"/>
          <w:sz w:val="21"/>
          <w:szCs w:val="21"/>
          <w:highlight w:val="none"/>
        </w:rPr>
        <w:t>日</w:t>
      </w:r>
    </w:p>
    <w:p w14:paraId="41D82874">
      <w:pPr>
        <w:pStyle w:val="13"/>
        <w:spacing w:before="240" w:line="231" w:lineRule="auto"/>
        <w:outlineLvl w:val="3"/>
        <w:rPr>
          <w:rFonts w:ascii="Times New Roman" w:hAnsi="Times New Roman" w:eastAsia="黑体"/>
          <w:color w:val="auto"/>
          <w:sz w:val="30"/>
          <w:szCs w:val="30"/>
          <w:highlight w:val="none"/>
        </w:rPr>
      </w:pPr>
      <w:r>
        <w:rPr>
          <w:rFonts w:ascii="Times New Roman" w:hAnsi="Times New Roman" w:eastAsia="仿宋_GB2312"/>
          <w:color w:val="auto"/>
          <w:sz w:val="30"/>
          <w:szCs w:val="30"/>
          <w:highlight w:val="none"/>
        </w:rPr>
        <w:br w:type="page"/>
      </w:r>
      <w:bookmarkStart w:id="1071" w:name="_Toc9780"/>
      <w:r>
        <w:rPr>
          <w:rFonts w:hint="eastAsia" w:ascii="Times New Roman" w:hAnsi="Times New Roman" w:eastAsia="宋体" w:cs="宋体"/>
          <w:color w:val="auto"/>
          <w:sz w:val="21"/>
          <w:szCs w:val="21"/>
          <w:highlight w:val="none"/>
        </w:rPr>
        <w:t>附件11：</w:t>
      </w:r>
      <w:bookmarkEnd w:id="1071"/>
    </w:p>
    <w:p w14:paraId="774ACAFE">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72" w:name="_Toc18176"/>
      <w:bookmarkStart w:id="1073" w:name="_Toc20900"/>
      <w:bookmarkStart w:id="1074" w:name="_Toc27265"/>
      <w:bookmarkStart w:id="1075" w:name="_Toc10622"/>
      <w:bookmarkStart w:id="1076" w:name="_Toc15518"/>
      <w:r>
        <w:rPr>
          <w:rFonts w:hint="eastAsia" w:ascii="新宋体" w:hAnsi="新宋体" w:eastAsia="新宋体" w:cs="新宋体"/>
          <w:b/>
          <w:bCs/>
          <w:color w:val="auto"/>
          <w:spacing w:val="8"/>
          <w:sz w:val="28"/>
          <w:szCs w:val="28"/>
          <w:highlight w:val="none"/>
        </w:rPr>
        <w:t>11-1：材料暂估价表</w:t>
      </w:r>
      <w:bookmarkEnd w:id="1072"/>
      <w:bookmarkEnd w:id="1073"/>
      <w:bookmarkEnd w:id="1074"/>
      <w:bookmarkEnd w:id="1075"/>
      <w:bookmarkEnd w:id="1076"/>
    </w:p>
    <w:tbl>
      <w:tblPr>
        <w:tblStyle w:val="28"/>
        <w:tblW w:w="867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993"/>
        <w:gridCol w:w="1984"/>
        <w:gridCol w:w="851"/>
        <w:gridCol w:w="774"/>
        <w:gridCol w:w="1352"/>
        <w:gridCol w:w="1418"/>
        <w:gridCol w:w="1303"/>
      </w:tblGrid>
      <w:tr w14:paraId="672714B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tcBorders>
              <w:top w:val="single" w:color="auto" w:sz="12" w:space="0"/>
              <w:bottom w:val="double" w:color="auto" w:sz="6" w:space="0"/>
            </w:tcBorders>
            <w:noWrap w:val="0"/>
            <w:vAlign w:val="top"/>
          </w:tcPr>
          <w:p w14:paraId="0AC2B94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序号</w:t>
            </w:r>
          </w:p>
        </w:tc>
        <w:tc>
          <w:tcPr>
            <w:tcW w:w="1984" w:type="dxa"/>
            <w:tcBorders>
              <w:top w:val="single" w:color="auto" w:sz="12" w:space="0"/>
              <w:bottom w:val="double" w:color="auto" w:sz="6" w:space="0"/>
            </w:tcBorders>
            <w:noWrap w:val="0"/>
            <w:vAlign w:val="top"/>
          </w:tcPr>
          <w:p w14:paraId="534076C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名称</w:t>
            </w:r>
          </w:p>
        </w:tc>
        <w:tc>
          <w:tcPr>
            <w:tcW w:w="851" w:type="dxa"/>
            <w:tcBorders>
              <w:top w:val="single" w:color="auto" w:sz="12" w:space="0"/>
              <w:bottom w:val="double" w:color="auto" w:sz="6" w:space="0"/>
            </w:tcBorders>
            <w:noWrap w:val="0"/>
            <w:vAlign w:val="top"/>
          </w:tcPr>
          <w:p w14:paraId="08C3A79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单位</w:t>
            </w:r>
          </w:p>
        </w:tc>
        <w:tc>
          <w:tcPr>
            <w:tcW w:w="774" w:type="dxa"/>
            <w:tcBorders>
              <w:top w:val="single" w:color="auto" w:sz="12" w:space="0"/>
              <w:bottom w:val="double" w:color="auto" w:sz="6" w:space="0"/>
            </w:tcBorders>
            <w:noWrap w:val="0"/>
            <w:vAlign w:val="top"/>
          </w:tcPr>
          <w:p w14:paraId="166550B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数量</w:t>
            </w:r>
          </w:p>
        </w:tc>
        <w:tc>
          <w:tcPr>
            <w:tcW w:w="1352" w:type="dxa"/>
            <w:tcBorders>
              <w:top w:val="single" w:color="auto" w:sz="12" w:space="0"/>
              <w:bottom w:val="double" w:color="auto" w:sz="6" w:space="0"/>
            </w:tcBorders>
            <w:noWrap w:val="0"/>
            <w:vAlign w:val="top"/>
          </w:tcPr>
          <w:p w14:paraId="58FC4E4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单价（元）</w:t>
            </w:r>
          </w:p>
        </w:tc>
        <w:tc>
          <w:tcPr>
            <w:tcW w:w="1418" w:type="dxa"/>
            <w:tcBorders>
              <w:top w:val="single" w:color="auto" w:sz="12" w:space="0"/>
              <w:bottom w:val="double" w:color="auto" w:sz="6" w:space="0"/>
            </w:tcBorders>
            <w:noWrap w:val="0"/>
            <w:vAlign w:val="top"/>
          </w:tcPr>
          <w:p w14:paraId="1C384C2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合价（元）</w:t>
            </w:r>
          </w:p>
        </w:tc>
        <w:tc>
          <w:tcPr>
            <w:tcW w:w="1303" w:type="dxa"/>
            <w:tcBorders>
              <w:top w:val="single" w:color="auto" w:sz="12" w:space="0"/>
              <w:bottom w:val="double" w:color="auto" w:sz="6" w:space="0"/>
            </w:tcBorders>
            <w:noWrap w:val="0"/>
            <w:vAlign w:val="top"/>
          </w:tcPr>
          <w:p w14:paraId="2FE8689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备注</w:t>
            </w:r>
          </w:p>
        </w:tc>
      </w:tr>
      <w:tr w14:paraId="2D7CEC5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tcBorders>
              <w:top w:val="double" w:color="auto" w:sz="6" w:space="0"/>
              <w:bottom w:val="single" w:color="auto" w:sz="6" w:space="0"/>
            </w:tcBorders>
            <w:noWrap w:val="0"/>
            <w:vAlign w:val="top"/>
          </w:tcPr>
          <w:p w14:paraId="187DFFD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tcBorders>
              <w:top w:val="double" w:color="auto" w:sz="6" w:space="0"/>
              <w:bottom w:val="single" w:color="auto" w:sz="6" w:space="0"/>
            </w:tcBorders>
            <w:noWrap w:val="0"/>
            <w:vAlign w:val="top"/>
          </w:tcPr>
          <w:p w14:paraId="4387B6A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tcBorders>
              <w:top w:val="double" w:color="auto" w:sz="6" w:space="0"/>
              <w:bottom w:val="single" w:color="auto" w:sz="6" w:space="0"/>
            </w:tcBorders>
            <w:noWrap w:val="0"/>
            <w:vAlign w:val="top"/>
          </w:tcPr>
          <w:p w14:paraId="1D3E4CB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tcBorders>
              <w:top w:val="double" w:color="auto" w:sz="6" w:space="0"/>
              <w:bottom w:val="single" w:color="auto" w:sz="6" w:space="0"/>
            </w:tcBorders>
            <w:noWrap w:val="0"/>
            <w:vAlign w:val="top"/>
          </w:tcPr>
          <w:p w14:paraId="5BA1AEF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tcBorders>
              <w:top w:val="double" w:color="auto" w:sz="6" w:space="0"/>
              <w:bottom w:val="single" w:color="auto" w:sz="6" w:space="0"/>
            </w:tcBorders>
            <w:noWrap w:val="0"/>
            <w:vAlign w:val="top"/>
          </w:tcPr>
          <w:p w14:paraId="0C1D330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tcBorders>
              <w:top w:val="double" w:color="auto" w:sz="6" w:space="0"/>
              <w:bottom w:val="single" w:color="auto" w:sz="6" w:space="0"/>
            </w:tcBorders>
            <w:noWrap w:val="0"/>
            <w:vAlign w:val="top"/>
          </w:tcPr>
          <w:p w14:paraId="459E2F6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tcBorders>
              <w:top w:val="double" w:color="auto" w:sz="6" w:space="0"/>
              <w:bottom w:val="single" w:color="auto" w:sz="6" w:space="0"/>
            </w:tcBorders>
            <w:noWrap w:val="0"/>
            <w:vAlign w:val="top"/>
          </w:tcPr>
          <w:p w14:paraId="0CAC495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0D4A51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tcBorders>
              <w:top w:val="nil"/>
            </w:tcBorders>
            <w:noWrap w:val="0"/>
            <w:vAlign w:val="top"/>
          </w:tcPr>
          <w:p w14:paraId="427453E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tcBorders>
              <w:top w:val="nil"/>
            </w:tcBorders>
            <w:noWrap w:val="0"/>
            <w:vAlign w:val="top"/>
          </w:tcPr>
          <w:p w14:paraId="0E841493">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tcBorders>
              <w:top w:val="nil"/>
            </w:tcBorders>
            <w:noWrap w:val="0"/>
            <w:vAlign w:val="top"/>
          </w:tcPr>
          <w:p w14:paraId="34D1C6B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tcBorders>
              <w:top w:val="nil"/>
            </w:tcBorders>
            <w:noWrap w:val="0"/>
            <w:vAlign w:val="top"/>
          </w:tcPr>
          <w:p w14:paraId="044DCB6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tcBorders>
              <w:top w:val="nil"/>
            </w:tcBorders>
            <w:noWrap w:val="0"/>
            <w:vAlign w:val="top"/>
          </w:tcPr>
          <w:p w14:paraId="2A587F23">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tcBorders>
              <w:top w:val="nil"/>
            </w:tcBorders>
            <w:noWrap w:val="0"/>
            <w:vAlign w:val="top"/>
          </w:tcPr>
          <w:p w14:paraId="5F4185B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tcBorders>
              <w:top w:val="nil"/>
            </w:tcBorders>
            <w:noWrap w:val="0"/>
            <w:vAlign w:val="top"/>
          </w:tcPr>
          <w:p w14:paraId="68865B0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0FA5EB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3DA2B89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088A1A6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1E2D29D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4780E7B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3AC5C66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03CE096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269823A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1FD8C9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194A7D8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6987192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7BD1F07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2438388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5019FC3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03097C6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73A0E9F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4C1B6CE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1ED33C7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0373829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3F1078E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7E5903A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7A300F85">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2519ED3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391C783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3EEA4DA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3D0B36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5D69A77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72CAB7F3">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3193A1F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19473B0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2D60A55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2E4847C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1267403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69A433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7D60EFF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0C3CA035">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151741C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598FDAD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3CB4037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5D1BC46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7486E2E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03F3E91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440B6B8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2262DE7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0ED079D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5CF272D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194705C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04EBA81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7EC3159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5B056F8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4528C04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79C6792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5D16D4B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05C762F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6F44F16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040FC3A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570595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001624B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1C43446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5649A61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10E5A0E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7B54146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7CA06B1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5D7A2573">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59AD76B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41288E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265EE57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44F8A2B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295F21D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34EAF6E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7FCA8D4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1B65D7D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784E3CB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585F6F1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7078711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290FF56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4B07D92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69DA7615">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4C62F71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776F736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0F2C67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1BC098B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1560B443">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57E74C5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4975285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755359A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5822ED3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3752F53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1E8E0E0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3A9CE36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7A74D0F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1D8C725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40F9E73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6CC8ADA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01EC572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72288CA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52D395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7A10C5A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5C732ED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735A3F6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49E38E0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3FF3009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03AACA1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13B2D5C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4C86B1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3CCBB30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1494035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422159B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11A26EB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558C71E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279B416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08F16F8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4889A33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1E3EC8D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715AB7D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216E646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3BBD9A23">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38FD48C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722DF12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21A1122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0266093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3799B645">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3D7C84E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1A05FE7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79B4ECA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4C35A6C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4993BBA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155D22B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033821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598E295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4EF8DA3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2EAB121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3FD18F1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4393872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00F7C0E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5926BFF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50954AF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5D5ADD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4B33262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660CD62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67F5004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29CB758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3D4177D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6B8C169C">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41FFC18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F4BFF8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69ADC4E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483419C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1A8BED3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2BD0965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72FB57B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13326AF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1C9B02B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5DD3AA6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141B3F8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033150F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4528AAE2">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37FC27C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6267E5FF">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3E7EA3B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6A44CE1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43DBED6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11FF921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00F4442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78AF5A0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5FE9445E">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4E551B0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58D7DDE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6579C3E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3AA231CB">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55DB6065">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12794481">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0E81B6A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25C2A415">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121F5499">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7590130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r w14:paraId="643B30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11348AD">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984" w:type="dxa"/>
            <w:noWrap w:val="0"/>
            <w:vAlign w:val="top"/>
          </w:tcPr>
          <w:p w14:paraId="1353F787">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851" w:type="dxa"/>
            <w:noWrap w:val="0"/>
            <w:vAlign w:val="top"/>
          </w:tcPr>
          <w:p w14:paraId="563191FA">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774" w:type="dxa"/>
            <w:noWrap w:val="0"/>
            <w:vAlign w:val="top"/>
          </w:tcPr>
          <w:p w14:paraId="764C2588">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52" w:type="dxa"/>
            <w:noWrap w:val="0"/>
            <w:vAlign w:val="top"/>
          </w:tcPr>
          <w:p w14:paraId="71B83304">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418" w:type="dxa"/>
            <w:noWrap w:val="0"/>
            <w:vAlign w:val="top"/>
          </w:tcPr>
          <w:p w14:paraId="02A24316">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c>
          <w:tcPr>
            <w:tcW w:w="1303" w:type="dxa"/>
            <w:noWrap w:val="0"/>
            <w:vAlign w:val="top"/>
          </w:tcPr>
          <w:p w14:paraId="638C7080">
            <w:pPr>
              <w:pStyle w:val="13"/>
              <w:keepNext/>
              <w:spacing w:after="0" w:line="440" w:lineRule="exact"/>
              <w:ind w:left="63" w:right="63"/>
              <w:rPr>
                <w:rFonts w:ascii="Times New Roman" w:hAnsi="Times New Roman" w:eastAsia="仿宋_GB2312"/>
                <w:color w:val="auto"/>
                <w:kern w:val="2"/>
                <w:sz w:val="24"/>
                <w:szCs w:val="24"/>
                <w:highlight w:val="none"/>
                <w:lang w:val="en-US" w:eastAsia="zh-CN"/>
              </w:rPr>
            </w:pPr>
          </w:p>
        </w:tc>
      </w:tr>
    </w:tbl>
    <w:p w14:paraId="2B358219">
      <w:pPr>
        <w:spacing w:before="120" w:beforeLines="50" w:after="120" w:afterLines="50" w:line="440" w:lineRule="exact"/>
        <w:rPr>
          <w:rFonts w:hint="eastAsia" w:ascii="Times New Roman" w:hAnsi="Times New Roman" w:eastAsia="黑体"/>
          <w:color w:val="auto"/>
          <w:sz w:val="30"/>
          <w:szCs w:val="30"/>
          <w:highlight w:val="none"/>
        </w:rPr>
      </w:pPr>
    </w:p>
    <w:p w14:paraId="54B1C560">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3"/>
        <w:rPr>
          <w:rFonts w:hint="eastAsia" w:ascii="新宋体" w:hAnsi="新宋体" w:eastAsia="新宋体" w:cs="新宋体"/>
          <w:b/>
          <w:bCs/>
          <w:color w:val="auto"/>
          <w:spacing w:val="8"/>
          <w:sz w:val="28"/>
          <w:szCs w:val="28"/>
          <w:highlight w:val="none"/>
        </w:rPr>
      </w:pPr>
      <w:bookmarkStart w:id="1077" w:name="_Toc20333"/>
      <w:r>
        <w:rPr>
          <w:rFonts w:hint="eastAsia" w:ascii="新宋体" w:hAnsi="新宋体" w:eastAsia="新宋体" w:cs="新宋体"/>
          <w:b/>
          <w:bCs/>
          <w:color w:val="auto"/>
          <w:spacing w:val="8"/>
          <w:sz w:val="28"/>
          <w:szCs w:val="28"/>
          <w:highlight w:val="none"/>
        </w:rPr>
        <w:t>11-2：工程设备暂估价表</w:t>
      </w:r>
      <w:bookmarkEnd w:id="1077"/>
    </w:p>
    <w:tbl>
      <w:tblPr>
        <w:tblStyle w:val="28"/>
        <w:tblW w:w="867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993"/>
        <w:gridCol w:w="1984"/>
        <w:gridCol w:w="851"/>
        <w:gridCol w:w="774"/>
        <w:gridCol w:w="1352"/>
        <w:gridCol w:w="1418"/>
        <w:gridCol w:w="1303"/>
      </w:tblGrid>
      <w:tr w14:paraId="27491B5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tcBorders>
              <w:top w:val="single" w:color="auto" w:sz="12" w:space="0"/>
              <w:bottom w:val="double" w:color="auto" w:sz="6" w:space="0"/>
            </w:tcBorders>
            <w:noWrap w:val="0"/>
            <w:vAlign w:val="top"/>
          </w:tcPr>
          <w:p w14:paraId="7F823CB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序号</w:t>
            </w:r>
          </w:p>
        </w:tc>
        <w:tc>
          <w:tcPr>
            <w:tcW w:w="1984" w:type="dxa"/>
            <w:tcBorders>
              <w:top w:val="single" w:color="auto" w:sz="12" w:space="0"/>
              <w:bottom w:val="double" w:color="auto" w:sz="6" w:space="0"/>
            </w:tcBorders>
            <w:noWrap w:val="0"/>
            <w:vAlign w:val="top"/>
          </w:tcPr>
          <w:p w14:paraId="5DF7118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名称</w:t>
            </w:r>
          </w:p>
        </w:tc>
        <w:tc>
          <w:tcPr>
            <w:tcW w:w="851" w:type="dxa"/>
            <w:tcBorders>
              <w:top w:val="single" w:color="auto" w:sz="12" w:space="0"/>
              <w:bottom w:val="double" w:color="auto" w:sz="6" w:space="0"/>
            </w:tcBorders>
            <w:noWrap w:val="0"/>
            <w:vAlign w:val="top"/>
          </w:tcPr>
          <w:p w14:paraId="7D28040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单位</w:t>
            </w:r>
          </w:p>
        </w:tc>
        <w:tc>
          <w:tcPr>
            <w:tcW w:w="774" w:type="dxa"/>
            <w:tcBorders>
              <w:top w:val="single" w:color="auto" w:sz="12" w:space="0"/>
              <w:bottom w:val="double" w:color="auto" w:sz="6" w:space="0"/>
            </w:tcBorders>
            <w:noWrap w:val="0"/>
            <w:vAlign w:val="top"/>
          </w:tcPr>
          <w:p w14:paraId="3198376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数量</w:t>
            </w:r>
          </w:p>
        </w:tc>
        <w:tc>
          <w:tcPr>
            <w:tcW w:w="1352" w:type="dxa"/>
            <w:tcBorders>
              <w:top w:val="single" w:color="auto" w:sz="12" w:space="0"/>
              <w:bottom w:val="double" w:color="auto" w:sz="6" w:space="0"/>
            </w:tcBorders>
            <w:noWrap w:val="0"/>
            <w:vAlign w:val="top"/>
          </w:tcPr>
          <w:p w14:paraId="1757C79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单价（元）</w:t>
            </w:r>
          </w:p>
        </w:tc>
        <w:tc>
          <w:tcPr>
            <w:tcW w:w="1418" w:type="dxa"/>
            <w:tcBorders>
              <w:top w:val="single" w:color="auto" w:sz="12" w:space="0"/>
              <w:bottom w:val="double" w:color="auto" w:sz="6" w:space="0"/>
            </w:tcBorders>
            <w:noWrap w:val="0"/>
            <w:vAlign w:val="top"/>
          </w:tcPr>
          <w:p w14:paraId="48C2425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合价（元）</w:t>
            </w:r>
          </w:p>
        </w:tc>
        <w:tc>
          <w:tcPr>
            <w:tcW w:w="1303" w:type="dxa"/>
            <w:tcBorders>
              <w:top w:val="single" w:color="auto" w:sz="12" w:space="0"/>
              <w:bottom w:val="double" w:color="auto" w:sz="6" w:space="0"/>
            </w:tcBorders>
            <w:noWrap w:val="0"/>
            <w:vAlign w:val="top"/>
          </w:tcPr>
          <w:p w14:paraId="46483F5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备注</w:t>
            </w:r>
          </w:p>
        </w:tc>
      </w:tr>
      <w:tr w14:paraId="5CFD23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tcBorders>
              <w:top w:val="double" w:color="auto" w:sz="6" w:space="0"/>
              <w:bottom w:val="single" w:color="auto" w:sz="6" w:space="0"/>
            </w:tcBorders>
            <w:noWrap w:val="0"/>
            <w:vAlign w:val="top"/>
          </w:tcPr>
          <w:p w14:paraId="1972A8F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tcBorders>
              <w:top w:val="double" w:color="auto" w:sz="6" w:space="0"/>
              <w:bottom w:val="single" w:color="auto" w:sz="6" w:space="0"/>
            </w:tcBorders>
            <w:noWrap w:val="0"/>
            <w:vAlign w:val="top"/>
          </w:tcPr>
          <w:p w14:paraId="5D6C2E8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tcBorders>
              <w:top w:val="double" w:color="auto" w:sz="6" w:space="0"/>
              <w:bottom w:val="single" w:color="auto" w:sz="6" w:space="0"/>
            </w:tcBorders>
            <w:noWrap w:val="0"/>
            <w:vAlign w:val="top"/>
          </w:tcPr>
          <w:p w14:paraId="25256B5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tcBorders>
              <w:top w:val="double" w:color="auto" w:sz="6" w:space="0"/>
              <w:bottom w:val="single" w:color="auto" w:sz="6" w:space="0"/>
            </w:tcBorders>
            <w:noWrap w:val="0"/>
            <w:vAlign w:val="top"/>
          </w:tcPr>
          <w:p w14:paraId="7A4C1C6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tcBorders>
              <w:top w:val="double" w:color="auto" w:sz="6" w:space="0"/>
              <w:bottom w:val="single" w:color="auto" w:sz="6" w:space="0"/>
            </w:tcBorders>
            <w:noWrap w:val="0"/>
            <w:vAlign w:val="top"/>
          </w:tcPr>
          <w:p w14:paraId="62D49E8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tcBorders>
              <w:top w:val="double" w:color="auto" w:sz="6" w:space="0"/>
              <w:bottom w:val="single" w:color="auto" w:sz="6" w:space="0"/>
            </w:tcBorders>
            <w:noWrap w:val="0"/>
            <w:vAlign w:val="top"/>
          </w:tcPr>
          <w:p w14:paraId="7174441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tcBorders>
              <w:top w:val="double" w:color="auto" w:sz="6" w:space="0"/>
              <w:bottom w:val="single" w:color="auto" w:sz="6" w:space="0"/>
            </w:tcBorders>
            <w:noWrap w:val="0"/>
            <w:vAlign w:val="top"/>
          </w:tcPr>
          <w:p w14:paraId="305174A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5212B60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tcBorders>
              <w:top w:val="nil"/>
            </w:tcBorders>
            <w:noWrap w:val="0"/>
            <w:vAlign w:val="top"/>
          </w:tcPr>
          <w:p w14:paraId="4821A04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tcBorders>
              <w:top w:val="nil"/>
            </w:tcBorders>
            <w:noWrap w:val="0"/>
            <w:vAlign w:val="top"/>
          </w:tcPr>
          <w:p w14:paraId="2EE67A9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tcBorders>
              <w:top w:val="nil"/>
            </w:tcBorders>
            <w:noWrap w:val="0"/>
            <w:vAlign w:val="top"/>
          </w:tcPr>
          <w:p w14:paraId="7DF2087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tcBorders>
              <w:top w:val="nil"/>
            </w:tcBorders>
            <w:noWrap w:val="0"/>
            <w:vAlign w:val="top"/>
          </w:tcPr>
          <w:p w14:paraId="7AFBF17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tcBorders>
              <w:top w:val="nil"/>
            </w:tcBorders>
            <w:noWrap w:val="0"/>
            <w:vAlign w:val="top"/>
          </w:tcPr>
          <w:p w14:paraId="1F5D5E3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tcBorders>
              <w:top w:val="nil"/>
            </w:tcBorders>
            <w:noWrap w:val="0"/>
            <w:vAlign w:val="top"/>
          </w:tcPr>
          <w:p w14:paraId="7AC1663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tcBorders>
              <w:top w:val="nil"/>
            </w:tcBorders>
            <w:noWrap w:val="0"/>
            <w:vAlign w:val="top"/>
          </w:tcPr>
          <w:p w14:paraId="1752591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404B8FC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773769F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5D504A6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57DD6CA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4439925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5D3B66F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42D92BF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21D7D2B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0C44C7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C83382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E40E1A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457479F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39A8A93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31E422B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07ADA17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22AF9D5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165780F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4ED8332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3778D3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0459941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24F0159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4431495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3DE538B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7F475D6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35A201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D94558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7647B6F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2F81039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76550EA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22E1640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5FFDBCE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2BD24CC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164D4FE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6DF056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34EEB8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1462231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1814C2E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4544997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1DEFEF9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6C95B6F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226C3FC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B4FFBE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5D33AD8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2DB0A3C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52CF86A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60B0088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0817E32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42EA8C0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06D2AD8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16DCC7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0373C23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5A4094D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29F7BCE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0E06A5C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123D60B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4E493ED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237FAFD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91D01E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7BDC63E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1A32DD3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087F1A1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0486308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61FB576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2D25C29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13F7EE1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3D79B22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4AB34B0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3BC8D81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7953DDA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5DC4772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564C420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4ABE675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3B4BCEF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64A6C0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5B4846A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300645C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0E79538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3765DE4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60E86B2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40639D1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09856DF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16B1C3A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2ED86B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72F3B0E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741A660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0BFEF98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733C944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719A515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7EE9B67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4F2C636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739A313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4AAD030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6B51751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133429E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1B9989E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3CE4D79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65FB582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41C576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F0AF68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14C7065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030CFEC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5A4E889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15A6153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5BC93B9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4D244D7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3A6BA5D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4E42A4A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18A3808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4DC6FB0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25F9078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7E8D629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46506A1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58464A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47F1B5E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0A3F4C0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45F1137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198D9EE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0B57F15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70C00CE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2236EA1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0D7DD83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4438F16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523C3E5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2E431F3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00CC1E8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72127EA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0E1A9AC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172441D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64E9B9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47975EE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0D5A63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2E8A29C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30C945B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5A0BDD5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11188E5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49634E5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7B093E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188A1B1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7E71442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57E5736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63DE363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1EB18C6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0CA25CC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7BC3B7A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2EDDEAC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75B523E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5940E2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3BA3B2E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32133AA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44D255A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3958475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21F7DF1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0BB55B7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7323556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530FAA6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649D8DE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34A7A36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46FB6A5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1D7C959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1DA9367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6B9D6A1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2FB695E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2D3290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789A3E6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15B9C95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730F617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0D66552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54DF223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39079CD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EEE8D6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7333B11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5095EB9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072DDE2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655EE3F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3841F26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3FB017E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28BF8B7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93" w:type="dxa"/>
            <w:noWrap w:val="0"/>
            <w:vAlign w:val="top"/>
          </w:tcPr>
          <w:p w14:paraId="65D3199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6E1B27E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851" w:type="dxa"/>
            <w:noWrap w:val="0"/>
            <w:vAlign w:val="top"/>
          </w:tcPr>
          <w:p w14:paraId="5604681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774" w:type="dxa"/>
            <w:noWrap w:val="0"/>
            <w:vAlign w:val="top"/>
          </w:tcPr>
          <w:p w14:paraId="2128DF0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52" w:type="dxa"/>
            <w:noWrap w:val="0"/>
            <w:vAlign w:val="top"/>
          </w:tcPr>
          <w:p w14:paraId="5FB7FC6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8" w:type="dxa"/>
            <w:noWrap w:val="0"/>
            <w:vAlign w:val="top"/>
          </w:tcPr>
          <w:p w14:paraId="6857E98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303" w:type="dxa"/>
            <w:noWrap w:val="0"/>
            <w:vAlign w:val="top"/>
          </w:tcPr>
          <w:p w14:paraId="2F9DCEA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bl>
    <w:p w14:paraId="4206D21D">
      <w:pPr>
        <w:spacing w:line="440" w:lineRule="exact"/>
        <w:rPr>
          <w:rFonts w:ascii="Times New Roman" w:hAnsi="Times New Roman" w:eastAsia="仿宋_GB2312"/>
          <w:color w:val="auto"/>
          <w:sz w:val="30"/>
          <w:szCs w:val="30"/>
          <w:highlight w:val="none"/>
        </w:rPr>
      </w:pPr>
    </w:p>
    <w:p w14:paraId="1175BACF">
      <w:pPr>
        <w:spacing w:before="120" w:beforeLines="50" w:after="120" w:afterLines="50" w:line="440" w:lineRule="exact"/>
        <w:jc w:val="center"/>
        <w:rPr>
          <w:rFonts w:hint="eastAsia" w:ascii="新宋体" w:hAnsi="新宋体" w:eastAsia="新宋体" w:cs="新宋体"/>
          <w:b/>
          <w:bCs/>
          <w:color w:val="auto"/>
          <w:spacing w:val="8"/>
          <w:sz w:val="28"/>
          <w:szCs w:val="28"/>
          <w:highlight w:val="none"/>
        </w:rPr>
      </w:pPr>
      <w:r>
        <w:rPr>
          <w:rFonts w:ascii="Times New Roman" w:hAnsi="Times New Roman" w:eastAsia="仿宋_GB2312"/>
          <w:color w:val="auto"/>
          <w:sz w:val="30"/>
          <w:szCs w:val="30"/>
          <w:highlight w:val="none"/>
        </w:rPr>
        <w:br w:type="page"/>
      </w:r>
      <w:r>
        <w:rPr>
          <w:rFonts w:hint="eastAsia" w:ascii="新宋体" w:hAnsi="新宋体" w:eastAsia="新宋体" w:cs="新宋体"/>
          <w:b/>
          <w:bCs/>
          <w:color w:val="auto"/>
          <w:spacing w:val="8"/>
          <w:sz w:val="28"/>
          <w:szCs w:val="28"/>
          <w:highlight w:val="none"/>
        </w:rPr>
        <w:t>11-3：专业工程暂估价表</w:t>
      </w:r>
    </w:p>
    <w:tbl>
      <w:tblPr>
        <w:tblStyle w:val="28"/>
        <w:tblW w:w="867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879"/>
        <w:gridCol w:w="1984"/>
        <w:gridCol w:w="4395"/>
        <w:gridCol w:w="1417"/>
      </w:tblGrid>
      <w:tr w14:paraId="0283AF8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tcBorders>
              <w:top w:val="single" w:color="auto" w:sz="12" w:space="0"/>
              <w:bottom w:val="double" w:color="auto" w:sz="6" w:space="0"/>
            </w:tcBorders>
            <w:noWrap w:val="0"/>
            <w:vAlign w:val="top"/>
          </w:tcPr>
          <w:p w14:paraId="4FF00F0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序号</w:t>
            </w:r>
          </w:p>
        </w:tc>
        <w:tc>
          <w:tcPr>
            <w:tcW w:w="1984" w:type="dxa"/>
            <w:tcBorders>
              <w:top w:val="single" w:color="auto" w:sz="12" w:space="0"/>
              <w:bottom w:val="double" w:color="auto" w:sz="6" w:space="0"/>
            </w:tcBorders>
            <w:noWrap w:val="0"/>
            <w:vAlign w:val="top"/>
          </w:tcPr>
          <w:p w14:paraId="05506D8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专业工程名称</w:t>
            </w:r>
          </w:p>
        </w:tc>
        <w:tc>
          <w:tcPr>
            <w:tcW w:w="4395" w:type="dxa"/>
            <w:tcBorders>
              <w:top w:val="single" w:color="auto" w:sz="12" w:space="0"/>
              <w:bottom w:val="double" w:color="auto" w:sz="6" w:space="0"/>
            </w:tcBorders>
            <w:noWrap w:val="0"/>
            <w:vAlign w:val="top"/>
          </w:tcPr>
          <w:p w14:paraId="34EB1F6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工程内容</w:t>
            </w:r>
          </w:p>
        </w:tc>
        <w:tc>
          <w:tcPr>
            <w:tcW w:w="1417" w:type="dxa"/>
            <w:tcBorders>
              <w:top w:val="single" w:color="auto" w:sz="12" w:space="0"/>
              <w:bottom w:val="double" w:color="auto" w:sz="6" w:space="0"/>
            </w:tcBorders>
            <w:noWrap w:val="0"/>
            <w:vAlign w:val="top"/>
          </w:tcPr>
          <w:p w14:paraId="00D2400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金额</w:t>
            </w:r>
          </w:p>
        </w:tc>
      </w:tr>
      <w:tr w14:paraId="6E9356E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tcBorders>
              <w:top w:val="double" w:color="auto" w:sz="6" w:space="0"/>
              <w:bottom w:val="single" w:color="auto" w:sz="6" w:space="0"/>
            </w:tcBorders>
            <w:noWrap w:val="0"/>
            <w:vAlign w:val="top"/>
          </w:tcPr>
          <w:p w14:paraId="6D7310C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tcBorders>
              <w:top w:val="double" w:color="auto" w:sz="6" w:space="0"/>
              <w:bottom w:val="single" w:color="auto" w:sz="6" w:space="0"/>
            </w:tcBorders>
            <w:noWrap w:val="0"/>
            <w:vAlign w:val="top"/>
          </w:tcPr>
          <w:p w14:paraId="19D4E1D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tcBorders>
              <w:top w:val="double" w:color="auto" w:sz="6" w:space="0"/>
              <w:bottom w:val="single" w:color="auto" w:sz="6" w:space="0"/>
            </w:tcBorders>
            <w:noWrap w:val="0"/>
            <w:vAlign w:val="top"/>
          </w:tcPr>
          <w:p w14:paraId="33B15D8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tcBorders>
              <w:top w:val="double" w:color="auto" w:sz="6" w:space="0"/>
              <w:bottom w:val="single" w:color="auto" w:sz="6" w:space="0"/>
            </w:tcBorders>
            <w:noWrap w:val="0"/>
            <w:vAlign w:val="top"/>
          </w:tcPr>
          <w:p w14:paraId="29120EA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0037C9A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tcBorders>
              <w:top w:val="nil"/>
            </w:tcBorders>
            <w:noWrap w:val="0"/>
            <w:vAlign w:val="top"/>
          </w:tcPr>
          <w:p w14:paraId="1FC06CC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tcBorders>
              <w:top w:val="nil"/>
            </w:tcBorders>
            <w:noWrap w:val="0"/>
            <w:vAlign w:val="top"/>
          </w:tcPr>
          <w:p w14:paraId="2A40061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tcBorders>
              <w:top w:val="nil"/>
            </w:tcBorders>
            <w:noWrap w:val="0"/>
            <w:vAlign w:val="top"/>
          </w:tcPr>
          <w:p w14:paraId="2A0C448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tcBorders>
              <w:top w:val="nil"/>
            </w:tcBorders>
            <w:noWrap w:val="0"/>
            <w:vAlign w:val="top"/>
          </w:tcPr>
          <w:p w14:paraId="2C38BD3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507D007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tcBorders>
              <w:top w:val="nil"/>
            </w:tcBorders>
            <w:noWrap w:val="0"/>
            <w:vAlign w:val="top"/>
          </w:tcPr>
          <w:p w14:paraId="56B1D8D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tcBorders>
              <w:top w:val="nil"/>
            </w:tcBorders>
            <w:noWrap w:val="0"/>
            <w:vAlign w:val="top"/>
          </w:tcPr>
          <w:p w14:paraId="4B0EA41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tcBorders>
              <w:top w:val="nil"/>
            </w:tcBorders>
            <w:noWrap w:val="0"/>
            <w:vAlign w:val="top"/>
          </w:tcPr>
          <w:p w14:paraId="14BBE26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tcBorders>
              <w:top w:val="nil"/>
            </w:tcBorders>
            <w:noWrap w:val="0"/>
            <w:vAlign w:val="top"/>
          </w:tcPr>
          <w:p w14:paraId="661DA99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47D7EB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2BB17A1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5537D68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63CE455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7898FEB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597996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61DB091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0AB2FD5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5510F8B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7A982AE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78E9F2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6B2CB4A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E72EA8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0AB060D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082AD82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250B252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4F04401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F41755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7F795B0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4C84884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37C32A9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2F465D8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11AFB6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0E6DD3C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66DE8E7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4200DED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08664F8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04509DA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6A566DF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3FE70E4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562F723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48E7611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130635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05731ED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4C2D2FE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3110E7E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57645DC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1C67860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09C4F87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0062D8F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045DE8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68B0E23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768DFAE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45BD9F9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353DD12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656ABE5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1920E02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C98586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3689792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01D55DE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5D8D33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044B183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D5AA61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0AE92C2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7F9B308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24F539B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2D65424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17CE2F1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7D48D63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5904275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30054E0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18BCC45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E8171F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2922D7D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373CF6E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7BBA9FA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6E711F6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13C1A7A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5BB12C6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28F4F53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67BAF70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7CD4F40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63D25A66">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4A36FDB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3FFE9203">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4A2BE9E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555480E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053F597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42B7C81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72BFA92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4465C4E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288F9E8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3710B65">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5994E4D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638E449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4510DF0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7F6D107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4B7AFD1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3967359F">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5567662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7A2A26B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0C69231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38D20B5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3026924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0BAD637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60C7BA5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5731E87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6F3DD271">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7DE19B6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03C3FF2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559639C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5AC4E1FA">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78B24B27">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1D5322BC">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272414CB">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21B50A6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06432D64">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2EDD9D9E">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1141FDE2">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61E3F6E0">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30B654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9" w:type="dxa"/>
            <w:noWrap w:val="0"/>
            <w:vAlign w:val="top"/>
          </w:tcPr>
          <w:p w14:paraId="33DA5D6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984" w:type="dxa"/>
            <w:noWrap w:val="0"/>
            <w:vAlign w:val="top"/>
          </w:tcPr>
          <w:p w14:paraId="134FDB9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4395" w:type="dxa"/>
            <w:noWrap w:val="0"/>
            <w:vAlign w:val="top"/>
          </w:tcPr>
          <w:p w14:paraId="5B922B88">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c>
          <w:tcPr>
            <w:tcW w:w="1417" w:type="dxa"/>
            <w:noWrap w:val="0"/>
            <w:vAlign w:val="top"/>
          </w:tcPr>
          <w:p w14:paraId="3778974D">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p>
        </w:tc>
      </w:tr>
      <w:tr w14:paraId="1CEF8E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675" w:type="dxa"/>
            <w:gridSpan w:val="4"/>
            <w:noWrap w:val="0"/>
            <w:vAlign w:val="top"/>
          </w:tcPr>
          <w:p w14:paraId="3A7AD7A9">
            <w:pPr>
              <w:pStyle w:val="13"/>
              <w:keepNext/>
              <w:spacing w:after="0" w:line="440" w:lineRule="exact"/>
              <w:ind w:left="63" w:right="63"/>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小计：</w:t>
            </w:r>
          </w:p>
        </w:tc>
      </w:tr>
    </w:tbl>
    <w:p w14:paraId="67E21F35">
      <w:pPr>
        <w:spacing w:line="360" w:lineRule="auto"/>
        <w:jc w:val="left"/>
        <w:rPr>
          <w:color w:val="auto"/>
          <w:highlight w:val="none"/>
        </w:rPr>
      </w:pPr>
    </w:p>
    <w:p w14:paraId="14B4FAB5">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华文中宋" w:hAnsi="华文中宋" w:eastAsia="华文中宋" w:cs="华文中宋"/>
          <w:color w:val="auto"/>
          <w:sz w:val="32"/>
          <w:szCs w:val="32"/>
        </w:rPr>
      </w:pPr>
      <w:r>
        <w:rPr>
          <w:rFonts w:hint="eastAsia" w:cs="仿宋_GB2312"/>
          <w:b w:val="0"/>
          <w:bCs w:val="0"/>
          <w:color w:val="auto"/>
          <w:highlight w:val="none"/>
        </w:rPr>
        <w:br w:type="page"/>
      </w:r>
      <w:bookmarkStart w:id="1078" w:name="_Toc21822"/>
      <w:bookmarkStart w:id="1079" w:name="_Toc12699"/>
      <w:bookmarkStart w:id="1080" w:name="_Toc15814"/>
      <w:bookmarkStart w:id="1081" w:name="_Toc11031"/>
      <w:r>
        <w:rPr>
          <w:rFonts w:hint="eastAsia" w:ascii="华文中宋" w:hAnsi="华文中宋" w:eastAsia="华文中宋" w:cs="华文中宋"/>
          <w:color w:val="auto"/>
          <w:sz w:val="32"/>
          <w:szCs w:val="32"/>
        </w:rPr>
        <w:t>第</w:t>
      </w:r>
      <w:r>
        <w:rPr>
          <w:rFonts w:hint="eastAsia" w:ascii="华文中宋" w:hAnsi="华文中宋" w:eastAsia="华文中宋" w:cs="华文中宋"/>
          <w:color w:val="auto"/>
          <w:sz w:val="32"/>
          <w:szCs w:val="32"/>
          <w:lang w:eastAsia="zh-CN"/>
        </w:rPr>
        <w:t>七</w:t>
      </w:r>
      <w:r>
        <w:rPr>
          <w:rFonts w:hint="eastAsia" w:ascii="华文中宋" w:hAnsi="华文中宋" w:eastAsia="华文中宋" w:cs="华文中宋"/>
          <w:color w:val="auto"/>
          <w:sz w:val="32"/>
          <w:szCs w:val="32"/>
        </w:rPr>
        <w:t xml:space="preserve">章 </w:t>
      </w:r>
      <w:r>
        <w:rPr>
          <w:rFonts w:hint="eastAsia" w:ascii="华文中宋" w:hAnsi="华文中宋" w:eastAsia="华文中宋" w:cs="华文中宋"/>
          <w:color w:val="auto"/>
          <w:sz w:val="32"/>
          <w:szCs w:val="32"/>
          <w:lang w:val="en-US" w:eastAsia="zh-CN"/>
        </w:rPr>
        <w:t xml:space="preserve"> </w:t>
      </w:r>
      <w:r>
        <w:rPr>
          <w:rFonts w:hint="eastAsia" w:ascii="华文中宋" w:hAnsi="华文中宋" w:eastAsia="华文中宋" w:cs="华文中宋"/>
          <w:color w:val="auto"/>
          <w:sz w:val="32"/>
          <w:szCs w:val="32"/>
        </w:rPr>
        <w:t>工程量清单</w:t>
      </w:r>
      <w:bookmarkEnd w:id="249"/>
      <w:bookmarkEnd w:id="250"/>
      <w:r>
        <w:rPr>
          <w:rFonts w:hint="eastAsia" w:ascii="华文中宋" w:hAnsi="华文中宋" w:eastAsia="华文中宋" w:cs="华文中宋"/>
          <w:color w:val="auto"/>
          <w:sz w:val="32"/>
          <w:szCs w:val="32"/>
          <w:lang w:eastAsia="zh-CN"/>
        </w:rPr>
        <w:t>、图纸</w:t>
      </w:r>
      <w:bookmarkEnd w:id="251"/>
      <w:bookmarkEnd w:id="1078"/>
      <w:bookmarkEnd w:id="1079"/>
      <w:bookmarkEnd w:id="1080"/>
      <w:bookmarkEnd w:id="1081"/>
    </w:p>
    <w:p w14:paraId="11A5BE25">
      <w:pPr>
        <w:pStyle w:val="3"/>
        <w:pageBreakBefore w:val="0"/>
        <w:widowControl w:val="0"/>
        <w:kinsoku/>
        <w:wordWrap/>
        <w:overflowPunct/>
        <w:topLinePunct w:val="0"/>
        <w:autoSpaceDE/>
        <w:autoSpaceDN/>
        <w:bidi w:val="0"/>
        <w:adjustRightInd/>
        <w:snapToGrid/>
        <w:spacing w:line="360" w:lineRule="auto"/>
        <w:textAlignment w:val="auto"/>
        <w:rPr>
          <w:color w:val="auto"/>
          <w:kern w:val="44"/>
          <w:sz w:val="21"/>
          <w:szCs w:val="21"/>
          <w:highlight w:val="none"/>
        </w:rPr>
      </w:pPr>
      <w:bookmarkStart w:id="1082" w:name="_Toc27256"/>
      <w:bookmarkStart w:id="1083" w:name="_Toc29229"/>
      <w:bookmarkStart w:id="1084" w:name="_Toc407135284"/>
      <w:r>
        <w:rPr>
          <w:color w:val="auto"/>
          <w:sz w:val="21"/>
          <w:szCs w:val="21"/>
          <w:highlight w:val="none"/>
        </w:rPr>
        <w:t xml:space="preserve">1 </w:t>
      </w:r>
      <w:r>
        <w:rPr>
          <w:rFonts w:hint="eastAsia" w:cs="黑体"/>
          <w:color w:val="auto"/>
          <w:sz w:val="21"/>
          <w:szCs w:val="21"/>
          <w:highlight w:val="none"/>
        </w:rPr>
        <w:t>工程量清单编制说明</w:t>
      </w:r>
      <w:bookmarkEnd w:id="1082"/>
      <w:bookmarkEnd w:id="1083"/>
      <w:bookmarkEnd w:id="1084"/>
    </w:p>
    <w:p w14:paraId="2083D973">
      <w:pPr>
        <w:spacing w:line="360" w:lineRule="auto"/>
        <w:ind w:firstLine="420" w:firstLineChars="200"/>
        <w:rPr>
          <w:color w:val="auto"/>
        </w:rPr>
      </w:pPr>
      <w:r>
        <w:rPr>
          <w:color w:val="auto"/>
          <w:highlight w:val="white"/>
        </w:rPr>
        <w:t>1.1</w:t>
      </w:r>
      <w:r>
        <w:rPr>
          <w:rFonts w:hint="eastAsia" w:hAnsi="宋体" w:cs="宋体"/>
          <w:color w:val="auto"/>
          <w:highlight w:val="white"/>
        </w:rPr>
        <w:t>本工程量清单依据《建设工程工程量清单计价规范</w:t>
      </w:r>
      <w:r>
        <w:rPr>
          <w:rFonts w:hint="eastAsia" w:cs="宋体"/>
          <w:color w:val="auto"/>
          <w:highlight w:val="white"/>
        </w:rPr>
        <w:t>（</w:t>
      </w:r>
      <w:r>
        <w:rPr>
          <w:color w:val="auto"/>
          <w:highlight w:val="white"/>
        </w:rPr>
        <w:t>GB50500-2013</w:t>
      </w:r>
      <w:r>
        <w:rPr>
          <w:rFonts w:hint="eastAsia" w:cs="宋体"/>
          <w:color w:val="auto"/>
          <w:highlight w:val="white"/>
        </w:rPr>
        <w:t>）</w:t>
      </w:r>
      <w:r>
        <w:rPr>
          <w:rFonts w:hint="eastAsia" w:hAnsi="宋体" w:cs="宋体"/>
          <w:color w:val="auto"/>
          <w:highlight w:val="white"/>
        </w:rPr>
        <w:t>广西实施细则》（以下简称</w:t>
      </w:r>
      <w:r>
        <w:rPr>
          <w:color w:val="auto"/>
          <w:highlight w:val="white"/>
        </w:rPr>
        <w:t>“</w:t>
      </w:r>
      <w:r>
        <w:rPr>
          <w:rFonts w:hint="eastAsia" w:hAnsi="宋体" w:cs="宋体"/>
          <w:color w:val="auto"/>
          <w:highlight w:val="white"/>
        </w:rPr>
        <w:t>《计价规范》</w:t>
      </w:r>
      <w:r>
        <w:rPr>
          <w:color w:val="auto"/>
          <w:highlight w:val="white"/>
        </w:rPr>
        <w:t>”</w:t>
      </w:r>
      <w:r>
        <w:rPr>
          <w:rFonts w:hint="eastAsia" w:cs="宋体"/>
          <w:color w:val="auto"/>
          <w:highlight w:val="white"/>
        </w:rPr>
        <w:t>）</w:t>
      </w:r>
      <w:r>
        <w:rPr>
          <w:rFonts w:hint="eastAsia" w:hAnsi="宋体" w:cs="宋体"/>
          <w:color w:val="auto"/>
          <w:highlight w:val="white"/>
        </w:rPr>
        <w:t>、《工程量清单计算规范（</w:t>
      </w:r>
      <w:r>
        <w:rPr>
          <w:color w:val="auto"/>
          <w:highlight w:val="white"/>
        </w:rPr>
        <w:t>GB50854~50862-2013</w:t>
      </w:r>
      <w:r>
        <w:rPr>
          <w:rFonts w:hint="eastAsia" w:hAnsi="宋体" w:cs="宋体"/>
          <w:color w:val="auto"/>
          <w:highlight w:val="white"/>
        </w:rPr>
        <w:t>）》及广西实施细则（修订本）（以下简称</w:t>
      </w:r>
      <w:r>
        <w:rPr>
          <w:color w:val="auto"/>
          <w:highlight w:val="white"/>
        </w:rPr>
        <w:t>“</w:t>
      </w:r>
      <w:r>
        <w:rPr>
          <w:rFonts w:hint="eastAsia" w:hAnsi="宋体" w:cs="宋体"/>
          <w:color w:val="auto"/>
          <w:highlight w:val="white"/>
        </w:rPr>
        <w:t>《计算规范》</w:t>
      </w:r>
      <w:r>
        <w:rPr>
          <w:color w:val="auto"/>
          <w:highlight w:val="white"/>
        </w:rPr>
        <w:t>”</w:t>
      </w:r>
      <w:r>
        <w:rPr>
          <w:rFonts w:hint="eastAsia" w:hAnsi="宋体" w:cs="宋体"/>
          <w:color w:val="auto"/>
          <w:highlight w:val="white"/>
        </w:rPr>
        <w:t>）、</w:t>
      </w:r>
      <w:r>
        <w:rPr>
          <w:rFonts w:hint="eastAsia" w:hAnsi="宋体" w:cs="宋体"/>
          <w:color w:val="auto"/>
          <w:kern w:val="0"/>
          <w:highlight w:val="white"/>
        </w:rPr>
        <w:t>《关于建筑业实施营业税改征增值税后广西壮族自治区建设工程计价依据调整的通知》（桂建标〔</w:t>
      </w:r>
      <w:r>
        <w:rPr>
          <w:rFonts w:hAnsi="宋体"/>
          <w:color w:val="auto"/>
          <w:kern w:val="0"/>
          <w:highlight w:val="white"/>
        </w:rPr>
        <w:t>2016</w:t>
      </w:r>
      <w:r>
        <w:rPr>
          <w:rFonts w:hint="eastAsia" w:hAnsi="宋体" w:cs="宋体"/>
          <w:color w:val="auto"/>
          <w:kern w:val="0"/>
          <w:highlight w:val="white"/>
        </w:rPr>
        <w:t>〕</w:t>
      </w:r>
      <w:r>
        <w:rPr>
          <w:rFonts w:hAnsi="宋体"/>
          <w:color w:val="auto"/>
          <w:kern w:val="0"/>
          <w:highlight w:val="white"/>
        </w:rPr>
        <w:t>17</w:t>
      </w:r>
      <w:r>
        <w:rPr>
          <w:rFonts w:hint="eastAsia" w:hAnsi="宋体" w:cs="宋体"/>
          <w:color w:val="auto"/>
          <w:kern w:val="0"/>
          <w:highlight w:val="white"/>
        </w:rPr>
        <w:t>号）、</w:t>
      </w:r>
      <w:r>
        <w:rPr>
          <w:rFonts w:hint="eastAsia" w:hAnsi="宋体" w:cs="宋体"/>
          <w:color w:val="auto"/>
          <w:szCs w:val="21"/>
          <w:highlight w:val="none"/>
        </w:rPr>
        <w:t>竞争性磋商</w:t>
      </w:r>
      <w:r>
        <w:rPr>
          <w:rFonts w:hint="eastAsia" w:cs="宋体"/>
          <w:color w:val="auto"/>
          <w:highlight w:val="none"/>
        </w:rPr>
        <w:t>文件</w:t>
      </w:r>
      <w:r>
        <w:rPr>
          <w:rFonts w:hint="eastAsia" w:hAnsi="宋体" w:cs="宋体"/>
          <w:color w:val="auto"/>
          <w:highlight w:val="white"/>
        </w:rPr>
        <w:t>、施工图等编制。</w:t>
      </w:r>
    </w:p>
    <w:p w14:paraId="1C91F02E">
      <w:pPr>
        <w:spacing w:line="360" w:lineRule="auto"/>
        <w:ind w:firstLine="420" w:firstLineChars="200"/>
        <w:rPr>
          <w:color w:val="auto"/>
        </w:rPr>
      </w:pPr>
      <w:r>
        <w:rPr>
          <w:color w:val="auto"/>
          <w:highlight w:val="white"/>
        </w:rPr>
        <w:t xml:space="preserve">1.2 </w:t>
      </w:r>
      <w:r>
        <w:rPr>
          <w:rFonts w:hint="eastAsia"/>
          <w:color w:val="auto"/>
          <w:highlight w:val="white"/>
        </w:rPr>
        <w:t>工程量清单应与投标须知、合同协议条款、合同的通用条款、合同专用条款、技术规范及图纸等文件一起结合使用。</w:t>
      </w:r>
    </w:p>
    <w:p w14:paraId="17863095">
      <w:pPr>
        <w:spacing w:line="360" w:lineRule="auto"/>
        <w:ind w:firstLine="420" w:firstLineChars="200"/>
        <w:rPr>
          <w:color w:val="auto"/>
        </w:rPr>
      </w:pPr>
      <w:r>
        <w:rPr>
          <w:color w:val="auto"/>
          <w:highlight w:val="white"/>
        </w:rPr>
        <w:t xml:space="preserve">1.3 </w:t>
      </w:r>
      <w:r>
        <w:rPr>
          <w:rFonts w:hint="eastAsia" w:cs="宋体"/>
          <w:color w:val="auto"/>
          <w:highlight w:val="white"/>
        </w:rPr>
        <w:t>工程量清单是</w:t>
      </w:r>
      <w:r>
        <w:rPr>
          <w:rFonts w:hint="eastAsia" w:cs="宋体"/>
          <w:color w:val="auto"/>
          <w:highlight w:val="white"/>
          <w:lang w:eastAsia="zh-CN"/>
        </w:rPr>
        <w:t>磋商</w:t>
      </w:r>
      <w:r>
        <w:rPr>
          <w:rFonts w:hint="eastAsia" w:cs="宋体"/>
          <w:color w:val="auto"/>
          <w:highlight w:val="white"/>
        </w:rPr>
        <w:t>文件的组成部分，是工程量清单计价的基础，作为编制招标控制价、</w:t>
      </w:r>
      <w:r>
        <w:rPr>
          <w:rFonts w:hint="eastAsia" w:cs="宋体"/>
          <w:color w:val="auto"/>
          <w:highlight w:val="white"/>
          <w:lang w:eastAsia="zh-CN"/>
        </w:rPr>
        <w:t>磋商</w:t>
      </w:r>
      <w:r>
        <w:rPr>
          <w:rFonts w:hint="eastAsia" w:cs="宋体"/>
          <w:color w:val="auto"/>
          <w:highlight w:val="white"/>
        </w:rPr>
        <w:t>报价、计算或调整工程量、索赔等的依据之一。</w:t>
      </w:r>
    </w:p>
    <w:p w14:paraId="7A10E960">
      <w:pPr>
        <w:spacing w:line="360" w:lineRule="auto"/>
        <w:ind w:firstLine="420" w:firstLineChars="200"/>
        <w:rPr>
          <w:rFonts w:hint="default" w:eastAsia="宋体"/>
          <w:color w:val="auto"/>
          <w:u w:val="single"/>
          <w:lang w:val="en-US" w:eastAsia="zh-CN"/>
        </w:rPr>
      </w:pPr>
      <w:r>
        <w:rPr>
          <w:color w:val="auto"/>
          <w:highlight w:val="white"/>
        </w:rPr>
        <w:t xml:space="preserve">1.4 </w:t>
      </w:r>
      <w:r>
        <w:rPr>
          <w:rFonts w:hint="eastAsia" w:cs="宋体"/>
          <w:color w:val="auto"/>
          <w:highlight w:val="white"/>
        </w:rPr>
        <w:t>补充</w:t>
      </w:r>
      <w:r>
        <w:rPr>
          <w:rFonts w:hint="eastAsia" w:eastAsia="宋体" w:cs="Times New Roman"/>
          <w:color w:val="auto"/>
          <w:highlight w:val="white"/>
        </w:rPr>
        <w:t>清单</w:t>
      </w:r>
      <w:r>
        <w:rPr>
          <w:rFonts w:hint="eastAsia" w:cs="宋体"/>
          <w:color w:val="auto"/>
          <w:highlight w:val="white"/>
        </w:rPr>
        <w:t>项目的特征、计量单位、工程量计算规则及工作内容说明如下：</w:t>
      </w:r>
      <w:r>
        <w:rPr>
          <w:rFonts w:hint="eastAsia" w:cs="宋体"/>
          <w:color w:val="auto"/>
          <w:highlight w:val="white"/>
          <w:u w:val="single"/>
          <w:lang w:val="en-US" w:eastAsia="zh-CN"/>
        </w:rPr>
        <w:t xml:space="preserve">  </w:t>
      </w:r>
      <w:r>
        <w:rPr>
          <w:rFonts w:hint="eastAsia" w:cs="宋体"/>
          <w:color w:val="auto"/>
          <w:highlight w:val="white"/>
          <w:u w:val="single"/>
        </w:rPr>
        <w:t>/</w:t>
      </w:r>
      <w:r>
        <w:rPr>
          <w:rFonts w:hint="eastAsia" w:cs="宋体"/>
          <w:color w:val="auto"/>
          <w:highlight w:val="white"/>
          <w:u w:val="single"/>
          <w:lang w:val="en-US" w:eastAsia="zh-CN"/>
        </w:rPr>
        <w:t xml:space="preserve">    。</w:t>
      </w:r>
    </w:p>
    <w:p w14:paraId="327E99A0">
      <w:pPr>
        <w:pStyle w:val="18"/>
        <w:spacing w:line="360" w:lineRule="auto"/>
        <w:ind w:firstLine="420" w:firstLineChars="200"/>
        <w:rPr>
          <w:rFonts w:ascii="Times New Roman" w:hAnsi="Times New Roman"/>
          <w:color w:val="auto"/>
          <w:sz w:val="21"/>
          <w:szCs w:val="21"/>
        </w:rPr>
      </w:pPr>
      <w:r>
        <w:rPr>
          <w:rFonts w:hint="eastAsia" w:ascii="Calibri" w:hAnsi="Calibri" w:eastAsia="宋体" w:cs="宋体"/>
          <w:color w:val="auto"/>
          <w:kern w:val="2"/>
          <w:sz w:val="21"/>
          <w:szCs w:val="22"/>
          <w:highlight w:val="white"/>
          <w:lang w:val="en-US" w:eastAsia="zh-CN" w:bidi="ar-SA"/>
        </w:rPr>
        <w:t>1.5 《本工程材料和工程设备一览表》（表-22，表格编号为计价规范相应表格</w:t>
      </w:r>
      <w:r>
        <w:rPr>
          <w:rFonts w:hint="eastAsia" w:ascii="Times New Roman" w:hAnsi="Times New Roman"/>
          <w:color w:val="auto"/>
          <w:sz w:val="21"/>
          <w:szCs w:val="21"/>
          <w:highlight w:val="white"/>
        </w:rPr>
        <w:t>编号，下同）作为项目实施过程中材料和设备价格风险调整依据。</w:t>
      </w:r>
    </w:p>
    <w:p w14:paraId="1BEDBE95">
      <w:pPr>
        <w:pStyle w:val="18"/>
        <w:spacing w:line="360" w:lineRule="auto"/>
        <w:ind w:firstLine="420" w:firstLineChars="200"/>
        <w:rPr>
          <w:rFonts w:ascii="Times New Roman" w:hAnsi="Times New Roman"/>
          <w:color w:val="auto"/>
          <w:sz w:val="21"/>
          <w:szCs w:val="21"/>
        </w:rPr>
      </w:pPr>
      <w:r>
        <w:rPr>
          <w:rFonts w:ascii="Times New Roman" w:hAnsi="Times New Roman"/>
          <w:color w:val="auto"/>
          <w:sz w:val="21"/>
          <w:szCs w:val="21"/>
          <w:highlight w:val="white"/>
        </w:rPr>
        <w:t xml:space="preserve">1.6 </w:t>
      </w:r>
      <w:r>
        <w:rPr>
          <w:rFonts w:hint="eastAsia" w:ascii="Times New Roman" w:hAnsi="Times New Roman"/>
          <w:color w:val="auto"/>
          <w:sz w:val="21"/>
          <w:szCs w:val="21"/>
          <w:highlight w:val="white"/>
        </w:rPr>
        <w:t>本工程暂列金额（约按合同造价</w:t>
      </w:r>
      <w:bookmarkStart w:id="1085" w:name="EB5e31469b1177475ab1fa5dbc1254ea04"/>
      <w:bookmarkEnd w:id="1085"/>
      <w:r>
        <w:rPr>
          <w:rFonts w:hint="eastAsia" w:ascii="Times New Roman" w:hAnsi="Times New Roman"/>
          <w:color w:val="auto"/>
          <w:sz w:val="21"/>
          <w:szCs w:val="21"/>
          <w:highlight w:val="white"/>
          <w:u w:val="single"/>
          <w:lang w:val="en-US" w:eastAsia="zh-CN"/>
        </w:rPr>
        <w:t xml:space="preserve">  /  </w:t>
      </w:r>
      <w:r>
        <w:rPr>
          <w:rFonts w:ascii="Times New Roman" w:hAnsi="Times New Roman"/>
          <w:color w:val="auto"/>
          <w:sz w:val="21"/>
          <w:szCs w:val="21"/>
          <w:highlight w:val="white"/>
        </w:rPr>
        <w:t>%</w:t>
      </w:r>
      <w:r>
        <w:rPr>
          <w:rFonts w:hint="eastAsia" w:ascii="Times New Roman" w:hAnsi="Times New Roman"/>
          <w:color w:val="auto"/>
          <w:sz w:val="21"/>
          <w:szCs w:val="21"/>
          <w:highlight w:val="white"/>
        </w:rPr>
        <w:t>计算），共</w:t>
      </w:r>
      <w:bookmarkStart w:id="1086" w:name="EBa952e412ae9047c3945d65ddad27d8ee"/>
      <w:bookmarkEnd w:id="1086"/>
      <w:r>
        <w:rPr>
          <w:rFonts w:hint="eastAsia" w:ascii="Times New Roman" w:hAnsi="Times New Roman"/>
          <w:color w:val="auto"/>
          <w:sz w:val="21"/>
          <w:szCs w:val="21"/>
          <w:highlight w:val="white"/>
          <w:u w:val="single"/>
          <w:lang w:val="en-US" w:eastAsia="zh-CN"/>
        </w:rPr>
        <w:t xml:space="preserve">  /  </w:t>
      </w:r>
      <w:r>
        <w:rPr>
          <w:rFonts w:hint="eastAsia" w:ascii="Times New Roman" w:hAnsi="Times New Roman"/>
          <w:color w:val="auto"/>
          <w:sz w:val="21"/>
          <w:szCs w:val="21"/>
          <w:highlight w:val="white"/>
        </w:rPr>
        <w:t>元，作为合同签订时尚未确定或者不可预见但施工中可能发生的费用。</w:t>
      </w:r>
    </w:p>
    <w:p w14:paraId="114CE33C">
      <w:pPr>
        <w:pStyle w:val="18"/>
        <w:spacing w:line="360" w:lineRule="auto"/>
        <w:ind w:firstLine="420" w:firstLineChars="200"/>
        <w:rPr>
          <w:rFonts w:ascii="Times New Roman" w:hAnsi="Times New Roman"/>
          <w:color w:val="auto"/>
          <w:sz w:val="21"/>
          <w:szCs w:val="21"/>
        </w:rPr>
      </w:pPr>
      <w:r>
        <w:rPr>
          <w:rFonts w:ascii="Times New Roman" w:hAnsi="Times New Roman"/>
          <w:color w:val="auto"/>
          <w:sz w:val="21"/>
          <w:szCs w:val="21"/>
          <w:highlight w:val="white"/>
        </w:rPr>
        <w:t xml:space="preserve">1.7 </w:t>
      </w:r>
      <w:r>
        <w:rPr>
          <w:rFonts w:hint="eastAsia" w:ascii="Times New Roman" w:hAnsi="Times New Roman"/>
          <w:color w:val="auto"/>
          <w:sz w:val="21"/>
          <w:szCs w:val="21"/>
          <w:highlight w:val="white"/>
        </w:rPr>
        <w:t>本工程发包人提供的材料和设备详见《发包人提供的主要材料和工程设备一览表》（表</w:t>
      </w:r>
      <w:r>
        <w:rPr>
          <w:rFonts w:ascii="Times New Roman" w:hAnsi="Times New Roman"/>
          <w:color w:val="auto"/>
          <w:sz w:val="21"/>
          <w:szCs w:val="21"/>
          <w:highlight w:val="white"/>
        </w:rPr>
        <w:t>-21</w:t>
      </w:r>
      <w:r>
        <w:rPr>
          <w:rFonts w:hint="eastAsia" w:ascii="Times New Roman" w:hAnsi="Times New Roman"/>
          <w:color w:val="auto"/>
          <w:sz w:val="21"/>
          <w:szCs w:val="21"/>
          <w:highlight w:val="white"/>
        </w:rPr>
        <w:t>）。</w:t>
      </w:r>
    </w:p>
    <w:p w14:paraId="52653FF4">
      <w:pPr>
        <w:spacing w:line="360" w:lineRule="auto"/>
        <w:ind w:firstLine="420" w:firstLineChars="200"/>
        <w:rPr>
          <w:color w:val="auto"/>
        </w:rPr>
      </w:pPr>
      <w:r>
        <w:rPr>
          <w:color w:val="auto"/>
          <w:highlight w:val="white"/>
        </w:rPr>
        <w:t xml:space="preserve">1.8 </w:t>
      </w:r>
      <w:r>
        <w:rPr>
          <w:rFonts w:hint="eastAsia" w:cs="宋体"/>
          <w:color w:val="auto"/>
          <w:highlight w:val="white"/>
        </w:rPr>
        <w:t>本工程部分材料和设备在</w:t>
      </w:r>
      <w:r>
        <w:rPr>
          <w:rFonts w:hint="eastAsia" w:cs="宋体"/>
          <w:color w:val="auto"/>
          <w:highlight w:val="white"/>
          <w:lang w:eastAsia="zh-CN"/>
        </w:rPr>
        <w:t>采购</w:t>
      </w:r>
      <w:r>
        <w:rPr>
          <w:rFonts w:hint="eastAsia" w:cs="宋体"/>
          <w:color w:val="auto"/>
          <w:highlight w:val="white"/>
        </w:rPr>
        <w:t>时作为暂估价计列，结算按实调整，具体内容详见《材料（工程设备）暂估单价及调整表》（表</w:t>
      </w:r>
      <w:r>
        <w:rPr>
          <w:color w:val="auto"/>
          <w:highlight w:val="white"/>
        </w:rPr>
        <w:t>1</w:t>
      </w:r>
      <w:r>
        <w:rPr>
          <w:rFonts w:hint="eastAsia"/>
          <w:color w:val="auto"/>
          <w:highlight w:val="white"/>
          <w:lang w:val="en-US" w:eastAsia="zh-CN"/>
        </w:rPr>
        <w:t>1</w:t>
      </w:r>
      <w:r>
        <w:rPr>
          <w:color w:val="auto"/>
          <w:highlight w:val="white"/>
        </w:rPr>
        <w:t>-2</w:t>
      </w:r>
      <w:r>
        <w:rPr>
          <w:rFonts w:hint="eastAsia" w:cs="宋体"/>
          <w:color w:val="auto"/>
          <w:highlight w:val="white"/>
        </w:rPr>
        <w:t>）。</w:t>
      </w:r>
    </w:p>
    <w:p w14:paraId="1316F03D">
      <w:pPr>
        <w:spacing w:line="360" w:lineRule="auto"/>
        <w:ind w:firstLine="420" w:firstLineChars="200"/>
        <w:rPr>
          <w:color w:val="auto"/>
        </w:rPr>
      </w:pPr>
      <w:r>
        <w:rPr>
          <w:color w:val="auto"/>
          <w:highlight w:val="white"/>
        </w:rPr>
        <w:t xml:space="preserve">1.9 </w:t>
      </w:r>
      <w:r>
        <w:rPr>
          <w:rFonts w:hint="eastAsia"/>
          <w:color w:val="auto"/>
          <w:highlight w:val="white"/>
          <w:lang w:eastAsia="zh-CN"/>
        </w:rPr>
        <w:t>采购</w:t>
      </w:r>
      <w:r>
        <w:rPr>
          <w:rFonts w:hint="eastAsia" w:cs="宋体"/>
          <w:color w:val="auto"/>
          <w:highlight w:val="white"/>
        </w:rPr>
        <w:t>时暂估专业工程的价款属于暂估价，结算按实调整，具体内容详见《专业工程暂估价及结算价表》（表</w:t>
      </w:r>
      <w:r>
        <w:rPr>
          <w:color w:val="auto"/>
          <w:highlight w:val="white"/>
        </w:rPr>
        <w:t>1</w:t>
      </w:r>
      <w:r>
        <w:rPr>
          <w:rFonts w:hint="eastAsia"/>
          <w:color w:val="auto"/>
          <w:highlight w:val="white"/>
          <w:lang w:val="en-US" w:eastAsia="zh-CN"/>
        </w:rPr>
        <w:t>1</w:t>
      </w:r>
      <w:r>
        <w:rPr>
          <w:color w:val="auto"/>
          <w:highlight w:val="white"/>
        </w:rPr>
        <w:t>-3</w:t>
      </w:r>
      <w:r>
        <w:rPr>
          <w:rFonts w:hint="eastAsia" w:cs="宋体"/>
          <w:color w:val="auto"/>
          <w:highlight w:val="white"/>
        </w:rPr>
        <w:t>）。</w:t>
      </w:r>
    </w:p>
    <w:p w14:paraId="2B8314C6">
      <w:pPr>
        <w:spacing w:line="360" w:lineRule="auto"/>
        <w:ind w:firstLine="420" w:firstLineChars="200"/>
        <w:rPr>
          <w:rFonts w:hint="default" w:eastAsia="宋体"/>
          <w:color w:val="auto"/>
          <w:lang w:val="en-US" w:eastAsia="zh-CN"/>
        </w:rPr>
      </w:pPr>
      <w:r>
        <w:rPr>
          <w:color w:val="auto"/>
          <w:highlight w:val="white"/>
        </w:rPr>
        <w:t>1.1</w:t>
      </w:r>
      <w:r>
        <w:rPr>
          <w:rFonts w:hint="eastAsia"/>
          <w:color w:val="auto"/>
          <w:highlight w:val="white"/>
          <w:lang w:val="en-US" w:eastAsia="zh-CN"/>
        </w:rPr>
        <w:t>0</w:t>
      </w:r>
      <w:r>
        <w:rPr>
          <w:color w:val="auto"/>
          <w:highlight w:val="white"/>
        </w:rPr>
        <w:t xml:space="preserve"> </w:t>
      </w:r>
      <w:r>
        <w:rPr>
          <w:rFonts w:hint="eastAsia" w:cs="宋体"/>
          <w:color w:val="auto"/>
          <w:highlight w:val="white"/>
        </w:rPr>
        <w:t>其它需要说明的问题：</w:t>
      </w:r>
      <w:r>
        <w:rPr>
          <w:rFonts w:hint="eastAsia" w:cs="宋体"/>
          <w:color w:val="auto"/>
          <w:highlight w:val="white"/>
          <w:u w:val="single"/>
          <w:lang w:val="en-US" w:eastAsia="zh-CN"/>
        </w:rPr>
        <w:t xml:space="preserve">  </w:t>
      </w:r>
      <w:r>
        <w:rPr>
          <w:rFonts w:hint="eastAsia" w:cs="宋体"/>
          <w:color w:val="auto"/>
          <w:highlight w:val="white"/>
          <w:u w:val="single"/>
        </w:rPr>
        <w:t>/</w:t>
      </w:r>
      <w:r>
        <w:rPr>
          <w:rFonts w:hint="eastAsia" w:cs="宋体"/>
          <w:color w:val="auto"/>
          <w:highlight w:val="white"/>
          <w:u w:val="single"/>
          <w:lang w:val="en-US" w:eastAsia="zh-CN"/>
        </w:rPr>
        <w:t xml:space="preserve">  </w:t>
      </w:r>
      <w:r>
        <w:rPr>
          <w:rFonts w:hint="eastAsia" w:cs="宋体"/>
          <w:color w:val="auto"/>
          <w:highlight w:val="white"/>
          <w:u w:val="none"/>
          <w:lang w:val="en-US" w:eastAsia="zh-CN"/>
        </w:rPr>
        <w:t>。</w:t>
      </w:r>
    </w:p>
    <w:p w14:paraId="20C01555">
      <w:pPr>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color w:val="auto"/>
          <w:highlight w:val="none"/>
        </w:rPr>
      </w:pPr>
      <w:bookmarkStart w:id="1087" w:name="EB019ea8e633a041c1ae831af2ffe31e82"/>
      <w:bookmarkEnd w:id="1087"/>
      <w:r>
        <w:rPr>
          <w:rFonts w:hint="eastAsia" w:ascii="宋体" w:hAnsi="宋体" w:eastAsia="宋体" w:cs="宋体"/>
          <w:b/>
          <w:bCs/>
          <w:i w:val="0"/>
          <w:iCs w:val="0"/>
          <w:color w:val="auto"/>
          <w:kern w:val="0"/>
          <w:sz w:val="21"/>
          <w:szCs w:val="21"/>
          <w:u w:val="none"/>
          <w:lang w:val="en-US" w:eastAsia="zh-CN" w:bidi="ar"/>
        </w:rPr>
        <w:t>注：以上所列表格以采购人发布工程量清单的表格为准。</w:t>
      </w:r>
    </w:p>
    <w:p w14:paraId="3453F522">
      <w:pPr>
        <w:pStyle w:val="3"/>
        <w:pageBreakBefore w:val="0"/>
        <w:widowControl w:val="0"/>
        <w:kinsoku/>
        <w:wordWrap/>
        <w:overflowPunct/>
        <w:topLinePunct w:val="0"/>
        <w:autoSpaceDE/>
        <w:autoSpaceDN/>
        <w:bidi w:val="0"/>
        <w:adjustRightInd/>
        <w:snapToGrid/>
        <w:spacing w:line="360" w:lineRule="auto"/>
        <w:textAlignment w:val="auto"/>
        <w:rPr>
          <w:color w:val="auto"/>
          <w:sz w:val="21"/>
          <w:szCs w:val="21"/>
          <w:highlight w:val="none"/>
        </w:rPr>
      </w:pPr>
      <w:bookmarkStart w:id="1088" w:name="_Toc11060"/>
      <w:bookmarkStart w:id="1089" w:name="_Toc407135285"/>
      <w:bookmarkStart w:id="1090" w:name="_Toc13127"/>
      <w:r>
        <w:rPr>
          <w:color w:val="auto"/>
          <w:sz w:val="21"/>
          <w:szCs w:val="21"/>
          <w:highlight w:val="none"/>
        </w:rPr>
        <w:t xml:space="preserve">2 </w:t>
      </w:r>
      <w:r>
        <w:rPr>
          <w:rFonts w:hint="eastAsia" w:cs="黑体"/>
          <w:color w:val="auto"/>
          <w:sz w:val="21"/>
          <w:szCs w:val="21"/>
          <w:highlight w:val="none"/>
        </w:rPr>
        <w:t>招标控制价编制说明</w:t>
      </w:r>
      <w:bookmarkEnd w:id="1088"/>
      <w:bookmarkEnd w:id="1089"/>
      <w:bookmarkEnd w:id="1090"/>
    </w:p>
    <w:p w14:paraId="31E3DC90">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2.1 </w:t>
      </w:r>
      <w:r>
        <w:rPr>
          <w:rFonts w:hint="eastAsia" w:hAnsi="宋体" w:cs="宋体"/>
          <w:color w:val="auto"/>
          <w:highlight w:val="none"/>
        </w:rPr>
        <w:t>招标控制价编制依据：</w:t>
      </w:r>
    </w:p>
    <w:p w14:paraId="414A6605">
      <w:pPr>
        <w:pageBreakBefore w:val="0"/>
        <w:widowControl w:val="0"/>
        <w:kinsoku/>
        <w:wordWrap/>
        <w:overflowPunct/>
        <w:topLinePunct w:val="0"/>
        <w:autoSpaceDE/>
        <w:autoSpaceDN/>
        <w:bidi w:val="0"/>
        <w:adjustRightInd/>
        <w:snapToGrid/>
        <w:spacing w:line="360" w:lineRule="auto"/>
        <w:ind w:firstLine="420" w:firstLineChars="200"/>
        <w:textAlignment w:val="auto"/>
        <w:rPr>
          <w:rFonts w:hAnsi="宋体"/>
          <w:color w:val="auto"/>
          <w:highlight w:val="none"/>
        </w:rPr>
      </w:pPr>
      <w:r>
        <w:rPr>
          <w:rFonts w:hint="eastAsia" w:cs="宋体"/>
          <w:color w:val="auto"/>
          <w:highlight w:val="none"/>
        </w:rPr>
        <w:t>（</w:t>
      </w:r>
      <w:r>
        <w:rPr>
          <w:color w:val="auto"/>
          <w:highlight w:val="none"/>
        </w:rPr>
        <w:t>1</w:t>
      </w:r>
      <w:r>
        <w:rPr>
          <w:rFonts w:hint="eastAsia" w:cs="宋体"/>
          <w:color w:val="auto"/>
          <w:highlight w:val="none"/>
        </w:rPr>
        <w:t>）</w:t>
      </w:r>
      <w:r>
        <w:rPr>
          <w:rFonts w:hint="eastAsia" w:hAnsi="宋体" w:cs="宋体"/>
          <w:color w:val="auto"/>
          <w:highlight w:val="none"/>
        </w:rPr>
        <w:t>《计价规范》及《计算规范》、</w:t>
      </w:r>
      <w:r>
        <w:rPr>
          <w:rFonts w:hint="eastAsia" w:hAnsi="宋体" w:cs="宋体"/>
          <w:color w:val="auto"/>
          <w:kern w:val="0"/>
          <w:highlight w:val="none"/>
        </w:rPr>
        <w:t>《关于建筑业实施营业税改征增值税后广西壮族自治区建设工程计价依据调整的通知》（桂建标〔</w:t>
      </w:r>
      <w:r>
        <w:rPr>
          <w:rFonts w:hAnsi="宋体"/>
          <w:color w:val="auto"/>
          <w:kern w:val="0"/>
          <w:highlight w:val="none"/>
        </w:rPr>
        <w:t>2016</w:t>
      </w:r>
      <w:r>
        <w:rPr>
          <w:rFonts w:hint="eastAsia" w:hAnsi="宋体" w:cs="宋体"/>
          <w:color w:val="auto"/>
          <w:kern w:val="0"/>
          <w:highlight w:val="none"/>
        </w:rPr>
        <w:t>〕</w:t>
      </w:r>
      <w:r>
        <w:rPr>
          <w:rFonts w:hAnsi="宋体"/>
          <w:color w:val="auto"/>
          <w:kern w:val="0"/>
          <w:highlight w:val="none"/>
        </w:rPr>
        <w:t>17</w:t>
      </w:r>
      <w:r>
        <w:rPr>
          <w:rFonts w:hint="eastAsia" w:hAnsi="宋体" w:cs="宋体"/>
          <w:color w:val="auto"/>
          <w:kern w:val="0"/>
          <w:highlight w:val="none"/>
        </w:rPr>
        <w:t>号）等</w:t>
      </w:r>
      <w:r>
        <w:rPr>
          <w:rFonts w:hint="eastAsia" w:hAnsi="宋体" w:cs="宋体"/>
          <w:color w:val="auto"/>
          <w:highlight w:val="none"/>
        </w:rPr>
        <w:t>；</w:t>
      </w:r>
    </w:p>
    <w:p w14:paraId="07B76407">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cs="宋体"/>
          <w:color w:val="auto"/>
          <w:highlight w:val="none"/>
        </w:rPr>
      </w:pPr>
      <w:r>
        <w:rPr>
          <w:rFonts w:hint="eastAsia" w:cs="宋体"/>
          <w:color w:val="auto"/>
          <w:highlight w:val="none"/>
        </w:rPr>
        <w:t>（</w:t>
      </w:r>
      <w:r>
        <w:rPr>
          <w:color w:val="auto"/>
          <w:highlight w:val="none"/>
        </w:rPr>
        <w:t>2</w:t>
      </w:r>
      <w:r>
        <w:rPr>
          <w:rFonts w:hint="eastAsia" w:cs="宋体"/>
          <w:color w:val="auto"/>
          <w:highlight w:val="none"/>
        </w:rPr>
        <w:t>）自治区住房城乡建设行政主管部门颁发的计价定额及有关规定：</w:t>
      </w:r>
    </w:p>
    <w:p w14:paraId="68318F4A">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 xml:space="preserve">1）桂林航天工业学院新校区扩建项目科技活动中心附属工程施工图。 </w:t>
      </w:r>
    </w:p>
    <w:p w14:paraId="25479523">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2）2024年《广西壮族自治区建筑装饰装修工程消耗量定额》。</w:t>
      </w:r>
    </w:p>
    <w:p w14:paraId="298B25DA">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3）2023年《广西壮族自治区安装工程消耗量定额》及相配套费用定额。</w:t>
      </w:r>
    </w:p>
    <w:p w14:paraId="5A35688D">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4）2022年《广西壮族自治区市政工程消耗量定额》及其计价相关规定。</w:t>
      </w:r>
    </w:p>
    <w:p w14:paraId="55334D0E">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5）桂建发[2023]6号文《广西壮族自治区住房城乡建设厅关于印发广西壮族自治区房屋建筑和市政基础设施工程安全生产责任保险计价规定的通知》。</w:t>
      </w:r>
    </w:p>
    <w:p w14:paraId="2DBAD6AC">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6）《园林绿化工程工程量计算标准》（GB/T50858-2024）；</w:t>
      </w:r>
    </w:p>
    <w:p w14:paraId="5E635CF5">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7）桂建标[2016]16号《自治区住房城乡建设厅关于颁布2016年&lt;广西壮族自治区建设工程费用定额&gt;的通知》；</w:t>
      </w:r>
    </w:p>
    <w:p w14:paraId="3C42774A">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8）自治区住房城乡建设厅《关于调整建设工程定额人工费及有关费率的通知》（桂建标字〔2018〕19号）；</w:t>
      </w:r>
    </w:p>
    <w:p w14:paraId="1BA81F68">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9）自治区住房城乡建设厅关于调整建设工程计价增值税税率的通知（桂造价[2019]10号）；</w:t>
      </w:r>
    </w:p>
    <w:p w14:paraId="5894ABE1">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10）材料价格按照发布的2025年第9期《桂林市建设工程造价信息》的材料价格调整；信息价没有的材料价格采取询价方式进行确定。</w:t>
      </w:r>
    </w:p>
    <w:p w14:paraId="376C3A71">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left"/>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11）桂林市及广西区造价站发布的其他相关计价文件规定。</w:t>
      </w:r>
    </w:p>
    <w:p w14:paraId="74E8599C">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2.2 </w:t>
      </w:r>
      <w:r>
        <w:rPr>
          <w:rFonts w:hint="eastAsia" w:hAnsi="宋体" w:cs="宋体"/>
          <w:color w:val="auto"/>
          <w:highlight w:val="none"/>
        </w:rPr>
        <w:t>分部分项及单价措施项目综合单价应包括竞争性磋商文件中采购人要求供应商所承担的风险内容及其范围（幅度）产生的风险费用。</w:t>
      </w:r>
    </w:p>
    <w:p w14:paraId="2DBE0679">
      <w:pPr>
        <w:pageBreakBefore w:val="0"/>
        <w:widowControl w:val="0"/>
        <w:kinsoku/>
        <w:wordWrap/>
        <w:overflowPunct/>
        <w:topLinePunct w:val="0"/>
        <w:autoSpaceDE/>
        <w:autoSpaceDN/>
        <w:bidi w:val="0"/>
        <w:adjustRightInd/>
        <w:snapToGrid/>
        <w:spacing w:line="360" w:lineRule="auto"/>
        <w:ind w:firstLine="420"/>
        <w:textAlignment w:val="auto"/>
        <w:rPr>
          <w:color w:val="auto"/>
          <w:highlight w:val="none"/>
        </w:rPr>
      </w:pPr>
      <w:r>
        <w:rPr>
          <w:color w:val="auto"/>
          <w:highlight w:val="none"/>
        </w:rPr>
        <w:t xml:space="preserve">2.3 </w:t>
      </w:r>
      <w:r>
        <w:rPr>
          <w:rFonts w:hint="eastAsia" w:hAnsi="宋体" w:cs="宋体"/>
          <w:color w:val="auto"/>
          <w:highlight w:val="none"/>
        </w:rPr>
        <w:t>总价措施项目应根据拟定的竞争性磋商文件和常规施工方案按《计价规范》和《计算规范》规定编制。</w:t>
      </w:r>
    </w:p>
    <w:p w14:paraId="5BCBE2D8">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2.4 </w:t>
      </w:r>
      <w:r>
        <w:rPr>
          <w:rFonts w:hint="eastAsia" w:cs="宋体"/>
          <w:color w:val="auto"/>
          <w:highlight w:val="none"/>
        </w:rPr>
        <w:t>其他项目费应按下列规定报价：</w:t>
      </w:r>
    </w:p>
    <w:p w14:paraId="3212AB1A">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rFonts w:hint="eastAsia" w:cs="宋体"/>
          <w:color w:val="auto"/>
          <w:highlight w:val="none"/>
        </w:rPr>
        <w:t>（</w:t>
      </w:r>
      <w:r>
        <w:rPr>
          <w:color w:val="auto"/>
          <w:highlight w:val="none"/>
        </w:rPr>
        <w:t>1</w:t>
      </w:r>
      <w:r>
        <w:rPr>
          <w:rFonts w:hint="eastAsia" w:cs="宋体"/>
          <w:color w:val="auto"/>
          <w:highlight w:val="none"/>
        </w:rPr>
        <w:t>）暂列金额应按工程量清单中列出的金额填写；</w:t>
      </w:r>
    </w:p>
    <w:p w14:paraId="3FDB9AD0">
      <w:pPr>
        <w:pStyle w:val="87"/>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kern w:val="2"/>
          <w:sz w:val="21"/>
          <w:szCs w:val="21"/>
          <w:highlight w:val="none"/>
          <w:lang w:val="en-US" w:eastAsia="zh-CN" w:bidi="ar-SA"/>
        </w:rPr>
      </w:pPr>
      <w:r>
        <w:rPr>
          <w:rFonts w:hint="eastAsia" w:ascii="Times New Roman" w:hAnsi="Times New Roman" w:eastAsia="宋体" w:cs="宋体"/>
          <w:color w:val="auto"/>
          <w:kern w:val="2"/>
          <w:sz w:val="21"/>
          <w:szCs w:val="21"/>
          <w:highlight w:val="none"/>
          <w:lang w:val="en-US" w:eastAsia="zh-CN" w:bidi="ar-SA"/>
        </w:rPr>
        <w:t>（2）材料、工程设备暂估价应按工程量清单中列出的单价计入综合单价；</w:t>
      </w:r>
    </w:p>
    <w:p w14:paraId="5D4B287E">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color w:val="auto"/>
          <w:kern w:val="2"/>
          <w:sz w:val="21"/>
          <w:szCs w:val="21"/>
          <w:highlight w:val="none"/>
          <w:lang w:val="en-US" w:eastAsia="zh-CN" w:bidi="ar-SA"/>
        </w:rPr>
      </w:pPr>
      <w:r>
        <w:rPr>
          <w:rFonts w:hint="eastAsia" w:ascii="Times New Roman" w:hAnsi="Times New Roman" w:eastAsia="宋体" w:cs="宋体"/>
          <w:color w:val="auto"/>
          <w:kern w:val="2"/>
          <w:sz w:val="21"/>
          <w:szCs w:val="21"/>
          <w:highlight w:val="none"/>
          <w:lang w:val="en-US" w:eastAsia="zh-CN" w:bidi="ar-SA"/>
        </w:rPr>
        <w:t>（3）专业工程暂估价应按工程量清单中列出的金额填写，安全生产责任保险费暂估价应按工程量清单中列出的金额填写；</w:t>
      </w:r>
    </w:p>
    <w:p w14:paraId="3327F7A5">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rFonts w:hint="eastAsia" w:cs="宋体"/>
          <w:color w:val="auto"/>
          <w:highlight w:val="none"/>
        </w:rPr>
        <w:t>（</w:t>
      </w:r>
      <w:r>
        <w:rPr>
          <w:color w:val="auto"/>
          <w:highlight w:val="none"/>
        </w:rPr>
        <w:t>4</w:t>
      </w:r>
      <w:r>
        <w:rPr>
          <w:rFonts w:hint="eastAsia" w:cs="宋体"/>
          <w:color w:val="auto"/>
          <w:highlight w:val="none"/>
        </w:rPr>
        <w:t>）计日工应按工程量清单中列出的项目和数量，根据工程特点和有关计价依据确定的综合单价计算；</w:t>
      </w:r>
    </w:p>
    <w:p w14:paraId="57502D64">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rFonts w:hint="eastAsia" w:cs="宋体"/>
          <w:color w:val="auto"/>
          <w:highlight w:val="none"/>
        </w:rPr>
        <w:t>（</w:t>
      </w:r>
      <w:r>
        <w:rPr>
          <w:color w:val="auto"/>
          <w:highlight w:val="none"/>
        </w:rPr>
        <w:t>5</w:t>
      </w:r>
      <w:r>
        <w:rPr>
          <w:rFonts w:hint="eastAsia" w:cs="宋体"/>
          <w:color w:val="auto"/>
          <w:highlight w:val="none"/>
        </w:rPr>
        <w:t>）总承包服务费应根据工程量清单列出的内容</w:t>
      </w:r>
      <w:r>
        <w:rPr>
          <w:rFonts w:hint="eastAsia" w:hAnsi="宋体" w:cs="宋体"/>
          <w:color w:val="auto"/>
          <w:highlight w:val="none"/>
        </w:rPr>
        <w:t>和要求，按自治区住房城乡建设行政主管部门颁发的计价定额及有关规定计算</w:t>
      </w:r>
      <w:r>
        <w:rPr>
          <w:rFonts w:hint="eastAsia" w:cs="宋体"/>
          <w:color w:val="auto"/>
          <w:highlight w:val="none"/>
        </w:rPr>
        <w:t>。</w:t>
      </w:r>
    </w:p>
    <w:p w14:paraId="62875C7C">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cs="宋体"/>
          <w:color w:val="auto"/>
          <w:highlight w:val="none"/>
        </w:rPr>
      </w:pPr>
      <w:r>
        <w:rPr>
          <w:color w:val="auto"/>
          <w:highlight w:val="none"/>
        </w:rPr>
        <w:t xml:space="preserve">2.5 </w:t>
      </w:r>
      <w:r>
        <w:rPr>
          <w:rFonts w:hint="eastAsia" w:cs="宋体"/>
          <w:color w:val="auto"/>
          <w:highlight w:val="none"/>
        </w:rPr>
        <w:t>增值税应按规定确定。</w:t>
      </w:r>
    </w:p>
    <w:p w14:paraId="135E4CEE">
      <w:pPr>
        <w:pageBreakBefore w:val="0"/>
        <w:widowControl w:val="0"/>
        <w:kinsoku/>
        <w:wordWrap/>
        <w:overflowPunct/>
        <w:topLinePunct w:val="0"/>
        <w:autoSpaceDE/>
        <w:autoSpaceDN/>
        <w:bidi w:val="0"/>
        <w:adjustRightInd/>
        <w:snapToGrid/>
        <w:spacing w:line="360" w:lineRule="auto"/>
        <w:ind w:firstLine="420" w:firstLineChars="200"/>
        <w:textAlignment w:val="auto"/>
        <w:rPr>
          <w:rFonts w:hAnsi="宋体"/>
          <w:color w:val="auto"/>
          <w:highlight w:val="none"/>
        </w:rPr>
      </w:pPr>
      <w:r>
        <w:rPr>
          <w:color w:val="auto"/>
          <w:highlight w:val="none"/>
        </w:rPr>
        <w:t xml:space="preserve">2.6 </w:t>
      </w:r>
      <w:r>
        <w:rPr>
          <w:rFonts w:hint="eastAsia" w:hAnsi="宋体" w:cs="宋体"/>
          <w:color w:val="auto"/>
          <w:highlight w:val="none"/>
        </w:rPr>
        <w:t>其它需要说明的问题：</w:t>
      </w:r>
      <w:r>
        <w:rPr>
          <w:rFonts w:hint="eastAsia"/>
          <w:color w:val="auto"/>
          <w:highlight w:val="none"/>
          <w:u w:val="single"/>
          <w:lang w:val="en-US" w:eastAsia="zh-CN"/>
        </w:rPr>
        <w:t xml:space="preserve">        /        </w:t>
      </w:r>
      <w:r>
        <w:rPr>
          <w:rFonts w:hint="eastAsia" w:hAnsi="宋体" w:cs="宋体"/>
          <w:color w:val="auto"/>
          <w:highlight w:val="none"/>
        </w:rPr>
        <w:t>。</w:t>
      </w:r>
    </w:p>
    <w:p w14:paraId="74781BC1">
      <w:pPr>
        <w:pStyle w:val="3"/>
        <w:pageBreakBefore w:val="0"/>
        <w:widowControl w:val="0"/>
        <w:kinsoku/>
        <w:wordWrap/>
        <w:overflowPunct/>
        <w:topLinePunct w:val="0"/>
        <w:autoSpaceDE/>
        <w:autoSpaceDN/>
        <w:bidi w:val="0"/>
        <w:adjustRightInd/>
        <w:snapToGrid/>
        <w:spacing w:line="360" w:lineRule="auto"/>
        <w:textAlignment w:val="auto"/>
        <w:rPr>
          <w:rFonts w:ascii="Times New Roman" w:hAnsi="Times New Roman"/>
          <w:color w:val="auto"/>
          <w:sz w:val="21"/>
          <w:szCs w:val="21"/>
          <w:highlight w:val="none"/>
        </w:rPr>
      </w:pPr>
      <w:bookmarkStart w:id="1091" w:name="_Toc23388"/>
      <w:bookmarkStart w:id="1092" w:name="_Toc407135286"/>
      <w:bookmarkStart w:id="1093" w:name="_Toc27130"/>
      <w:r>
        <w:rPr>
          <w:rFonts w:ascii="Times New Roman" w:hAnsi="Times New Roman"/>
          <w:color w:val="auto"/>
          <w:sz w:val="21"/>
          <w:szCs w:val="21"/>
          <w:highlight w:val="none"/>
        </w:rPr>
        <w:t xml:space="preserve">3 </w:t>
      </w:r>
      <w:r>
        <w:rPr>
          <w:rFonts w:hint="eastAsia" w:ascii="Times New Roman" w:hAnsi="Times New Roman"/>
          <w:color w:val="auto"/>
          <w:sz w:val="21"/>
          <w:szCs w:val="21"/>
          <w:highlight w:val="none"/>
          <w:lang w:eastAsia="zh-CN"/>
        </w:rPr>
        <w:t>响应</w:t>
      </w:r>
      <w:r>
        <w:rPr>
          <w:rFonts w:ascii="Times New Roman" w:hAnsi="Times New Roman"/>
          <w:color w:val="auto"/>
          <w:sz w:val="21"/>
          <w:szCs w:val="21"/>
          <w:highlight w:val="none"/>
        </w:rPr>
        <w:t>报价（已标价工程量清单）编制说明</w:t>
      </w:r>
      <w:bookmarkEnd w:id="1091"/>
      <w:bookmarkEnd w:id="1092"/>
      <w:bookmarkEnd w:id="1093"/>
    </w:p>
    <w:p w14:paraId="0163C84B">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3.1 </w:t>
      </w:r>
      <w:r>
        <w:rPr>
          <w:rFonts w:hint="eastAsia" w:cs="宋体"/>
          <w:color w:val="auto"/>
          <w:highlight w:val="none"/>
        </w:rPr>
        <w:t>供应商应依据</w:t>
      </w:r>
      <w:r>
        <w:rPr>
          <w:rFonts w:hint="eastAsia" w:hAnsi="宋体" w:cs="宋体"/>
          <w:color w:val="auto"/>
          <w:szCs w:val="21"/>
          <w:highlight w:val="none"/>
        </w:rPr>
        <w:t>竞争性磋商采购</w:t>
      </w:r>
      <w:r>
        <w:rPr>
          <w:rFonts w:hint="eastAsia" w:cs="宋体"/>
          <w:color w:val="auto"/>
          <w:highlight w:val="none"/>
        </w:rPr>
        <w:t>文件、采购人提供的工程量清单（以下简称“工程量清单”）以及《计价规范》、《计算规范》自主报价，自主报价</w:t>
      </w:r>
      <w:r>
        <w:rPr>
          <w:rFonts w:hint="eastAsia" w:hAnsi="宋体" w:cs="宋体"/>
          <w:color w:val="auto"/>
          <w:highlight w:val="none"/>
        </w:rPr>
        <w:t>不得违反计价规范强制性条文规定。</w:t>
      </w:r>
      <w:r>
        <w:rPr>
          <w:rFonts w:hint="eastAsia" w:cs="宋体"/>
          <w:color w:val="auto"/>
          <w:highlight w:val="none"/>
        </w:rPr>
        <w:t>供应商不得采用总价让利或以百分比让利等形式进行报价，任何优惠（或降价、让利）均应反映在相应清单项目的综合单价中。同时，不得出现任意一项单价重大让利，</w:t>
      </w:r>
      <w:r>
        <w:rPr>
          <w:rFonts w:hint="eastAsia" w:hAnsi="宋体" w:cs="宋体"/>
          <w:color w:val="auto"/>
          <w:highlight w:val="none"/>
        </w:rPr>
        <w:t>不得以自有机械闲置、自有材料等不计成本为由</w:t>
      </w:r>
      <w:r>
        <w:rPr>
          <w:rFonts w:hint="eastAsia" w:cs="宋体"/>
          <w:color w:val="auto"/>
          <w:highlight w:val="none"/>
        </w:rPr>
        <w:t>低于工程成本报价。</w:t>
      </w:r>
    </w:p>
    <w:p w14:paraId="72819F5A">
      <w:pPr>
        <w:pageBreakBefore w:val="0"/>
        <w:widowControl w:val="0"/>
        <w:kinsoku/>
        <w:wordWrap/>
        <w:overflowPunct/>
        <w:topLinePunct w:val="0"/>
        <w:autoSpaceDE/>
        <w:autoSpaceDN/>
        <w:bidi w:val="0"/>
        <w:adjustRightInd/>
        <w:snapToGrid/>
        <w:spacing w:line="360" w:lineRule="auto"/>
        <w:ind w:firstLine="420" w:firstLineChars="200"/>
        <w:textAlignment w:val="auto"/>
        <w:rPr>
          <w:rFonts w:hAnsi="宋体"/>
          <w:color w:val="auto"/>
          <w:highlight w:val="none"/>
        </w:rPr>
      </w:pPr>
      <w:r>
        <w:rPr>
          <w:color w:val="auto"/>
          <w:highlight w:val="none"/>
        </w:rPr>
        <w:t xml:space="preserve">3.2 </w:t>
      </w:r>
      <w:r>
        <w:rPr>
          <w:rFonts w:hint="eastAsia" w:cs="宋体"/>
          <w:color w:val="auto"/>
          <w:highlight w:val="none"/>
        </w:rPr>
        <w:t>供应商应按工程量清单填报价格。项目编码、项目名称、项目特征、计量单位、工程量必须与工程量清单一致，</w:t>
      </w:r>
      <w:r>
        <w:rPr>
          <w:rFonts w:hint="eastAsia" w:hAnsi="宋体" w:cs="宋体"/>
          <w:color w:val="auto"/>
          <w:highlight w:val="none"/>
        </w:rPr>
        <w:t>供应商不得对工程量清单项目进行增减调整。</w:t>
      </w:r>
    </w:p>
    <w:p w14:paraId="03268691">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3.3 </w:t>
      </w:r>
      <w:r>
        <w:rPr>
          <w:rFonts w:hint="eastAsia" w:cs="宋体"/>
          <w:color w:val="auto"/>
          <w:highlight w:val="none"/>
        </w:rPr>
        <w:t>综合单价中应包含</w:t>
      </w:r>
      <w:r>
        <w:rPr>
          <w:rFonts w:hint="eastAsia" w:hAnsi="宋体" w:cs="宋体"/>
          <w:color w:val="auto"/>
          <w:szCs w:val="21"/>
          <w:highlight w:val="none"/>
        </w:rPr>
        <w:t>竞争性磋商采购</w:t>
      </w:r>
      <w:r>
        <w:rPr>
          <w:rFonts w:hint="eastAsia" w:cs="宋体"/>
          <w:color w:val="auto"/>
          <w:highlight w:val="none"/>
        </w:rPr>
        <w:t>文件中划分的应由供应商承担的风险范围及其费用。</w:t>
      </w:r>
    </w:p>
    <w:p w14:paraId="0E348AEA">
      <w:pPr>
        <w:pageBreakBefore w:val="0"/>
        <w:widowControl w:val="0"/>
        <w:kinsoku/>
        <w:wordWrap/>
        <w:overflowPunct/>
        <w:topLinePunct w:val="0"/>
        <w:autoSpaceDE/>
        <w:autoSpaceDN/>
        <w:bidi w:val="0"/>
        <w:adjustRightInd/>
        <w:snapToGrid/>
        <w:spacing w:line="360" w:lineRule="auto"/>
        <w:ind w:firstLine="420" w:firstLineChars="200"/>
        <w:textAlignment w:val="auto"/>
        <w:rPr>
          <w:rFonts w:hAnsi="宋体"/>
          <w:color w:val="auto"/>
          <w:highlight w:val="none"/>
        </w:rPr>
      </w:pPr>
      <w:r>
        <w:rPr>
          <w:color w:val="auto"/>
          <w:highlight w:val="none"/>
        </w:rPr>
        <w:t xml:space="preserve">3.4 </w:t>
      </w:r>
      <w:r>
        <w:rPr>
          <w:rFonts w:hint="eastAsia" w:hAnsi="宋体" w:cs="宋体"/>
          <w:color w:val="auto"/>
          <w:highlight w:val="none"/>
        </w:rPr>
        <w:t>分部分项工程项目和单价措施项目，应根据</w:t>
      </w:r>
      <w:r>
        <w:rPr>
          <w:rFonts w:hint="eastAsia" w:hAnsi="宋体" w:cs="宋体"/>
          <w:color w:val="auto"/>
          <w:szCs w:val="21"/>
          <w:highlight w:val="none"/>
        </w:rPr>
        <w:t>竞争性磋商采购</w:t>
      </w:r>
      <w:r>
        <w:rPr>
          <w:rFonts w:hint="eastAsia" w:hAnsi="宋体" w:cs="宋体"/>
          <w:color w:val="auto"/>
          <w:highlight w:val="none"/>
        </w:rPr>
        <w:t>文件和工程量清单项目中的特征描述确定综合单价计算。如出现工程量清单特征描述与设计图纸不符时，供应商应以工程量清单的项目特征描述为准，确定</w:t>
      </w:r>
      <w:r>
        <w:rPr>
          <w:rFonts w:hint="eastAsia" w:hAnsi="宋体" w:cs="宋体"/>
          <w:color w:val="auto"/>
          <w:kern w:val="0"/>
          <w:szCs w:val="21"/>
          <w:highlight w:val="none"/>
          <w:lang w:eastAsia="zh-CN"/>
        </w:rPr>
        <w:t>响应</w:t>
      </w:r>
      <w:r>
        <w:rPr>
          <w:rFonts w:hint="eastAsia" w:hAnsi="宋体" w:cs="宋体"/>
          <w:color w:val="auto"/>
          <w:highlight w:val="none"/>
        </w:rPr>
        <w:t>报价的综合单价。</w:t>
      </w:r>
    </w:p>
    <w:p w14:paraId="3B65EEAB">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3.5 </w:t>
      </w:r>
      <w:r>
        <w:rPr>
          <w:rFonts w:hint="eastAsia" w:hAnsi="宋体" w:cs="宋体"/>
          <w:color w:val="auto"/>
          <w:highlight w:val="none"/>
        </w:rPr>
        <w:t>总价措施项目的金额应根据</w:t>
      </w:r>
      <w:r>
        <w:rPr>
          <w:rFonts w:hint="eastAsia" w:hAnsi="宋体" w:cs="宋体"/>
          <w:color w:val="auto"/>
          <w:szCs w:val="21"/>
          <w:highlight w:val="none"/>
        </w:rPr>
        <w:t>竞争性磋商采购</w:t>
      </w:r>
      <w:r>
        <w:rPr>
          <w:rFonts w:hint="eastAsia" w:hAnsi="宋体" w:cs="宋体"/>
          <w:color w:val="auto"/>
          <w:highlight w:val="none"/>
        </w:rPr>
        <w:t>文件及</w:t>
      </w:r>
      <w:r>
        <w:rPr>
          <w:rFonts w:hint="eastAsia" w:hAnsi="宋体" w:cs="宋体"/>
          <w:color w:val="auto"/>
          <w:kern w:val="0"/>
          <w:szCs w:val="21"/>
          <w:highlight w:val="none"/>
          <w:lang w:eastAsia="zh-CN"/>
        </w:rPr>
        <w:t>响应</w:t>
      </w:r>
      <w:r>
        <w:rPr>
          <w:rFonts w:hint="eastAsia" w:hAnsi="宋体" w:cs="宋体"/>
          <w:color w:val="auto"/>
          <w:highlight w:val="none"/>
        </w:rPr>
        <w:t>时拟定的施工组织设计或施工方案，按计价规范的规定自主确定。但</w:t>
      </w:r>
      <w:r>
        <w:rPr>
          <w:rFonts w:hint="eastAsia" w:cs="宋体"/>
          <w:color w:val="auto"/>
          <w:highlight w:val="none"/>
        </w:rPr>
        <w:t>安全文明施工费按国家、省级或行业建设主管部门的有关规定执行。</w:t>
      </w:r>
    </w:p>
    <w:p w14:paraId="6FDD6FC9">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3.6 </w:t>
      </w:r>
      <w:r>
        <w:rPr>
          <w:rFonts w:hint="eastAsia" w:cs="宋体"/>
          <w:color w:val="auto"/>
          <w:highlight w:val="none"/>
        </w:rPr>
        <w:t>其他项目费应按下列规定报价：</w:t>
      </w:r>
    </w:p>
    <w:p w14:paraId="15BDE789">
      <w:pPr>
        <w:pageBreakBefore w:val="0"/>
        <w:widowControl w:val="0"/>
        <w:kinsoku/>
        <w:wordWrap/>
        <w:overflowPunct/>
        <w:topLinePunct w:val="0"/>
        <w:autoSpaceDE/>
        <w:autoSpaceDN/>
        <w:bidi w:val="0"/>
        <w:adjustRightInd/>
        <w:snapToGrid/>
        <w:spacing w:line="360" w:lineRule="auto"/>
        <w:ind w:firstLine="420" w:firstLineChars="200"/>
        <w:textAlignment w:val="auto"/>
        <w:rPr>
          <w:b w:val="0"/>
          <w:bCs w:val="0"/>
          <w:color w:val="auto"/>
          <w:highlight w:val="none"/>
        </w:rPr>
      </w:pPr>
      <w:r>
        <w:rPr>
          <w:rFonts w:hint="eastAsia" w:cs="宋体"/>
          <w:b w:val="0"/>
          <w:bCs w:val="0"/>
          <w:color w:val="auto"/>
          <w:highlight w:val="none"/>
        </w:rPr>
        <w:t>（</w:t>
      </w:r>
      <w:r>
        <w:rPr>
          <w:b w:val="0"/>
          <w:bCs w:val="0"/>
          <w:color w:val="auto"/>
          <w:highlight w:val="none"/>
        </w:rPr>
        <w:t>1</w:t>
      </w:r>
      <w:r>
        <w:rPr>
          <w:rFonts w:hint="eastAsia" w:cs="宋体"/>
          <w:b w:val="0"/>
          <w:bCs w:val="0"/>
          <w:color w:val="auto"/>
          <w:highlight w:val="none"/>
        </w:rPr>
        <w:t>）暂列金额应按工程量清单中列出的金额填写；</w:t>
      </w:r>
    </w:p>
    <w:p w14:paraId="50D1606C">
      <w:pPr>
        <w:pStyle w:val="87"/>
        <w:pageBreakBefore w:val="0"/>
        <w:widowControl w:val="0"/>
        <w:kinsoku/>
        <w:wordWrap/>
        <w:overflowPunct/>
        <w:topLinePunct w:val="0"/>
        <w:autoSpaceDE/>
        <w:autoSpaceDN/>
        <w:bidi w:val="0"/>
        <w:adjustRightInd/>
        <w:snapToGrid/>
        <w:spacing w:line="360" w:lineRule="auto"/>
        <w:ind w:firstLine="420" w:firstLineChars="200"/>
        <w:textAlignment w:val="auto"/>
        <w:rPr>
          <w:b w:val="0"/>
          <w:bCs w:val="0"/>
          <w:color w:val="auto"/>
          <w:highlight w:val="none"/>
        </w:rPr>
      </w:pPr>
      <w:r>
        <w:rPr>
          <w:rFonts w:hint="eastAsia" w:cs="宋体"/>
          <w:b w:val="0"/>
          <w:bCs w:val="0"/>
          <w:color w:val="auto"/>
          <w:highlight w:val="none"/>
        </w:rPr>
        <w:t>（</w:t>
      </w:r>
      <w:r>
        <w:rPr>
          <w:b w:val="0"/>
          <w:bCs w:val="0"/>
          <w:color w:val="auto"/>
          <w:highlight w:val="none"/>
        </w:rPr>
        <w:t>2</w:t>
      </w:r>
      <w:r>
        <w:rPr>
          <w:rFonts w:hint="eastAsia" w:cs="宋体"/>
          <w:b w:val="0"/>
          <w:bCs w:val="0"/>
          <w:color w:val="auto"/>
          <w:highlight w:val="none"/>
        </w:rPr>
        <w:t>）材料、工程设备暂估价应按工程量清单中列出的单价计入综合单价；</w:t>
      </w:r>
    </w:p>
    <w:p w14:paraId="49AF2463">
      <w:pPr>
        <w:pageBreakBefore w:val="0"/>
        <w:widowControl w:val="0"/>
        <w:kinsoku/>
        <w:wordWrap/>
        <w:overflowPunct/>
        <w:topLinePunct w:val="0"/>
        <w:autoSpaceDE/>
        <w:autoSpaceDN/>
        <w:bidi w:val="0"/>
        <w:adjustRightInd/>
        <w:snapToGrid/>
        <w:spacing w:line="360" w:lineRule="auto"/>
        <w:ind w:firstLine="420" w:firstLineChars="200"/>
        <w:textAlignment w:val="auto"/>
        <w:rPr>
          <w:b w:val="0"/>
          <w:bCs w:val="0"/>
          <w:color w:val="auto"/>
          <w:highlight w:val="none"/>
        </w:rPr>
      </w:pPr>
      <w:r>
        <w:rPr>
          <w:rFonts w:hint="eastAsia" w:cs="宋体"/>
          <w:b w:val="0"/>
          <w:bCs w:val="0"/>
          <w:color w:val="auto"/>
          <w:highlight w:val="none"/>
        </w:rPr>
        <w:t>（</w:t>
      </w:r>
      <w:r>
        <w:rPr>
          <w:b w:val="0"/>
          <w:bCs w:val="0"/>
          <w:color w:val="auto"/>
          <w:highlight w:val="none"/>
        </w:rPr>
        <w:t>3</w:t>
      </w:r>
      <w:r>
        <w:rPr>
          <w:rFonts w:hint="eastAsia" w:cs="宋体"/>
          <w:b w:val="0"/>
          <w:bCs w:val="0"/>
          <w:color w:val="auto"/>
          <w:highlight w:val="none"/>
        </w:rPr>
        <w:t>）专业工程暂估价应按工程量清单中列出的金额填写</w:t>
      </w:r>
      <w:r>
        <w:rPr>
          <w:rFonts w:hint="eastAsia" w:cs="宋体"/>
          <w:b w:val="0"/>
          <w:bCs w:val="0"/>
          <w:color w:val="auto"/>
          <w:highlight w:val="none"/>
          <w:lang w:eastAsia="zh-CN"/>
        </w:rPr>
        <w:t>，安全生产责任保险费暂估价</w:t>
      </w:r>
      <w:r>
        <w:rPr>
          <w:rFonts w:hint="eastAsia" w:cs="宋体"/>
          <w:b w:val="0"/>
          <w:bCs w:val="0"/>
          <w:color w:val="auto"/>
          <w:highlight w:val="none"/>
        </w:rPr>
        <w:t>应按工程量清单中列出的金额填写；</w:t>
      </w:r>
    </w:p>
    <w:p w14:paraId="29B1E5C8">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rFonts w:hint="eastAsia" w:cs="宋体"/>
          <w:color w:val="auto"/>
          <w:highlight w:val="none"/>
        </w:rPr>
        <w:t>（</w:t>
      </w:r>
      <w:r>
        <w:rPr>
          <w:color w:val="auto"/>
          <w:highlight w:val="none"/>
        </w:rPr>
        <w:t>4</w:t>
      </w:r>
      <w:r>
        <w:rPr>
          <w:rFonts w:hint="eastAsia" w:cs="宋体"/>
          <w:color w:val="auto"/>
          <w:highlight w:val="none"/>
        </w:rPr>
        <w:t>）计日工应按工程量清单中列出的项目和估算数量，自主确定综合单价并计算计日工总额；</w:t>
      </w:r>
    </w:p>
    <w:p w14:paraId="169B168F">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rFonts w:hint="eastAsia" w:cs="宋体"/>
          <w:color w:val="auto"/>
          <w:highlight w:val="none"/>
        </w:rPr>
        <w:t>（</w:t>
      </w:r>
      <w:r>
        <w:rPr>
          <w:color w:val="auto"/>
          <w:highlight w:val="none"/>
        </w:rPr>
        <w:t>5</w:t>
      </w:r>
      <w:r>
        <w:rPr>
          <w:rFonts w:hint="eastAsia" w:cs="宋体"/>
          <w:color w:val="auto"/>
          <w:highlight w:val="none"/>
        </w:rPr>
        <w:t>）总承包服务费应根据工程量清单中列出的内容</w:t>
      </w:r>
      <w:r>
        <w:rPr>
          <w:rFonts w:hint="eastAsia" w:hAnsi="宋体" w:cs="宋体"/>
          <w:color w:val="auto"/>
          <w:highlight w:val="none"/>
        </w:rPr>
        <w:t>和供应材料、设备情况，按照采购人提出的协调、配合与服务要求和施工现场管理需要</w:t>
      </w:r>
      <w:r>
        <w:rPr>
          <w:rFonts w:hint="eastAsia" w:cs="宋体"/>
          <w:color w:val="auto"/>
          <w:highlight w:val="none"/>
        </w:rPr>
        <w:t>自主确定。</w:t>
      </w:r>
    </w:p>
    <w:p w14:paraId="7128A4EB">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3.7 </w:t>
      </w:r>
      <w:r>
        <w:rPr>
          <w:rFonts w:hint="eastAsia" w:cs="宋体"/>
          <w:color w:val="auto"/>
          <w:highlight w:val="none"/>
        </w:rPr>
        <w:t>增值税应按规定确定。</w:t>
      </w:r>
    </w:p>
    <w:p w14:paraId="7BB64F9C">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3.8 </w:t>
      </w:r>
      <w:r>
        <w:rPr>
          <w:rFonts w:hint="eastAsia" w:cs="宋体"/>
          <w:color w:val="auto"/>
          <w:highlight w:val="none"/>
        </w:rPr>
        <w:t>工程量清单与计价表中列明的所有需要填写的单价和合价的项目，供应商均应填写且只允许有一个报价。未填写单价和合价的项目，视为此项费用已包含在已标价工程量清单中其他项目的单价和合价之中。竣工结算时，此项目不得重新组价予以调整。</w:t>
      </w:r>
    </w:p>
    <w:p w14:paraId="6EA401B7">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 xml:space="preserve">3.9 </w:t>
      </w:r>
      <w:r>
        <w:rPr>
          <w:rFonts w:hint="eastAsia" w:hAnsi="宋体" w:cs="宋体"/>
          <w:color w:val="auto"/>
          <w:kern w:val="0"/>
          <w:szCs w:val="21"/>
          <w:highlight w:val="none"/>
          <w:lang w:eastAsia="zh-CN"/>
        </w:rPr>
        <w:t>响应</w:t>
      </w:r>
      <w:r>
        <w:rPr>
          <w:rFonts w:hint="eastAsia" w:cs="宋体"/>
          <w:color w:val="auto"/>
          <w:highlight w:val="none"/>
        </w:rPr>
        <w:t>总价应当</w:t>
      </w:r>
      <w:r>
        <w:rPr>
          <w:rFonts w:hint="eastAsia" w:cs="宋体"/>
          <w:color w:val="auto"/>
          <w:highlight w:val="white"/>
        </w:rPr>
        <w:t>与分部分项工程和单价措施项目费用</w:t>
      </w:r>
      <w:r>
        <w:rPr>
          <w:rFonts w:hint="eastAsia" w:cs="宋体"/>
          <w:color w:val="auto"/>
          <w:highlight w:val="white"/>
          <w:lang w:eastAsia="zh-CN"/>
        </w:rPr>
        <w:t>、总价措施项目费、其他项目费</w:t>
      </w:r>
      <w:r>
        <w:rPr>
          <w:rFonts w:hint="eastAsia" w:cs="宋体"/>
          <w:color w:val="auto"/>
          <w:highlight w:val="white"/>
        </w:rPr>
        <w:t>的合计金额一致</w:t>
      </w:r>
      <w:r>
        <w:rPr>
          <w:rFonts w:hint="eastAsia" w:cs="宋体"/>
          <w:color w:val="auto"/>
          <w:highlight w:val="none"/>
        </w:rPr>
        <w:t>。</w:t>
      </w:r>
    </w:p>
    <w:p w14:paraId="33857150">
      <w:pPr>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highlight w:val="none"/>
        </w:rPr>
      </w:pPr>
      <w:r>
        <w:rPr>
          <w:color w:val="auto"/>
          <w:highlight w:val="none"/>
        </w:rPr>
        <w:t>3.1</w:t>
      </w:r>
      <w:r>
        <w:rPr>
          <w:rFonts w:hint="eastAsia"/>
          <w:color w:val="auto"/>
          <w:highlight w:val="none"/>
        </w:rPr>
        <w:t>0</w:t>
      </w:r>
      <w:r>
        <w:rPr>
          <w:color w:val="auto"/>
          <w:highlight w:val="none"/>
        </w:rPr>
        <w:t xml:space="preserve"> </w:t>
      </w:r>
      <w:r>
        <w:rPr>
          <w:rFonts w:hint="eastAsia" w:cs="宋体"/>
          <w:color w:val="auto"/>
          <w:highlight w:val="none"/>
        </w:rPr>
        <w:t>供应商应按《承包人提供的主要材料和设备一览表》的内容填报，不得擅自调整材料和设备名称型号规格。</w:t>
      </w:r>
    </w:p>
    <w:p w14:paraId="44C165E7">
      <w:pPr>
        <w:pageBreakBefore w:val="0"/>
        <w:widowControl w:val="0"/>
        <w:kinsoku/>
        <w:wordWrap/>
        <w:overflowPunct/>
        <w:topLinePunct w:val="0"/>
        <w:autoSpaceDE/>
        <w:autoSpaceDN/>
        <w:bidi w:val="0"/>
        <w:adjustRightInd/>
        <w:snapToGrid/>
        <w:spacing w:line="360" w:lineRule="auto"/>
        <w:ind w:firstLine="420" w:firstLineChars="200"/>
        <w:textAlignment w:val="auto"/>
        <w:rPr>
          <w:rFonts w:hAnsi="宋体"/>
          <w:color w:val="auto"/>
          <w:highlight w:val="none"/>
        </w:rPr>
      </w:pPr>
      <w:r>
        <w:rPr>
          <w:color w:val="auto"/>
          <w:highlight w:val="none"/>
        </w:rPr>
        <w:t>3.1</w:t>
      </w:r>
      <w:r>
        <w:rPr>
          <w:rFonts w:hint="eastAsia"/>
          <w:color w:val="auto"/>
          <w:highlight w:val="none"/>
        </w:rPr>
        <w:t>1</w:t>
      </w:r>
      <w:r>
        <w:rPr>
          <w:rFonts w:hint="eastAsia" w:hAnsi="宋体" w:cs="宋体"/>
          <w:color w:val="auto"/>
          <w:kern w:val="0"/>
          <w:szCs w:val="21"/>
          <w:highlight w:val="none"/>
          <w:lang w:eastAsia="zh-CN"/>
        </w:rPr>
        <w:t>响应</w:t>
      </w:r>
      <w:r>
        <w:rPr>
          <w:rFonts w:hint="eastAsia" w:hAnsi="宋体" w:cs="宋体"/>
          <w:color w:val="auto"/>
          <w:highlight w:val="none"/>
        </w:rPr>
        <w:t>报价</w:t>
      </w:r>
      <w:r>
        <w:rPr>
          <w:rFonts w:hint="eastAsia" w:cs="宋体"/>
          <w:color w:val="auto"/>
          <w:highlight w:val="none"/>
        </w:rPr>
        <w:t>表格按本工程工程量清单表格要求填写，并</w:t>
      </w:r>
      <w:r>
        <w:rPr>
          <w:rFonts w:hint="eastAsia" w:hAnsi="宋体" w:cs="宋体"/>
          <w:color w:val="auto"/>
          <w:highlight w:val="none"/>
        </w:rPr>
        <w:t>应按</w:t>
      </w:r>
      <w:r>
        <w:rPr>
          <w:rFonts w:hint="eastAsia" w:hAnsi="宋体" w:cs="宋体"/>
          <w:color w:val="auto"/>
          <w:szCs w:val="21"/>
          <w:highlight w:val="none"/>
        </w:rPr>
        <w:t>竞争性磋商采购</w:t>
      </w:r>
      <w:r>
        <w:rPr>
          <w:rFonts w:hint="eastAsia" w:hAnsi="宋体" w:cs="宋体"/>
          <w:color w:val="auto"/>
          <w:highlight w:val="none"/>
        </w:rPr>
        <w:t>文件的要求，附上《工程量清单综合单价分析表》（表</w:t>
      </w:r>
      <w:r>
        <w:rPr>
          <w:color w:val="auto"/>
          <w:highlight w:val="none"/>
        </w:rPr>
        <w:t>-09</w:t>
      </w:r>
      <w:r>
        <w:rPr>
          <w:rFonts w:hint="eastAsia" w:hAnsi="宋体" w:cs="宋体"/>
          <w:color w:val="auto"/>
          <w:highlight w:val="none"/>
        </w:rPr>
        <w:t>）。</w:t>
      </w:r>
    </w:p>
    <w:p w14:paraId="022020B2">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bCs/>
          <w:color w:val="auto"/>
          <w:szCs w:val="21"/>
          <w:highlight w:val="none"/>
        </w:rPr>
      </w:pPr>
      <w:r>
        <w:rPr>
          <w:rFonts w:hint="eastAsia" w:cs="宋体"/>
          <w:color w:val="auto"/>
          <w:highlight w:val="none"/>
        </w:rPr>
        <w:t>未尽事宜详见本项目工程量清单、招标控制价编制说明以及现行《计价规范》等有关规定执行。</w:t>
      </w:r>
    </w:p>
    <w:p w14:paraId="354ADECA">
      <w:pPr>
        <w:pStyle w:val="3"/>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olor w:val="auto"/>
          <w:sz w:val="21"/>
          <w:szCs w:val="21"/>
          <w:highlight w:val="none"/>
          <w:lang w:val="en-US" w:eastAsia="zh-CN"/>
        </w:rPr>
      </w:pPr>
      <w:bookmarkStart w:id="1094" w:name="_Toc5855"/>
      <w:r>
        <w:rPr>
          <w:rFonts w:hint="eastAsia" w:ascii="Times New Roman" w:hAnsi="Times New Roman"/>
          <w:color w:val="auto"/>
          <w:sz w:val="21"/>
          <w:szCs w:val="21"/>
          <w:highlight w:val="none"/>
          <w:lang w:val="en-US" w:eastAsia="zh-CN"/>
        </w:rPr>
        <w:t>4工程量清单、图纸获取</w:t>
      </w:r>
      <w:bookmarkEnd w:id="1094"/>
    </w:p>
    <w:p w14:paraId="1AC6648E">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cs="宋体"/>
          <w:color w:val="auto"/>
          <w:highlight w:val="none"/>
        </w:rPr>
      </w:pPr>
      <w:r>
        <w:rPr>
          <w:rFonts w:hint="eastAsia" w:cs="宋体"/>
          <w:color w:val="auto"/>
          <w:highlight w:val="none"/>
        </w:rPr>
        <w:t>4.1获取方式：</w:t>
      </w:r>
      <w:r>
        <w:rPr>
          <w:rFonts w:cs="宋体"/>
          <w:color w:val="auto"/>
          <w:highlight w:val="none"/>
        </w:rPr>
        <w:t>网上下载。本项目不发放</w:t>
      </w:r>
      <w:r>
        <w:rPr>
          <w:rFonts w:hint="eastAsia" w:cs="宋体"/>
          <w:color w:val="auto"/>
          <w:highlight w:val="none"/>
          <w:lang w:eastAsia="zh-CN"/>
        </w:rPr>
        <w:t>纸质</w:t>
      </w:r>
      <w:r>
        <w:rPr>
          <w:rFonts w:hint="eastAsia" w:cs="宋体"/>
          <w:color w:val="auto"/>
          <w:highlight w:val="none"/>
        </w:rPr>
        <w:t>工程量清单及图纸</w:t>
      </w:r>
      <w:r>
        <w:rPr>
          <w:rFonts w:cs="宋体"/>
          <w:color w:val="auto"/>
          <w:highlight w:val="none"/>
        </w:rPr>
        <w:t>，</w:t>
      </w:r>
      <w:r>
        <w:rPr>
          <w:rFonts w:hint="eastAsia" w:cs="宋体"/>
          <w:color w:val="auto"/>
          <w:highlight w:val="none"/>
        </w:rPr>
        <w:t>由</w:t>
      </w:r>
      <w:r>
        <w:rPr>
          <w:rFonts w:cs="宋体"/>
          <w:color w:val="auto"/>
          <w:highlight w:val="none"/>
        </w:rPr>
        <w:t>潜在供应商自行在</w:t>
      </w:r>
      <w:r>
        <w:rPr>
          <w:rFonts w:hint="eastAsia" w:ascii="宋体" w:hAnsi="宋体" w:cs="宋体"/>
          <w:b w:val="0"/>
          <w:bCs w:val="0"/>
          <w:color w:val="auto"/>
          <w:sz w:val="21"/>
          <w:szCs w:val="21"/>
          <w:highlight w:val="none"/>
          <w:lang w:val="en-US" w:eastAsia="zh-CN"/>
        </w:rPr>
        <w:t>广西政府采购云平台（https://www.gcy.zfcg.gxzf.gov.cn/）</w:t>
      </w:r>
      <w:r>
        <w:rPr>
          <w:rFonts w:hint="eastAsia" w:cs="宋体"/>
          <w:color w:val="auto"/>
          <w:highlight w:val="none"/>
        </w:rPr>
        <w:t>下载</w:t>
      </w:r>
      <w:r>
        <w:rPr>
          <w:rFonts w:hint="eastAsia" w:cs="宋体"/>
          <w:color w:val="auto"/>
          <w:highlight w:val="none"/>
          <w:lang w:eastAsia="zh-CN"/>
        </w:rPr>
        <w:t>电子版</w:t>
      </w:r>
      <w:r>
        <w:rPr>
          <w:rFonts w:hint="eastAsia" w:cs="宋体"/>
          <w:color w:val="auto"/>
          <w:highlight w:val="none"/>
        </w:rPr>
        <w:t>。</w:t>
      </w:r>
    </w:p>
    <w:p w14:paraId="236AD5A7">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cs="宋体"/>
          <w:color w:val="auto"/>
          <w:highlight w:val="none"/>
        </w:rPr>
      </w:pPr>
    </w:p>
    <w:p w14:paraId="57EC2333">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cs="宋体"/>
          <w:color w:val="auto"/>
          <w:highlight w:val="none"/>
        </w:rPr>
      </w:pPr>
    </w:p>
    <w:p w14:paraId="037A31E8">
      <w:pPr>
        <w:rPr>
          <w:rFonts w:hint="eastAsia" w:ascii="华文中宋" w:hAnsi="华文中宋" w:eastAsia="华文中宋" w:cs="华文中宋"/>
          <w:color w:val="auto"/>
          <w:sz w:val="32"/>
          <w:szCs w:val="32"/>
        </w:rPr>
      </w:pPr>
      <w:bookmarkStart w:id="1095" w:name="_Toc15423"/>
      <w:bookmarkStart w:id="1096" w:name="_Toc20915"/>
      <w:bookmarkStart w:id="1097" w:name="_Toc18783"/>
      <w:bookmarkStart w:id="1098" w:name="_Toc178"/>
      <w:bookmarkStart w:id="1099" w:name="_Toc28283"/>
      <w:bookmarkStart w:id="1100" w:name="_Toc80886951"/>
      <w:bookmarkStart w:id="1101" w:name="_Toc8963"/>
      <w:bookmarkStart w:id="1102" w:name="_Toc29624"/>
      <w:r>
        <w:rPr>
          <w:rFonts w:hint="eastAsia" w:ascii="华文中宋" w:hAnsi="华文中宋" w:eastAsia="华文中宋" w:cs="华文中宋"/>
          <w:color w:val="auto"/>
          <w:sz w:val="32"/>
          <w:szCs w:val="32"/>
          <w:lang w:val="en-US" w:eastAsia="zh-CN"/>
        </w:rPr>
        <w:br w:type="page"/>
      </w:r>
    </w:p>
    <w:p w14:paraId="27DC0DE2">
      <w:pPr>
        <w:keepNext w:val="0"/>
        <w:keepLines w:val="0"/>
        <w:pageBreakBefore w:val="0"/>
        <w:widowControl w:val="0"/>
        <w:numPr>
          <w:ilvl w:val="0"/>
          <w:numId w:val="13"/>
        </w:numPr>
        <w:kinsoku/>
        <w:wordWrap/>
        <w:overflowPunct/>
        <w:topLinePunct w:val="0"/>
        <w:autoSpaceDE/>
        <w:autoSpaceDN/>
        <w:bidi w:val="0"/>
        <w:adjustRightInd/>
        <w:snapToGrid/>
        <w:spacing w:line="360" w:lineRule="auto"/>
        <w:jc w:val="center"/>
        <w:textAlignment w:val="auto"/>
        <w:outlineLvl w:val="0"/>
        <w:rPr>
          <w:rFonts w:hint="eastAsia" w:ascii="华文中宋" w:hAnsi="华文中宋" w:eastAsia="华文中宋" w:cs="华文中宋"/>
          <w:color w:val="auto"/>
          <w:sz w:val="32"/>
          <w:szCs w:val="32"/>
        </w:rPr>
      </w:pPr>
      <w:r>
        <w:rPr>
          <w:rFonts w:hint="eastAsia" w:ascii="华文中宋" w:hAnsi="华文中宋" w:eastAsia="华文中宋" w:cs="华文中宋"/>
          <w:color w:val="auto"/>
          <w:sz w:val="32"/>
          <w:szCs w:val="32"/>
          <w:lang w:val="en-US" w:eastAsia="zh-CN"/>
        </w:rPr>
        <w:t xml:space="preserve"> </w:t>
      </w:r>
      <w:bookmarkStart w:id="1103" w:name="_Toc30460"/>
      <w:bookmarkStart w:id="1104" w:name="_Toc10062"/>
      <w:r>
        <w:rPr>
          <w:rFonts w:hint="eastAsia" w:ascii="华文中宋" w:hAnsi="华文中宋" w:eastAsia="华文中宋" w:cs="华文中宋"/>
          <w:color w:val="auto"/>
          <w:sz w:val="32"/>
          <w:szCs w:val="32"/>
        </w:rPr>
        <w:t>质疑、投诉材料格式</w:t>
      </w:r>
      <w:bookmarkEnd w:id="1095"/>
      <w:bookmarkEnd w:id="1096"/>
      <w:bookmarkEnd w:id="1097"/>
      <w:bookmarkEnd w:id="1098"/>
      <w:bookmarkEnd w:id="1099"/>
      <w:bookmarkEnd w:id="1100"/>
      <w:bookmarkEnd w:id="1101"/>
      <w:bookmarkEnd w:id="1102"/>
      <w:bookmarkEnd w:id="1103"/>
      <w:bookmarkEnd w:id="1104"/>
    </w:p>
    <w:p w14:paraId="378A52D7">
      <w:pPr>
        <w:spacing w:line="360" w:lineRule="auto"/>
        <w:jc w:val="center"/>
        <w:rPr>
          <w:rFonts w:hint="eastAsia"/>
          <w:b/>
          <w:bCs/>
          <w:color w:val="auto"/>
          <w:sz w:val="32"/>
          <w:szCs w:val="32"/>
          <w:highlight w:val="none"/>
        </w:rPr>
      </w:pPr>
      <w:r>
        <w:rPr>
          <w:rFonts w:hint="eastAsia"/>
          <w:b/>
          <w:bCs/>
          <w:color w:val="auto"/>
          <w:sz w:val="32"/>
          <w:szCs w:val="32"/>
          <w:highlight w:val="none"/>
        </w:rPr>
        <w:t>质疑函（格式）</w:t>
      </w:r>
    </w:p>
    <w:p w14:paraId="7B056035">
      <w:pPr>
        <w:spacing w:line="360" w:lineRule="auto"/>
        <w:ind w:firstLine="482" w:firstLineChars="200"/>
        <w:contextualSpacing/>
        <w:rPr>
          <w:rFonts w:hint="eastAsia" w:ascii="宋体" w:hAnsi="宋体" w:cs="宋体"/>
          <w:b/>
          <w:bCs/>
          <w:color w:val="auto"/>
          <w:kern w:val="0"/>
          <w:szCs w:val="21"/>
          <w:highlight w:val="none"/>
        </w:rPr>
      </w:pPr>
      <w:r>
        <w:rPr>
          <w:rFonts w:hint="eastAsia" w:ascii="宋体" w:hAnsi="宋体" w:cs="宋体"/>
          <w:b/>
          <w:bCs/>
          <w:color w:val="auto"/>
          <w:kern w:val="0"/>
          <w:sz w:val="24"/>
          <w:highlight w:val="none"/>
        </w:rPr>
        <w:t>一</w:t>
      </w:r>
      <w:r>
        <w:rPr>
          <w:rFonts w:hint="eastAsia" w:ascii="宋体" w:hAnsi="宋体" w:cs="宋体"/>
          <w:b/>
          <w:bCs/>
          <w:color w:val="auto"/>
          <w:kern w:val="0"/>
          <w:szCs w:val="21"/>
          <w:highlight w:val="none"/>
        </w:rPr>
        <w:t>、质疑供应商基本信息：</w:t>
      </w:r>
    </w:p>
    <w:p w14:paraId="1272CAF4">
      <w:pPr>
        <w:spacing w:line="360" w:lineRule="auto"/>
        <w:ind w:firstLine="420" w:firstLineChars="200"/>
        <w:contextualSpacing/>
        <w:rPr>
          <w:rFonts w:hint="eastAsia" w:ascii="宋体" w:hAnsi="宋体" w:cs="宋体"/>
          <w:bCs/>
          <w:color w:val="auto"/>
          <w:kern w:val="0"/>
          <w:szCs w:val="21"/>
          <w:highlight w:val="none"/>
          <w:u w:val="single"/>
        </w:rPr>
      </w:pPr>
      <w:r>
        <w:rPr>
          <w:rFonts w:hint="eastAsia" w:ascii="宋体" w:hAnsi="宋体" w:cs="宋体"/>
          <w:bCs/>
          <w:color w:val="auto"/>
          <w:kern w:val="0"/>
          <w:szCs w:val="21"/>
          <w:highlight w:val="none"/>
        </w:rPr>
        <w:t>质疑供应商：</w:t>
      </w:r>
      <w:r>
        <w:rPr>
          <w:rFonts w:hint="eastAsia" w:ascii="宋体" w:hAnsi="宋体" w:cs="宋体"/>
          <w:bCs/>
          <w:color w:val="auto"/>
          <w:kern w:val="0"/>
          <w:szCs w:val="21"/>
          <w:highlight w:val="none"/>
          <w:u w:val="single"/>
        </w:rPr>
        <w:t xml:space="preserve">                                                  </w:t>
      </w:r>
      <w:r>
        <w:rPr>
          <w:rFonts w:hint="eastAsia" w:ascii="宋体" w:hAnsi="宋体" w:cs="宋体"/>
          <w:bCs/>
          <w:color w:val="auto"/>
          <w:kern w:val="0"/>
          <w:szCs w:val="21"/>
          <w:highlight w:val="none"/>
          <w:u w:val="single"/>
          <w:lang w:val="en-US" w:eastAsia="zh-CN"/>
        </w:rPr>
        <w:t xml:space="preserve">    </w:t>
      </w:r>
      <w:r>
        <w:rPr>
          <w:rFonts w:hint="eastAsia" w:ascii="宋体" w:hAnsi="宋体" w:cs="宋体"/>
          <w:bCs/>
          <w:color w:val="auto"/>
          <w:kern w:val="0"/>
          <w:szCs w:val="21"/>
          <w:highlight w:val="none"/>
          <w:u w:val="single"/>
        </w:rPr>
        <w:t xml:space="preserve">      </w:t>
      </w:r>
    </w:p>
    <w:p w14:paraId="7E4F9EFA">
      <w:pPr>
        <w:spacing w:line="360" w:lineRule="auto"/>
        <w:ind w:firstLine="420" w:firstLineChars="200"/>
        <w:contextualSpacing/>
        <w:rPr>
          <w:rFonts w:hint="eastAsia" w:ascii="宋体" w:hAnsi="宋体" w:cs="宋体"/>
          <w:bCs/>
          <w:color w:val="auto"/>
          <w:kern w:val="0"/>
          <w:szCs w:val="21"/>
          <w:highlight w:val="none"/>
        </w:rPr>
      </w:pPr>
      <w:r>
        <w:rPr>
          <w:rFonts w:hint="eastAsia" w:ascii="宋体" w:hAnsi="宋体" w:cs="宋体"/>
          <w:bCs/>
          <w:color w:val="auto"/>
          <w:kern w:val="0"/>
          <w:szCs w:val="21"/>
          <w:highlight w:val="none"/>
        </w:rPr>
        <w:t>地址：</w:t>
      </w:r>
      <w:r>
        <w:rPr>
          <w:rFonts w:hint="eastAsia" w:ascii="宋体" w:hAnsi="宋体" w:cs="宋体"/>
          <w:bCs/>
          <w:color w:val="auto"/>
          <w:kern w:val="0"/>
          <w:szCs w:val="21"/>
          <w:highlight w:val="none"/>
          <w:u w:val="single"/>
        </w:rPr>
        <w:t xml:space="preserve">                                          </w:t>
      </w:r>
      <w:r>
        <w:rPr>
          <w:rFonts w:hint="eastAsia" w:ascii="宋体" w:hAnsi="宋体" w:cs="宋体"/>
          <w:bCs/>
          <w:color w:val="auto"/>
          <w:kern w:val="0"/>
          <w:szCs w:val="21"/>
          <w:highlight w:val="none"/>
        </w:rPr>
        <w:t>邮编：</w:t>
      </w:r>
      <w:r>
        <w:rPr>
          <w:rFonts w:hint="eastAsia" w:ascii="宋体" w:hAnsi="宋体" w:cs="宋体"/>
          <w:bCs/>
          <w:color w:val="auto"/>
          <w:kern w:val="0"/>
          <w:szCs w:val="21"/>
          <w:highlight w:val="none"/>
          <w:u w:val="single"/>
        </w:rPr>
        <w:t xml:space="preserve">                  </w:t>
      </w:r>
    </w:p>
    <w:p w14:paraId="3962E9C5">
      <w:pPr>
        <w:spacing w:line="360" w:lineRule="auto"/>
        <w:ind w:firstLine="420" w:firstLineChars="200"/>
        <w:contextualSpacing/>
        <w:rPr>
          <w:rFonts w:hint="eastAsia" w:ascii="宋体" w:hAnsi="宋体" w:cs="宋体"/>
          <w:bCs/>
          <w:color w:val="auto"/>
          <w:kern w:val="0"/>
          <w:szCs w:val="21"/>
          <w:highlight w:val="none"/>
        </w:rPr>
      </w:pPr>
      <w:r>
        <w:rPr>
          <w:rFonts w:hint="eastAsia" w:ascii="宋体" w:hAnsi="宋体" w:cs="宋体"/>
          <w:bCs/>
          <w:color w:val="auto"/>
          <w:kern w:val="0"/>
          <w:szCs w:val="21"/>
          <w:highlight w:val="none"/>
        </w:rPr>
        <w:t>联系人：</w:t>
      </w:r>
      <w:r>
        <w:rPr>
          <w:rFonts w:hint="eastAsia" w:ascii="宋体" w:hAnsi="宋体" w:cs="宋体"/>
          <w:bCs/>
          <w:color w:val="auto"/>
          <w:kern w:val="0"/>
          <w:szCs w:val="21"/>
          <w:highlight w:val="none"/>
          <w:u w:val="single"/>
        </w:rPr>
        <w:t xml:space="preserve">                     </w:t>
      </w:r>
      <w:r>
        <w:rPr>
          <w:rFonts w:hint="eastAsia" w:ascii="宋体" w:hAnsi="宋体" w:cs="宋体"/>
          <w:bCs/>
          <w:color w:val="auto"/>
          <w:kern w:val="0"/>
          <w:szCs w:val="21"/>
          <w:highlight w:val="none"/>
        </w:rPr>
        <w:t>联系电话：</w:t>
      </w:r>
      <w:r>
        <w:rPr>
          <w:rFonts w:hint="eastAsia" w:ascii="宋体" w:hAnsi="宋体" w:cs="宋体"/>
          <w:bCs/>
          <w:color w:val="auto"/>
          <w:kern w:val="0"/>
          <w:szCs w:val="21"/>
          <w:highlight w:val="none"/>
          <w:u w:val="single"/>
        </w:rPr>
        <w:t xml:space="preserve">                 </w:t>
      </w:r>
    </w:p>
    <w:p w14:paraId="3A7C22FA">
      <w:pPr>
        <w:spacing w:line="360" w:lineRule="auto"/>
        <w:ind w:firstLine="420" w:firstLineChars="200"/>
        <w:contextualSpacing/>
        <w:rPr>
          <w:rFonts w:hint="eastAsia" w:ascii="宋体" w:hAnsi="宋体" w:cs="宋体"/>
          <w:bCs/>
          <w:color w:val="auto"/>
          <w:kern w:val="0"/>
          <w:szCs w:val="21"/>
          <w:highlight w:val="none"/>
        </w:rPr>
      </w:pPr>
      <w:r>
        <w:rPr>
          <w:rFonts w:hint="eastAsia" w:ascii="宋体" w:hAnsi="宋体" w:cs="宋体"/>
          <w:bCs/>
          <w:color w:val="auto"/>
          <w:kern w:val="0"/>
          <w:szCs w:val="21"/>
          <w:highlight w:val="none"/>
        </w:rPr>
        <w:t>授权代表：</w:t>
      </w:r>
      <w:r>
        <w:rPr>
          <w:rFonts w:hint="eastAsia" w:ascii="宋体" w:hAnsi="宋体" w:cs="宋体"/>
          <w:bCs/>
          <w:color w:val="auto"/>
          <w:kern w:val="0"/>
          <w:szCs w:val="21"/>
          <w:highlight w:val="none"/>
          <w:u w:val="single"/>
        </w:rPr>
        <w:t xml:space="preserve">                      </w:t>
      </w:r>
    </w:p>
    <w:p w14:paraId="2C8065BB">
      <w:pPr>
        <w:spacing w:line="360" w:lineRule="auto"/>
        <w:ind w:firstLine="420" w:firstLineChars="200"/>
        <w:contextualSpacing/>
        <w:rPr>
          <w:rFonts w:hint="eastAsia" w:ascii="宋体" w:hAnsi="宋体" w:cs="宋体"/>
          <w:bCs/>
          <w:color w:val="auto"/>
          <w:kern w:val="0"/>
          <w:szCs w:val="21"/>
          <w:highlight w:val="none"/>
          <w:u w:val="single"/>
        </w:rPr>
      </w:pPr>
      <w:r>
        <w:rPr>
          <w:rFonts w:hint="eastAsia" w:ascii="宋体" w:hAnsi="宋体" w:cs="宋体"/>
          <w:bCs/>
          <w:color w:val="auto"/>
          <w:kern w:val="0"/>
          <w:szCs w:val="21"/>
          <w:highlight w:val="none"/>
        </w:rPr>
        <w:t>联系电话：</w:t>
      </w:r>
      <w:r>
        <w:rPr>
          <w:rFonts w:hint="eastAsia" w:ascii="宋体" w:hAnsi="宋体" w:cs="宋体"/>
          <w:bCs/>
          <w:color w:val="auto"/>
          <w:kern w:val="0"/>
          <w:szCs w:val="21"/>
          <w:highlight w:val="none"/>
          <w:u w:val="single"/>
        </w:rPr>
        <w:t xml:space="preserve">                      </w:t>
      </w:r>
    </w:p>
    <w:p w14:paraId="74C3F30F">
      <w:pPr>
        <w:spacing w:line="360" w:lineRule="auto"/>
        <w:ind w:firstLine="420" w:firstLineChars="200"/>
        <w:contextualSpacing/>
        <w:rPr>
          <w:rFonts w:hint="eastAsia" w:ascii="宋体" w:hAnsi="宋体" w:cs="宋体"/>
          <w:bCs/>
          <w:color w:val="auto"/>
          <w:kern w:val="0"/>
          <w:szCs w:val="21"/>
          <w:highlight w:val="none"/>
        </w:rPr>
      </w:pPr>
      <w:r>
        <w:rPr>
          <w:rFonts w:hint="eastAsia" w:ascii="宋体" w:hAnsi="宋体" w:cs="宋体"/>
          <w:bCs/>
          <w:color w:val="auto"/>
          <w:kern w:val="0"/>
          <w:szCs w:val="21"/>
          <w:highlight w:val="none"/>
        </w:rPr>
        <w:t>地址：</w:t>
      </w:r>
      <w:r>
        <w:rPr>
          <w:rFonts w:hint="eastAsia" w:ascii="宋体" w:hAnsi="宋体" w:cs="宋体"/>
          <w:bCs/>
          <w:color w:val="auto"/>
          <w:kern w:val="0"/>
          <w:szCs w:val="21"/>
          <w:highlight w:val="none"/>
          <w:u w:val="single"/>
        </w:rPr>
        <w:t xml:space="preserve">                 </w:t>
      </w:r>
      <w:r>
        <w:rPr>
          <w:rFonts w:hint="eastAsia" w:ascii="宋体" w:hAnsi="宋体" w:cs="宋体"/>
          <w:bCs/>
          <w:color w:val="auto"/>
          <w:kern w:val="0"/>
          <w:szCs w:val="21"/>
          <w:highlight w:val="none"/>
        </w:rPr>
        <w:t>邮编：</w:t>
      </w:r>
      <w:r>
        <w:rPr>
          <w:rFonts w:hint="eastAsia" w:ascii="宋体" w:hAnsi="宋体" w:cs="宋体"/>
          <w:bCs/>
          <w:color w:val="auto"/>
          <w:kern w:val="0"/>
          <w:szCs w:val="21"/>
          <w:highlight w:val="none"/>
          <w:u w:val="single"/>
        </w:rPr>
        <w:t xml:space="preserve">                  </w:t>
      </w:r>
      <w:r>
        <w:rPr>
          <w:rFonts w:hint="eastAsia" w:ascii="宋体" w:hAnsi="宋体" w:cs="宋体"/>
          <w:bCs/>
          <w:color w:val="auto"/>
          <w:kern w:val="0"/>
          <w:szCs w:val="21"/>
          <w:highlight w:val="none"/>
        </w:rPr>
        <w:t xml:space="preserve">     </w:t>
      </w:r>
    </w:p>
    <w:p w14:paraId="24C48A2C">
      <w:pPr>
        <w:spacing w:line="360" w:lineRule="auto"/>
        <w:ind w:firstLine="422" w:firstLineChars="200"/>
        <w:contextualSpacing/>
        <w:rPr>
          <w:rFonts w:hint="eastAsia" w:ascii="宋体" w:hAnsi="宋体" w:cs="宋体"/>
          <w:b/>
          <w:bCs/>
          <w:color w:val="auto"/>
          <w:kern w:val="0"/>
          <w:szCs w:val="21"/>
          <w:highlight w:val="none"/>
        </w:rPr>
      </w:pPr>
      <w:r>
        <w:rPr>
          <w:rFonts w:hint="eastAsia" w:ascii="宋体" w:hAnsi="宋体" w:cs="宋体"/>
          <w:b/>
          <w:bCs/>
          <w:color w:val="auto"/>
          <w:kern w:val="0"/>
          <w:szCs w:val="21"/>
          <w:highlight w:val="none"/>
        </w:rPr>
        <w:t>二、质疑项目基本情况：</w:t>
      </w:r>
    </w:p>
    <w:p w14:paraId="77D03097">
      <w:pPr>
        <w:spacing w:line="360" w:lineRule="auto"/>
        <w:ind w:left="25" w:leftChars="12" w:firstLine="413" w:firstLineChars="197"/>
        <w:contextualSpacing/>
        <w:rPr>
          <w:rFonts w:hint="eastAsia" w:ascii="宋体" w:hAnsi="宋体" w:cs="宋体"/>
          <w:color w:val="auto"/>
          <w:kern w:val="0"/>
          <w:szCs w:val="21"/>
          <w:highlight w:val="none"/>
        </w:rPr>
      </w:pPr>
      <w:r>
        <w:rPr>
          <w:rFonts w:hint="eastAsia" w:ascii="宋体" w:hAnsi="宋体" w:cs="宋体"/>
          <w:bCs/>
          <w:color w:val="auto"/>
          <w:kern w:val="0"/>
          <w:szCs w:val="21"/>
          <w:highlight w:val="none"/>
        </w:rPr>
        <w:t>质疑</w:t>
      </w:r>
      <w:r>
        <w:rPr>
          <w:rFonts w:hint="eastAsia" w:ascii="宋体" w:hAnsi="宋体" w:cs="宋体"/>
          <w:color w:val="auto"/>
          <w:kern w:val="0"/>
          <w:szCs w:val="21"/>
          <w:highlight w:val="none"/>
        </w:rPr>
        <w:t>项目的名称：</w:t>
      </w:r>
      <w:r>
        <w:rPr>
          <w:rFonts w:hint="eastAsia" w:ascii="宋体" w:hAnsi="宋体" w:cs="宋体"/>
          <w:bCs/>
          <w:color w:val="auto"/>
          <w:kern w:val="0"/>
          <w:szCs w:val="21"/>
          <w:highlight w:val="none"/>
          <w:u w:val="single"/>
        </w:rPr>
        <w:t xml:space="preserve">                                     </w:t>
      </w:r>
    </w:p>
    <w:p w14:paraId="48066DFA">
      <w:pPr>
        <w:spacing w:line="360" w:lineRule="auto"/>
        <w:ind w:left="25" w:leftChars="12" w:firstLine="413" w:firstLineChars="197"/>
        <w:contextualSpacing/>
        <w:rPr>
          <w:rFonts w:hint="eastAsia" w:ascii="宋体" w:hAnsi="宋体" w:cs="宋体"/>
          <w:color w:val="auto"/>
          <w:kern w:val="0"/>
          <w:szCs w:val="21"/>
          <w:highlight w:val="none"/>
        </w:rPr>
      </w:pPr>
      <w:r>
        <w:rPr>
          <w:rFonts w:hint="eastAsia" w:ascii="宋体" w:hAnsi="宋体" w:cs="宋体"/>
          <w:bCs/>
          <w:color w:val="auto"/>
          <w:kern w:val="0"/>
          <w:szCs w:val="21"/>
          <w:highlight w:val="none"/>
        </w:rPr>
        <w:t>质疑</w:t>
      </w:r>
      <w:r>
        <w:rPr>
          <w:rFonts w:hint="eastAsia" w:ascii="宋体" w:hAnsi="宋体" w:cs="宋体"/>
          <w:color w:val="auto"/>
          <w:kern w:val="0"/>
          <w:szCs w:val="21"/>
          <w:highlight w:val="none"/>
        </w:rPr>
        <w:t>项目的编号：</w:t>
      </w:r>
      <w:r>
        <w:rPr>
          <w:rFonts w:hint="eastAsia" w:ascii="宋体" w:hAnsi="宋体" w:cs="宋体"/>
          <w:bCs/>
          <w:color w:val="auto"/>
          <w:kern w:val="0"/>
          <w:szCs w:val="21"/>
          <w:highlight w:val="none"/>
          <w:u w:val="single"/>
        </w:rPr>
        <w:t xml:space="preserve">                                     </w:t>
      </w:r>
    </w:p>
    <w:p w14:paraId="4A8426FC">
      <w:pPr>
        <w:spacing w:line="360" w:lineRule="auto"/>
        <w:ind w:left="25" w:leftChars="12" w:firstLine="413" w:firstLineChars="197"/>
        <w:contextualSpacing/>
        <w:rPr>
          <w:rFonts w:hint="eastAsia" w:ascii="宋体" w:hAnsi="宋体" w:cs="宋体"/>
          <w:color w:val="auto"/>
          <w:kern w:val="0"/>
          <w:szCs w:val="21"/>
          <w:highlight w:val="none"/>
        </w:rPr>
      </w:pPr>
      <w:r>
        <w:rPr>
          <w:rFonts w:hint="eastAsia" w:ascii="宋体" w:hAnsi="宋体" w:cs="宋体"/>
          <w:color w:val="auto"/>
          <w:kern w:val="0"/>
          <w:szCs w:val="21"/>
          <w:highlight w:val="none"/>
        </w:rPr>
        <w:t>采购人名称：</w:t>
      </w:r>
      <w:r>
        <w:rPr>
          <w:rFonts w:hint="eastAsia" w:ascii="宋体" w:hAnsi="宋体" w:cs="宋体"/>
          <w:bCs/>
          <w:color w:val="auto"/>
          <w:kern w:val="0"/>
          <w:szCs w:val="21"/>
          <w:highlight w:val="none"/>
          <w:u w:val="single"/>
        </w:rPr>
        <w:t xml:space="preserve">                                         </w:t>
      </w:r>
    </w:p>
    <w:p w14:paraId="0C29DA84">
      <w:pPr>
        <w:spacing w:line="360" w:lineRule="auto"/>
        <w:ind w:left="25" w:leftChars="12" w:firstLine="413" w:firstLineChars="197"/>
        <w:contextualSpacing/>
        <w:rPr>
          <w:rFonts w:hint="eastAsia" w:ascii="宋体" w:hAnsi="宋体" w:cs="宋体"/>
          <w:color w:val="auto"/>
          <w:kern w:val="0"/>
          <w:szCs w:val="21"/>
          <w:highlight w:val="none"/>
        </w:rPr>
      </w:pPr>
      <w:r>
        <w:rPr>
          <w:rFonts w:hint="eastAsia" w:ascii="宋体" w:hAnsi="宋体" w:cs="宋体"/>
          <w:color w:val="auto"/>
          <w:kern w:val="0"/>
          <w:szCs w:val="21"/>
          <w:highlight w:val="none"/>
        </w:rPr>
        <w:t>质疑事项：</w:t>
      </w:r>
    </w:p>
    <w:p w14:paraId="5AEB1D9B">
      <w:pPr>
        <w:spacing w:line="360" w:lineRule="auto"/>
        <w:ind w:left="25" w:leftChars="12" w:firstLine="308" w:firstLineChars="147"/>
        <w:contextualSpacing/>
        <w:rPr>
          <w:rFonts w:hint="eastAsia" w:ascii="宋体" w:hAnsi="宋体" w:cs="宋体"/>
          <w:color w:val="auto"/>
          <w:kern w:val="0"/>
          <w:szCs w:val="21"/>
          <w:highlight w:val="none"/>
        </w:rPr>
      </w:pPr>
      <w:r>
        <w:rPr>
          <w:rFonts w:hint="eastAsia" w:ascii="宋体" w:hAnsi="宋体" w:cs="宋体"/>
          <w:color w:val="auto"/>
          <w:kern w:val="0"/>
          <w:szCs w:val="21"/>
          <w:highlight w:val="none"/>
        </w:rPr>
        <w:t>□采购文件   采购文件获取日期：</w:t>
      </w:r>
      <w:r>
        <w:rPr>
          <w:rFonts w:hint="eastAsia" w:ascii="宋体" w:hAnsi="宋体" w:cs="宋体"/>
          <w:bCs/>
          <w:color w:val="auto"/>
          <w:kern w:val="0"/>
          <w:szCs w:val="21"/>
          <w:highlight w:val="none"/>
          <w:u w:val="single"/>
        </w:rPr>
        <w:t xml:space="preserve">                                   </w:t>
      </w:r>
    </w:p>
    <w:p w14:paraId="0E8703C4">
      <w:pPr>
        <w:spacing w:line="360" w:lineRule="auto"/>
        <w:ind w:left="25" w:leftChars="12" w:firstLine="308" w:firstLineChars="147"/>
        <w:contextualSpacing/>
        <w:rPr>
          <w:rFonts w:hint="eastAsia" w:ascii="宋体" w:hAnsi="宋体" w:cs="宋体"/>
          <w:color w:val="auto"/>
          <w:kern w:val="0"/>
          <w:szCs w:val="21"/>
          <w:highlight w:val="none"/>
        </w:rPr>
      </w:pPr>
      <w:r>
        <w:rPr>
          <w:rFonts w:hint="eastAsia" w:ascii="宋体" w:hAnsi="宋体" w:cs="宋体"/>
          <w:color w:val="auto"/>
          <w:kern w:val="0"/>
          <w:szCs w:val="21"/>
          <w:highlight w:val="none"/>
        </w:rPr>
        <w:t xml:space="preserve">□采购过程   </w:t>
      </w:r>
    </w:p>
    <w:p w14:paraId="5C21FC2D">
      <w:pPr>
        <w:spacing w:line="360" w:lineRule="auto"/>
        <w:ind w:left="25" w:leftChars="12" w:firstLine="308" w:firstLineChars="147"/>
        <w:contextualSpacing/>
        <w:rPr>
          <w:rFonts w:hint="eastAsia" w:ascii="宋体" w:hAnsi="宋体" w:cs="宋体"/>
          <w:bCs/>
          <w:color w:val="auto"/>
          <w:kern w:val="0"/>
          <w:szCs w:val="21"/>
          <w:highlight w:val="none"/>
          <w:u w:val="single"/>
        </w:rPr>
      </w:pPr>
      <w:r>
        <w:rPr>
          <w:rFonts w:hint="eastAsia" w:ascii="宋体" w:hAnsi="宋体" w:cs="宋体"/>
          <w:color w:val="auto"/>
          <w:kern w:val="0"/>
          <w:szCs w:val="21"/>
          <w:highlight w:val="none"/>
        </w:rPr>
        <w:t xml:space="preserve">□成交结果   </w:t>
      </w:r>
    </w:p>
    <w:p w14:paraId="36C63234">
      <w:pPr>
        <w:spacing w:line="360" w:lineRule="auto"/>
        <w:ind w:left="25" w:leftChars="12" w:firstLine="413" w:firstLineChars="196"/>
        <w:contextualSpacing/>
        <w:rPr>
          <w:b/>
          <w:color w:val="auto"/>
          <w:kern w:val="0"/>
          <w:szCs w:val="21"/>
          <w:highlight w:val="none"/>
        </w:rPr>
      </w:pPr>
      <w:r>
        <w:rPr>
          <w:b/>
          <w:color w:val="auto"/>
          <w:kern w:val="0"/>
          <w:szCs w:val="21"/>
          <w:highlight w:val="none"/>
        </w:rPr>
        <w:t>三、质疑事项具体内容</w:t>
      </w:r>
    </w:p>
    <w:p w14:paraId="6AC0804F">
      <w:pPr>
        <w:spacing w:line="360" w:lineRule="auto"/>
        <w:ind w:left="25" w:leftChars="12" w:firstLine="413" w:firstLineChars="197"/>
        <w:contextualSpacing/>
        <w:rPr>
          <w:color w:val="auto"/>
          <w:kern w:val="0"/>
          <w:szCs w:val="21"/>
          <w:highlight w:val="none"/>
        </w:rPr>
      </w:pPr>
      <w:r>
        <w:rPr>
          <w:color w:val="auto"/>
          <w:kern w:val="0"/>
          <w:szCs w:val="21"/>
          <w:highlight w:val="none"/>
        </w:rPr>
        <w:t>质疑事项1：</w:t>
      </w:r>
      <w:r>
        <w:rPr>
          <w:bCs/>
          <w:color w:val="auto"/>
          <w:kern w:val="0"/>
          <w:szCs w:val="21"/>
          <w:highlight w:val="none"/>
          <w:u w:val="single"/>
        </w:rPr>
        <w:t xml:space="preserve">                                                                    </w:t>
      </w:r>
    </w:p>
    <w:p w14:paraId="20921D36">
      <w:pPr>
        <w:spacing w:line="360" w:lineRule="auto"/>
        <w:ind w:left="25" w:leftChars="12" w:firstLine="413" w:firstLineChars="197"/>
        <w:contextualSpacing/>
        <w:rPr>
          <w:color w:val="auto"/>
          <w:kern w:val="0"/>
          <w:szCs w:val="21"/>
          <w:highlight w:val="none"/>
        </w:rPr>
      </w:pPr>
      <w:r>
        <w:rPr>
          <w:color w:val="auto"/>
          <w:kern w:val="0"/>
          <w:szCs w:val="21"/>
          <w:highlight w:val="none"/>
        </w:rPr>
        <w:t>事实依据：</w:t>
      </w:r>
      <w:r>
        <w:rPr>
          <w:bCs/>
          <w:color w:val="auto"/>
          <w:kern w:val="0"/>
          <w:szCs w:val="21"/>
          <w:highlight w:val="none"/>
          <w:u w:val="single"/>
        </w:rPr>
        <w:t xml:space="preserve">                                                                      </w:t>
      </w:r>
    </w:p>
    <w:p w14:paraId="3291E539">
      <w:pPr>
        <w:spacing w:line="360" w:lineRule="auto"/>
        <w:ind w:left="25" w:leftChars="12" w:firstLine="413" w:firstLineChars="197"/>
        <w:contextualSpacing/>
        <w:rPr>
          <w:color w:val="auto"/>
          <w:kern w:val="0"/>
          <w:szCs w:val="21"/>
          <w:highlight w:val="none"/>
        </w:rPr>
      </w:pPr>
      <w:r>
        <w:rPr>
          <w:color w:val="auto"/>
          <w:kern w:val="0"/>
          <w:szCs w:val="21"/>
          <w:highlight w:val="none"/>
        </w:rPr>
        <w:t>法律依据：</w:t>
      </w:r>
      <w:r>
        <w:rPr>
          <w:color w:val="auto"/>
          <w:kern w:val="0"/>
          <w:szCs w:val="21"/>
          <w:highlight w:val="none"/>
          <w:u w:val="single"/>
        </w:rPr>
        <w:t xml:space="preserve">                                                        </w:t>
      </w:r>
      <w:r>
        <w:rPr>
          <w:bCs/>
          <w:color w:val="auto"/>
          <w:kern w:val="0"/>
          <w:szCs w:val="21"/>
          <w:highlight w:val="none"/>
          <w:u w:val="single"/>
        </w:rPr>
        <w:t xml:space="preserve">               </w:t>
      </w:r>
    </w:p>
    <w:p w14:paraId="6975C3A8">
      <w:pPr>
        <w:spacing w:line="360" w:lineRule="auto"/>
        <w:ind w:left="25" w:leftChars="12" w:firstLine="413" w:firstLineChars="197"/>
        <w:contextualSpacing/>
        <w:rPr>
          <w:color w:val="auto"/>
          <w:kern w:val="0"/>
          <w:szCs w:val="21"/>
          <w:highlight w:val="none"/>
        </w:rPr>
      </w:pPr>
      <w:r>
        <w:rPr>
          <w:color w:val="auto"/>
          <w:kern w:val="0"/>
          <w:szCs w:val="21"/>
          <w:highlight w:val="none"/>
        </w:rPr>
        <w:t>质疑事项2</w:t>
      </w:r>
    </w:p>
    <w:p w14:paraId="0219B855">
      <w:pPr>
        <w:spacing w:line="360" w:lineRule="auto"/>
        <w:ind w:left="25" w:leftChars="12" w:firstLine="413" w:firstLineChars="197"/>
        <w:contextualSpacing/>
        <w:rPr>
          <w:color w:val="auto"/>
          <w:kern w:val="0"/>
          <w:szCs w:val="21"/>
          <w:highlight w:val="none"/>
        </w:rPr>
      </w:pPr>
      <w:r>
        <w:rPr>
          <w:color w:val="auto"/>
          <w:kern w:val="0"/>
          <w:szCs w:val="21"/>
          <w:highlight w:val="none"/>
        </w:rPr>
        <w:t>……</w:t>
      </w:r>
    </w:p>
    <w:p w14:paraId="50615672">
      <w:pPr>
        <w:spacing w:line="360" w:lineRule="auto"/>
        <w:ind w:left="25" w:leftChars="12" w:firstLine="413" w:firstLineChars="197"/>
        <w:contextualSpacing/>
        <w:rPr>
          <w:color w:val="auto"/>
          <w:kern w:val="0"/>
          <w:szCs w:val="21"/>
          <w:highlight w:val="none"/>
        </w:rPr>
      </w:pPr>
      <w:r>
        <w:rPr>
          <w:color w:val="auto"/>
          <w:kern w:val="0"/>
          <w:szCs w:val="21"/>
          <w:highlight w:val="none"/>
        </w:rPr>
        <w:t>四、与质疑事项相关的质疑请求：</w:t>
      </w:r>
    </w:p>
    <w:p w14:paraId="78DC4F7C">
      <w:pPr>
        <w:spacing w:line="360" w:lineRule="auto"/>
        <w:ind w:left="25" w:leftChars="12" w:firstLine="413" w:firstLineChars="197"/>
        <w:contextualSpacing/>
        <w:rPr>
          <w:color w:val="auto"/>
          <w:kern w:val="0"/>
          <w:szCs w:val="21"/>
          <w:highlight w:val="none"/>
        </w:rPr>
      </w:pPr>
      <w:r>
        <w:rPr>
          <w:color w:val="auto"/>
          <w:kern w:val="0"/>
          <w:szCs w:val="21"/>
          <w:highlight w:val="none"/>
        </w:rPr>
        <w:t>请求：</w:t>
      </w:r>
      <w:r>
        <w:rPr>
          <w:bCs/>
          <w:color w:val="auto"/>
          <w:kern w:val="0"/>
          <w:szCs w:val="21"/>
          <w:highlight w:val="none"/>
          <w:u w:val="single"/>
        </w:rPr>
        <w:t xml:space="preserve">                                                                </w:t>
      </w:r>
    </w:p>
    <w:p w14:paraId="4E2AA9CD">
      <w:pPr>
        <w:spacing w:line="360" w:lineRule="auto"/>
        <w:ind w:left="25" w:leftChars="12" w:firstLine="308" w:firstLineChars="147"/>
        <w:contextualSpacing/>
        <w:rPr>
          <w:color w:val="auto"/>
          <w:kern w:val="0"/>
          <w:szCs w:val="21"/>
          <w:highlight w:val="none"/>
        </w:rPr>
      </w:pPr>
    </w:p>
    <w:p w14:paraId="00089805">
      <w:pPr>
        <w:spacing w:line="360" w:lineRule="auto"/>
        <w:ind w:left="25" w:leftChars="12" w:firstLine="413" w:firstLineChars="197"/>
        <w:contextualSpacing/>
        <w:rPr>
          <w:color w:val="auto"/>
          <w:kern w:val="0"/>
          <w:szCs w:val="21"/>
          <w:highlight w:val="none"/>
        </w:rPr>
      </w:pPr>
      <w:r>
        <w:rPr>
          <w:color w:val="auto"/>
          <w:kern w:val="0"/>
          <w:szCs w:val="21"/>
          <w:highlight w:val="none"/>
        </w:rPr>
        <w:t>签字（签章）：                                       公章：</w:t>
      </w:r>
    </w:p>
    <w:p w14:paraId="08909635">
      <w:pPr>
        <w:spacing w:line="360" w:lineRule="auto"/>
        <w:ind w:left="25" w:leftChars="12" w:firstLine="308" w:firstLineChars="147"/>
        <w:contextualSpacing/>
        <w:rPr>
          <w:color w:val="auto"/>
          <w:kern w:val="0"/>
          <w:szCs w:val="21"/>
          <w:highlight w:val="none"/>
        </w:rPr>
      </w:pPr>
    </w:p>
    <w:p w14:paraId="2D24D19B">
      <w:pPr>
        <w:spacing w:line="360" w:lineRule="auto"/>
        <w:ind w:left="25" w:leftChars="12" w:firstLine="413" w:firstLineChars="197"/>
        <w:contextualSpacing/>
        <w:rPr>
          <w:color w:val="auto"/>
          <w:kern w:val="0"/>
          <w:szCs w:val="21"/>
          <w:highlight w:val="none"/>
        </w:rPr>
      </w:pPr>
      <w:r>
        <w:rPr>
          <w:color w:val="auto"/>
          <w:kern w:val="0"/>
          <w:szCs w:val="21"/>
          <w:highlight w:val="none"/>
        </w:rPr>
        <w:t>日期：</w:t>
      </w:r>
    </w:p>
    <w:p w14:paraId="32607CF2">
      <w:pPr>
        <w:spacing w:line="360" w:lineRule="auto"/>
        <w:contextualSpacing/>
        <w:rPr>
          <w:b/>
          <w:color w:val="auto"/>
          <w:kern w:val="0"/>
          <w:szCs w:val="21"/>
          <w:highlight w:val="none"/>
        </w:rPr>
      </w:pPr>
    </w:p>
    <w:p w14:paraId="420FDC0D">
      <w:pPr>
        <w:spacing w:line="360" w:lineRule="auto"/>
        <w:contextualSpacing/>
        <w:rPr>
          <w:b/>
          <w:color w:val="auto"/>
          <w:kern w:val="0"/>
          <w:szCs w:val="21"/>
          <w:highlight w:val="none"/>
        </w:rPr>
      </w:pPr>
    </w:p>
    <w:p w14:paraId="42879A51">
      <w:pPr>
        <w:spacing w:line="360" w:lineRule="auto"/>
        <w:contextualSpacing/>
        <w:rPr>
          <w:b/>
          <w:color w:val="auto"/>
          <w:kern w:val="0"/>
          <w:szCs w:val="21"/>
          <w:highlight w:val="none"/>
        </w:rPr>
      </w:pPr>
      <w:r>
        <w:rPr>
          <w:b/>
          <w:color w:val="auto"/>
          <w:kern w:val="0"/>
          <w:szCs w:val="21"/>
          <w:highlight w:val="none"/>
        </w:rPr>
        <w:t>说明：</w:t>
      </w:r>
    </w:p>
    <w:p w14:paraId="71737341">
      <w:pPr>
        <w:spacing w:line="360" w:lineRule="auto"/>
        <w:ind w:left="25" w:leftChars="12" w:firstLine="310" w:firstLineChars="147"/>
        <w:contextualSpacing/>
        <w:rPr>
          <w:b/>
          <w:bCs/>
          <w:color w:val="auto"/>
          <w:kern w:val="0"/>
          <w:szCs w:val="21"/>
          <w:highlight w:val="none"/>
        </w:rPr>
      </w:pPr>
      <w:r>
        <w:rPr>
          <w:b/>
          <w:color w:val="auto"/>
          <w:kern w:val="0"/>
          <w:szCs w:val="21"/>
          <w:highlight w:val="none"/>
        </w:rPr>
        <w:t>1.供应商提出质疑时，应提交质疑函和必要的证明材料</w:t>
      </w:r>
      <w:r>
        <w:rPr>
          <w:b/>
          <w:bCs/>
          <w:color w:val="auto"/>
          <w:kern w:val="0"/>
          <w:szCs w:val="21"/>
          <w:highlight w:val="none"/>
        </w:rPr>
        <w:t>。</w:t>
      </w:r>
    </w:p>
    <w:p w14:paraId="330F92D9">
      <w:pPr>
        <w:spacing w:line="360" w:lineRule="auto"/>
        <w:ind w:left="25" w:leftChars="12" w:firstLine="310" w:firstLineChars="147"/>
        <w:contextualSpacing/>
        <w:rPr>
          <w:b/>
          <w:color w:val="auto"/>
          <w:kern w:val="0"/>
          <w:szCs w:val="21"/>
          <w:highlight w:val="none"/>
        </w:rPr>
      </w:pPr>
      <w:r>
        <w:rPr>
          <w:b/>
          <w:color w:val="auto"/>
          <w:kern w:val="0"/>
          <w:szCs w:val="21"/>
          <w:highlight w:val="none"/>
        </w:rPr>
        <w:t>2.质疑供应商若委托代理人进行质疑的，质疑函应按要求列明</w:t>
      </w:r>
      <w:r>
        <w:rPr>
          <w:rFonts w:hint="eastAsia"/>
          <w:b/>
          <w:color w:val="auto"/>
          <w:kern w:val="0"/>
          <w:szCs w:val="21"/>
          <w:highlight w:val="none"/>
          <w:lang w:eastAsia="zh-CN"/>
        </w:rPr>
        <w:t>“</w:t>
      </w:r>
      <w:r>
        <w:rPr>
          <w:b/>
          <w:color w:val="auto"/>
          <w:kern w:val="0"/>
          <w:szCs w:val="21"/>
          <w:highlight w:val="none"/>
        </w:rPr>
        <w:t>授权代表</w:t>
      </w:r>
      <w:r>
        <w:rPr>
          <w:rFonts w:hint="eastAsia"/>
          <w:b/>
          <w:color w:val="auto"/>
          <w:kern w:val="0"/>
          <w:szCs w:val="21"/>
          <w:highlight w:val="none"/>
          <w:lang w:eastAsia="zh-CN"/>
        </w:rPr>
        <w:t>”</w:t>
      </w:r>
      <w:r>
        <w:rPr>
          <w:b/>
          <w:color w:val="auto"/>
          <w:kern w:val="0"/>
          <w:szCs w:val="21"/>
          <w:highlight w:val="none"/>
        </w:rPr>
        <w:t>的有关内容，并在附件中提交由质疑供应商签署的授权委托书。授权委托书应载明代理人的姓名或者名称、代理事项、具体权限、期限和相关事项。</w:t>
      </w:r>
    </w:p>
    <w:p w14:paraId="1F6D3370">
      <w:pPr>
        <w:spacing w:line="360" w:lineRule="auto"/>
        <w:ind w:left="25" w:leftChars="12" w:firstLine="310" w:firstLineChars="147"/>
        <w:contextualSpacing/>
        <w:rPr>
          <w:b/>
          <w:color w:val="auto"/>
          <w:kern w:val="0"/>
          <w:szCs w:val="21"/>
          <w:highlight w:val="none"/>
        </w:rPr>
      </w:pPr>
      <w:r>
        <w:rPr>
          <w:b/>
          <w:color w:val="auto"/>
          <w:kern w:val="0"/>
          <w:szCs w:val="21"/>
          <w:highlight w:val="none"/>
        </w:rPr>
        <w:t>3.质疑函的质疑事项应具体、明确，并有必要的事实依据和法律依据。</w:t>
      </w:r>
    </w:p>
    <w:p w14:paraId="6621F0A5">
      <w:pPr>
        <w:spacing w:line="360" w:lineRule="auto"/>
        <w:ind w:left="25" w:leftChars="12" w:firstLine="310" w:firstLineChars="147"/>
        <w:contextualSpacing/>
        <w:rPr>
          <w:b/>
          <w:color w:val="auto"/>
          <w:kern w:val="0"/>
          <w:szCs w:val="21"/>
          <w:highlight w:val="none"/>
        </w:rPr>
      </w:pPr>
      <w:r>
        <w:rPr>
          <w:b/>
          <w:color w:val="auto"/>
          <w:kern w:val="0"/>
          <w:szCs w:val="21"/>
          <w:highlight w:val="none"/>
        </w:rPr>
        <w:t>4.质疑函的质疑请求应与质疑事项相关。</w:t>
      </w:r>
    </w:p>
    <w:p w14:paraId="0C5690A8">
      <w:pPr>
        <w:spacing w:line="360" w:lineRule="auto"/>
        <w:ind w:left="25" w:leftChars="12" w:firstLine="310" w:firstLineChars="147"/>
        <w:contextualSpacing/>
        <w:rPr>
          <w:b/>
          <w:color w:val="auto"/>
          <w:kern w:val="0"/>
          <w:szCs w:val="21"/>
          <w:highlight w:val="none"/>
        </w:rPr>
      </w:pPr>
      <w:r>
        <w:rPr>
          <w:b/>
          <w:color w:val="auto"/>
          <w:kern w:val="0"/>
          <w:szCs w:val="21"/>
          <w:highlight w:val="none"/>
        </w:rPr>
        <w:t>5.质疑供应商为法人或者其他组织的，质疑函应由法定代表人、主要负责人，或者其授权代表签字或者盖章，并加盖公章。</w:t>
      </w:r>
    </w:p>
    <w:p w14:paraId="3B8BD396">
      <w:pPr>
        <w:snapToGrid w:val="0"/>
        <w:rPr>
          <w:b/>
          <w:color w:val="auto"/>
          <w:kern w:val="0"/>
          <w:sz w:val="24"/>
          <w:highlight w:val="none"/>
        </w:rPr>
      </w:pPr>
    </w:p>
    <w:p w14:paraId="6C2DCD6E">
      <w:pPr>
        <w:spacing w:line="460" w:lineRule="exact"/>
        <w:jc w:val="center"/>
        <w:rPr>
          <w:rFonts w:hint="eastAsia" w:ascii="Calibri" w:hAnsi="Calibri" w:eastAsia="隶书"/>
          <w:color w:val="auto"/>
          <w:sz w:val="44"/>
          <w:highlight w:val="none"/>
        </w:rPr>
      </w:pPr>
      <w:r>
        <w:rPr>
          <w:rFonts w:ascii="Calibri" w:hAnsi="Calibri" w:eastAsia="隶书"/>
          <w:color w:val="auto"/>
          <w:sz w:val="44"/>
          <w:highlight w:val="none"/>
        </w:rPr>
        <w:br w:type="page"/>
      </w:r>
    </w:p>
    <w:p w14:paraId="0C159EEF">
      <w:pPr>
        <w:spacing w:line="360" w:lineRule="auto"/>
        <w:jc w:val="center"/>
        <w:rPr>
          <w:rFonts w:hint="eastAsia"/>
          <w:b/>
          <w:bCs/>
          <w:color w:val="auto"/>
          <w:sz w:val="32"/>
          <w:szCs w:val="32"/>
          <w:highlight w:val="none"/>
        </w:rPr>
      </w:pPr>
      <w:r>
        <w:rPr>
          <w:rFonts w:hint="eastAsia"/>
          <w:b/>
          <w:bCs/>
          <w:color w:val="auto"/>
          <w:sz w:val="32"/>
          <w:szCs w:val="32"/>
          <w:highlight w:val="none"/>
        </w:rPr>
        <w:t>投诉书（格式）</w:t>
      </w:r>
    </w:p>
    <w:p w14:paraId="625E36DC">
      <w:pPr>
        <w:snapToGrid w:val="0"/>
        <w:spacing w:line="360" w:lineRule="auto"/>
        <w:ind w:firstLine="422" w:firstLineChars="200"/>
        <w:rPr>
          <w:b/>
          <w:bCs/>
          <w:color w:val="auto"/>
          <w:kern w:val="0"/>
          <w:szCs w:val="21"/>
          <w:highlight w:val="none"/>
        </w:rPr>
      </w:pPr>
      <w:r>
        <w:rPr>
          <w:b/>
          <w:bCs/>
          <w:color w:val="auto"/>
          <w:kern w:val="0"/>
          <w:szCs w:val="21"/>
          <w:highlight w:val="none"/>
        </w:rPr>
        <w:t>一、投诉相关主体基本情况：</w:t>
      </w:r>
    </w:p>
    <w:p w14:paraId="3E07257C">
      <w:pPr>
        <w:snapToGrid w:val="0"/>
        <w:spacing w:line="360" w:lineRule="auto"/>
        <w:ind w:firstLine="420" w:firstLineChars="200"/>
        <w:rPr>
          <w:bCs/>
          <w:color w:val="auto"/>
          <w:kern w:val="0"/>
          <w:szCs w:val="21"/>
          <w:highlight w:val="none"/>
          <w:u w:val="single"/>
        </w:rPr>
      </w:pPr>
      <w:r>
        <w:rPr>
          <w:bCs/>
          <w:color w:val="auto"/>
          <w:kern w:val="0"/>
          <w:szCs w:val="21"/>
          <w:highlight w:val="none"/>
        </w:rPr>
        <w:t>供应商：</w:t>
      </w:r>
      <w:r>
        <w:rPr>
          <w:bCs/>
          <w:color w:val="auto"/>
          <w:kern w:val="0"/>
          <w:szCs w:val="21"/>
          <w:highlight w:val="none"/>
          <w:u w:val="single"/>
        </w:rPr>
        <w:t xml:space="preserve">                                                                        </w:t>
      </w:r>
    </w:p>
    <w:p w14:paraId="2900B92D">
      <w:pPr>
        <w:snapToGrid w:val="0"/>
        <w:spacing w:line="360" w:lineRule="auto"/>
        <w:ind w:firstLine="420" w:firstLineChars="200"/>
        <w:rPr>
          <w:bCs/>
          <w:color w:val="auto"/>
          <w:kern w:val="0"/>
          <w:szCs w:val="21"/>
          <w:highlight w:val="none"/>
        </w:rPr>
      </w:pPr>
      <w:r>
        <w:rPr>
          <w:bCs/>
          <w:color w:val="auto"/>
          <w:kern w:val="0"/>
          <w:szCs w:val="21"/>
          <w:highlight w:val="none"/>
        </w:rPr>
        <w:t>地址：</w:t>
      </w:r>
      <w:r>
        <w:rPr>
          <w:bCs/>
          <w:color w:val="auto"/>
          <w:kern w:val="0"/>
          <w:szCs w:val="21"/>
          <w:highlight w:val="none"/>
          <w:u w:val="single"/>
        </w:rPr>
        <w:t xml:space="preserve">                                         </w:t>
      </w:r>
      <w:r>
        <w:rPr>
          <w:bCs/>
          <w:color w:val="auto"/>
          <w:kern w:val="0"/>
          <w:szCs w:val="21"/>
          <w:highlight w:val="none"/>
        </w:rPr>
        <w:t>邮编：</w:t>
      </w:r>
      <w:r>
        <w:rPr>
          <w:bCs/>
          <w:color w:val="auto"/>
          <w:kern w:val="0"/>
          <w:szCs w:val="21"/>
          <w:highlight w:val="none"/>
          <w:u w:val="single"/>
        </w:rPr>
        <w:t xml:space="preserve">                          </w:t>
      </w:r>
      <w:r>
        <w:rPr>
          <w:bCs/>
          <w:color w:val="auto"/>
          <w:kern w:val="0"/>
          <w:szCs w:val="21"/>
          <w:highlight w:val="none"/>
        </w:rPr>
        <w:t xml:space="preserve"> </w:t>
      </w:r>
    </w:p>
    <w:p w14:paraId="5C895956">
      <w:pPr>
        <w:snapToGrid w:val="0"/>
        <w:spacing w:line="360" w:lineRule="auto"/>
        <w:ind w:firstLine="420" w:firstLineChars="200"/>
        <w:rPr>
          <w:bCs/>
          <w:color w:val="auto"/>
          <w:kern w:val="0"/>
          <w:szCs w:val="21"/>
          <w:highlight w:val="none"/>
          <w:u w:val="single"/>
        </w:rPr>
      </w:pPr>
      <w:r>
        <w:rPr>
          <w:bCs/>
          <w:color w:val="auto"/>
          <w:kern w:val="0"/>
          <w:szCs w:val="21"/>
          <w:highlight w:val="none"/>
        </w:rPr>
        <w:t>法定代表人/主要负责人：</w:t>
      </w:r>
      <w:r>
        <w:rPr>
          <w:bCs/>
          <w:color w:val="auto"/>
          <w:kern w:val="0"/>
          <w:szCs w:val="21"/>
          <w:highlight w:val="none"/>
          <w:u w:val="single"/>
        </w:rPr>
        <w:t xml:space="preserve">                                                         </w:t>
      </w:r>
    </w:p>
    <w:p w14:paraId="771D0B9D">
      <w:pPr>
        <w:snapToGrid w:val="0"/>
        <w:spacing w:line="360" w:lineRule="auto"/>
        <w:ind w:firstLine="420" w:firstLineChars="200"/>
        <w:rPr>
          <w:bCs/>
          <w:color w:val="auto"/>
          <w:kern w:val="0"/>
          <w:szCs w:val="21"/>
          <w:highlight w:val="none"/>
        </w:rPr>
      </w:pPr>
      <w:r>
        <w:rPr>
          <w:bCs/>
          <w:color w:val="auto"/>
          <w:kern w:val="0"/>
          <w:szCs w:val="21"/>
          <w:highlight w:val="none"/>
        </w:rPr>
        <w:t>联系电话：</w:t>
      </w:r>
      <w:r>
        <w:rPr>
          <w:bCs/>
          <w:color w:val="auto"/>
          <w:kern w:val="0"/>
          <w:szCs w:val="21"/>
          <w:highlight w:val="none"/>
          <w:u w:val="single"/>
        </w:rPr>
        <w:t xml:space="preserve">                                         </w:t>
      </w:r>
    </w:p>
    <w:p w14:paraId="4D61F51D">
      <w:pPr>
        <w:snapToGrid w:val="0"/>
        <w:spacing w:line="360" w:lineRule="auto"/>
        <w:ind w:firstLine="420" w:firstLineChars="200"/>
        <w:rPr>
          <w:bCs/>
          <w:color w:val="auto"/>
          <w:kern w:val="0"/>
          <w:szCs w:val="21"/>
          <w:highlight w:val="none"/>
          <w:u w:val="single"/>
        </w:rPr>
      </w:pPr>
      <w:r>
        <w:rPr>
          <w:bCs/>
          <w:color w:val="auto"/>
          <w:kern w:val="0"/>
          <w:szCs w:val="21"/>
          <w:highlight w:val="none"/>
        </w:rPr>
        <w:t>授权代表：</w:t>
      </w:r>
      <w:r>
        <w:rPr>
          <w:bCs/>
          <w:color w:val="auto"/>
          <w:kern w:val="0"/>
          <w:szCs w:val="21"/>
          <w:highlight w:val="none"/>
          <w:u w:val="single"/>
        </w:rPr>
        <w:t xml:space="preserve">                                     </w:t>
      </w:r>
      <w:r>
        <w:rPr>
          <w:bCs/>
          <w:color w:val="auto"/>
          <w:kern w:val="0"/>
          <w:szCs w:val="21"/>
          <w:highlight w:val="none"/>
        </w:rPr>
        <w:t>联系电话：</w:t>
      </w:r>
      <w:r>
        <w:rPr>
          <w:bCs/>
          <w:color w:val="auto"/>
          <w:kern w:val="0"/>
          <w:szCs w:val="21"/>
          <w:highlight w:val="none"/>
          <w:u w:val="single"/>
        </w:rPr>
        <w:t xml:space="preserve">                   </w:t>
      </w:r>
    </w:p>
    <w:p w14:paraId="3D91051E">
      <w:pPr>
        <w:snapToGrid w:val="0"/>
        <w:spacing w:line="360" w:lineRule="auto"/>
        <w:ind w:firstLine="420" w:firstLineChars="200"/>
        <w:rPr>
          <w:bCs/>
          <w:color w:val="auto"/>
          <w:kern w:val="0"/>
          <w:szCs w:val="21"/>
          <w:highlight w:val="none"/>
          <w:u w:val="single"/>
        </w:rPr>
      </w:pPr>
      <w:r>
        <w:rPr>
          <w:bCs/>
          <w:color w:val="auto"/>
          <w:kern w:val="0"/>
          <w:szCs w:val="21"/>
          <w:highlight w:val="none"/>
        </w:rPr>
        <w:t>地址：</w:t>
      </w:r>
      <w:r>
        <w:rPr>
          <w:bCs/>
          <w:color w:val="auto"/>
          <w:kern w:val="0"/>
          <w:szCs w:val="21"/>
          <w:highlight w:val="none"/>
          <w:u w:val="single"/>
        </w:rPr>
        <w:t xml:space="preserve">                                                            </w:t>
      </w:r>
    </w:p>
    <w:p w14:paraId="61F5EC14">
      <w:pPr>
        <w:snapToGrid w:val="0"/>
        <w:spacing w:line="360" w:lineRule="auto"/>
        <w:ind w:firstLine="420" w:firstLineChars="200"/>
        <w:rPr>
          <w:bCs/>
          <w:color w:val="auto"/>
          <w:kern w:val="0"/>
          <w:szCs w:val="21"/>
          <w:highlight w:val="none"/>
        </w:rPr>
      </w:pPr>
      <w:r>
        <w:rPr>
          <w:bCs/>
          <w:color w:val="auto"/>
          <w:kern w:val="0"/>
          <w:szCs w:val="21"/>
          <w:highlight w:val="none"/>
        </w:rPr>
        <w:t>邮编：</w:t>
      </w:r>
      <w:r>
        <w:rPr>
          <w:bCs/>
          <w:color w:val="auto"/>
          <w:kern w:val="0"/>
          <w:szCs w:val="21"/>
          <w:highlight w:val="none"/>
          <w:u w:val="single"/>
        </w:rPr>
        <w:t xml:space="preserve">         </w:t>
      </w:r>
      <w:r>
        <w:rPr>
          <w:bCs/>
          <w:color w:val="auto"/>
          <w:kern w:val="0"/>
          <w:szCs w:val="21"/>
          <w:highlight w:val="none"/>
        </w:rPr>
        <w:t xml:space="preserve">   </w:t>
      </w:r>
    </w:p>
    <w:p w14:paraId="502A13F8">
      <w:pPr>
        <w:snapToGrid w:val="0"/>
        <w:spacing w:line="360" w:lineRule="auto"/>
        <w:ind w:firstLine="420" w:firstLineChars="200"/>
        <w:rPr>
          <w:bCs/>
          <w:color w:val="auto"/>
          <w:kern w:val="0"/>
          <w:szCs w:val="21"/>
          <w:highlight w:val="none"/>
        </w:rPr>
      </w:pPr>
      <w:r>
        <w:rPr>
          <w:bCs/>
          <w:color w:val="auto"/>
          <w:kern w:val="0"/>
          <w:szCs w:val="21"/>
          <w:highlight w:val="none"/>
        </w:rPr>
        <w:t>被投诉人1：</w:t>
      </w:r>
    </w:p>
    <w:p w14:paraId="614E7E3F">
      <w:pPr>
        <w:snapToGrid w:val="0"/>
        <w:spacing w:line="360" w:lineRule="auto"/>
        <w:ind w:firstLine="420" w:firstLineChars="200"/>
        <w:rPr>
          <w:bCs/>
          <w:color w:val="auto"/>
          <w:kern w:val="0"/>
          <w:szCs w:val="21"/>
          <w:highlight w:val="none"/>
          <w:u w:val="single"/>
        </w:rPr>
      </w:pPr>
      <w:r>
        <w:rPr>
          <w:bCs/>
          <w:color w:val="auto"/>
          <w:kern w:val="0"/>
          <w:szCs w:val="21"/>
          <w:highlight w:val="none"/>
        </w:rPr>
        <w:t>地址：</w:t>
      </w:r>
      <w:r>
        <w:rPr>
          <w:bCs/>
          <w:color w:val="auto"/>
          <w:kern w:val="0"/>
          <w:szCs w:val="21"/>
          <w:highlight w:val="none"/>
          <w:u w:val="single"/>
        </w:rPr>
        <w:t xml:space="preserve">                                                            </w:t>
      </w:r>
    </w:p>
    <w:p w14:paraId="4CD7E508">
      <w:pPr>
        <w:snapToGrid w:val="0"/>
        <w:spacing w:line="360" w:lineRule="auto"/>
        <w:ind w:firstLine="420" w:firstLineChars="200"/>
        <w:rPr>
          <w:bCs/>
          <w:color w:val="auto"/>
          <w:kern w:val="0"/>
          <w:szCs w:val="21"/>
          <w:highlight w:val="none"/>
        </w:rPr>
      </w:pPr>
      <w:r>
        <w:rPr>
          <w:bCs/>
          <w:color w:val="auto"/>
          <w:kern w:val="0"/>
          <w:szCs w:val="21"/>
          <w:highlight w:val="none"/>
        </w:rPr>
        <w:t>邮编：</w:t>
      </w:r>
      <w:r>
        <w:rPr>
          <w:bCs/>
          <w:color w:val="auto"/>
          <w:kern w:val="0"/>
          <w:szCs w:val="21"/>
          <w:highlight w:val="none"/>
          <w:u w:val="single"/>
        </w:rPr>
        <w:t xml:space="preserve">         </w:t>
      </w:r>
      <w:r>
        <w:rPr>
          <w:bCs/>
          <w:color w:val="auto"/>
          <w:kern w:val="0"/>
          <w:szCs w:val="21"/>
          <w:highlight w:val="none"/>
        </w:rPr>
        <w:t xml:space="preserve">  </w:t>
      </w:r>
    </w:p>
    <w:p w14:paraId="05CEECE6">
      <w:pPr>
        <w:snapToGrid w:val="0"/>
        <w:spacing w:line="360" w:lineRule="auto"/>
        <w:ind w:firstLine="420" w:firstLineChars="200"/>
        <w:rPr>
          <w:bCs/>
          <w:color w:val="auto"/>
          <w:kern w:val="0"/>
          <w:szCs w:val="21"/>
          <w:highlight w:val="none"/>
          <w:u w:val="single"/>
        </w:rPr>
      </w:pPr>
      <w:r>
        <w:rPr>
          <w:bCs/>
          <w:color w:val="auto"/>
          <w:kern w:val="0"/>
          <w:szCs w:val="21"/>
          <w:highlight w:val="none"/>
        </w:rPr>
        <w:t>联系人：</w:t>
      </w:r>
      <w:r>
        <w:rPr>
          <w:bCs/>
          <w:color w:val="auto"/>
          <w:kern w:val="0"/>
          <w:szCs w:val="21"/>
          <w:highlight w:val="none"/>
          <w:u w:val="single"/>
        </w:rPr>
        <w:t xml:space="preserve">                                        </w:t>
      </w:r>
      <w:r>
        <w:rPr>
          <w:bCs/>
          <w:color w:val="auto"/>
          <w:kern w:val="0"/>
          <w:szCs w:val="21"/>
          <w:highlight w:val="none"/>
        </w:rPr>
        <w:t>联系电话：</w:t>
      </w:r>
      <w:r>
        <w:rPr>
          <w:bCs/>
          <w:color w:val="auto"/>
          <w:kern w:val="0"/>
          <w:szCs w:val="21"/>
          <w:highlight w:val="none"/>
          <w:u w:val="single"/>
        </w:rPr>
        <w:t xml:space="preserve">                </w:t>
      </w:r>
    </w:p>
    <w:p w14:paraId="61D1CBD1">
      <w:pPr>
        <w:snapToGrid w:val="0"/>
        <w:spacing w:line="360" w:lineRule="auto"/>
        <w:ind w:firstLine="420" w:firstLineChars="200"/>
        <w:rPr>
          <w:bCs/>
          <w:color w:val="auto"/>
          <w:kern w:val="0"/>
          <w:szCs w:val="21"/>
          <w:highlight w:val="none"/>
        </w:rPr>
      </w:pPr>
      <w:r>
        <w:rPr>
          <w:bCs/>
          <w:color w:val="auto"/>
          <w:kern w:val="0"/>
          <w:szCs w:val="21"/>
          <w:highlight w:val="none"/>
        </w:rPr>
        <w:t>被投诉人2：</w:t>
      </w:r>
    </w:p>
    <w:p w14:paraId="6A8D6A13">
      <w:pPr>
        <w:snapToGrid w:val="0"/>
        <w:spacing w:line="360" w:lineRule="auto"/>
        <w:ind w:firstLine="420" w:firstLineChars="200"/>
        <w:rPr>
          <w:bCs/>
          <w:color w:val="auto"/>
          <w:kern w:val="0"/>
          <w:szCs w:val="21"/>
          <w:highlight w:val="none"/>
        </w:rPr>
      </w:pPr>
      <w:r>
        <w:rPr>
          <w:bCs/>
          <w:color w:val="auto"/>
          <w:kern w:val="0"/>
          <w:szCs w:val="21"/>
          <w:highlight w:val="none"/>
        </w:rPr>
        <w:t>……</w:t>
      </w:r>
    </w:p>
    <w:p w14:paraId="36B40DD6">
      <w:pPr>
        <w:snapToGrid w:val="0"/>
        <w:spacing w:line="360" w:lineRule="auto"/>
        <w:ind w:firstLine="420" w:firstLineChars="200"/>
        <w:rPr>
          <w:bCs/>
          <w:color w:val="auto"/>
          <w:kern w:val="0"/>
          <w:szCs w:val="21"/>
          <w:highlight w:val="none"/>
          <w:u w:val="single"/>
        </w:rPr>
      </w:pPr>
      <w:r>
        <w:rPr>
          <w:bCs/>
          <w:color w:val="auto"/>
          <w:kern w:val="0"/>
          <w:szCs w:val="21"/>
          <w:highlight w:val="none"/>
        </w:rPr>
        <w:t>相关供应商：</w:t>
      </w:r>
      <w:r>
        <w:rPr>
          <w:bCs/>
          <w:color w:val="auto"/>
          <w:kern w:val="0"/>
          <w:szCs w:val="21"/>
          <w:highlight w:val="none"/>
          <w:u w:val="single"/>
        </w:rPr>
        <w:t xml:space="preserve">                                                                       </w:t>
      </w:r>
    </w:p>
    <w:p w14:paraId="06DB3A2E">
      <w:pPr>
        <w:snapToGrid w:val="0"/>
        <w:spacing w:line="360" w:lineRule="auto"/>
        <w:ind w:firstLine="420" w:firstLineChars="200"/>
        <w:rPr>
          <w:bCs/>
          <w:color w:val="auto"/>
          <w:kern w:val="0"/>
          <w:szCs w:val="21"/>
          <w:highlight w:val="none"/>
          <w:u w:val="single"/>
        </w:rPr>
      </w:pPr>
      <w:r>
        <w:rPr>
          <w:bCs/>
          <w:color w:val="auto"/>
          <w:kern w:val="0"/>
          <w:szCs w:val="21"/>
          <w:highlight w:val="none"/>
        </w:rPr>
        <w:t>地址：</w:t>
      </w:r>
      <w:r>
        <w:rPr>
          <w:bCs/>
          <w:color w:val="auto"/>
          <w:kern w:val="0"/>
          <w:szCs w:val="21"/>
          <w:highlight w:val="none"/>
          <w:u w:val="single"/>
        </w:rPr>
        <w:t xml:space="preserve">                                          </w:t>
      </w:r>
      <w:r>
        <w:rPr>
          <w:bCs/>
          <w:color w:val="auto"/>
          <w:kern w:val="0"/>
          <w:szCs w:val="21"/>
          <w:highlight w:val="none"/>
        </w:rPr>
        <w:t>邮编：</w:t>
      </w:r>
      <w:r>
        <w:rPr>
          <w:bCs/>
          <w:color w:val="auto"/>
          <w:kern w:val="0"/>
          <w:szCs w:val="21"/>
          <w:highlight w:val="none"/>
          <w:u w:val="single"/>
        </w:rPr>
        <w:t xml:space="preserve">                         </w:t>
      </w:r>
    </w:p>
    <w:p w14:paraId="6AE49525">
      <w:pPr>
        <w:snapToGrid w:val="0"/>
        <w:spacing w:line="360" w:lineRule="auto"/>
        <w:ind w:firstLine="420" w:firstLineChars="200"/>
        <w:rPr>
          <w:bCs/>
          <w:color w:val="auto"/>
          <w:kern w:val="0"/>
          <w:szCs w:val="21"/>
          <w:highlight w:val="none"/>
        </w:rPr>
      </w:pPr>
      <w:r>
        <w:rPr>
          <w:bCs/>
          <w:color w:val="auto"/>
          <w:kern w:val="0"/>
          <w:szCs w:val="21"/>
          <w:highlight w:val="none"/>
        </w:rPr>
        <w:t>联系人：</w:t>
      </w:r>
      <w:r>
        <w:rPr>
          <w:bCs/>
          <w:color w:val="auto"/>
          <w:kern w:val="0"/>
          <w:szCs w:val="21"/>
          <w:highlight w:val="none"/>
          <w:u w:val="single"/>
        </w:rPr>
        <w:t xml:space="preserve">                                        </w:t>
      </w:r>
      <w:r>
        <w:rPr>
          <w:bCs/>
          <w:color w:val="auto"/>
          <w:kern w:val="0"/>
          <w:szCs w:val="21"/>
          <w:highlight w:val="none"/>
        </w:rPr>
        <w:t>联系电话：</w:t>
      </w:r>
      <w:r>
        <w:rPr>
          <w:bCs/>
          <w:color w:val="auto"/>
          <w:kern w:val="0"/>
          <w:szCs w:val="21"/>
          <w:highlight w:val="none"/>
          <w:u w:val="single"/>
        </w:rPr>
        <w:t xml:space="preserve">                     </w:t>
      </w:r>
      <w:r>
        <w:rPr>
          <w:bCs/>
          <w:color w:val="auto"/>
          <w:kern w:val="0"/>
          <w:szCs w:val="21"/>
          <w:highlight w:val="none"/>
        </w:rPr>
        <w:t xml:space="preserve">                </w:t>
      </w:r>
    </w:p>
    <w:p w14:paraId="6C49F785">
      <w:pPr>
        <w:snapToGrid w:val="0"/>
        <w:spacing w:line="360" w:lineRule="auto"/>
        <w:ind w:firstLine="422" w:firstLineChars="200"/>
        <w:rPr>
          <w:b/>
          <w:bCs/>
          <w:color w:val="auto"/>
          <w:kern w:val="0"/>
          <w:szCs w:val="21"/>
          <w:highlight w:val="none"/>
        </w:rPr>
      </w:pPr>
      <w:r>
        <w:rPr>
          <w:b/>
          <w:bCs/>
          <w:color w:val="auto"/>
          <w:kern w:val="0"/>
          <w:szCs w:val="21"/>
          <w:highlight w:val="none"/>
        </w:rPr>
        <w:t>二、投诉项目基本情况：</w:t>
      </w:r>
    </w:p>
    <w:p w14:paraId="2C9222E4">
      <w:pPr>
        <w:spacing w:line="360" w:lineRule="auto"/>
        <w:ind w:left="25" w:leftChars="12" w:firstLine="413" w:firstLineChars="197"/>
        <w:rPr>
          <w:color w:val="auto"/>
          <w:kern w:val="0"/>
          <w:szCs w:val="21"/>
          <w:highlight w:val="none"/>
        </w:rPr>
      </w:pPr>
      <w:r>
        <w:rPr>
          <w:bCs/>
          <w:color w:val="auto"/>
          <w:kern w:val="0"/>
          <w:szCs w:val="21"/>
          <w:highlight w:val="none"/>
        </w:rPr>
        <w:t>采购</w:t>
      </w:r>
      <w:r>
        <w:rPr>
          <w:color w:val="auto"/>
          <w:kern w:val="0"/>
          <w:szCs w:val="21"/>
          <w:highlight w:val="none"/>
        </w:rPr>
        <w:t>项目的名称：</w:t>
      </w:r>
      <w:r>
        <w:rPr>
          <w:bCs/>
          <w:color w:val="auto"/>
          <w:kern w:val="0"/>
          <w:szCs w:val="21"/>
          <w:highlight w:val="none"/>
          <w:u w:val="single"/>
        </w:rPr>
        <w:t xml:space="preserve">                                                                   </w:t>
      </w:r>
    </w:p>
    <w:p w14:paraId="0CA29551">
      <w:pPr>
        <w:spacing w:line="360" w:lineRule="auto"/>
        <w:ind w:left="25" w:leftChars="12" w:firstLine="413" w:firstLineChars="197"/>
        <w:rPr>
          <w:color w:val="auto"/>
          <w:kern w:val="0"/>
          <w:szCs w:val="21"/>
          <w:highlight w:val="none"/>
        </w:rPr>
      </w:pPr>
      <w:r>
        <w:rPr>
          <w:bCs/>
          <w:color w:val="auto"/>
          <w:kern w:val="0"/>
          <w:szCs w:val="21"/>
          <w:highlight w:val="none"/>
        </w:rPr>
        <w:t>采购</w:t>
      </w:r>
      <w:r>
        <w:rPr>
          <w:color w:val="auto"/>
          <w:kern w:val="0"/>
          <w:szCs w:val="21"/>
          <w:highlight w:val="none"/>
        </w:rPr>
        <w:t>项目的编号：</w:t>
      </w:r>
      <w:r>
        <w:rPr>
          <w:bCs/>
          <w:color w:val="auto"/>
          <w:kern w:val="0"/>
          <w:szCs w:val="21"/>
          <w:highlight w:val="none"/>
          <w:u w:val="single"/>
        </w:rPr>
        <w:t xml:space="preserve">                                          </w:t>
      </w:r>
    </w:p>
    <w:p w14:paraId="5C5AA042">
      <w:pPr>
        <w:spacing w:line="360" w:lineRule="auto"/>
        <w:ind w:left="25" w:leftChars="12" w:firstLine="413" w:firstLineChars="197"/>
        <w:rPr>
          <w:bCs/>
          <w:color w:val="auto"/>
          <w:kern w:val="0"/>
          <w:szCs w:val="21"/>
          <w:highlight w:val="none"/>
          <w:u w:val="single"/>
        </w:rPr>
      </w:pPr>
      <w:r>
        <w:rPr>
          <w:color w:val="auto"/>
          <w:kern w:val="0"/>
          <w:szCs w:val="21"/>
          <w:highlight w:val="none"/>
        </w:rPr>
        <w:t>采购人名称：</w:t>
      </w:r>
      <w:r>
        <w:rPr>
          <w:bCs/>
          <w:color w:val="auto"/>
          <w:kern w:val="0"/>
          <w:szCs w:val="21"/>
          <w:highlight w:val="none"/>
          <w:u w:val="single"/>
        </w:rPr>
        <w:t xml:space="preserve">                                                                        </w:t>
      </w:r>
    </w:p>
    <w:p w14:paraId="5F2A956B">
      <w:pPr>
        <w:spacing w:line="360" w:lineRule="auto"/>
        <w:ind w:left="25" w:leftChars="12" w:firstLine="413" w:firstLineChars="197"/>
        <w:rPr>
          <w:bCs/>
          <w:color w:val="auto"/>
          <w:kern w:val="0"/>
          <w:szCs w:val="21"/>
          <w:highlight w:val="none"/>
          <w:u w:val="single"/>
        </w:rPr>
      </w:pPr>
      <w:r>
        <w:rPr>
          <w:color w:val="auto"/>
          <w:kern w:val="0"/>
          <w:szCs w:val="21"/>
          <w:highlight w:val="none"/>
        </w:rPr>
        <w:t>代理机构名称：</w:t>
      </w:r>
      <w:r>
        <w:rPr>
          <w:bCs/>
          <w:color w:val="auto"/>
          <w:kern w:val="0"/>
          <w:szCs w:val="21"/>
          <w:highlight w:val="none"/>
          <w:u w:val="single"/>
        </w:rPr>
        <w:t xml:space="preserve">                                                                      </w:t>
      </w:r>
    </w:p>
    <w:p w14:paraId="1BE3CBF3">
      <w:pPr>
        <w:spacing w:line="360" w:lineRule="auto"/>
        <w:ind w:left="25" w:leftChars="12" w:firstLine="413" w:firstLineChars="197"/>
        <w:rPr>
          <w:bCs/>
          <w:color w:val="auto"/>
          <w:kern w:val="0"/>
          <w:szCs w:val="21"/>
          <w:highlight w:val="none"/>
          <w:u w:val="single"/>
        </w:rPr>
      </w:pPr>
      <w:r>
        <w:rPr>
          <w:bCs/>
          <w:color w:val="auto"/>
          <w:kern w:val="0"/>
          <w:szCs w:val="21"/>
          <w:highlight w:val="none"/>
        </w:rPr>
        <w:t>采购文件公告：</w:t>
      </w:r>
      <w:r>
        <w:rPr>
          <w:bCs/>
          <w:color w:val="auto"/>
          <w:kern w:val="0"/>
          <w:szCs w:val="21"/>
          <w:highlight w:val="none"/>
          <w:u w:val="single"/>
        </w:rPr>
        <w:t>是/否</w:t>
      </w:r>
      <w:r>
        <w:rPr>
          <w:bCs/>
          <w:color w:val="auto"/>
          <w:kern w:val="0"/>
          <w:szCs w:val="21"/>
          <w:highlight w:val="none"/>
        </w:rPr>
        <w:t>公告期限：</w:t>
      </w:r>
      <w:r>
        <w:rPr>
          <w:bCs/>
          <w:color w:val="auto"/>
          <w:kern w:val="0"/>
          <w:szCs w:val="21"/>
          <w:highlight w:val="none"/>
          <w:u w:val="single"/>
        </w:rPr>
        <w:t xml:space="preserve">                                                       </w:t>
      </w:r>
    </w:p>
    <w:p w14:paraId="0F507A11">
      <w:pPr>
        <w:spacing w:line="360" w:lineRule="auto"/>
        <w:ind w:left="25" w:leftChars="12" w:firstLine="413" w:firstLineChars="197"/>
        <w:rPr>
          <w:b/>
          <w:color w:val="auto"/>
          <w:kern w:val="0"/>
          <w:szCs w:val="21"/>
          <w:highlight w:val="none"/>
        </w:rPr>
      </w:pPr>
      <w:r>
        <w:rPr>
          <w:bCs/>
          <w:color w:val="auto"/>
          <w:kern w:val="0"/>
          <w:szCs w:val="21"/>
          <w:highlight w:val="none"/>
        </w:rPr>
        <w:t>采购结果公告：</w:t>
      </w:r>
      <w:r>
        <w:rPr>
          <w:bCs/>
          <w:color w:val="auto"/>
          <w:kern w:val="0"/>
          <w:szCs w:val="21"/>
          <w:highlight w:val="none"/>
          <w:u w:val="single"/>
        </w:rPr>
        <w:t>是/否</w:t>
      </w:r>
      <w:r>
        <w:rPr>
          <w:bCs/>
          <w:color w:val="auto"/>
          <w:kern w:val="0"/>
          <w:szCs w:val="21"/>
          <w:highlight w:val="none"/>
        </w:rPr>
        <w:t>公告期限：</w:t>
      </w:r>
      <w:r>
        <w:rPr>
          <w:bCs/>
          <w:color w:val="auto"/>
          <w:kern w:val="0"/>
          <w:szCs w:val="21"/>
          <w:highlight w:val="none"/>
          <w:u w:val="single"/>
        </w:rPr>
        <w:t xml:space="preserve">                                                       </w:t>
      </w:r>
    </w:p>
    <w:p w14:paraId="3D93ECC7">
      <w:pPr>
        <w:spacing w:line="360" w:lineRule="auto"/>
        <w:ind w:left="25" w:leftChars="12" w:firstLine="413" w:firstLineChars="196"/>
        <w:rPr>
          <w:b/>
          <w:color w:val="auto"/>
          <w:kern w:val="0"/>
          <w:szCs w:val="21"/>
          <w:highlight w:val="none"/>
        </w:rPr>
      </w:pPr>
      <w:r>
        <w:rPr>
          <w:b/>
          <w:color w:val="auto"/>
          <w:kern w:val="0"/>
          <w:szCs w:val="21"/>
          <w:highlight w:val="none"/>
        </w:rPr>
        <w:t>三、质疑基本情况</w:t>
      </w:r>
    </w:p>
    <w:p w14:paraId="18A28962">
      <w:pPr>
        <w:spacing w:line="360" w:lineRule="auto"/>
        <w:ind w:firstLine="420" w:firstLineChars="200"/>
        <w:rPr>
          <w:color w:val="auto"/>
          <w:kern w:val="0"/>
          <w:szCs w:val="21"/>
          <w:highlight w:val="none"/>
        </w:rPr>
      </w:pPr>
      <w:r>
        <w:rPr>
          <w:color w:val="auto"/>
          <w:kern w:val="0"/>
          <w:szCs w:val="21"/>
          <w:highlight w:val="none"/>
        </w:rPr>
        <w:t>投诉人于</w:t>
      </w:r>
      <w:r>
        <w:rPr>
          <w:color w:val="auto"/>
          <w:kern w:val="0"/>
          <w:szCs w:val="21"/>
          <w:highlight w:val="none"/>
          <w:u w:val="single"/>
        </w:rPr>
        <w:t xml:space="preserve">      </w:t>
      </w:r>
      <w:r>
        <w:rPr>
          <w:color w:val="auto"/>
          <w:kern w:val="0"/>
          <w:szCs w:val="21"/>
          <w:highlight w:val="none"/>
        </w:rPr>
        <w:t>年</w:t>
      </w:r>
      <w:r>
        <w:rPr>
          <w:color w:val="auto"/>
          <w:kern w:val="0"/>
          <w:szCs w:val="21"/>
          <w:highlight w:val="none"/>
          <w:u w:val="single"/>
        </w:rPr>
        <w:t xml:space="preserve">   </w:t>
      </w:r>
      <w:r>
        <w:rPr>
          <w:color w:val="auto"/>
          <w:kern w:val="0"/>
          <w:szCs w:val="21"/>
          <w:highlight w:val="none"/>
        </w:rPr>
        <w:t>月</w:t>
      </w:r>
      <w:r>
        <w:rPr>
          <w:color w:val="auto"/>
          <w:kern w:val="0"/>
          <w:szCs w:val="21"/>
          <w:highlight w:val="none"/>
          <w:u w:val="single"/>
        </w:rPr>
        <w:t xml:space="preserve">   </w:t>
      </w:r>
      <w:r>
        <w:rPr>
          <w:color w:val="auto"/>
          <w:kern w:val="0"/>
          <w:szCs w:val="21"/>
          <w:highlight w:val="none"/>
        </w:rPr>
        <w:t>日，向</w:t>
      </w:r>
      <w:r>
        <w:rPr>
          <w:color w:val="auto"/>
          <w:kern w:val="0"/>
          <w:szCs w:val="21"/>
          <w:highlight w:val="none"/>
          <w:u w:val="single"/>
        </w:rPr>
        <w:t xml:space="preserve">                                </w:t>
      </w:r>
      <w:r>
        <w:rPr>
          <w:color w:val="auto"/>
          <w:kern w:val="0"/>
          <w:szCs w:val="21"/>
          <w:highlight w:val="none"/>
        </w:rPr>
        <w:t>提出质疑，质疑事项为：</w:t>
      </w:r>
    </w:p>
    <w:p w14:paraId="789CB7F9">
      <w:pPr>
        <w:spacing w:line="360" w:lineRule="auto"/>
        <w:ind w:firstLine="241"/>
        <w:rPr>
          <w:bCs/>
          <w:color w:val="auto"/>
          <w:kern w:val="0"/>
          <w:szCs w:val="21"/>
          <w:highlight w:val="none"/>
          <w:u w:val="single"/>
        </w:rPr>
      </w:pPr>
      <w:r>
        <w:rPr>
          <w:color w:val="auto"/>
          <w:kern w:val="0"/>
          <w:szCs w:val="21"/>
          <w:highlight w:val="none"/>
        </w:rPr>
        <w:t xml:space="preserve">    </w:t>
      </w:r>
      <w:r>
        <w:rPr>
          <w:bCs/>
          <w:color w:val="auto"/>
          <w:kern w:val="0"/>
          <w:szCs w:val="21"/>
          <w:highlight w:val="none"/>
          <w:u w:val="single"/>
        </w:rPr>
        <w:t xml:space="preserve">                                                                                      </w:t>
      </w:r>
    </w:p>
    <w:p w14:paraId="5972044A">
      <w:pPr>
        <w:spacing w:line="360" w:lineRule="auto"/>
        <w:ind w:firstLine="241"/>
        <w:rPr>
          <w:bCs/>
          <w:color w:val="auto"/>
          <w:kern w:val="0"/>
          <w:szCs w:val="21"/>
          <w:highlight w:val="none"/>
          <w:u w:val="single"/>
        </w:rPr>
      </w:pPr>
      <w:r>
        <w:rPr>
          <w:bCs/>
          <w:color w:val="auto"/>
          <w:kern w:val="0"/>
          <w:szCs w:val="21"/>
          <w:highlight w:val="none"/>
        </w:rPr>
        <w:t xml:space="preserve">    </w:t>
      </w:r>
      <w:r>
        <w:rPr>
          <w:bCs/>
          <w:color w:val="auto"/>
          <w:kern w:val="0"/>
          <w:szCs w:val="21"/>
          <w:highlight w:val="none"/>
          <w:u w:val="single"/>
        </w:rPr>
        <w:t xml:space="preserve">                                                                                      </w:t>
      </w:r>
    </w:p>
    <w:p w14:paraId="0E68E79C">
      <w:pPr>
        <w:spacing w:line="360" w:lineRule="auto"/>
        <w:ind w:firstLine="420" w:firstLineChars="200"/>
        <w:rPr>
          <w:bCs/>
          <w:color w:val="auto"/>
          <w:kern w:val="0"/>
          <w:szCs w:val="21"/>
          <w:highlight w:val="none"/>
        </w:rPr>
      </w:pPr>
      <w:r>
        <w:rPr>
          <w:bCs/>
          <w:color w:val="auto"/>
          <w:kern w:val="0"/>
          <w:szCs w:val="21"/>
          <w:highlight w:val="none"/>
          <w:u w:val="single"/>
        </w:rPr>
        <w:t>采购人/采购代理机构</w:t>
      </w:r>
      <w:r>
        <w:rPr>
          <w:bCs/>
          <w:color w:val="auto"/>
          <w:kern w:val="0"/>
          <w:szCs w:val="21"/>
          <w:highlight w:val="none"/>
        </w:rPr>
        <w:t>于</w:t>
      </w:r>
      <w:r>
        <w:rPr>
          <w:color w:val="auto"/>
          <w:kern w:val="0"/>
          <w:szCs w:val="21"/>
          <w:highlight w:val="none"/>
          <w:u w:val="single"/>
        </w:rPr>
        <w:t xml:space="preserve">      </w:t>
      </w:r>
      <w:r>
        <w:rPr>
          <w:color w:val="auto"/>
          <w:kern w:val="0"/>
          <w:szCs w:val="21"/>
          <w:highlight w:val="none"/>
        </w:rPr>
        <w:t>年</w:t>
      </w:r>
      <w:r>
        <w:rPr>
          <w:color w:val="auto"/>
          <w:kern w:val="0"/>
          <w:szCs w:val="21"/>
          <w:highlight w:val="none"/>
          <w:u w:val="single"/>
        </w:rPr>
        <w:t xml:space="preserve">   </w:t>
      </w:r>
      <w:r>
        <w:rPr>
          <w:color w:val="auto"/>
          <w:kern w:val="0"/>
          <w:szCs w:val="21"/>
          <w:highlight w:val="none"/>
        </w:rPr>
        <w:t>月</w:t>
      </w:r>
      <w:r>
        <w:rPr>
          <w:color w:val="auto"/>
          <w:kern w:val="0"/>
          <w:szCs w:val="21"/>
          <w:highlight w:val="none"/>
          <w:u w:val="single"/>
        </w:rPr>
        <w:t xml:space="preserve">   </w:t>
      </w:r>
      <w:r>
        <w:rPr>
          <w:color w:val="auto"/>
          <w:kern w:val="0"/>
          <w:szCs w:val="21"/>
          <w:highlight w:val="none"/>
        </w:rPr>
        <w:t>日，</w:t>
      </w:r>
      <w:r>
        <w:rPr>
          <w:bCs/>
          <w:color w:val="auto"/>
          <w:kern w:val="0"/>
          <w:szCs w:val="21"/>
          <w:highlight w:val="none"/>
        </w:rPr>
        <w:t xml:space="preserve">就质疑事项作出了答复/没有在法定期限内作出答复。 </w:t>
      </w:r>
    </w:p>
    <w:p w14:paraId="510A1A41">
      <w:pPr>
        <w:spacing w:line="360" w:lineRule="auto"/>
        <w:ind w:left="25" w:leftChars="12" w:firstLine="413" w:firstLineChars="196"/>
        <w:rPr>
          <w:b/>
          <w:color w:val="auto"/>
          <w:kern w:val="0"/>
          <w:szCs w:val="21"/>
          <w:highlight w:val="none"/>
        </w:rPr>
      </w:pPr>
      <w:r>
        <w:rPr>
          <w:b/>
          <w:color w:val="auto"/>
          <w:kern w:val="0"/>
          <w:szCs w:val="21"/>
          <w:highlight w:val="none"/>
        </w:rPr>
        <w:t>四、投诉事项具体内容</w:t>
      </w:r>
    </w:p>
    <w:p w14:paraId="7778374D">
      <w:pPr>
        <w:spacing w:line="360" w:lineRule="auto"/>
        <w:ind w:left="25" w:leftChars="12" w:firstLine="413" w:firstLineChars="197"/>
        <w:rPr>
          <w:bCs/>
          <w:color w:val="auto"/>
          <w:kern w:val="0"/>
          <w:szCs w:val="21"/>
          <w:highlight w:val="none"/>
          <w:u w:val="single"/>
        </w:rPr>
      </w:pPr>
      <w:r>
        <w:rPr>
          <w:color w:val="auto"/>
          <w:kern w:val="0"/>
          <w:szCs w:val="21"/>
          <w:highlight w:val="none"/>
        </w:rPr>
        <w:t>投诉事项1：</w:t>
      </w:r>
      <w:r>
        <w:rPr>
          <w:bCs/>
          <w:color w:val="auto"/>
          <w:kern w:val="0"/>
          <w:szCs w:val="21"/>
          <w:highlight w:val="none"/>
          <w:u w:val="single"/>
        </w:rPr>
        <w:t xml:space="preserve">                                                                           </w:t>
      </w:r>
    </w:p>
    <w:p w14:paraId="5B2A35F6">
      <w:pPr>
        <w:spacing w:line="360" w:lineRule="auto"/>
        <w:ind w:firstLine="420" w:firstLineChars="200"/>
        <w:rPr>
          <w:bCs/>
          <w:color w:val="auto"/>
          <w:kern w:val="0"/>
          <w:szCs w:val="21"/>
          <w:highlight w:val="none"/>
          <w:u w:val="single"/>
        </w:rPr>
      </w:pPr>
      <w:r>
        <w:rPr>
          <w:bCs/>
          <w:color w:val="auto"/>
          <w:kern w:val="0"/>
          <w:szCs w:val="21"/>
          <w:highlight w:val="none"/>
        </w:rPr>
        <w:t>事实依据：</w:t>
      </w:r>
      <w:r>
        <w:rPr>
          <w:color w:val="auto"/>
          <w:kern w:val="0"/>
          <w:szCs w:val="21"/>
          <w:highlight w:val="none"/>
        </w:rPr>
        <w:t xml:space="preserve"> </w:t>
      </w:r>
      <w:r>
        <w:rPr>
          <w:bCs/>
          <w:color w:val="auto"/>
          <w:kern w:val="0"/>
          <w:szCs w:val="21"/>
          <w:highlight w:val="none"/>
          <w:u w:val="single"/>
        </w:rPr>
        <w:t xml:space="preserve">                                                                                      </w:t>
      </w:r>
    </w:p>
    <w:p w14:paraId="4C7681D9">
      <w:pPr>
        <w:spacing w:line="360" w:lineRule="auto"/>
        <w:ind w:left="25" w:leftChars="12" w:firstLine="413" w:firstLineChars="197"/>
        <w:rPr>
          <w:color w:val="auto"/>
          <w:kern w:val="0"/>
          <w:szCs w:val="21"/>
          <w:highlight w:val="none"/>
        </w:rPr>
      </w:pPr>
      <w:r>
        <w:rPr>
          <w:bCs/>
          <w:color w:val="auto"/>
          <w:kern w:val="0"/>
          <w:szCs w:val="21"/>
          <w:highlight w:val="none"/>
          <w:u w:val="single"/>
        </w:rPr>
        <w:t xml:space="preserve">                                                                                        </w:t>
      </w:r>
    </w:p>
    <w:p w14:paraId="19B10E12">
      <w:pPr>
        <w:spacing w:line="360" w:lineRule="auto"/>
        <w:ind w:firstLine="420" w:firstLineChars="200"/>
        <w:rPr>
          <w:bCs/>
          <w:color w:val="auto"/>
          <w:kern w:val="0"/>
          <w:szCs w:val="21"/>
          <w:highlight w:val="none"/>
          <w:u w:val="single"/>
        </w:rPr>
      </w:pPr>
      <w:r>
        <w:rPr>
          <w:bCs/>
          <w:color w:val="auto"/>
          <w:kern w:val="0"/>
          <w:szCs w:val="21"/>
          <w:highlight w:val="none"/>
        </w:rPr>
        <w:t>法律依据：</w:t>
      </w:r>
      <w:r>
        <w:rPr>
          <w:color w:val="auto"/>
          <w:kern w:val="0"/>
          <w:szCs w:val="21"/>
          <w:highlight w:val="none"/>
        </w:rPr>
        <w:t xml:space="preserve"> </w:t>
      </w:r>
      <w:r>
        <w:rPr>
          <w:bCs/>
          <w:color w:val="auto"/>
          <w:kern w:val="0"/>
          <w:szCs w:val="21"/>
          <w:highlight w:val="none"/>
          <w:u w:val="single"/>
        </w:rPr>
        <w:t xml:space="preserve">                                                                                      </w:t>
      </w:r>
    </w:p>
    <w:p w14:paraId="588D5B80">
      <w:pPr>
        <w:spacing w:line="360" w:lineRule="auto"/>
        <w:ind w:left="25" w:leftChars="12" w:firstLine="308" w:firstLineChars="147"/>
        <w:rPr>
          <w:bCs/>
          <w:color w:val="auto"/>
          <w:kern w:val="0"/>
          <w:szCs w:val="21"/>
          <w:highlight w:val="none"/>
          <w:u w:val="single"/>
        </w:rPr>
      </w:pPr>
      <w:r>
        <w:rPr>
          <w:bCs/>
          <w:color w:val="auto"/>
          <w:kern w:val="0"/>
          <w:szCs w:val="21"/>
          <w:highlight w:val="none"/>
        </w:rPr>
        <w:t xml:space="preserve"> </w:t>
      </w:r>
      <w:r>
        <w:rPr>
          <w:bCs/>
          <w:color w:val="auto"/>
          <w:kern w:val="0"/>
          <w:szCs w:val="21"/>
          <w:highlight w:val="none"/>
          <w:u w:val="single"/>
        </w:rPr>
        <w:t xml:space="preserve">                                                                                        </w:t>
      </w:r>
    </w:p>
    <w:p w14:paraId="3C326F7F">
      <w:pPr>
        <w:spacing w:line="360" w:lineRule="auto"/>
        <w:ind w:left="25" w:leftChars="12" w:firstLine="413" w:firstLineChars="197"/>
        <w:rPr>
          <w:bCs/>
          <w:color w:val="auto"/>
          <w:kern w:val="0"/>
          <w:szCs w:val="21"/>
          <w:highlight w:val="none"/>
        </w:rPr>
      </w:pPr>
      <w:r>
        <w:rPr>
          <w:color w:val="auto"/>
          <w:kern w:val="0"/>
          <w:szCs w:val="21"/>
          <w:highlight w:val="none"/>
        </w:rPr>
        <w:t xml:space="preserve">投诉事项2  </w:t>
      </w:r>
      <w:r>
        <w:rPr>
          <w:bCs/>
          <w:color w:val="auto"/>
          <w:kern w:val="0"/>
          <w:szCs w:val="21"/>
          <w:highlight w:val="none"/>
        </w:rPr>
        <w:t xml:space="preserve">   </w:t>
      </w:r>
    </w:p>
    <w:p w14:paraId="1B536CC1">
      <w:pPr>
        <w:spacing w:line="360" w:lineRule="auto"/>
        <w:ind w:left="25" w:leftChars="12" w:firstLine="413" w:firstLineChars="197"/>
        <w:rPr>
          <w:bCs/>
          <w:color w:val="auto"/>
          <w:kern w:val="0"/>
          <w:szCs w:val="21"/>
          <w:highlight w:val="none"/>
        </w:rPr>
      </w:pPr>
      <w:r>
        <w:rPr>
          <w:bCs/>
          <w:color w:val="auto"/>
          <w:kern w:val="0"/>
          <w:szCs w:val="21"/>
          <w:highlight w:val="none"/>
        </w:rPr>
        <w:t>……</w:t>
      </w:r>
    </w:p>
    <w:p w14:paraId="28FC9C99">
      <w:pPr>
        <w:spacing w:line="360" w:lineRule="auto"/>
        <w:ind w:left="25" w:leftChars="12" w:firstLine="413" w:firstLineChars="196"/>
        <w:rPr>
          <w:b/>
          <w:color w:val="auto"/>
          <w:kern w:val="0"/>
          <w:szCs w:val="21"/>
          <w:highlight w:val="none"/>
        </w:rPr>
      </w:pPr>
      <w:r>
        <w:rPr>
          <w:b/>
          <w:color w:val="auto"/>
          <w:kern w:val="0"/>
          <w:szCs w:val="21"/>
          <w:highlight w:val="none"/>
        </w:rPr>
        <w:t>五、与投诉事项相关的投诉请求：</w:t>
      </w:r>
    </w:p>
    <w:p w14:paraId="6E75B5B8">
      <w:pPr>
        <w:spacing w:line="360" w:lineRule="auto"/>
        <w:ind w:left="25" w:leftChars="12" w:firstLine="413" w:firstLineChars="197"/>
        <w:rPr>
          <w:color w:val="auto"/>
          <w:kern w:val="0"/>
          <w:szCs w:val="21"/>
          <w:highlight w:val="none"/>
        </w:rPr>
      </w:pPr>
      <w:r>
        <w:rPr>
          <w:color w:val="auto"/>
          <w:kern w:val="0"/>
          <w:szCs w:val="21"/>
          <w:highlight w:val="none"/>
        </w:rPr>
        <w:t>请求：</w:t>
      </w:r>
      <w:r>
        <w:rPr>
          <w:bCs/>
          <w:color w:val="auto"/>
          <w:kern w:val="0"/>
          <w:szCs w:val="21"/>
          <w:highlight w:val="none"/>
          <w:u w:val="single"/>
        </w:rPr>
        <w:t xml:space="preserve">                                                                                 </w:t>
      </w:r>
    </w:p>
    <w:p w14:paraId="48383063">
      <w:pPr>
        <w:spacing w:line="360" w:lineRule="auto"/>
        <w:ind w:left="25" w:leftChars="12" w:firstLine="308" w:firstLineChars="147"/>
        <w:rPr>
          <w:color w:val="auto"/>
          <w:kern w:val="0"/>
          <w:szCs w:val="21"/>
          <w:highlight w:val="none"/>
        </w:rPr>
      </w:pPr>
    </w:p>
    <w:p w14:paraId="18E5A40B">
      <w:pPr>
        <w:spacing w:line="360" w:lineRule="auto"/>
        <w:ind w:left="25" w:leftChars="12" w:firstLine="413" w:firstLineChars="197"/>
        <w:rPr>
          <w:color w:val="auto"/>
          <w:kern w:val="0"/>
          <w:szCs w:val="21"/>
          <w:highlight w:val="none"/>
        </w:rPr>
      </w:pPr>
      <w:r>
        <w:rPr>
          <w:color w:val="auto"/>
          <w:kern w:val="0"/>
          <w:szCs w:val="21"/>
          <w:highlight w:val="none"/>
        </w:rPr>
        <w:t>签字（签章）：                                       公章：</w:t>
      </w:r>
    </w:p>
    <w:p w14:paraId="4A248450">
      <w:pPr>
        <w:spacing w:line="360" w:lineRule="auto"/>
        <w:ind w:left="25" w:leftChars="12" w:firstLine="308" w:firstLineChars="147"/>
        <w:rPr>
          <w:color w:val="auto"/>
          <w:kern w:val="0"/>
          <w:szCs w:val="21"/>
          <w:highlight w:val="none"/>
        </w:rPr>
      </w:pPr>
    </w:p>
    <w:p w14:paraId="65CDA5B0">
      <w:pPr>
        <w:spacing w:line="360" w:lineRule="auto"/>
        <w:ind w:left="25" w:leftChars="12" w:firstLine="413" w:firstLineChars="197"/>
        <w:rPr>
          <w:color w:val="auto"/>
          <w:kern w:val="0"/>
          <w:szCs w:val="21"/>
          <w:highlight w:val="none"/>
        </w:rPr>
      </w:pPr>
      <w:r>
        <w:rPr>
          <w:color w:val="auto"/>
          <w:kern w:val="0"/>
          <w:szCs w:val="21"/>
          <w:highlight w:val="none"/>
        </w:rPr>
        <w:t>日期：</w:t>
      </w:r>
    </w:p>
    <w:p w14:paraId="669D72BD">
      <w:pPr>
        <w:spacing w:line="360" w:lineRule="auto"/>
        <w:ind w:left="25" w:leftChars="12" w:firstLine="413" w:firstLineChars="197"/>
        <w:rPr>
          <w:color w:val="auto"/>
          <w:kern w:val="0"/>
          <w:szCs w:val="21"/>
          <w:highlight w:val="none"/>
        </w:rPr>
      </w:pPr>
      <w:r>
        <w:rPr>
          <w:bCs/>
          <w:color w:val="auto"/>
          <w:kern w:val="0"/>
          <w:szCs w:val="21"/>
          <w:highlight w:val="none"/>
        </w:rPr>
        <w:t xml:space="preserve">                                                                                 </w:t>
      </w:r>
    </w:p>
    <w:p w14:paraId="4599917C">
      <w:pPr>
        <w:snapToGrid w:val="0"/>
        <w:spacing w:line="360" w:lineRule="auto"/>
        <w:rPr>
          <w:b/>
          <w:color w:val="auto"/>
          <w:kern w:val="0"/>
          <w:szCs w:val="21"/>
          <w:highlight w:val="none"/>
        </w:rPr>
      </w:pPr>
    </w:p>
    <w:p w14:paraId="608BA8C8">
      <w:pPr>
        <w:snapToGrid w:val="0"/>
        <w:spacing w:line="360" w:lineRule="auto"/>
        <w:rPr>
          <w:b/>
          <w:color w:val="auto"/>
          <w:kern w:val="0"/>
          <w:szCs w:val="21"/>
          <w:highlight w:val="none"/>
        </w:rPr>
      </w:pPr>
      <w:r>
        <w:rPr>
          <w:b/>
          <w:color w:val="auto"/>
          <w:kern w:val="0"/>
          <w:szCs w:val="21"/>
          <w:highlight w:val="none"/>
        </w:rPr>
        <w:t>说明：</w:t>
      </w:r>
    </w:p>
    <w:p w14:paraId="5D95422A">
      <w:pPr>
        <w:spacing w:line="360" w:lineRule="auto"/>
        <w:ind w:left="25" w:leftChars="12" w:firstLine="310" w:firstLineChars="147"/>
        <w:rPr>
          <w:b/>
          <w:bCs/>
          <w:color w:val="auto"/>
          <w:kern w:val="0"/>
          <w:szCs w:val="21"/>
          <w:highlight w:val="none"/>
        </w:rPr>
      </w:pPr>
      <w:r>
        <w:rPr>
          <w:b/>
          <w:color w:val="auto"/>
          <w:kern w:val="0"/>
          <w:szCs w:val="21"/>
          <w:highlight w:val="none"/>
        </w:rPr>
        <w:t>1.投诉人提起投诉时，应当提交投诉书和必要的证明材料，并按照被投诉人和与投诉事项有关的供应商数量提供投诉书副本</w:t>
      </w:r>
      <w:r>
        <w:rPr>
          <w:b/>
          <w:bCs/>
          <w:color w:val="auto"/>
          <w:kern w:val="0"/>
          <w:szCs w:val="21"/>
          <w:highlight w:val="none"/>
        </w:rPr>
        <w:t>。</w:t>
      </w:r>
    </w:p>
    <w:p w14:paraId="34DA8BB8">
      <w:pPr>
        <w:spacing w:line="360" w:lineRule="auto"/>
        <w:ind w:left="25" w:leftChars="12" w:firstLine="310" w:firstLineChars="147"/>
        <w:rPr>
          <w:b/>
          <w:color w:val="auto"/>
          <w:kern w:val="0"/>
          <w:szCs w:val="21"/>
          <w:highlight w:val="none"/>
        </w:rPr>
      </w:pPr>
      <w:r>
        <w:rPr>
          <w:b/>
          <w:color w:val="auto"/>
          <w:kern w:val="0"/>
          <w:szCs w:val="21"/>
          <w:highlight w:val="none"/>
        </w:rPr>
        <w:t>2.投诉人若委托代理人进行投诉的，投诉书应按要求列明</w:t>
      </w:r>
      <w:r>
        <w:rPr>
          <w:rFonts w:hint="eastAsia"/>
          <w:b/>
          <w:color w:val="auto"/>
          <w:kern w:val="0"/>
          <w:szCs w:val="21"/>
          <w:highlight w:val="none"/>
          <w:lang w:eastAsia="zh-CN"/>
        </w:rPr>
        <w:t>“</w:t>
      </w:r>
      <w:r>
        <w:rPr>
          <w:b/>
          <w:color w:val="auto"/>
          <w:kern w:val="0"/>
          <w:szCs w:val="21"/>
          <w:highlight w:val="none"/>
        </w:rPr>
        <w:t>授权代表</w:t>
      </w:r>
      <w:r>
        <w:rPr>
          <w:rFonts w:hint="eastAsia"/>
          <w:b/>
          <w:color w:val="auto"/>
          <w:kern w:val="0"/>
          <w:szCs w:val="21"/>
          <w:highlight w:val="none"/>
          <w:lang w:eastAsia="zh-CN"/>
        </w:rPr>
        <w:t>”</w:t>
      </w:r>
      <w:r>
        <w:rPr>
          <w:b/>
          <w:color w:val="auto"/>
          <w:kern w:val="0"/>
          <w:szCs w:val="21"/>
          <w:highlight w:val="none"/>
        </w:rPr>
        <w:t>的有关内容，并在附件中提交由投诉人签署的授权委托书。授权委托书应当载明代理人的姓名或者名称、代理事项、具体权限、期限和相关事项。</w:t>
      </w:r>
    </w:p>
    <w:p w14:paraId="5D4667EC">
      <w:pPr>
        <w:spacing w:line="360" w:lineRule="auto"/>
        <w:ind w:left="25" w:leftChars="12" w:firstLine="310" w:firstLineChars="147"/>
        <w:rPr>
          <w:b/>
          <w:color w:val="auto"/>
          <w:kern w:val="0"/>
          <w:szCs w:val="21"/>
          <w:highlight w:val="none"/>
        </w:rPr>
      </w:pPr>
      <w:r>
        <w:rPr>
          <w:b/>
          <w:color w:val="auto"/>
          <w:kern w:val="0"/>
          <w:szCs w:val="21"/>
          <w:highlight w:val="none"/>
        </w:rPr>
        <w:t>3.投诉书应简要列明质疑事项，质疑函、质疑答复等作为附件材料提供。</w:t>
      </w:r>
    </w:p>
    <w:p w14:paraId="3A66B5EE">
      <w:pPr>
        <w:spacing w:line="360" w:lineRule="auto"/>
        <w:ind w:left="25" w:leftChars="12" w:firstLine="310" w:firstLineChars="147"/>
        <w:rPr>
          <w:b/>
          <w:color w:val="auto"/>
          <w:kern w:val="0"/>
          <w:szCs w:val="21"/>
          <w:highlight w:val="none"/>
        </w:rPr>
      </w:pPr>
      <w:r>
        <w:rPr>
          <w:b/>
          <w:color w:val="auto"/>
          <w:kern w:val="0"/>
          <w:szCs w:val="21"/>
          <w:highlight w:val="none"/>
        </w:rPr>
        <w:t>4.投诉书的投诉事项应具体、明确，并有必要的事实依据和法律依据。</w:t>
      </w:r>
    </w:p>
    <w:p w14:paraId="4CAED731">
      <w:pPr>
        <w:spacing w:line="360" w:lineRule="auto"/>
        <w:ind w:left="25" w:leftChars="12" w:firstLine="310" w:firstLineChars="147"/>
        <w:rPr>
          <w:b/>
          <w:color w:val="auto"/>
          <w:kern w:val="0"/>
          <w:szCs w:val="21"/>
          <w:highlight w:val="none"/>
        </w:rPr>
      </w:pPr>
      <w:r>
        <w:rPr>
          <w:b/>
          <w:color w:val="auto"/>
          <w:kern w:val="0"/>
          <w:szCs w:val="21"/>
          <w:highlight w:val="none"/>
        </w:rPr>
        <w:t>5.投诉书的投诉请求应与投诉事项相关。</w:t>
      </w:r>
    </w:p>
    <w:p w14:paraId="0D801C50">
      <w:pPr>
        <w:spacing w:line="360" w:lineRule="auto"/>
        <w:ind w:left="25" w:leftChars="12" w:firstLine="310" w:firstLineChars="147"/>
        <w:rPr>
          <w:color w:val="auto"/>
          <w:szCs w:val="21"/>
          <w:highlight w:val="none"/>
        </w:rPr>
      </w:pPr>
      <w:r>
        <w:rPr>
          <w:b/>
          <w:color w:val="auto"/>
          <w:kern w:val="0"/>
          <w:szCs w:val="21"/>
          <w:highlight w:val="none"/>
        </w:rPr>
        <w:t>6.投诉人为法人或者其他组织的，投诉书应由法定代表人、主要负责人，或者其授权代表签字或者盖章，并加盖公章。</w:t>
      </w:r>
    </w:p>
    <w:p w14:paraId="65C38B08">
      <w:pPr>
        <w:rPr>
          <w:rFonts w:hint="eastAsia"/>
          <w:color w:val="auto"/>
          <w:highlight w:val="none"/>
        </w:rPr>
      </w:pPr>
    </w:p>
    <w:sectPr>
      <w:headerReference r:id="rId16" w:type="default"/>
      <w:footerReference r:id="rId17" w:type="default"/>
      <w:pgSz w:w="11910" w:h="16840"/>
      <w:pgMar w:top="1440" w:right="1080" w:bottom="1440" w:left="108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8B117067-F775-4F36-A658-C3EAE0E6BCC2}"/>
  </w:font>
  <w:font w:name="黑体">
    <w:panose1 w:val="02010609060101010101"/>
    <w:charset w:val="86"/>
    <w:family w:val="auto"/>
    <w:pitch w:val="default"/>
    <w:sig w:usb0="800002BF" w:usb1="38CF7CFA" w:usb2="00000016" w:usb3="00000000" w:csb0="00040001" w:csb1="00000000"/>
    <w:embedRegular r:id="rId2" w:fontKey="{442F630F-54F4-4E7C-9A20-12FF34E6EB76}"/>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3" w:fontKey="{B097FBF5-3E5D-4F71-8A4C-941CF9E22F40}"/>
  </w:font>
  <w:font w:name="Cambria">
    <w:panose1 w:val="02040503050406030204"/>
    <w:charset w:val="00"/>
    <w:family w:val="roman"/>
    <w:pitch w:val="default"/>
    <w:sig w:usb0="E00002FF" w:usb1="400004FF" w:usb2="00000000" w:usb3="00000000" w:csb0="2000019F" w:csb1="00000000"/>
    <w:embedRegular r:id="rId4" w:fontKey="{9F40F3EE-84B8-45E6-BF65-D692305BDD78}"/>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embedRegular r:id="rId5" w:fontKey="{2521CDAA-3C53-457C-9DB9-0A3843F137E1}"/>
  </w:font>
  <w:font w:name="微软雅黑 Light">
    <w:altName w:val="黑体"/>
    <w:panose1 w:val="020B0502040204020203"/>
    <w:charset w:val="86"/>
    <w:family w:val="swiss"/>
    <w:pitch w:val="default"/>
    <w:sig w:usb0="00000000" w:usb1="00000000" w:usb2="00000016" w:usb3="00000000" w:csb0="0004001F" w:csb1="00000000"/>
  </w:font>
  <w:font w:name="仿宋">
    <w:panose1 w:val="02010609060101010101"/>
    <w:charset w:val="86"/>
    <w:family w:val="modern"/>
    <w:pitch w:val="default"/>
    <w:sig w:usb0="800002BF" w:usb1="38CF7CFA" w:usb2="00000016" w:usb3="00000000" w:csb0="00040001" w:csb1="00000000"/>
    <w:embedRegular r:id="rId6" w:fontKey="{A8917AA2-C969-4D9E-B0C2-8694A4FF3F9F}"/>
  </w:font>
  <w:font w:name="Tahoma">
    <w:panose1 w:val="020B0604030504040204"/>
    <w:charset w:val="00"/>
    <w:family w:val="swiss"/>
    <w:pitch w:val="default"/>
    <w:sig w:usb0="E1002EFF" w:usb1="C000605B" w:usb2="00000029" w:usb3="00000000" w:csb0="200101FF" w:csb1="20280000"/>
  </w:font>
  <w:font w:name="华文中宋">
    <w:panose1 w:val="02010600040101010101"/>
    <w:charset w:val="86"/>
    <w:family w:val="auto"/>
    <w:pitch w:val="default"/>
    <w:sig w:usb0="00000287" w:usb1="080F0000" w:usb2="00000000" w:usb3="00000000" w:csb0="0004009F" w:csb1="DFD70000"/>
    <w:embedRegular r:id="rId7" w:fontKey="{3D2C5117-7924-4C0A-B107-E61FC2BB01A9}"/>
  </w:font>
  <w:font w:name="新宋体">
    <w:panose1 w:val="02010609030101010101"/>
    <w:charset w:val="86"/>
    <w:family w:val="auto"/>
    <w:pitch w:val="default"/>
    <w:sig w:usb0="00000003" w:usb1="288F0000" w:usb2="00000006" w:usb3="00000000" w:csb0="00040001" w:csb1="00000000"/>
    <w:embedRegular r:id="rId8" w:fontKey="{999B24CD-4B8F-401E-B6AB-45D9CC1CDFFA}"/>
  </w:font>
  <w:font w:name="Arial Unicode MS">
    <w:panose1 w:val="020B0604020202020204"/>
    <w:charset w:val="86"/>
    <w:family w:val="swiss"/>
    <w:pitch w:val="default"/>
    <w:sig w:usb0="FFFFFFFF" w:usb1="E9FFFFFF" w:usb2="0000003F" w:usb3="00000000" w:csb0="603F01FF" w:csb1="FFFF0000"/>
    <w:embedRegular r:id="rId9" w:fontKey="{6AFE996D-3BD2-4029-BFAE-097547D58454}"/>
  </w:font>
  <w:font w:name="微软雅黑">
    <w:panose1 w:val="020B0503020204020204"/>
    <w:charset w:val="86"/>
    <w:family w:val="swiss"/>
    <w:pitch w:val="default"/>
    <w:sig w:usb0="80000287" w:usb1="280F3C52" w:usb2="00000016" w:usb3="00000000" w:csb0="0004001F" w:csb1="00000000"/>
    <w:embedRegular r:id="rId10" w:fontKey="{12B0FE17-06F0-4A6E-9579-0F98AC7A7A0D}"/>
  </w:font>
  <w:font w:name="方正小标宋简体">
    <w:panose1 w:val="02010601030101010101"/>
    <w:charset w:val="86"/>
    <w:family w:val="script"/>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embedRegular r:id="rId11" w:fontKey="{E0A381DF-92AE-43AA-93B7-ED778AE9F3E3}"/>
  </w:font>
  <w:font w:name="楷体_GB2312">
    <w:panose1 w:val="02010609030101010101"/>
    <w:charset w:val="86"/>
    <w:family w:val="modern"/>
    <w:pitch w:val="default"/>
    <w:sig w:usb0="00000001" w:usb1="080E0000" w:usb2="00000000" w:usb3="00000000" w:csb0="00040000" w:csb1="00000000"/>
    <w:embedRegular r:id="rId12" w:fontKey="{CFB66FD7-0028-4A7F-B140-BDE0BBCE0B76}"/>
  </w:font>
  <w:font w:name="隶书">
    <w:panose1 w:val="02010509060101010101"/>
    <w:charset w:val="86"/>
    <w:family w:val="modern"/>
    <w:pitch w:val="default"/>
    <w:sig w:usb0="00000001" w:usb1="080E0000" w:usb2="00000000" w:usb3="00000000" w:csb0="00040000" w:csb1="00000000"/>
    <w:embedRegular r:id="rId13" w:fontKey="{6DF3020E-4A79-49F2-829F-B766DB6ED0B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C2247D">
    <w:pPr>
      <w:pStyle w:val="21"/>
      <w:jc w:val="center"/>
      <w:rPr>
        <w:rFonts w:hint="eastAsia" w:ascii="Calibri" w:hAnsi="Calibr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948A72">
    <w:pPr>
      <w:pStyle w:val="21"/>
      <w:framePr w:wrap="around" w:vAnchor="text" w:hAnchor="margin" w:xAlign="center" w:y="1"/>
      <w:rPr>
        <w:rStyle w:val="33"/>
        <w:rFonts w:ascii="Calibri" w:hAnsi="Calibri"/>
        <w:sz w:val="21"/>
      </w:rPr>
    </w:pPr>
    <w:r>
      <w:rPr>
        <w:rFonts w:ascii="Calibri" w:hAnsi="Calibri"/>
        <w:sz w:val="21"/>
      </w:rPr>
      <w:fldChar w:fldCharType="begin"/>
    </w:r>
    <w:r>
      <w:rPr>
        <w:rStyle w:val="33"/>
        <w:rFonts w:ascii="Calibri" w:hAnsi="Calibri"/>
        <w:sz w:val="21"/>
      </w:rPr>
      <w:instrText xml:space="preserve">PAGE  </w:instrText>
    </w:r>
    <w:r>
      <w:rPr>
        <w:rFonts w:ascii="Calibri" w:hAnsi="Calibri"/>
        <w:sz w:val="21"/>
      </w:rPr>
      <w:fldChar w:fldCharType="separate"/>
    </w:r>
    <w:r>
      <w:rPr>
        <w:rStyle w:val="33"/>
        <w:rFonts w:ascii="Calibri" w:hAnsi="Calibri"/>
        <w:sz w:val="21"/>
      </w:rPr>
      <w:t>0</w:t>
    </w:r>
    <w:r>
      <w:rPr>
        <w:rFonts w:ascii="Calibri" w:hAnsi="Calibri"/>
        <w:sz w:val="21"/>
      </w:rPr>
      <w:fldChar w:fldCharType="end"/>
    </w:r>
  </w:p>
  <w:p w14:paraId="011705B4">
    <w:pPr>
      <w:pStyle w:val="21"/>
      <w:rPr>
        <w:rFonts w:ascii="Calibri" w:hAnsi="Calibri"/>
        <w:sz w:val="21"/>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5BB403">
    <w:pPr>
      <w:pStyle w:val="21"/>
      <w:tabs>
        <w:tab w:val="center" w:pos="4439"/>
        <w:tab w:val="clear" w:pos="4153"/>
      </w:tabs>
      <w:jc w:val="both"/>
      <w:rPr>
        <w:rFonts w:ascii="Calibri" w:hAnsi="Calibri"/>
      </w:rP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51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E50C0A7">
                          <w:pPr>
                            <w:pStyle w:val="21"/>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1</w:t>
                          </w:r>
                          <w:r>
                            <w:rPr>
                              <w:rFonts w:hint="eastAsia"/>
                              <w:lang w:eastAsia="zh-CN"/>
                            </w:rPr>
                            <w:fldChar w:fldCharType="end"/>
                          </w:r>
                        </w:p>
                      </w:txbxContent>
                    </wps:txbx>
                    <wps:bodyPr wrap="none" lIns="0" tIns="0" rIns="0" bIns="0" upright="0">
                      <a:spAutoFit/>
                    </wps:bodyPr>
                  </wps:wsp>
                </a:graphicData>
              </a:graphic>
            </wp:anchor>
          </w:drawing>
        </mc:Choice>
        <mc:Fallback>
          <w:pict>
            <v:shape id="文本框 513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M6pebnPAAAABQEAAA8AAAAAAAAAAQAgAAAAIgAAAGRycy9kb3ducmV2&#10;LnhtbFBLAQIUABQAAAAIAIdO4kB6h9bgzAEAAJwDAAAOAAAAAAAAAAEAIAAAAB4BAABkcnMvZTJv&#10;RG9jLnhtbFBLBQYAAAAABgAGAFkBAABcBQAAAAA=&#10;">
              <v:fill on="f" focussize="0,0"/>
              <v:stroke on="f"/>
              <v:imagedata o:title=""/>
              <o:lock v:ext="edit" aspectratio="f"/>
              <v:textbox inset="0mm,0mm,0mm,0mm" style="mso-fit-shape-to-text:t;">
                <w:txbxContent>
                  <w:p w14:paraId="3E50C0A7">
                    <w:pPr>
                      <w:pStyle w:val="21"/>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1</w:t>
                    </w:r>
                    <w:r>
                      <w:rPr>
                        <w:rFonts w:hint="eastAsia"/>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D4DBF2">
    <w:pPr>
      <w:pStyle w:val="21"/>
      <w:tabs>
        <w:tab w:val="center" w:pos="4439"/>
        <w:tab w:val="clear" w:pos="4153"/>
      </w:tabs>
      <w:rPr>
        <w:rFonts w:ascii="Calibri" w:hAnsi="Calibri"/>
      </w:rPr>
    </w:pPr>
    <w:r>
      <w:rPr>
        <w:rFonts w:ascii="Calibri" w:hAnsi="Calibri"/>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51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0B54FF6">
                          <w:pPr>
                            <w:rPr>
                              <w:rFonts w:ascii="Calibri" w:hAnsi="Calibri"/>
                            </w:rPr>
                          </w:pPr>
                        </w:p>
                      </w:txbxContent>
                    </wps:txbx>
                    <wps:bodyPr wrap="none" lIns="0" tIns="0" rIns="0" bIns="0" upright="0">
                      <a:spAutoFit/>
                    </wps:bodyPr>
                  </wps:wsp>
                </a:graphicData>
              </a:graphic>
            </wp:anchor>
          </w:drawing>
        </mc:Choice>
        <mc:Fallback>
          <w:pict>
            <v:shape id="文本框 51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FoSUWDLAQAAnAMAAA4AAAAAAAAAAQAgAAAAHgEAAGRycy9lMm9E&#10;b2MueG1sUEsFBgAAAAAGAAYAWQEAAFsFAAAAAA==&#10;">
              <v:fill on="f" focussize="0,0"/>
              <v:stroke on="f"/>
              <v:imagedata o:title=""/>
              <o:lock v:ext="edit" aspectratio="f"/>
              <v:textbox inset="0mm,0mm,0mm,0mm" style="mso-fit-shape-to-text:t;">
                <w:txbxContent>
                  <w:p w14:paraId="40B54FF6">
                    <w:pPr>
                      <w:rPr>
                        <w:rFonts w:ascii="Calibri" w:hAnsi="Calibri"/>
                      </w:rPr>
                    </w:pP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699F59">
    <w:pPr>
      <w:pStyle w:val="21"/>
      <w:jc w:val="center"/>
      <w:rPr>
        <w:rFonts w:ascii="Calibri" w:hAnsi="Calibri"/>
      </w:rP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1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68E20E1">
                          <w:pPr>
                            <w:pStyle w:val="21"/>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2</w:t>
                          </w:r>
                          <w:r>
                            <w:rPr>
                              <w:rFonts w:hint="eastAsia"/>
                              <w:lang w:eastAsia="zh-CN"/>
                            </w:rPr>
                            <w:fldChar w:fldCharType="end"/>
                          </w:r>
                        </w:p>
                      </w:txbxContent>
                    </wps:txbx>
                    <wps:bodyPr wrap="none" lIns="0" tIns="0" rIns="0" bIns="0" upright="0">
                      <a:spAutoFit/>
                    </wps:bodyPr>
                  </wps:wsp>
                </a:graphicData>
              </a:graphic>
            </wp:anchor>
          </w:drawing>
        </mc:Choice>
        <mc:Fallback>
          <w:pict>
            <v:shape id="文本框 5137"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M6pebnPAAAABQEAAA8AAAAAAAAAAQAgAAAAIgAAAGRycy9kb3ducmV2&#10;LnhtbFBLAQIUABQAAAAIAIdO4kCwik1WzAEAAJwDAAAOAAAAAAAAAAEAIAAAAB4BAABkcnMvZTJv&#10;RG9jLnhtbFBLBQYAAAAABgAGAFkBAABcBQAAAAA=&#10;">
              <v:fill on="f" focussize="0,0"/>
              <v:stroke on="f"/>
              <v:imagedata o:title=""/>
              <o:lock v:ext="edit" aspectratio="f"/>
              <v:textbox inset="0mm,0mm,0mm,0mm" style="mso-fit-shape-to-text:t;">
                <w:txbxContent>
                  <w:p w14:paraId="268E20E1">
                    <w:pPr>
                      <w:pStyle w:val="21"/>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2</w:t>
                    </w:r>
                    <w:r>
                      <w:rPr>
                        <w:rFonts w:hint="eastAsia"/>
                        <w:lang w:eastAsia="zh-CN"/>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41335F">
    <w:pPr>
      <w:pStyle w:val="2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5E92145">
                          <w:pPr>
                            <w:pStyle w:val="21"/>
                          </w:pPr>
                          <w:r>
                            <w:fldChar w:fldCharType="begin"/>
                          </w:r>
                          <w:r>
                            <w:instrText xml:space="preserve"> PAGE  \* MERGEFORMAT </w:instrText>
                          </w:r>
                          <w:r>
                            <w:fldChar w:fldCharType="separate"/>
                          </w:r>
                          <w:r>
                            <w:t>54</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EySyc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DV3i3B23OPHzj+/nn7/Pv74R&#10;9KFAfYAa8x4DZqbhxg+4NrMf0Jl5Dyra/EVGBOMo7+kirxwSEfnRarlaVRgSGJsviM+enocI6U56&#10;S7LR0IjzK7Ly4z2kMXVOydWcv9XGlBka95cDMbOH5d7HHrOVht0wEdr59oR8ehx9Qx1uOiXmo0Nl&#10;85bMRpyN3WwcQtT7rqxRrgfhwyFhE6W3XGGEnQrjzAq7ab/yUjy/l6ynf2rz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wTJLJyQEAAJsDAAAOAAAAAAAAAAEAIAAAAB4BAABkcnMvZTJvRG9j&#10;LnhtbFBLBQYAAAAABgAGAFkBAABZBQAAAAA=&#10;">
              <v:fill on="f" focussize="0,0"/>
              <v:stroke on="f"/>
              <v:imagedata o:title=""/>
              <o:lock v:ext="edit" aspectratio="f"/>
              <v:textbox inset="0mm,0mm,0mm,0mm" style="mso-fit-shape-to-text:t;">
                <w:txbxContent>
                  <w:p w14:paraId="05E92145">
                    <w:pPr>
                      <w:pStyle w:val="21"/>
                    </w:pPr>
                    <w:r>
                      <w:fldChar w:fldCharType="begin"/>
                    </w:r>
                    <w:r>
                      <w:instrText xml:space="preserve"> PAGE  \* MERGEFORMAT </w:instrText>
                    </w:r>
                    <w:r>
                      <w:fldChar w:fldCharType="separate"/>
                    </w:r>
                    <w:r>
                      <w:t>54</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AEFBAD">
    <w:pPr>
      <w:pStyle w:val="21"/>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FB3D2AC">
                          <w:pPr>
                            <w:pStyle w:val="21"/>
                          </w:pPr>
                          <w:r>
                            <w:fldChar w:fldCharType="begin"/>
                          </w:r>
                          <w:r>
                            <w:instrText xml:space="preserve"> PAGE  \* MERGEFORMAT </w:instrText>
                          </w:r>
                          <w:r>
                            <w:fldChar w:fldCharType="separate"/>
                          </w:r>
                          <w:r>
                            <w:t>81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v68+0coBAACbAwAADgAAAGRycy9lMm9Eb2MueG1srVPNjtMwEL6vxDtY&#10;vlNnK4G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DV2+ocRxixM///xx/vV4fvhO&#10;0IcC9QFqzLsLmJmG937AtZn9gM7Me1DR5i8yIhhHeU8XeeWQiMiPVsvVqsKQwNh8QXz29DxESB+k&#10;tyQbDY04vyIrP36CNKbOKbma87famDJD4/5yIGb2sNz72GO20rAbJkI7356QT4+jb6jDTafEfHSo&#10;bN6S2YizsZuNQ4h635U1yvUgvDskbKL0liuMsFNhnFlhN+1XXoo/7yXr6Z/a/AZ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OqXm5zwAAAAUBAAAPAAAAAAAAAAEAIAAAACIAAABkcnMvZG93bnJldi54&#10;bWxQSwECFAAUAAAACACHTuJAv68+0coBAACbAwAADgAAAAAAAAABACAAAAAeAQAAZHJzL2Uyb0Rv&#10;Yy54bWxQSwUGAAAAAAYABgBZAQAAWgUAAAAA&#10;">
              <v:fill on="f" focussize="0,0"/>
              <v:stroke on="f"/>
              <v:imagedata o:title=""/>
              <o:lock v:ext="edit" aspectratio="f"/>
              <v:textbox inset="0mm,0mm,0mm,0mm" style="mso-fit-shape-to-text:t;">
                <w:txbxContent>
                  <w:p w14:paraId="5FB3D2AC">
                    <w:pPr>
                      <w:pStyle w:val="21"/>
                    </w:pPr>
                    <w:r>
                      <w:fldChar w:fldCharType="begin"/>
                    </w:r>
                    <w:r>
                      <w:instrText xml:space="preserve"> PAGE  \* MERGEFORMAT </w:instrText>
                    </w:r>
                    <w:r>
                      <w:fldChar w:fldCharType="separate"/>
                    </w:r>
                    <w:r>
                      <w:t>81</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01C00A">
    <w:pPr>
      <w:pStyle w:val="21"/>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51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45DC95F">
                          <w:pPr>
                            <w:pStyle w:val="21"/>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114</w:t>
                          </w:r>
                          <w:r>
                            <w:rPr>
                              <w:rFonts w:hint="eastAsia"/>
                              <w:lang w:eastAsia="zh-CN"/>
                            </w:rPr>
                            <w:fldChar w:fldCharType="end"/>
                          </w:r>
                        </w:p>
                      </w:txbxContent>
                    </wps:txbx>
                    <wps:bodyPr wrap="none" lIns="0" tIns="0" rIns="0" bIns="0" upright="0">
                      <a:spAutoFit/>
                    </wps:bodyPr>
                  </wps:wsp>
                </a:graphicData>
              </a:graphic>
            </wp:anchor>
          </w:drawing>
        </mc:Choice>
        <mc:Fallback>
          <w:pict>
            <v:shape id="文本框 5121"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JaBIY3LAQAAnAMAAA4AAAAAAAAAAQAgAAAAHgEAAGRycy9lMm9E&#10;b2MueG1sUEsFBgAAAAAGAAYAWQEAAFsFAAAAAA==&#10;">
              <v:fill on="f" focussize="0,0"/>
              <v:stroke on="f"/>
              <v:imagedata o:title=""/>
              <o:lock v:ext="edit" aspectratio="f"/>
              <v:textbox inset="0mm,0mm,0mm,0mm" style="mso-fit-shape-to-text:t;">
                <w:txbxContent>
                  <w:p w14:paraId="145DC95F">
                    <w:pPr>
                      <w:pStyle w:val="21"/>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114</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B48D23">
    <w:pPr>
      <w:pStyle w:val="22"/>
      <w:tabs>
        <w:tab w:val="center" w:pos="0"/>
        <w:tab w:val="clear" w:pos="4153"/>
      </w:tabs>
      <w:rPr>
        <w:rFonts w:ascii="Calibri" w:hAnsi="Calibri"/>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16F68B">
    <w:pPr>
      <w:pStyle w:val="2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E839E7">
    <w:pPr>
      <w:pStyle w:val="22"/>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99CAAC">
    <w:pPr>
      <w:rPr>
        <w:rFonts w:hint="eastAsia"/>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92F733">
    <w:pPr>
      <w:pStyle w:val="22"/>
      <w:tabs>
        <w:tab w:val="center" w:pos="0"/>
        <w:tab w:val="clear" w:pos="4153"/>
      </w:tabs>
      <w:rPr>
        <w:rFonts w:ascii="Calibri" w:hAnsi="Calibri"/>
      </w:rPr>
    </w:pPr>
    <w:r>
      <w:rPr>
        <w:rFonts w:hint="eastAsia" w:ascii="Calibri" w:hAnsi="Calibri"/>
      </w:rPr>
      <w:t>南宁市政府采购竞争性磋商采购文件（项目编号：NNZC2021-C3--KLZB）</w:t>
    </w:r>
  </w:p>
  <w:p w14:paraId="1086F9A4">
    <w:pPr>
      <w:pStyle w:val="22"/>
      <w:pBdr>
        <w:bottom w:val="none" w:color="auto" w:sz="0" w:space="1"/>
      </w:pBdr>
      <w:rPr>
        <w:rFonts w:ascii="Calibri" w:hAnsi="Calibri"/>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0734FF">
    <w:pPr>
      <w:pStyle w:val="22"/>
      <w:pBdr>
        <w:bottom w:val="none" w:color="auto" w:sz="0" w:space="0"/>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ED7D5A">
    <w:pPr>
      <w:pStyle w:val="22"/>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8BCC701"/>
    <w:multiLevelType w:val="singleLevel"/>
    <w:tmpl w:val="F8BCC701"/>
    <w:lvl w:ilvl="0" w:tentative="0">
      <w:start w:val="5"/>
      <w:numFmt w:val="chineseCounting"/>
      <w:suff w:val="space"/>
      <w:lvlText w:val="第%1章"/>
      <w:lvlJc w:val="left"/>
      <w:rPr>
        <w:rFonts w:hint="eastAsia"/>
      </w:rPr>
    </w:lvl>
  </w:abstractNum>
  <w:abstractNum w:abstractNumId="1">
    <w:nsid w:val="00000006"/>
    <w:multiLevelType w:val="singleLevel"/>
    <w:tmpl w:val="00000006"/>
    <w:lvl w:ilvl="0" w:tentative="0">
      <w:start w:val="1"/>
      <w:numFmt w:val="decimal"/>
      <w:suff w:val="nothing"/>
      <w:lvlText w:val="（%1）"/>
      <w:lvlJc w:val="left"/>
      <w:rPr>
        <w:rFonts w:cs="Times New Roman"/>
      </w:rPr>
    </w:lvl>
  </w:abstractNum>
  <w:abstractNum w:abstractNumId="2">
    <w:nsid w:val="0000000B"/>
    <w:multiLevelType w:val="multilevel"/>
    <w:tmpl w:val="0000000B"/>
    <w:lvl w:ilvl="0" w:tentative="0">
      <w:start w:val="1"/>
      <w:numFmt w:val="decimal"/>
      <w:lvlText w:val="（%1）"/>
      <w:lvlJc w:val="left"/>
      <w:pPr>
        <w:tabs>
          <w:tab w:val="left" w:pos="1140"/>
        </w:tabs>
        <w:ind w:left="1140" w:hanging="720"/>
      </w:pPr>
      <w:rPr>
        <w:rFonts w:ascii="宋体" w:hAnsi="宋体" w:eastAsia="宋体" w:cs="Times New Roman"/>
      </w:r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3">
    <w:nsid w:val="151F89CA"/>
    <w:multiLevelType w:val="singleLevel"/>
    <w:tmpl w:val="151F89CA"/>
    <w:lvl w:ilvl="0" w:tentative="0">
      <w:start w:val="1"/>
      <w:numFmt w:val="decimal"/>
      <w:suff w:val="nothing"/>
      <w:lvlText w:val="（%1）"/>
      <w:lvlJc w:val="left"/>
    </w:lvl>
  </w:abstractNum>
  <w:abstractNum w:abstractNumId="4">
    <w:nsid w:val="23FEEAAF"/>
    <w:multiLevelType w:val="singleLevel"/>
    <w:tmpl w:val="23FEEAAF"/>
    <w:lvl w:ilvl="0" w:tentative="0">
      <w:start w:val="8"/>
      <w:numFmt w:val="chineseCounting"/>
      <w:suff w:val="space"/>
      <w:lvlText w:val="第%1章"/>
      <w:lvlJc w:val="left"/>
      <w:rPr>
        <w:rFonts w:hint="eastAsia"/>
      </w:rPr>
    </w:lvl>
  </w:abstractNum>
  <w:abstractNum w:abstractNumId="5">
    <w:nsid w:val="58996FC4"/>
    <w:multiLevelType w:val="singleLevel"/>
    <w:tmpl w:val="58996FC4"/>
    <w:lvl w:ilvl="0" w:tentative="0">
      <w:start w:val="8"/>
      <w:numFmt w:val="decimal"/>
      <w:suff w:val="space"/>
      <w:lvlText w:val="%1."/>
      <w:lvlJc w:val="left"/>
    </w:lvl>
  </w:abstractNum>
  <w:abstractNum w:abstractNumId="6">
    <w:nsid w:val="58997CBF"/>
    <w:multiLevelType w:val="singleLevel"/>
    <w:tmpl w:val="58997CBF"/>
    <w:lvl w:ilvl="0" w:tentative="0">
      <w:start w:val="2"/>
      <w:numFmt w:val="decimal"/>
      <w:suff w:val="nothing"/>
      <w:lvlText w:val="（%1）"/>
      <w:lvlJc w:val="left"/>
    </w:lvl>
  </w:abstractNum>
  <w:abstractNum w:abstractNumId="7">
    <w:nsid w:val="5899810D"/>
    <w:multiLevelType w:val="singleLevel"/>
    <w:tmpl w:val="5899810D"/>
    <w:lvl w:ilvl="0" w:tentative="0">
      <w:start w:val="2"/>
      <w:numFmt w:val="decimal"/>
      <w:suff w:val="nothing"/>
      <w:lvlText w:val="（%1）"/>
      <w:lvlJc w:val="left"/>
    </w:lvl>
  </w:abstractNum>
  <w:abstractNum w:abstractNumId="8">
    <w:nsid w:val="5899971B"/>
    <w:multiLevelType w:val="singleLevel"/>
    <w:tmpl w:val="5899971B"/>
    <w:lvl w:ilvl="0" w:tentative="0">
      <w:start w:val="1"/>
      <w:numFmt w:val="decimal"/>
      <w:suff w:val="nothing"/>
      <w:lvlText w:val="（%1）"/>
      <w:lvlJc w:val="left"/>
    </w:lvl>
  </w:abstractNum>
  <w:abstractNum w:abstractNumId="9">
    <w:nsid w:val="58999E78"/>
    <w:multiLevelType w:val="singleLevel"/>
    <w:tmpl w:val="58999E78"/>
    <w:lvl w:ilvl="0" w:tentative="0">
      <w:start w:val="1"/>
      <w:numFmt w:val="decimal"/>
      <w:suff w:val="nothing"/>
      <w:lvlText w:val="（%1）"/>
      <w:lvlJc w:val="left"/>
    </w:lvl>
  </w:abstractNum>
  <w:abstractNum w:abstractNumId="10">
    <w:nsid w:val="58AD93E8"/>
    <w:multiLevelType w:val="singleLevel"/>
    <w:tmpl w:val="58AD93E8"/>
    <w:lvl w:ilvl="0" w:tentative="0">
      <w:start w:val="7"/>
      <w:numFmt w:val="decimal"/>
      <w:suff w:val="nothing"/>
      <w:lvlText w:val="（%1）"/>
      <w:lvlJc w:val="left"/>
    </w:lvl>
  </w:abstractNum>
  <w:abstractNum w:abstractNumId="11">
    <w:nsid w:val="58AE53F6"/>
    <w:multiLevelType w:val="singleLevel"/>
    <w:tmpl w:val="58AE53F6"/>
    <w:lvl w:ilvl="0" w:tentative="0">
      <w:start w:val="1"/>
      <w:numFmt w:val="decimal"/>
      <w:suff w:val="nothing"/>
      <w:lvlText w:val="（%1）"/>
      <w:lvlJc w:val="left"/>
    </w:lvl>
  </w:abstractNum>
  <w:abstractNum w:abstractNumId="12">
    <w:nsid w:val="58B517A3"/>
    <w:multiLevelType w:val="singleLevel"/>
    <w:tmpl w:val="58B517A3"/>
    <w:lvl w:ilvl="0" w:tentative="0">
      <w:start w:val="1"/>
      <w:numFmt w:val="decimal"/>
      <w:suff w:val="nothing"/>
      <w:lvlText w:val="（%1）"/>
      <w:lvlJc w:val="left"/>
    </w:lvl>
  </w:abstractNum>
  <w:num w:numId="1">
    <w:abstractNumId w:val="3"/>
  </w:num>
  <w:num w:numId="2">
    <w:abstractNumId w:val="0"/>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10"/>
  </w:num>
  <w:num w:numId="6">
    <w:abstractNumId w:val="5"/>
  </w:num>
  <w:num w:numId="7">
    <w:abstractNumId w:val="6"/>
  </w:num>
  <w:num w:numId="8">
    <w:abstractNumId w:val="11"/>
  </w:num>
  <w:num w:numId="9">
    <w:abstractNumId w:val="7"/>
  </w:num>
  <w:num w:numId="10">
    <w:abstractNumId w:val="8"/>
  </w:num>
  <w:num w:numId="11">
    <w:abstractNumId w:val="9"/>
  </w:num>
  <w:num w:numId="12">
    <w:abstractNumId w:val="12"/>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3,4,5,6,7"/>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I5ZGY0NGQ5OGEyODUzY2E3MWM2YjNkMTgwZWQ4MjkifQ=="/>
    <w:docVar w:name="KSO_WPS_MARK_KEY" w:val="8fdcefb1-3ccf-4cff-90cf-c3838f39e0d5"/>
  </w:docVars>
  <w:rsids>
    <w:rsidRoot w:val="00F34B14"/>
    <w:rsid w:val="00000672"/>
    <w:rsid w:val="00001013"/>
    <w:rsid w:val="00001799"/>
    <w:rsid w:val="00001AF2"/>
    <w:rsid w:val="00001ECA"/>
    <w:rsid w:val="00002D29"/>
    <w:rsid w:val="00003B93"/>
    <w:rsid w:val="0000474D"/>
    <w:rsid w:val="00005FDF"/>
    <w:rsid w:val="000070B3"/>
    <w:rsid w:val="000076B8"/>
    <w:rsid w:val="0001047A"/>
    <w:rsid w:val="000109DC"/>
    <w:rsid w:val="00010D39"/>
    <w:rsid w:val="0001172C"/>
    <w:rsid w:val="00011A4D"/>
    <w:rsid w:val="00011BC9"/>
    <w:rsid w:val="00012854"/>
    <w:rsid w:val="00012EA6"/>
    <w:rsid w:val="00013359"/>
    <w:rsid w:val="000139CF"/>
    <w:rsid w:val="00013AA4"/>
    <w:rsid w:val="00013DFE"/>
    <w:rsid w:val="000141EA"/>
    <w:rsid w:val="00015094"/>
    <w:rsid w:val="00016ABC"/>
    <w:rsid w:val="000177DB"/>
    <w:rsid w:val="000179C9"/>
    <w:rsid w:val="00017CCC"/>
    <w:rsid w:val="00020227"/>
    <w:rsid w:val="00020263"/>
    <w:rsid w:val="00020455"/>
    <w:rsid w:val="00020527"/>
    <w:rsid w:val="00020813"/>
    <w:rsid w:val="000220B2"/>
    <w:rsid w:val="0002264C"/>
    <w:rsid w:val="00022731"/>
    <w:rsid w:val="00022792"/>
    <w:rsid w:val="00024463"/>
    <w:rsid w:val="00025461"/>
    <w:rsid w:val="00025636"/>
    <w:rsid w:val="00025E36"/>
    <w:rsid w:val="00026855"/>
    <w:rsid w:val="00026886"/>
    <w:rsid w:val="0002785D"/>
    <w:rsid w:val="000329E0"/>
    <w:rsid w:val="000352E9"/>
    <w:rsid w:val="00035494"/>
    <w:rsid w:val="00036125"/>
    <w:rsid w:val="00036A07"/>
    <w:rsid w:val="0003780B"/>
    <w:rsid w:val="00040571"/>
    <w:rsid w:val="00040973"/>
    <w:rsid w:val="0004156E"/>
    <w:rsid w:val="00041713"/>
    <w:rsid w:val="0004440C"/>
    <w:rsid w:val="00046B5E"/>
    <w:rsid w:val="000470CB"/>
    <w:rsid w:val="000509D9"/>
    <w:rsid w:val="00051ACB"/>
    <w:rsid w:val="000533E7"/>
    <w:rsid w:val="00055D41"/>
    <w:rsid w:val="00057CD6"/>
    <w:rsid w:val="00060DCE"/>
    <w:rsid w:val="000610E3"/>
    <w:rsid w:val="000614F3"/>
    <w:rsid w:val="000623B4"/>
    <w:rsid w:val="00062405"/>
    <w:rsid w:val="000634A7"/>
    <w:rsid w:val="00063B0B"/>
    <w:rsid w:val="00063F81"/>
    <w:rsid w:val="00064847"/>
    <w:rsid w:val="00065E08"/>
    <w:rsid w:val="000673E2"/>
    <w:rsid w:val="0007063F"/>
    <w:rsid w:val="000707FD"/>
    <w:rsid w:val="00070949"/>
    <w:rsid w:val="000711E4"/>
    <w:rsid w:val="000724D9"/>
    <w:rsid w:val="00072AED"/>
    <w:rsid w:val="00073F47"/>
    <w:rsid w:val="0007492F"/>
    <w:rsid w:val="00074ED8"/>
    <w:rsid w:val="00075B7E"/>
    <w:rsid w:val="00077ACA"/>
    <w:rsid w:val="00077C70"/>
    <w:rsid w:val="000813B5"/>
    <w:rsid w:val="00081BA3"/>
    <w:rsid w:val="00081D2E"/>
    <w:rsid w:val="00081F89"/>
    <w:rsid w:val="00082619"/>
    <w:rsid w:val="00082D02"/>
    <w:rsid w:val="00083871"/>
    <w:rsid w:val="00083B91"/>
    <w:rsid w:val="0008473C"/>
    <w:rsid w:val="0008520B"/>
    <w:rsid w:val="000860BD"/>
    <w:rsid w:val="000871B8"/>
    <w:rsid w:val="000916DA"/>
    <w:rsid w:val="00092442"/>
    <w:rsid w:val="000929EF"/>
    <w:rsid w:val="000933BE"/>
    <w:rsid w:val="00093CD4"/>
    <w:rsid w:val="0009560F"/>
    <w:rsid w:val="0009588E"/>
    <w:rsid w:val="000959EE"/>
    <w:rsid w:val="00097183"/>
    <w:rsid w:val="000972CB"/>
    <w:rsid w:val="00097608"/>
    <w:rsid w:val="000A13F3"/>
    <w:rsid w:val="000A23B1"/>
    <w:rsid w:val="000A2B0E"/>
    <w:rsid w:val="000A398F"/>
    <w:rsid w:val="000A3BB7"/>
    <w:rsid w:val="000A448C"/>
    <w:rsid w:val="000A509C"/>
    <w:rsid w:val="000A54A7"/>
    <w:rsid w:val="000A6007"/>
    <w:rsid w:val="000A65A6"/>
    <w:rsid w:val="000A70E3"/>
    <w:rsid w:val="000A7275"/>
    <w:rsid w:val="000A7A12"/>
    <w:rsid w:val="000A7A72"/>
    <w:rsid w:val="000B1202"/>
    <w:rsid w:val="000B1801"/>
    <w:rsid w:val="000B1D0C"/>
    <w:rsid w:val="000B2273"/>
    <w:rsid w:val="000B2585"/>
    <w:rsid w:val="000B2BC6"/>
    <w:rsid w:val="000B2D03"/>
    <w:rsid w:val="000B3815"/>
    <w:rsid w:val="000B3C7B"/>
    <w:rsid w:val="000B4321"/>
    <w:rsid w:val="000B552E"/>
    <w:rsid w:val="000B6A6B"/>
    <w:rsid w:val="000B6C95"/>
    <w:rsid w:val="000B79FC"/>
    <w:rsid w:val="000B7BD1"/>
    <w:rsid w:val="000C02B1"/>
    <w:rsid w:val="000C1679"/>
    <w:rsid w:val="000C1EE3"/>
    <w:rsid w:val="000C3AE7"/>
    <w:rsid w:val="000C3CC9"/>
    <w:rsid w:val="000C6DE4"/>
    <w:rsid w:val="000C7202"/>
    <w:rsid w:val="000D0A89"/>
    <w:rsid w:val="000D1389"/>
    <w:rsid w:val="000D1798"/>
    <w:rsid w:val="000D2626"/>
    <w:rsid w:val="000D291C"/>
    <w:rsid w:val="000D3FB6"/>
    <w:rsid w:val="000D411D"/>
    <w:rsid w:val="000D4589"/>
    <w:rsid w:val="000D4809"/>
    <w:rsid w:val="000D73DD"/>
    <w:rsid w:val="000E1C51"/>
    <w:rsid w:val="000E28AB"/>
    <w:rsid w:val="000E2E3E"/>
    <w:rsid w:val="000E3583"/>
    <w:rsid w:val="000E3AF0"/>
    <w:rsid w:val="000E4E04"/>
    <w:rsid w:val="000E693B"/>
    <w:rsid w:val="000E6EC9"/>
    <w:rsid w:val="000E70B4"/>
    <w:rsid w:val="000E7B62"/>
    <w:rsid w:val="000F0E1E"/>
    <w:rsid w:val="000F17E5"/>
    <w:rsid w:val="000F1A1B"/>
    <w:rsid w:val="000F2A95"/>
    <w:rsid w:val="000F3281"/>
    <w:rsid w:val="000F32FD"/>
    <w:rsid w:val="000F3733"/>
    <w:rsid w:val="000F5F8B"/>
    <w:rsid w:val="000F6153"/>
    <w:rsid w:val="000F63C8"/>
    <w:rsid w:val="000F64AA"/>
    <w:rsid w:val="000F7AF4"/>
    <w:rsid w:val="000F7C33"/>
    <w:rsid w:val="000F7F0C"/>
    <w:rsid w:val="001004D6"/>
    <w:rsid w:val="00102676"/>
    <w:rsid w:val="00103646"/>
    <w:rsid w:val="00103918"/>
    <w:rsid w:val="00104897"/>
    <w:rsid w:val="00104EDE"/>
    <w:rsid w:val="00105CDA"/>
    <w:rsid w:val="00106BEE"/>
    <w:rsid w:val="00107C74"/>
    <w:rsid w:val="0011091C"/>
    <w:rsid w:val="00111266"/>
    <w:rsid w:val="001112EB"/>
    <w:rsid w:val="00112768"/>
    <w:rsid w:val="00113678"/>
    <w:rsid w:val="00113C3E"/>
    <w:rsid w:val="00115E11"/>
    <w:rsid w:val="00115EEE"/>
    <w:rsid w:val="00115F56"/>
    <w:rsid w:val="00116CA9"/>
    <w:rsid w:val="00116F38"/>
    <w:rsid w:val="001170A4"/>
    <w:rsid w:val="00117AE7"/>
    <w:rsid w:val="00117CBD"/>
    <w:rsid w:val="0012006A"/>
    <w:rsid w:val="00121979"/>
    <w:rsid w:val="00122064"/>
    <w:rsid w:val="00124341"/>
    <w:rsid w:val="00124492"/>
    <w:rsid w:val="00124B12"/>
    <w:rsid w:val="001250A0"/>
    <w:rsid w:val="001263B8"/>
    <w:rsid w:val="0012763E"/>
    <w:rsid w:val="00130217"/>
    <w:rsid w:val="00130783"/>
    <w:rsid w:val="00130A47"/>
    <w:rsid w:val="00130D7C"/>
    <w:rsid w:val="00132B47"/>
    <w:rsid w:val="001337F8"/>
    <w:rsid w:val="001348B4"/>
    <w:rsid w:val="001351CB"/>
    <w:rsid w:val="00135530"/>
    <w:rsid w:val="00135947"/>
    <w:rsid w:val="001359A2"/>
    <w:rsid w:val="00135F92"/>
    <w:rsid w:val="00136020"/>
    <w:rsid w:val="00136445"/>
    <w:rsid w:val="00140132"/>
    <w:rsid w:val="00141C9C"/>
    <w:rsid w:val="0014277F"/>
    <w:rsid w:val="001434BE"/>
    <w:rsid w:val="00144050"/>
    <w:rsid w:val="0014479F"/>
    <w:rsid w:val="001452B4"/>
    <w:rsid w:val="00145320"/>
    <w:rsid w:val="001476D3"/>
    <w:rsid w:val="001509CF"/>
    <w:rsid w:val="00150D1D"/>
    <w:rsid w:val="001525AA"/>
    <w:rsid w:val="00152A87"/>
    <w:rsid w:val="00153BB5"/>
    <w:rsid w:val="00154518"/>
    <w:rsid w:val="00156359"/>
    <w:rsid w:val="001568F3"/>
    <w:rsid w:val="00156DD6"/>
    <w:rsid w:val="0016086E"/>
    <w:rsid w:val="00160D0C"/>
    <w:rsid w:val="00161172"/>
    <w:rsid w:val="00161998"/>
    <w:rsid w:val="00161E65"/>
    <w:rsid w:val="00162597"/>
    <w:rsid w:val="001629AF"/>
    <w:rsid w:val="001629FD"/>
    <w:rsid w:val="0016428A"/>
    <w:rsid w:val="001647C9"/>
    <w:rsid w:val="001655B2"/>
    <w:rsid w:val="00165627"/>
    <w:rsid w:val="00165929"/>
    <w:rsid w:val="001661A3"/>
    <w:rsid w:val="00167226"/>
    <w:rsid w:val="0016782B"/>
    <w:rsid w:val="0016784D"/>
    <w:rsid w:val="00172CA8"/>
    <w:rsid w:val="00173256"/>
    <w:rsid w:val="00173B0E"/>
    <w:rsid w:val="00173E03"/>
    <w:rsid w:val="00174182"/>
    <w:rsid w:val="0017512C"/>
    <w:rsid w:val="0017586A"/>
    <w:rsid w:val="00175BA6"/>
    <w:rsid w:val="00176CA7"/>
    <w:rsid w:val="00176F8E"/>
    <w:rsid w:val="001778C5"/>
    <w:rsid w:val="00177E56"/>
    <w:rsid w:val="00177F0A"/>
    <w:rsid w:val="00180DA0"/>
    <w:rsid w:val="00181EAD"/>
    <w:rsid w:val="00181F43"/>
    <w:rsid w:val="00182862"/>
    <w:rsid w:val="00184F57"/>
    <w:rsid w:val="00185544"/>
    <w:rsid w:val="00185617"/>
    <w:rsid w:val="00186823"/>
    <w:rsid w:val="00186FE1"/>
    <w:rsid w:val="00187A14"/>
    <w:rsid w:val="0019171E"/>
    <w:rsid w:val="00192368"/>
    <w:rsid w:val="001923A0"/>
    <w:rsid w:val="001928B1"/>
    <w:rsid w:val="00193537"/>
    <w:rsid w:val="00193846"/>
    <w:rsid w:val="00194EC8"/>
    <w:rsid w:val="00195424"/>
    <w:rsid w:val="001955FF"/>
    <w:rsid w:val="00196D6E"/>
    <w:rsid w:val="00197EDD"/>
    <w:rsid w:val="001A02B3"/>
    <w:rsid w:val="001A04BB"/>
    <w:rsid w:val="001A08D0"/>
    <w:rsid w:val="001A1B39"/>
    <w:rsid w:val="001A2120"/>
    <w:rsid w:val="001A28C6"/>
    <w:rsid w:val="001A2E69"/>
    <w:rsid w:val="001A3C34"/>
    <w:rsid w:val="001A3EDE"/>
    <w:rsid w:val="001A4222"/>
    <w:rsid w:val="001A50EA"/>
    <w:rsid w:val="001A5BA2"/>
    <w:rsid w:val="001A5E24"/>
    <w:rsid w:val="001A6B27"/>
    <w:rsid w:val="001A6D8B"/>
    <w:rsid w:val="001A6DAA"/>
    <w:rsid w:val="001A7717"/>
    <w:rsid w:val="001A793A"/>
    <w:rsid w:val="001B125A"/>
    <w:rsid w:val="001B1EBA"/>
    <w:rsid w:val="001B2142"/>
    <w:rsid w:val="001B2F2B"/>
    <w:rsid w:val="001B327A"/>
    <w:rsid w:val="001B35DE"/>
    <w:rsid w:val="001B3A13"/>
    <w:rsid w:val="001B3F5C"/>
    <w:rsid w:val="001B59FF"/>
    <w:rsid w:val="001B6512"/>
    <w:rsid w:val="001B65D7"/>
    <w:rsid w:val="001B6752"/>
    <w:rsid w:val="001B6768"/>
    <w:rsid w:val="001B6F1F"/>
    <w:rsid w:val="001B7CD7"/>
    <w:rsid w:val="001B7ECC"/>
    <w:rsid w:val="001C025B"/>
    <w:rsid w:val="001C115F"/>
    <w:rsid w:val="001C1EAB"/>
    <w:rsid w:val="001C25A7"/>
    <w:rsid w:val="001C318C"/>
    <w:rsid w:val="001C35C4"/>
    <w:rsid w:val="001C4287"/>
    <w:rsid w:val="001C4479"/>
    <w:rsid w:val="001C5190"/>
    <w:rsid w:val="001C6081"/>
    <w:rsid w:val="001C7B48"/>
    <w:rsid w:val="001D0CFB"/>
    <w:rsid w:val="001D1A0D"/>
    <w:rsid w:val="001D343C"/>
    <w:rsid w:val="001D34F5"/>
    <w:rsid w:val="001D56FC"/>
    <w:rsid w:val="001D58A1"/>
    <w:rsid w:val="001D58C2"/>
    <w:rsid w:val="001D5A8A"/>
    <w:rsid w:val="001D61CA"/>
    <w:rsid w:val="001D6E87"/>
    <w:rsid w:val="001D735E"/>
    <w:rsid w:val="001D73C8"/>
    <w:rsid w:val="001D7BC6"/>
    <w:rsid w:val="001E129E"/>
    <w:rsid w:val="001E175C"/>
    <w:rsid w:val="001E1B0E"/>
    <w:rsid w:val="001E3B63"/>
    <w:rsid w:val="001E522E"/>
    <w:rsid w:val="001E5A94"/>
    <w:rsid w:val="001E5F6F"/>
    <w:rsid w:val="001F0373"/>
    <w:rsid w:val="001F2A2E"/>
    <w:rsid w:val="001F3356"/>
    <w:rsid w:val="001F3C63"/>
    <w:rsid w:val="001F4460"/>
    <w:rsid w:val="001F4F4F"/>
    <w:rsid w:val="001F711A"/>
    <w:rsid w:val="001F75B0"/>
    <w:rsid w:val="00200CE5"/>
    <w:rsid w:val="00200F7C"/>
    <w:rsid w:val="002014DB"/>
    <w:rsid w:val="0020150B"/>
    <w:rsid w:val="00201E12"/>
    <w:rsid w:val="002033B5"/>
    <w:rsid w:val="0020382C"/>
    <w:rsid w:val="0020437A"/>
    <w:rsid w:val="0020454C"/>
    <w:rsid w:val="00204740"/>
    <w:rsid w:val="00205129"/>
    <w:rsid w:val="0020521F"/>
    <w:rsid w:val="0020532C"/>
    <w:rsid w:val="002114C7"/>
    <w:rsid w:val="00211579"/>
    <w:rsid w:val="0021302C"/>
    <w:rsid w:val="00213B1C"/>
    <w:rsid w:val="00214202"/>
    <w:rsid w:val="002148E3"/>
    <w:rsid w:val="0021552D"/>
    <w:rsid w:val="002156AE"/>
    <w:rsid w:val="00215E99"/>
    <w:rsid w:val="0022054D"/>
    <w:rsid w:val="00223DDB"/>
    <w:rsid w:val="00223FA4"/>
    <w:rsid w:val="00223FB0"/>
    <w:rsid w:val="00224067"/>
    <w:rsid w:val="0022421C"/>
    <w:rsid w:val="00224E83"/>
    <w:rsid w:val="00225664"/>
    <w:rsid w:val="0022663D"/>
    <w:rsid w:val="00227F2D"/>
    <w:rsid w:val="00230179"/>
    <w:rsid w:val="00231851"/>
    <w:rsid w:val="002319FB"/>
    <w:rsid w:val="00231B89"/>
    <w:rsid w:val="00231F11"/>
    <w:rsid w:val="00231F5E"/>
    <w:rsid w:val="002346B4"/>
    <w:rsid w:val="00234F6E"/>
    <w:rsid w:val="002355BE"/>
    <w:rsid w:val="002358EA"/>
    <w:rsid w:val="00236578"/>
    <w:rsid w:val="00236DE9"/>
    <w:rsid w:val="00237342"/>
    <w:rsid w:val="00237D5A"/>
    <w:rsid w:val="002415AE"/>
    <w:rsid w:val="00241D3C"/>
    <w:rsid w:val="00242109"/>
    <w:rsid w:val="00243189"/>
    <w:rsid w:val="002439AB"/>
    <w:rsid w:val="00243C19"/>
    <w:rsid w:val="00244AE8"/>
    <w:rsid w:val="00244DC9"/>
    <w:rsid w:val="00245587"/>
    <w:rsid w:val="00245F2B"/>
    <w:rsid w:val="00247F3A"/>
    <w:rsid w:val="00250122"/>
    <w:rsid w:val="00250755"/>
    <w:rsid w:val="00250A51"/>
    <w:rsid w:val="00251043"/>
    <w:rsid w:val="00251C4A"/>
    <w:rsid w:val="0025271C"/>
    <w:rsid w:val="002529E4"/>
    <w:rsid w:val="002533CD"/>
    <w:rsid w:val="002535EA"/>
    <w:rsid w:val="00254EAB"/>
    <w:rsid w:val="002557AF"/>
    <w:rsid w:val="0025589C"/>
    <w:rsid w:val="00255B62"/>
    <w:rsid w:val="002566B1"/>
    <w:rsid w:val="002575E3"/>
    <w:rsid w:val="00257A74"/>
    <w:rsid w:val="002603C1"/>
    <w:rsid w:val="002609A1"/>
    <w:rsid w:val="002612B1"/>
    <w:rsid w:val="00266165"/>
    <w:rsid w:val="002662FE"/>
    <w:rsid w:val="00266F2C"/>
    <w:rsid w:val="0027125E"/>
    <w:rsid w:val="00271767"/>
    <w:rsid w:val="00272293"/>
    <w:rsid w:val="002723C8"/>
    <w:rsid w:val="00273C2A"/>
    <w:rsid w:val="00273CBE"/>
    <w:rsid w:val="002746B1"/>
    <w:rsid w:val="00274BAD"/>
    <w:rsid w:val="002754D6"/>
    <w:rsid w:val="00282D56"/>
    <w:rsid w:val="002835B0"/>
    <w:rsid w:val="00283C74"/>
    <w:rsid w:val="0028407E"/>
    <w:rsid w:val="0028410F"/>
    <w:rsid w:val="00284572"/>
    <w:rsid w:val="00285221"/>
    <w:rsid w:val="00286FB5"/>
    <w:rsid w:val="00287763"/>
    <w:rsid w:val="00287FCB"/>
    <w:rsid w:val="00290606"/>
    <w:rsid w:val="002909B2"/>
    <w:rsid w:val="00291D6D"/>
    <w:rsid w:val="00291FF1"/>
    <w:rsid w:val="00292AA2"/>
    <w:rsid w:val="00293361"/>
    <w:rsid w:val="002952B1"/>
    <w:rsid w:val="00295D11"/>
    <w:rsid w:val="00296FB6"/>
    <w:rsid w:val="002A0001"/>
    <w:rsid w:val="002A0BD9"/>
    <w:rsid w:val="002A0C3A"/>
    <w:rsid w:val="002A1130"/>
    <w:rsid w:val="002A1880"/>
    <w:rsid w:val="002A23B7"/>
    <w:rsid w:val="002A3A57"/>
    <w:rsid w:val="002A4B4F"/>
    <w:rsid w:val="002A57A8"/>
    <w:rsid w:val="002A6DEF"/>
    <w:rsid w:val="002A6E42"/>
    <w:rsid w:val="002A770B"/>
    <w:rsid w:val="002B013E"/>
    <w:rsid w:val="002B058D"/>
    <w:rsid w:val="002B0C16"/>
    <w:rsid w:val="002B2AC5"/>
    <w:rsid w:val="002B3528"/>
    <w:rsid w:val="002B3539"/>
    <w:rsid w:val="002B4532"/>
    <w:rsid w:val="002B4625"/>
    <w:rsid w:val="002B5042"/>
    <w:rsid w:val="002B69CC"/>
    <w:rsid w:val="002B6D71"/>
    <w:rsid w:val="002C0C1C"/>
    <w:rsid w:val="002C54C2"/>
    <w:rsid w:val="002C5D34"/>
    <w:rsid w:val="002C5D7F"/>
    <w:rsid w:val="002C60BB"/>
    <w:rsid w:val="002C661A"/>
    <w:rsid w:val="002D0D6F"/>
    <w:rsid w:val="002D25FC"/>
    <w:rsid w:val="002D4AC6"/>
    <w:rsid w:val="002D5BF5"/>
    <w:rsid w:val="002D5E95"/>
    <w:rsid w:val="002D5EE8"/>
    <w:rsid w:val="002D7360"/>
    <w:rsid w:val="002D7648"/>
    <w:rsid w:val="002D780A"/>
    <w:rsid w:val="002E109C"/>
    <w:rsid w:val="002E193E"/>
    <w:rsid w:val="002E1A94"/>
    <w:rsid w:val="002E1D55"/>
    <w:rsid w:val="002E26C4"/>
    <w:rsid w:val="002E30A5"/>
    <w:rsid w:val="002E47E4"/>
    <w:rsid w:val="002E4BF9"/>
    <w:rsid w:val="002E4D61"/>
    <w:rsid w:val="002E5FED"/>
    <w:rsid w:val="002E68A7"/>
    <w:rsid w:val="002E6E6C"/>
    <w:rsid w:val="002F0522"/>
    <w:rsid w:val="002F0B85"/>
    <w:rsid w:val="002F16DD"/>
    <w:rsid w:val="002F199D"/>
    <w:rsid w:val="002F213C"/>
    <w:rsid w:val="002F2453"/>
    <w:rsid w:val="002F352D"/>
    <w:rsid w:val="002F381E"/>
    <w:rsid w:val="002F4084"/>
    <w:rsid w:val="002F4A08"/>
    <w:rsid w:val="002F4ADB"/>
    <w:rsid w:val="002F531E"/>
    <w:rsid w:val="002F548D"/>
    <w:rsid w:val="002F5ACC"/>
    <w:rsid w:val="002F704B"/>
    <w:rsid w:val="002F72C3"/>
    <w:rsid w:val="002F768C"/>
    <w:rsid w:val="002F7D1E"/>
    <w:rsid w:val="00300201"/>
    <w:rsid w:val="0030025A"/>
    <w:rsid w:val="00301ADC"/>
    <w:rsid w:val="00302EFC"/>
    <w:rsid w:val="00303243"/>
    <w:rsid w:val="00303BCC"/>
    <w:rsid w:val="00303F2B"/>
    <w:rsid w:val="00303F8D"/>
    <w:rsid w:val="0030572D"/>
    <w:rsid w:val="0030586A"/>
    <w:rsid w:val="0030622D"/>
    <w:rsid w:val="00306811"/>
    <w:rsid w:val="00306F32"/>
    <w:rsid w:val="003074C5"/>
    <w:rsid w:val="00307A3C"/>
    <w:rsid w:val="00307FA4"/>
    <w:rsid w:val="00310290"/>
    <w:rsid w:val="0031083D"/>
    <w:rsid w:val="00310CC1"/>
    <w:rsid w:val="00311B60"/>
    <w:rsid w:val="00312504"/>
    <w:rsid w:val="00313026"/>
    <w:rsid w:val="00313913"/>
    <w:rsid w:val="0031421F"/>
    <w:rsid w:val="00314B31"/>
    <w:rsid w:val="00315A65"/>
    <w:rsid w:val="003165D7"/>
    <w:rsid w:val="00317BA7"/>
    <w:rsid w:val="00320BE2"/>
    <w:rsid w:val="00321886"/>
    <w:rsid w:val="00323694"/>
    <w:rsid w:val="00323BE7"/>
    <w:rsid w:val="00324C3A"/>
    <w:rsid w:val="00324D63"/>
    <w:rsid w:val="003255AF"/>
    <w:rsid w:val="003256EB"/>
    <w:rsid w:val="003259DB"/>
    <w:rsid w:val="003314D9"/>
    <w:rsid w:val="00331653"/>
    <w:rsid w:val="00331A48"/>
    <w:rsid w:val="00331BCC"/>
    <w:rsid w:val="003330C9"/>
    <w:rsid w:val="0033364C"/>
    <w:rsid w:val="00334415"/>
    <w:rsid w:val="00335EA1"/>
    <w:rsid w:val="0033691E"/>
    <w:rsid w:val="00336A6A"/>
    <w:rsid w:val="00336CCB"/>
    <w:rsid w:val="003411D1"/>
    <w:rsid w:val="003416BA"/>
    <w:rsid w:val="00342148"/>
    <w:rsid w:val="00342F99"/>
    <w:rsid w:val="0034575A"/>
    <w:rsid w:val="00345F57"/>
    <w:rsid w:val="00350458"/>
    <w:rsid w:val="00350E6C"/>
    <w:rsid w:val="003518A6"/>
    <w:rsid w:val="00351E7F"/>
    <w:rsid w:val="00352953"/>
    <w:rsid w:val="00354062"/>
    <w:rsid w:val="0035459E"/>
    <w:rsid w:val="00355C0D"/>
    <w:rsid w:val="003566A9"/>
    <w:rsid w:val="00356988"/>
    <w:rsid w:val="003569D3"/>
    <w:rsid w:val="00356CE9"/>
    <w:rsid w:val="003570BB"/>
    <w:rsid w:val="00357128"/>
    <w:rsid w:val="0035755E"/>
    <w:rsid w:val="00357A80"/>
    <w:rsid w:val="00361441"/>
    <w:rsid w:val="00361B8B"/>
    <w:rsid w:val="00363F39"/>
    <w:rsid w:val="0036445C"/>
    <w:rsid w:val="00364627"/>
    <w:rsid w:val="00364AB0"/>
    <w:rsid w:val="00364D71"/>
    <w:rsid w:val="003667B0"/>
    <w:rsid w:val="003667DD"/>
    <w:rsid w:val="00366B48"/>
    <w:rsid w:val="00367764"/>
    <w:rsid w:val="003701F7"/>
    <w:rsid w:val="00370316"/>
    <w:rsid w:val="00370DC7"/>
    <w:rsid w:val="00371CBD"/>
    <w:rsid w:val="00371F20"/>
    <w:rsid w:val="003721E3"/>
    <w:rsid w:val="00372B98"/>
    <w:rsid w:val="003737B7"/>
    <w:rsid w:val="003740CC"/>
    <w:rsid w:val="003745F4"/>
    <w:rsid w:val="00374E79"/>
    <w:rsid w:val="0037529A"/>
    <w:rsid w:val="00375388"/>
    <w:rsid w:val="00375FB9"/>
    <w:rsid w:val="00376170"/>
    <w:rsid w:val="00376851"/>
    <w:rsid w:val="00376FA2"/>
    <w:rsid w:val="00377A3B"/>
    <w:rsid w:val="00377E3C"/>
    <w:rsid w:val="00380BBE"/>
    <w:rsid w:val="00381D70"/>
    <w:rsid w:val="0038235E"/>
    <w:rsid w:val="003829D0"/>
    <w:rsid w:val="0038326A"/>
    <w:rsid w:val="0038444F"/>
    <w:rsid w:val="003861F0"/>
    <w:rsid w:val="00387051"/>
    <w:rsid w:val="00387ECF"/>
    <w:rsid w:val="0039021B"/>
    <w:rsid w:val="00390429"/>
    <w:rsid w:val="003906A0"/>
    <w:rsid w:val="0039366C"/>
    <w:rsid w:val="00393EC8"/>
    <w:rsid w:val="003950F5"/>
    <w:rsid w:val="0039538F"/>
    <w:rsid w:val="00395E42"/>
    <w:rsid w:val="00396409"/>
    <w:rsid w:val="00396A2D"/>
    <w:rsid w:val="00396FC3"/>
    <w:rsid w:val="003A1A94"/>
    <w:rsid w:val="003A204E"/>
    <w:rsid w:val="003A2D25"/>
    <w:rsid w:val="003A5728"/>
    <w:rsid w:val="003A60E7"/>
    <w:rsid w:val="003A7092"/>
    <w:rsid w:val="003A72A1"/>
    <w:rsid w:val="003A7611"/>
    <w:rsid w:val="003A7D1F"/>
    <w:rsid w:val="003B0B6A"/>
    <w:rsid w:val="003B22F7"/>
    <w:rsid w:val="003B29CF"/>
    <w:rsid w:val="003B3A90"/>
    <w:rsid w:val="003B534F"/>
    <w:rsid w:val="003B5E4F"/>
    <w:rsid w:val="003B7A79"/>
    <w:rsid w:val="003C0FE1"/>
    <w:rsid w:val="003C151A"/>
    <w:rsid w:val="003C350C"/>
    <w:rsid w:val="003C3903"/>
    <w:rsid w:val="003C3BA0"/>
    <w:rsid w:val="003C4580"/>
    <w:rsid w:val="003C5C5E"/>
    <w:rsid w:val="003C6746"/>
    <w:rsid w:val="003C7555"/>
    <w:rsid w:val="003C7898"/>
    <w:rsid w:val="003D0FF5"/>
    <w:rsid w:val="003D11A3"/>
    <w:rsid w:val="003D1537"/>
    <w:rsid w:val="003D183C"/>
    <w:rsid w:val="003D2D1B"/>
    <w:rsid w:val="003D48C7"/>
    <w:rsid w:val="003D4C27"/>
    <w:rsid w:val="003D7109"/>
    <w:rsid w:val="003D7CE8"/>
    <w:rsid w:val="003E0514"/>
    <w:rsid w:val="003E1032"/>
    <w:rsid w:val="003E1904"/>
    <w:rsid w:val="003E285E"/>
    <w:rsid w:val="003E3124"/>
    <w:rsid w:val="003E3300"/>
    <w:rsid w:val="003E43D3"/>
    <w:rsid w:val="003E48E1"/>
    <w:rsid w:val="003E59BB"/>
    <w:rsid w:val="003E6225"/>
    <w:rsid w:val="003E65AC"/>
    <w:rsid w:val="003E66AE"/>
    <w:rsid w:val="003E72B9"/>
    <w:rsid w:val="003E7ED4"/>
    <w:rsid w:val="003F0E52"/>
    <w:rsid w:val="003F0F6B"/>
    <w:rsid w:val="003F1FC6"/>
    <w:rsid w:val="003F1FE3"/>
    <w:rsid w:val="003F2359"/>
    <w:rsid w:val="003F3865"/>
    <w:rsid w:val="003F3D55"/>
    <w:rsid w:val="003F44E2"/>
    <w:rsid w:val="003F4632"/>
    <w:rsid w:val="003F47BA"/>
    <w:rsid w:val="003F4FE6"/>
    <w:rsid w:val="003F5638"/>
    <w:rsid w:val="003F6617"/>
    <w:rsid w:val="00402332"/>
    <w:rsid w:val="004025C2"/>
    <w:rsid w:val="00403195"/>
    <w:rsid w:val="004033A9"/>
    <w:rsid w:val="00403E55"/>
    <w:rsid w:val="0040407C"/>
    <w:rsid w:val="0040416C"/>
    <w:rsid w:val="00404681"/>
    <w:rsid w:val="00405AC1"/>
    <w:rsid w:val="00406923"/>
    <w:rsid w:val="0040763D"/>
    <w:rsid w:val="00410D17"/>
    <w:rsid w:val="00413442"/>
    <w:rsid w:val="00413821"/>
    <w:rsid w:val="00413BA5"/>
    <w:rsid w:val="004141A3"/>
    <w:rsid w:val="00414909"/>
    <w:rsid w:val="0041582F"/>
    <w:rsid w:val="00416112"/>
    <w:rsid w:val="00416AC8"/>
    <w:rsid w:val="00417AE0"/>
    <w:rsid w:val="00417BAA"/>
    <w:rsid w:val="0042042B"/>
    <w:rsid w:val="00420B45"/>
    <w:rsid w:val="00420D7A"/>
    <w:rsid w:val="00421257"/>
    <w:rsid w:val="00422193"/>
    <w:rsid w:val="004223DE"/>
    <w:rsid w:val="00422A10"/>
    <w:rsid w:val="00424D17"/>
    <w:rsid w:val="00425DFD"/>
    <w:rsid w:val="004263A3"/>
    <w:rsid w:val="00427713"/>
    <w:rsid w:val="00427CCC"/>
    <w:rsid w:val="0043013A"/>
    <w:rsid w:val="00430421"/>
    <w:rsid w:val="00430A36"/>
    <w:rsid w:val="00430B4F"/>
    <w:rsid w:val="00431084"/>
    <w:rsid w:val="004310D7"/>
    <w:rsid w:val="004322D6"/>
    <w:rsid w:val="00432589"/>
    <w:rsid w:val="00432A94"/>
    <w:rsid w:val="00432C95"/>
    <w:rsid w:val="00433827"/>
    <w:rsid w:val="00433A40"/>
    <w:rsid w:val="00434B70"/>
    <w:rsid w:val="004360C8"/>
    <w:rsid w:val="004371D5"/>
    <w:rsid w:val="0044006B"/>
    <w:rsid w:val="0044033F"/>
    <w:rsid w:val="00440630"/>
    <w:rsid w:val="00441F0F"/>
    <w:rsid w:val="00442965"/>
    <w:rsid w:val="00444157"/>
    <w:rsid w:val="0044417C"/>
    <w:rsid w:val="00444DB3"/>
    <w:rsid w:val="00445617"/>
    <w:rsid w:val="00445A2F"/>
    <w:rsid w:val="0044684E"/>
    <w:rsid w:val="00446F22"/>
    <w:rsid w:val="0045019F"/>
    <w:rsid w:val="004503A4"/>
    <w:rsid w:val="00450555"/>
    <w:rsid w:val="004506FA"/>
    <w:rsid w:val="00450DC6"/>
    <w:rsid w:val="004516A5"/>
    <w:rsid w:val="00451E9C"/>
    <w:rsid w:val="0045280F"/>
    <w:rsid w:val="004535AE"/>
    <w:rsid w:val="0045444D"/>
    <w:rsid w:val="0045463A"/>
    <w:rsid w:val="00454AC9"/>
    <w:rsid w:val="00455050"/>
    <w:rsid w:val="004554A3"/>
    <w:rsid w:val="00455A6E"/>
    <w:rsid w:val="00455EAD"/>
    <w:rsid w:val="00456783"/>
    <w:rsid w:val="004578EB"/>
    <w:rsid w:val="004604D5"/>
    <w:rsid w:val="00460697"/>
    <w:rsid w:val="0046117B"/>
    <w:rsid w:val="00464AB7"/>
    <w:rsid w:val="00465DE5"/>
    <w:rsid w:val="00467EF8"/>
    <w:rsid w:val="00472429"/>
    <w:rsid w:val="004725E5"/>
    <w:rsid w:val="00472751"/>
    <w:rsid w:val="00473128"/>
    <w:rsid w:val="00473263"/>
    <w:rsid w:val="00475078"/>
    <w:rsid w:val="00475767"/>
    <w:rsid w:val="004779A0"/>
    <w:rsid w:val="004808E3"/>
    <w:rsid w:val="00481016"/>
    <w:rsid w:val="0048204C"/>
    <w:rsid w:val="004821BB"/>
    <w:rsid w:val="004826FE"/>
    <w:rsid w:val="004827D5"/>
    <w:rsid w:val="00482AF2"/>
    <w:rsid w:val="004830C9"/>
    <w:rsid w:val="00483347"/>
    <w:rsid w:val="00483E2E"/>
    <w:rsid w:val="00484B69"/>
    <w:rsid w:val="00485406"/>
    <w:rsid w:val="0048590F"/>
    <w:rsid w:val="00486D60"/>
    <w:rsid w:val="00491FA1"/>
    <w:rsid w:val="00492A25"/>
    <w:rsid w:val="004938A3"/>
    <w:rsid w:val="0049558B"/>
    <w:rsid w:val="00496350"/>
    <w:rsid w:val="0049797C"/>
    <w:rsid w:val="004A00E1"/>
    <w:rsid w:val="004A0943"/>
    <w:rsid w:val="004A1405"/>
    <w:rsid w:val="004A1FC6"/>
    <w:rsid w:val="004A2E5F"/>
    <w:rsid w:val="004A38C2"/>
    <w:rsid w:val="004A3C03"/>
    <w:rsid w:val="004A3DB7"/>
    <w:rsid w:val="004A5088"/>
    <w:rsid w:val="004A5255"/>
    <w:rsid w:val="004A6CB0"/>
    <w:rsid w:val="004A70FF"/>
    <w:rsid w:val="004A7EDE"/>
    <w:rsid w:val="004B0D93"/>
    <w:rsid w:val="004B1FA4"/>
    <w:rsid w:val="004B29AC"/>
    <w:rsid w:val="004B35DF"/>
    <w:rsid w:val="004B3627"/>
    <w:rsid w:val="004B4922"/>
    <w:rsid w:val="004B57DF"/>
    <w:rsid w:val="004B5976"/>
    <w:rsid w:val="004B7137"/>
    <w:rsid w:val="004B722E"/>
    <w:rsid w:val="004B72E8"/>
    <w:rsid w:val="004C01A5"/>
    <w:rsid w:val="004C0412"/>
    <w:rsid w:val="004C1142"/>
    <w:rsid w:val="004C2138"/>
    <w:rsid w:val="004C3940"/>
    <w:rsid w:val="004C51FD"/>
    <w:rsid w:val="004C65A8"/>
    <w:rsid w:val="004C6689"/>
    <w:rsid w:val="004D139A"/>
    <w:rsid w:val="004D14DC"/>
    <w:rsid w:val="004D17C6"/>
    <w:rsid w:val="004D2858"/>
    <w:rsid w:val="004D2E49"/>
    <w:rsid w:val="004D35BA"/>
    <w:rsid w:val="004D38E5"/>
    <w:rsid w:val="004D3C5A"/>
    <w:rsid w:val="004D449A"/>
    <w:rsid w:val="004D4701"/>
    <w:rsid w:val="004D47C7"/>
    <w:rsid w:val="004D4F35"/>
    <w:rsid w:val="004D5D45"/>
    <w:rsid w:val="004D618D"/>
    <w:rsid w:val="004D62A9"/>
    <w:rsid w:val="004D6FC3"/>
    <w:rsid w:val="004D7476"/>
    <w:rsid w:val="004D7716"/>
    <w:rsid w:val="004E0306"/>
    <w:rsid w:val="004E0572"/>
    <w:rsid w:val="004E06D5"/>
    <w:rsid w:val="004E1641"/>
    <w:rsid w:val="004E1818"/>
    <w:rsid w:val="004E1990"/>
    <w:rsid w:val="004E25A8"/>
    <w:rsid w:val="004E3930"/>
    <w:rsid w:val="004E3ED9"/>
    <w:rsid w:val="004E5866"/>
    <w:rsid w:val="004E6097"/>
    <w:rsid w:val="004E61EF"/>
    <w:rsid w:val="004E63C6"/>
    <w:rsid w:val="004E76A7"/>
    <w:rsid w:val="004E7B03"/>
    <w:rsid w:val="004F0064"/>
    <w:rsid w:val="004F06AC"/>
    <w:rsid w:val="004F1D2A"/>
    <w:rsid w:val="004F243F"/>
    <w:rsid w:val="004F252C"/>
    <w:rsid w:val="004F36A3"/>
    <w:rsid w:val="004F3E0C"/>
    <w:rsid w:val="004F4308"/>
    <w:rsid w:val="004F7160"/>
    <w:rsid w:val="00500258"/>
    <w:rsid w:val="00500B2D"/>
    <w:rsid w:val="00501A99"/>
    <w:rsid w:val="00503180"/>
    <w:rsid w:val="005038A4"/>
    <w:rsid w:val="00505450"/>
    <w:rsid w:val="005100B7"/>
    <w:rsid w:val="005113C9"/>
    <w:rsid w:val="00512050"/>
    <w:rsid w:val="00512055"/>
    <w:rsid w:val="0051280C"/>
    <w:rsid w:val="00512842"/>
    <w:rsid w:val="005128BE"/>
    <w:rsid w:val="0051356F"/>
    <w:rsid w:val="00513E7C"/>
    <w:rsid w:val="005140BB"/>
    <w:rsid w:val="00514FBE"/>
    <w:rsid w:val="00514FD9"/>
    <w:rsid w:val="0051550A"/>
    <w:rsid w:val="0051608F"/>
    <w:rsid w:val="00520EF8"/>
    <w:rsid w:val="005210F7"/>
    <w:rsid w:val="00521753"/>
    <w:rsid w:val="0052239D"/>
    <w:rsid w:val="005224EE"/>
    <w:rsid w:val="005225F6"/>
    <w:rsid w:val="00522879"/>
    <w:rsid w:val="00523BB1"/>
    <w:rsid w:val="0052570E"/>
    <w:rsid w:val="005260CD"/>
    <w:rsid w:val="00526265"/>
    <w:rsid w:val="0052655D"/>
    <w:rsid w:val="005265E0"/>
    <w:rsid w:val="00526BC3"/>
    <w:rsid w:val="00531761"/>
    <w:rsid w:val="0053248F"/>
    <w:rsid w:val="0053332A"/>
    <w:rsid w:val="0053358A"/>
    <w:rsid w:val="00534668"/>
    <w:rsid w:val="00534DDD"/>
    <w:rsid w:val="00535291"/>
    <w:rsid w:val="00535A94"/>
    <w:rsid w:val="00537874"/>
    <w:rsid w:val="0053795F"/>
    <w:rsid w:val="00537D3D"/>
    <w:rsid w:val="00540511"/>
    <w:rsid w:val="00540578"/>
    <w:rsid w:val="00540808"/>
    <w:rsid w:val="0054080E"/>
    <w:rsid w:val="00540EA1"/>
    <w:rsid w:val="0054358E"/>
    <w:rsid w:val="00543AF4"/>
    <w:rsid w:val="00544191"/>
    <w:rsid w:val="0054440C"/>
    <w:rsid w:val="005448EC"/>
    <w:rsid w:val="00544C0A"/>
    <w:rsid w:val="00544F39"/>
    <w:rsid w:val="00546F90"/>
    <w:rsid w:val="00547EFB"/>
    <w:rsid w:val="005522F2"/>
    <w:rsid w:val="005531DF"/>
    <w:rsid w:val="00553874"/>
    <w:rsid w:val="00554577"/>
    <w:rsid w:val="00554AD8"/>
    <w:rsid w:val="00554F78"/>
    <w:rsid w:val="00555DA1"/>
    <w:rsid w:val="00556BF7"/>
    <w:rsid w:val="00557F60"/>
    <w:rsid w:val="00561730"/>
    <w:rsid w:val="00561B97"/>
    <w:rsid w:val="00562149"/>
    <w:rsid w:val="00567B5D"/>
    <w:rsid w:val="005706D5"/>
    <w:rsid w:val="00570757"/>
    <w:rsid w:val="00573733"/>
    <w:rsid w:val="00573F8B"/>
    <w:rsid w:val="00574554"/>
    <w:rsid w:val="00574E06"/>
    <w:rsid w:val="005751BB"/>
    <w:rsid w:val="00576089"/>
    <w:rsid w:val="005764B1"/>
    <w:rsid w:val="00576852"/>
    <w:rsid w:val="00576D06"/>
    <w:rsid w:val="00577287"/>
    <w:rsid w:val="005779E4"/>
    <w:rsid w:val="00577F9F"/>
    <w:rsid w:val="00580EC7"/>
    <w:rsid w:val="00581132"/>
    <w:rsid w:val="0058289C"/>
    <w:rsid w:val="005836C7"/>
    <w:rsid w:val="0058408E"/>
    <w:rsid w:val="00585374"/>
    <w:rsid w:val="005854CA"/>
    <w:rsid w:val="00585FAB"/>
    <w:rsid w:val="00590B77"/>
    <w:rsid w:val="00590D9A"/>
    <w:rsid w:val="005913A3"/>
    <w:rsid w:val="005940D4"/>
    <w:rsid w:val="00594A7B"/>
    <w:rsid w:val="0059580E"/>
    <w:rsid w:val="00595D90"/>
    <w:rsid w:val="00596A6F"/>
    <w:rsid w:val="00596FCE"/>
    <w:rsid w:val="005A11BC"/>
    <w:rsid w:val="005A1525"/>
    <w:rsid w:val="005A1E17"/>
    <w:rsid w:val="005A232F"/>
    <w:rsid w:val="005A252B"/>
    <w:rsid w:val="005A2A8F"/>
    <w:rsid w:val="005A3204"/>
    <w:rsid w:val="005A3341"/>
    <w:rsid w:val="005A3C3D"/>
    <w:rsid w:val="005A46EC"/>
    <w:rsid w:val="005A5EAE"/>
    <w:rsid w:val="005A6407"/>
    <w:rsid w:val="005A726C"/>
    <w:rsid w:val="005B07EC"/>
    <w:rsid w:val="005B2B11"/>
    <w:rsid w:val="005B32A4"/>
    <w:rsid w:val="005B3371"/>
    <w:rsid w:val="005B338D"/>
    <w:rsid w:val="005B36D7"/>
    <w:rsid w:val="005B3BAF"/>
    <w:rsid w:val="005B4DA3"/>
    <w:rsid w:val="005B5BEE"/>
    <w:rsid w:val="005B77D2"/>
    <w:rsid w:val="005C019B"/>
    <w:rsid w:val="005C08D0"/>
    <w:rsid w:val="005C1AED"/>
    <w:rsid w:val="005C30F5"/>
    <w:rsid w:val="005C51A5"/>
    <w:rsid w:val="005C557A"/>
    <w:rsid w:val="005C566F"/>
    <w:rsid w:val="005C5C47"/>
    <w:rsid w:val="005C61DD"/>
    <w:rsid w:val="005C6438"/>
    <w:rsid w:val="005C6B8B"/>
    <w:rsid w:val="005C727F"/>
    <w:rsid w:val="005D02E3"/>
    <w:rsid w:val="005D1F34"/>
    <w:rsid w:val="005D2C1F"/>
    <w:rsid w:val="005D2DE8"/>
    <w:rsid w:val="005D34B2"/>
    <w:rsid w:val="005D3B54"/>
    <w:rsid w:val="005D40CD"/>
    <w:rsid w:val="005D6B59"/>
    <w:rsid w:val="005D784B"/>
    <w:rsid w:val="005E03E4"/>
    <w:rsid w:val="005E0454"/>
    <w:rsid w:val="005E05F6"/>
    <w:rsid w:val="005E2442"/>
    <w:rsid w:val="005E3111"/>
    <w:rsid w:val="005E3F85"/>
    <w:rsid w:val="005E4A5F"/>
    <w:rsid w:val="005E57B0"/>
    <w:rsid w:val="005E5B01"/>
    <w:rsid w:val="005E6D3B"/>
    <w:rsid w:val="005F009E"/>
    <w:rsid w:val="005F0DF1"/>
    <w:rsid w:val="005F1516"/>
    <w:rsid w:val="005F229E"/>
    <w:rsid w:val="005F2564"/>
    <w:rsid w:val="005F2D0F"/>
    <w:rsid w:val="005F3822"/>
    <w:rsid w:val="005F4635"/>
    <w:rsid w:val="005F4900"/>
    <w:rsid w:val="005F4E52"/>
    <w:rsid w:val="005F6D58"/>
    <w:rsid w:val="005F7383"/>
    <w:rsid w:val="0060058E"/>
    <w:rsid w:val="00601F77"/>
    <w:rsid w:val="00602A3C"/>
    <w:rsid w:val="00603E47"/>
    <w:rsid w:val="00603EFD"/>
    <w:rsid w:val="0060475B"/>
    <w:rsid w:val="00604BED"/>
    <w:rsid w:val="00604FB6"/>
    <w:rsid w:val="00605387"/>
    <w:rsid w:val="00606302"/>
    <w:rsid w:val="006076FD"/>
    <w:rsid w:val="0061143F"/>
    <w:rsid w:val="006114D8"/>
    <w:rsid w:val="00613553"/>
    <w:rsid w:val="00613601"/>
    <w:rsid w:val="00613791"/>
    <w:rsid w:val="006150D6"/>
    <w:rsid w:val="00615245"/>
    <w:rsid w:val="0061590D"/>
    <w:rsid w:val="0061641E"/>
    <w:rsid w:val="00617EEE"/>
    <w:rsid w:val="00620A1F"/>
    <w:rsid w:val="006214DE"/>
    <w:rsid w:val="0062169D"/>
    <w:rsid w:val="0062181E"/>
    <w:rsid w:val="0062211B"/>
    <w:rsid w:val="00622BB7"/>
    <w:rsid w:val="00622C1E"/>
    <w:rsid w:val="00623389"/>
    <w:rsid w:val="00623DAA"/>
    <w:rsid w:val="00623FAF"/>
    <w:rsid w:val="006265C4"/>
    <w:rsid w:val="0062678A"/>
    <w:rsid w:val="006270AF"/>
    <w:rsid w:val="00634367"/>
    <w:rsid w:val="00640082"/>
    <w:rsid w:val="00640291"/>
    <w:rsid w:val="00640EFE"/>
    <w:rsid w:val="00641D6D"/>
    <w:rsid w:val="00641FAC"/>
    <w:rsid w:val="00643664"/>
    <w:rsid w:val="00643CAA"/>
    <w:rsid w:val="00644F16"/>
    <w:rsid w:val="006455EB"/>
    <w:rsid w:val="006456C2"/>
    <w:rsid w:val="00645A65"/>
    <w:rsid w:val="006477F0"/>
    <w:rsid w:val="006478E4"/>
    <w:rsid w:val="0065171A"/>
    <w:rsid w:val="00652680"/>
    <w:rsid w:val="00653CDE"/>
    <w:rsid w:val="00654585"/>
    <w:rsid w:val="00655AB6"/>
    <w:rsid w:val="00656281"/>
    <w:rsid w:val="0065636A"/>
    <w:rsid w:val="00657003"/>
    <w:rsid w:val="00660238"/>
    <w:rsid w:val="006602EF"/>
    <w:rsid w:val="00661277"/>
    <w:rsid w:val="006619E0"/>
    <w:rsid w:val="00663FEA"/>
    <w:rsid w:val="00664803"/>
    <w:rsid w:val="006657C5"/>
    <w:rsid w:val="006661A4"/>
    <w:rsid w:val="00666AC0"/>
    <w:rsid w:val="006670E0"/>
    <w:rsid w:val="006671B8"/>
    <w:rsid w:val="00667275"/>
    <w:rsid w:val="00667532"/>
    <w:rsid w:val="0066783E"/>
    <w:rsid w:val="00667E53"/>
    <w:rsid w:val="006711C4"/>
    <w:rsid w:val="006713AB"/>
    <w:rsid w:val="00672CA5"/>
    <w:rsid w:val="00673711"/>
    <w:rsid w:val="00673F82"/>
    <w:rsid w:val="00674F74"/>
    <w:rsid w:val="0067508F"/>
    <w:rsid w:val="00677576"/>
    <w:rsid w:val="0068051E"/>
    <w:rsid w:val="00680B9D"/>
    <w:rsid w:val="00681F13"/>
    <w:rsid w:val="0068231C"/>
    <w:rsid w:val="00682344"/>
    <w:rsid w:val="00682F28"/>
    <w:rsid w:val="00683515"/>
    <w:rsid w:val="00684842"/>
    <w:rsid w:val="006859AA"/>
    <w:rsid w:val="00685BD6"/>
    <w:rsid w:val="00687116"/>
    <w:rsid w:val="006878A6"/>
    <w:rsid w:val="00687D5F"/>
    <w:rsid w:val="00690437"/>
    <w:rsid w:val="00690DC3"/>
    <w:rsid w:val="00690E65"/>
    <w:rsid w:val="006911B7"/>
    <w:rsid w:val="00691387"/>
    <w:rsid w:val="0069188E"/>
    <w:rsid w:val="00691974"/>
    <w:rsid w:val="00692BF6"/>
    <w:rsid w:val="00692CE6"/>
    <w:rsid w:val="00693186"/>
    <w:rsid w:val="00693381"/>
    <w:rsid w:val="00693B6C"/>
    <w:rsid w:val="006942AE"/>
    <w:rsid w:val="00695421"/>
    <w:rsid w:val="00697BD3"/>
    <w:rsid w:val="00697DFA"/>
    <w:rsid w:val="006A16D5"/>
    <w:rsid w:val="006A1740"/>
    <w:rsid w:val="006A1772"/>
    <w:rsid w:val="006A1780"/>
    <w:rsid w:val="006A21DD"/>
    <w:rsid w:val="006A26C6"/>
    <w:rsid w:val="006A3302"/>
    <w:rsid w:val="006A3B28"/>
    <w:rsid w:val="006A4FEE"/>
    <w:rsid w:val="006A703E"/>
    <w:rsid w:val="006A7BE3"/>
    <w:rsid w:val="006A7D32"/>
    <w:rsid w:val="006B01D1"/>
    <w:rsid w:val="006B0DF4"/>
    <w:rsid w:val="006B0E2B"/>
    <w:rsid w:val="006B16EA"/>
    <w:rsid w:val="006B1780"/>
    <w:rsid w:val="006B224E"/>
    <w:rsid w:val="006B376E"/>
    <w:rsid w:val="006B4589"/>
    <w:rsid w:val="006B610E"/>
    <w:rsid w:val="006B643B"/>
    <w:rsid w:val="006B6805"/>
    <w:rsid w:val="006B6DE0"/>
    <w:rsid w:val="006C16C3"/>
    <w:rsid w:val="006C2187"/>
    <w:rsid w:val="006C32F4"/>
    <w:rsid w:val="006C3C54"/>
    <w:rsid w:val="006C4B6B"/>
    <w:rsid w:val="006C4F9F"/>
    <w:rsid w:val="006C71A2"/>
    <w:rsid w:val="006C73EC"/>
    <w:rsid w:val="006D0C1D"/>
    <w:rsid w:val="006D2E9D"/>
    <w:rsid w:val="006D4A4E"/>
    <w:rsid w:val="006D4C42"/>
    <w:rsid w:val="006D5389"/>
    <w:rsid w:val="006D5809"/>
    <w:rsid w:val="006D607E"/>
    <w:rsid w:val="006D6781"/>
    <w:rsid w:val="006D6E12"/>
    <w:rsid w:val="006D70CB"/>
    <w:rsid w:val="006D715C"/>
    <w:rsid w:val="006D7363"/>
    <w:rsid w:val="006D774E"/>
    <w:rsid w:val="006D7EA2"/>
    <w:rsid w:val="006E0754"/>
    <w:rsid w:val="006E10BB"/>
    <w:rsid w:val="006E2668"/>
    <w:rsid w:val="006E2D39"/>
    <w:rsid w:val="006E32B0"/>
    <w:rsid w:val="006E348E"/>
    <w:rsid w:val="006E396A"/>
    <w:rsid w:val="006E3D63"/>
    <w:rsid w:val="006E58BF"/>
    <w:rsid w:val="006E5DD8"/>
    <w:rsid w:val="006E5EA1"/>
    <w:rsid w:val="006E6DEE"/>
    <w:rsid w:val="006E7D4B"/>
    <w:rsid w:val="006F0760"/>
    <w:rsid w:val="006F11E2"/>
    <w:rsid w:val="006F2574"/>
    <w:rsid w:val="006F3221"/>
    <w:rsid w:val="006F3231"/>
    <w:rsid w:val="006F3DE3"/>
    <w:rsid w:val="006F4787"/>
    <w:rsid w:val="006F5C43"/>
    <w:rsid w:val="006F61D8"/>
    <w:rsid w:val="006F62B7"/>
    <w:rsid w:val="006F70BC"/>
    <w:rsid w:val="006F734B"/>
    <w:rsid w:val="006F7E7C"/>
    <w:rsid w:val="0070174E"/>
    <w:rsid w:val="007018DB"/>
    <w:rsid w:val="00701DE6"/>
    <w:rsid w:val="00702740"/>
    <w:rsid w:val="0070381B"/>
    <w:rsid w:val="007076DD"/>
    <w:rsid w:val="0070796C"/>
    <w:rsid w:val="007109BB"/>
    <w:rsid w:val="00710EBF"/>
    <w:rsid w:val="007110B8"/>
    <w:rsid w:val="0071209F"/>
    <w:rsid w:val="007125A2"/>
    <w:rsid w:val="00713DD9"/>
    <w:rsid w:val="00713F79"/>
    <w:rsid w:val="007148A8"/>
    <w:rsid w:val="00716AC8"/>
    <w:rsid w:val="00716E54"/>
    <w:rsid w:val="00717421"/>
    <w:rsid w:val="0072033C"/>
    <w:rsid w:val="00720B1B"/>
    <w:rsid w:val="00721062"/>
    <w:rsid w:val="00721E5D"/>
    <w:rsid w:val="007229D4"/>
    <w:rsid w:val="007230F8"/>
    <w:rsid w:val="007233F4"/>
    <w:rsid w:val="00724044"/>
    <w:rsid w:val="007248D3"/>
    <w:rsid w:val="00724DF8"/>
    <w:rsid w:val="00725137"/>
    <w:rsid w:val="00725378"/>
    <w:rsid w:val="00727A43"/>
    <w:rsid w:val="00727FF2"/>
    <w:rsid w:val="00730550"/>
    <w:rsid w:val="00730C2A"/>
    <w:rsid w:val="00731434"/>
    <w:rsid w:val="00731E59"/>
    <w:rsid w:val="007323E0"/>
    <w:rsid w:val="00732911"/>
    <w:rsid w:val="00733721"/>
    <w:rsid w:val="00733DE2"/>
    <w:rsid w:val="007352EA"/>
    <w:rsid w:val="0073625F"/>
    <w:rsid w:val="0073792F"/>
    <w:rsid w:val="00740C81"/>
    <w:rsid w:val="00740DA6"/>
    <w:rsid w:val="00741B4B"/>
    <w:rsid w:val="00741D1E"/>
    <w:rsid w:val="00741DD6"/>
    <w:rsid w:val="00741EE2"/>
    <w:rsid w:val="0074207F"/>
    <w:rsid w:val="00742367"/>
    <w:rsid w:val="00742EAA"/>
    <w:rsid w:val="00743360"/>
    <w:rsid w:val="00743818"/>
    <w:rsid w:val="00743857"/>
    <w:rsid w:val="007441FB"/>
    <w:rsid w:val="00744517"/>
    <w:rsid w:val="0074522A"/>
    <w:rsid w:val="00747295"/>
    <w:rsid w:val="00747829"/>
    <w:rsid w:val="00747DE2"/>
    <w:rsid w:val="007504BF"/>
    <w:rsid w:val="007506CD"/>
    <w:rsid w:val="0075267F"/>
    <w:rsid w:val="007526EC"/>
    <w:rsid w:val="007527F7"/>
    <w:rsid w:val="00753C48"/>
    <w:rsid w:val="00753ED8"/>
    <w:rsid w:val="00754250"/>
    <w:rsid w:val="00754FE4"/>
    <w:rsid w:val="00755216"/>
    <w:rsid w:val="00756236"/>
    <w:rsid w:val="00756271"/>
    <w:rsid w:val="00756348"/>
    <w:rsid w:val="00756521"/>
    <w:rsid w:val="00756AB7"/>
    <w:rsid w:val="0076106D"/>
    <w:rsid w:val="007623FB"/>
    <w:rsid w:val="00762517"/>
    <w:rsid w:val="00763240"/>
    <w:rsid w:val="0076376A"/>
    <w:rsid w:val="007648AD"/>
    <w:rsid w:val="0076504E"/>
    <w:rsid w:val="00767BFD"/>
    <w:rsid w:val="00767EA0"/>
    <w:rsid w:val="0077068F"/>
    <w:rsid w:val="00771EDF"/>
    <w:rsid w:val="00772A90"/>
    <w:rsid w:val="00772F8D"/>
    <w:rsid w:val="0077408D"/>
    <w:rsid w:val="00774270"/>
    <w:rsid w:val="007743F6"/>
    <w:rsid w:val="00775679"/>
    <w:rsid w:val="0077574F"/>
    <w:rsid w:val="00775823"/>
    <w:rsid w:val="00775EEA"/>
    <w:rsid w:val="007777CC"/>
    <w:rsid w:val="00777B32"/>
    <w:rsid w:val="0078051E"/>
    <w:rsid w:val="00780B59"/>
    <w:rsid w:val="00781089"/>
    <w:rsid w:val="007838F3"/>
    <w:rsid w:val="007856FE"/>
    <w:rsid w:val="00785F46"/>
    <w:rsid w:val="007865F4"/>
    <w:rsid w:val="00786D5C"/>
    <w:rsid w:val="00786E96"/>
    <w:rsid w:val="00787DFF"/>
    <w:rsid w:val="00787F93"/>
    <w:rsid w:val="00791E6D"/>
    <w:rsid w:val="00791EB5"/>
    <w:rsid w:val="00791FF2"/>
    <w:rsid w:val="00793696"/>
    <w:rsid w:val="007955DA"/>
    <w:rsid w:val="00796F65"/>
    <w:rsid w:val="007A11C2"/>
    <w:rsid w:val="007A18BB"/>
    <w:rsid w:val="007A27DD"/>
    <w:rsid w:val="007A41BF"/>
    <w:rsid w:val="007A490A"/>
    <w:rsid w:val="007A7B95"/>
    <w:rsid w:val="007B0297"/>
    <w:rsid w:val="007B02FA"/>
    <w:rsid w:val="007B0F53"/>
    <w:rsid w:val="007B21AE"/>
    <w:rsid w:val="007B2570"/>
    <w:rsid w:val="007B3113"/>
    <w:rsid w:val="007B3304"/>
    <w:rsid w:val="007B7490"/>
    <w:rsid w:val="007C0525"/>
    <w:rsid w:val="007C13F7"/>
    <w:rsid w:val="007C218D"/>
    <w:rsid w:val="007C2D28"/>
    <w:rsid w:val="007C3E22"/>
    <w:rsid w:val="007C5B90"/>
    <w:rsid w:val="007C6218"/>
    <w:rsid w:val="007C6484"/>
    <w:rsid w:val="007C67C6"/>
    <w:rsid w:val="007C78BE"/>
    <w:rsid w:val="007C7E59"/>
    <w:rsid w:val="007D0476"/>
    <w:rsid w:val="007D0B91"/>
    <w:rsid w:val="007D1386"/>
    <w:rsid w:val="007D1452"/>
    <w:rsid w:val="007D3DCB"/>
    <w:rsid w:val="007D460C"/>
    <w:rsid w:val="007D4996"/>
    <w:rsid w:val="007D4AD3"/>
    <w:rsid w:val="007D5D19"/>
    <w:rsid w:val="007D5FDC"/>
    <w:rsid w:val="007D6176"/>
    <w:rsid w:val="007D6D68"/>
    <w:rsid w:val="007E32DA"/>
    <w:rsid w:val="007E4998"/>
    <w:rsid w:val="007E4A9C"/>
    <w:rsid w:val="007E6914"/>
    <w:rsid w:val="007E7884"/>
    <w:rsid w:val="007E7F78"/>
    <w:rsid w:val="007F0179"/>
    <w:rsid w:val="007F2C13"/>
    <w:rsid w:val="007F2CEC"/>
    <w:rsid w:val="007F3435"/>
    <w:rsid w:val="007F4BBE"/>
    <w:rsid w:val="007F4D1C"/>
    <w:rsid w:val="007F55DE"/>
    <w:rsid w:val="007F762D"/>
    <w:rsid w:val="007F78F0"/>
    <w:rsid w:val="007F78FF"/>
    <w:rsid w:val="008001C5"/>
    <w:rsid w:val="00800F6C"/>
    <w:rsid w:val="00801065"/>
    <w:rsid w:val="00802C0B"/>
    <w:rsid w:val="008051FC"/>
    <w:rsid w:val="008055A9"/>
    <w:rsid w:val="008056C4"/>
    <w:rsid w:val="008057FD"/>
    <w:rsid w:val="00805D8B"/>
    <w:rsid w:val="00810BB6"/>
    <w:rsid w:val="00810E8E"/>
    <w:rsid w:val="00812C44"/>
    <w:rsid w:val="008135E1"/>
    <w:rsid w:val="00813779"/>
    <w:rsid w:val="00813E26"/>
    <w:rsid w:val="0081481D"/>
    <w:rsid w:val="00814BE8"/>
    <w:rsid w:val="00814F6E"/>
    <w:rsid w:val="00815363"/>
    <w:rsid w:val="00815B84"/>
    <w:rsid w:val="00816BE9"/>
    <w:rsid w:val="0082027C"/>
    <w:rsid w:val="00822518"/>
    <w:rsid w:val="008226F5"/>
    <w:rsid w:val="00823FC6"/>
    <w:rsid w:val="00824306"/>
    <w:rsid w:val="00825C74"/>
    <w:rsid w:val="00825CFA"/>
    <w:rsid w:val="00826AB9"/>
    <w:rsid w:val="00826E0E"/>
    <w:rsid w:val="00827D11"/>
    <w:rsid w:val="00827E0F"/>
    <w:rsid w:val="00827F6E"/>
    <w:rsid w:val="00831758"/>
    <w:rsid w:val="008317D9"/>
    <w:rsid w:val="0083279F"/>
    <w:rsid w:val="008334DB"/>
    <w:rsid w:val="00833B7F"/>
    <w:rsid w:val="00833E8E"/>
    <w:rsid w:val="00834906"/>
    <w:rsid w:val="00836075"/>
    <w:rsid w:val="00836417"/>
    <w:rsid w:val="00836A3E"/>
    <w:rsid w:val="00837526"/>
    <w:rsid w:val="008407A7"/>
    <w:rsid w:val="0084322B"/>
    <w:rsid w:val="00843F81"/>
    <w:rsid w:val="00844087"/>
    <w:rsid w:val="00844526"/>
    <w:rsid w:val="008448F1"/>
    <w:rsid w:val="0084519E"/>
    <w:rsid w:val="00845CAE"/>
    <w:rsid w:val="00846370"/>
    <w:rsid w:val="008477E7"/>
    <w:rsid w:val="00847C2B"/>
    <w:rsid w:val="00850272"/>
    <w:rsid w:val="008506B9"/>
    <w:rsid w:val="00851822"/>
    <w:rsid w:val="008532BF"/>
    <w:rsid w:val="008539B2"/>
    <w:rsid w:val="00853BF4"/>
    <w:rsid w:val="00854294"/>
    <w:rsid w:val="0085572E"/>
    <w:rsid w:val="0085788B"/>
    <w:rsid w:val="00857A9E"/>
    <w:rsid w:val="00857DE2"/>
    <w:rsid w:val="00863A8E"/>
    <w:rsid w:val="0086407F"/>
    <w:rsid w:val="008645E3"/>
    <w:rsid w:val="00864E79"/>
    <w:rsid w:val="008655D2"/>
    <w:rsid w:val="0086661F"/>
    <w:rsid w:val="00866A0D"/>
    <w:rsid w:val="00866DB5"/>
    <w:rsid w:val="0086701D"/>
    <w:rsid w:val="0086702B"/>
    <w:rsid w:val="008672E2"/>
    <w:rsid w:val="0086784E"/>
    <w:rsid w:val="0087121C"/>
    <w:rsid w:val="00871FD2"/>
    <w:rsid w:val="00872084"/>
    <w:rsid w:val="00872827"/>
    <w:rsid w:val="00872A32"/>
    <w:rsid w:val="00874911"/>
    <w:rsid w:val="008754E4"/>
    <w:rsid w:val="00876EAE"/>
    <w:rsid w:val="00880106"/>
    <w:rsid w:val="00880F95"/>
    <w:rsid w:val="00882B44"/>
    <w:rsid w:val="008838AD"/>
    <w:rsid w:val="008864B3"/>
    <w:rsid w:val="008865E5"/>
    <w:rsid w:val="008871B0"/>
    <w:rsid w:val="00890B57"/>
    <w:rsid w:val="008916BA"/>
    <w:rsid w:val="0089217C"/>
    <w:rsid w:val="00892790"/>
    <w:rsid w:val="008931DA"/>
    <w:rsid w:val="00893671"/>
    <w:rsid w:val="008946DC"/>
    <w:rsid w:val="00895838"/>
    <w:rsid w:val="00895A1E"/>
    <w:rsid w:val="00895A72"/>
    <w:rsid w:val="00895CDF"/>
    <w:rsid w:val="00896679"/>
    <w:rsid w:val="00896D8C"/>
    <w:rsid w:val="008A05A7"/>
    <w:rsid w:val="008A0FC9"/>
    <w:rsid w:val="008A1956"/>
    <w:rsid w:val="008A1A7C"/>
    <w:rsid w:val="008A2CE2"/>
    <w:rsid w:val="008A40D3"/>
    <w:rsid w:val="008A469C"/>
    <w:rsid w:val="008A51D1"/>
    <w:rsid w:val="008A5DCE"/>
    <w:rsid w:val="008A75D3"/>
    <w:rsid w:val="008B00D4"/>
    <w:rsid w:val="008B05DD"/>
    <w:rsid w:val="008B07B8"/>
    <w:rsid w:val="008B17E8"/>
    <w:rsid w:val="008B2E7C"/>
    <w:rsid w:val="008B321A"/>
    <w:rsid w:val="008B399A"/>
    <w:rsid w:val="008B45F0"/>
    <w:rsid w:val="008B4A70"/>
    <w:rsid w:val="008B502F"/>
    <w:rsid w:val="008B6DFC"/>
    <w:rsid w:val="008B7227"/>
    <w:rsid w:val="008C02FB"/>
    <w:rsid w:val="008C04E0"/>
    <w:rsid w:val="008C191C"/>
    <w:rsid w:val="008C1DA4"/>
    <w:rsid w:val="008C29B0"/>
    <w:rsid w:val="008C2CD5"/>
    <w:rsid w:val="008C3618"/>
    <w:rsid w:val="008C39E7"/>
    <w:rsid w:val="008C43AD"/>
    <w:rsid w:val="008C6118"/>
    <w:rsid w:val="008C6341"/>
    <w:rsid w:val="008C731F"/>
    <w:rsid w:val="008C74D9"/>
    <w:rsid w:val="008D03C2"/>
    <w:rsid w:val="008D12FB"/>
    <w:rsid w:val="008D3B2D"/>
    <w:rsid w:val="008D58D9"/>
    <w:rsid w:val="008D5AD4"/>
    <w:rsid w:val="008D695E"/>
    <w:rsid w:val="008D6DD5"/>
    <w:rsid w:val="008D6E59"/>
    <w:rsid w:val="008D7155"/>
    <w:rsid w:val="008D76E0"/>
    <w:rsid w:val="008E09F2"/>
    <w:rsid w:val="008E0B29"/>
    <w:rsid w:val="008E141A"/>
    <w:rsid w:val="008E1A44"/>
    <w:rsid w:val="008E1E55"/>
    <w:rsid w:val="008E28E6"/>
    <w:rsid w:val="008E3232"/>
    <w:rsid w:val="008E3674"/>
    <w:rsid w:val="008E3B6C"/>
    <w:rsid w:val="008E3DE7"/>
    <w:rsid w:val="008E562C"/>
    <w:rsid w:val="008E6540"/>
    <w:rsid w:val="008E6D26"/>
    <w:rsid w:val="008E77D4"/>
    <w:rsid w:val="008E7ADD"/>
    <w:rsid w:val="008F091F"/>
    <w:rsid w:val="008F17B2"/>
    <w:rsid w:val="008F22B3"/>
    <w:rsid w:val="008F357B"/>
    <w:rsid w:val="008F44CA"/>
    <w:rsid w:val="008F49D3"/>
    <w:rsid w:val="008F62C1"/>
    <w:rsid w:val="008F6519"/>
    <w:rsid w:val="008F7012"/>
    <w:rsid w:val="008F7ADA"/>
    <w:rsid w:val="008F7B17"/>
    <w:rsid w:val="00900042"/>
    <w:rsid w:val="0090034B"/>
    <w:rsid w:val="00901121"/>
    <w:rsid w:val="00902623"/>
    <w:rsid w:val="00902A67"/>
    <w:rsid w:val="00902C5E"/>
    <w:rsid w:val="00904BE4"/>
    <w:rsid w:val="0090504A"/>
    <w:rsid w:val="009051F5"/>
    <w:rsid w:val="00905221"/>
    <w:rsid w:val="00905A7C"/>
    <w:rsid w:val="00905D7E"/>
    <w:rsid w:val="00907037"/>
    <w:rsid w:val="0091112C"/>
    <w:rsid w:val="0091160A"/>
    <w:rsid w:val="00912E04"/>
    <w:rsid w:val="00913258"/>
    <w:rsid w:val="00913851"/>
    <w:rsid w:val="00913BB0"/>
    <w:rsid w:val="0091456C"/>
    <w:rsid w:val="00914C58"/>
    <w:rsid w:val="0091564D"/>
    <w:rsid w:val="009156DA"/>
    <w:rsid w:val="00915774"/>
    <w:rsid w:val="00916BC5"/>
    <w:rsid w:val="0091726A"/>
    <w:rsid w:val="00917C01"/>
    <w:rsid w:val="00920184"/>
    <w:rsid w:val="00920EA4"/>
    <w:rsid w:val="00921792"/>
    <w:rsid w:val="00921BEA"/>
    <w:rsid w:val="009227BE"/>
    <w:rsid w:val="009238FD"/>
    <w:rsid w:val="00923998"/>
    <w:rsid w:val="00923DB4"/>
    <w:rsid w:val="0092420B"/>
    <w:rsid w:val="0092430E"/>
    <w:rsid w:val="00924570"/>
    <w:rsid w:val="00926112"/>
    <w:rsid w:val="0092625F"/>
    <w:rsid w:val="00926B28"/>
    <w:rsid w:val="00926D9C"/>
    <w:rsid w:val="00927028"/>
    <w:rsid w:val="00927763"/>
    <w:rsid w:val="00927A2D"/>
    <w:rsid w:val="00927B37"/>
    <w:rsid w:val="00931917"/>
    <w:rsid w:val="009321B1"/>
    <w:rsid w:val="00932ED7"/>
    <w:rsid w:val="009333CF"/>
    <w:rsid w:val="0093422D"/>
    <w:rsid w:val="0093483B"/>
    <w:rsid w:val="00934CF9"/>
    <w:rsid w:val="00934DD7"/>
    <w:rsid w:val="009369A9"/>
    <w:rsid w:val="00936CF7"/>
    <w:rsid w:val="00937783"/>
    <w:rsid w:val="00937EAD"/>
    <w:rsid w:val="00937F28"/>
    <w:rsid w:val="00940FE1"/>
    <w:rsid w:val="00942306"/>
    <w:rsid w:val="00942384"/>
    <w:rsid w:val="009424B8"/>
    <w:rsid w:val="00944668"/>
    <w:rsid w:val="00944DC6"/>
    <w:rsid w:val="009458B0"/>
    <w:rsid w:val="00945B52"/>
    <w:rsid w:val="00945B7A"/>
    <w:rsid w:val="00945F05"/>
    <w:rsid w:val="00946348"/>
    <w:rsid w:val="00947797"/>
    <w:rsid w:val="009478A2"/>
    <w:rsid w:val="00953808"/>
    <w:rsid w:val="009539A6"/>
    <w:rsid w:val="00954032"/>
    <w:rsid w:val="00954537"/>
    <w:rsid w:val="0095472D"/>
    <w:rsid w:val="00955FBB"/>
    <w:rsid w:val="0095694B"/>
    <w:rsid w:val="00956BD5"/>
    <w:rsid w:val="00956D84"/>
    <w:rsid w:val="009577B5"/>
    <w:rsid w:val="00960110"/>
    <w:rsid w:val="009608E6"/>
    <w:rsid w:val="00960F57"/>
    <w:rsid w:val="00961C90"/>
    <w:rsid w:val="00965443"/>
    <w:rsid w:val="00965954"/>
    <w:rsid w:val="00965A21"/>
    <w:rsid w:val="00965E55"/>
    <w:rsid w:val="0096608E"/>
    <w:rsid w:val="00966522"/>
    <w:rsid w:val="00966C33"/>
    <w:rsid w:val="00966FCB"/>
    <w:rsid w:val="00967285"/>
    <w:rsid w:val="00970F18"/>
    <w:rsid w:val="00971CF1"/>
    <w:rsid w:val="00971F5D"/>
    <w:rsid w:val="009721E9"/>
    <w:rsid w:val="00973772"/>
    <w:rsid w:val="0097471B"/>
    <w:rsid w:val="0097560A"/>
    <w:rsid w:val="00975E1E"/>
    <w:rsid w:val="00975E70"/>
    <w:rsid w:val="009761DE"/>
    <w:rsid w:val="009766FA"/>
    <w:rsid w:val="00977CD6"/>
    <w:rsid w:val="0098048B"/>
    <w:rsid w:val="00980DF9"/>
    <w:rsid w:val="00981150"/>
    <w:rsid w:val="0098243D"/>
    <w:rsid w:val="00982D26"/>
    <w:rsid w:val="00983B6E"/>
    <w:rsid w:val="00983FE5"/>
    <w:rsid w:val="009849E9"/>
    <w:rsid w:val="009859E4"/>
    <w:rsid w:val="00987812"/>
    <w:rsid w:val="00990225"/>
    <w:rsid w:val="00992A13"/>
    <w:rsid w:val="00994AAD"/>
    <w:rsid w:val="00994DE1"/>
    <w:rsid w:val="00995150"/>
    <w:rsid w:val="00995D67"/>
    <w:rsid w:val="009A013B"/>
    <w:rsid w:val="009A02F4"/>
    <w:rsid w:val="009A06BF"/>
    <w:rsid w:val="009A0D17"/>
    <w:rsid w:val="009A2494"/>
    <w:rsid w:val="009A32B1"/>
    <w:rsid w:val="009A33A3"/>
    <w:rsid w:val="009A36F2"/>
    <w:rsid w:val="009A40C3"/>
    <w:rsid w:val="009A40D5"/>
    <w:rsid w:val="009A57D0"/>
    <w:rsid w:val="009A6559"/>
    <w:rsid w:val="009A68FC"/>
    <w:rsid w:val="009A6CE4"/>
    <w:rsid w:val="009A7514"/>
    <w:rsid w:val="009A7E7A"/>
    <w:rsid w:val="009B1584"/>
    <w:rsid w:val="009B18F0"/>
    <w:rsid w:val="009B1F4C"/>
    <w:rsid w:val="009B2471"/>
    <w:rsid w:val="009B314F"/>
    <w:rsid w:val="009B439C"/>
    <w:rsid w:val="009B46BC"/>
    <w:rsid w:val="009B49A1"/>
    <w:rsid w:val="009B4A6C"/>
    <w:rsid w:val="009B4DA8"/>
    <w:rsid w:val="009B519A"/>
    <w:rsid w:val="009B620C"/>
    <w:rsid w:val="009B6753"/>
    <w:rsid w:val="009B676C"/>
    <w:rsid w:val="009B6A26"/>
    <w:rsid w:val="009C079D"/>
    <w:rsid w:val="009C0D70"/>
    <w:rsid w:val="009C13D1"/>
    <w:rsid w:val="009C2913"/>
    <w:rsid w:val="009C2BD4"/>
    <w:rsid w:val="009C5AFE"/>
    <w:rsid w:val="009C6606"/>
    <w:rsid w:val="009C6CE5"/>
    <w:rsid w:val="009C6D50"/>
    <w:rsid w:val="009C7547"/>
    <w:rsid w:val="009D05EC"/>
    <w:rsid w:val="009D18D4"/>
    <w:rsid w:val="009D2F60"/>
    <w:rsid w:val="009D3A2E"/>
    <w:rsid w:val="009D5ADE"/>
    <w:rsid w:val="009D5BAC"/>
    <w:rsid w:val="009D5C56"/>
    <w:rsid w:val="009D6265"/>
    <w:rsid w:val="009D64BD"/>
    <w:rsid w:val="009D6CB1"/>
    <w:rsid w:val="009E0286"/>
    <w:rsid w:val="009E153F"/>
    <w:rsid w:val="009E322A"/>
    <w:rsid w:val="009E393E"/>
    <w:rsid w:val="009E444E"/>
    <w:rsid w:val="009E4968"/>
    <w:rsid w:val="009E663C"/>
    <w:rsid w:val="009E684A"/>
    <w:rsid w:val="009E6BB1"/>
    <w:rsid w:val="009E6E14"/>
    <w:rsid w:val="009E794A"/>
    <w:rsid w:val="009E7C14"/>
    <w:rsid w:val="009F0494"/>
    <w:rsid w:val="009F0CD9"/>
    <w:rsid w:val="009F1A79"/>
    <w:rsid w:val="009F1F57"/>
    <w:rsid w:val="009F2DDD"/>
    <w:rsid w:val="009F3447"/>
    <w:rsid w:val="009F65F4"/>
    <w:rsid w:val="009F676B"/>
    <w:rsid w:val="009F6D2D"/>
    <w:rsid w:val="009F6D54"/>
    <w:rsid w:val="00A0010C"/>
    <w:rsid w:val="00A004DF"/>
    <w:rsid w:val="00A00FD5"/>
    <w:rsid w:val="00A012C0"/>
    <w:rsid w:val="00A019A8"/>
    <w:rsid w:val="00A01B03"/>
    <w:rsid w:val="00A01B89"/>
    <w:rsid w:val="00A02C66"/>
    <w:rsid w:val="00A02C84"/>
    <w:rsid w:val="00A03DFA"/>
    <w:rsid w:val="00A0464C"/>
    <w:rsid w:val="00A050BB"/>
    <w:rsid w:val="00A054E0"/>
    <w:rsid w:val="00A05D91"/>
    <w:rsid w:val="00A0740B"/>
    <w:rsid w:val="00A07ED3"/>
    <w:rsid w:val="00A10CA8"/>
    <w:rsid w:val="00A11042"/>
    <w:rsid w:val="00A12579"/>
    <w:rsid w:val="00A133D8"/>
    <w:rsid w:val="00A15655"/>
    <w:rsid w:val="00A160B0"/>
    <w:rsid w:val="00A1740C"/>
    <w:rsid w:val="00A20069"/>
    <w:rsid w:val="00A2244D"/>
    <w:rsid w:val="00A2253D"/>
    <w:rsid w:val="00A2267F"/>
    <w:rsid w:val="00A22CDB"/>
    <w:rsid w:val="00A247B8"/>
    <w:rsid w:val="00A2495A"/>
    <w:rsid w:val="00A24C7A"/>
    <w:rsid w:val="00A24D8F"/>
    <w:rsid w:val="00A25B8B"/>
    <w:rsid w:val="00A25C5D"/>
    <w:rsid w:val="00A2689F"/>
    <w:rsid w:val="00A26ECA"/>
    <w:rsid w:val="00A27461"/>
    <w:rsid w:val="00A27D67"/>
    <w:rsid w:val="00A30ABC"/>
    <w:rsid w:val="00A33B74"/>
    <w:rsid w:val="00A3467F"/>
    <w:rsid w:val="00A34B4C"/>
    <w:rsid w:val="00A35030"/>
    <w:rsid w:val="00A3551A"/>
    <w:rsid w:val="00A366A0"/>
    <w:rsid w:val="00A37209"/>
    <w:rsid w:val="00A37584"/>
    <w:rsid w:val="00A376E8"/>
    <w:rsid w:val="00A37F8E"/>
    <w:rsid w:val="00A41537"/>
    <w:rsid w:val="00A41737"/>
    <w:rsid w:val="00A42B8F"/>
    <w:rsid w:val="00A42D8E"/>
    <w:rsid w:val="00A43254"/>
    <w:rsid w:val="00A43896"/>
    <w:rsid w:val="00A43A26"/>
    <w:rsid w:val="00A447A0"/>
    <w:rsid w:val="00A459F5"/>
    <w:rsid w:val="00A45FC0"/>
    <w:rsid w:val="00A46B74"/>
    <w:rsid w:val="00A47ECC"/>
    <w:rsid w:val="00A50171"/>
    <w:rsid w:val="00A504FA"/>
    <w:rsid w:val="00A5102E"/>
    <w:rsid w:val="00A5132E"/>
    <w:rsid w:val="00A51375"/>
    <w:rsid w:val="00A51533"/>
    <w:rsid w:val="00A531D4"/>
    <w:rsid w:val="00A54572"/>
    <w:rsid w:val="00A575B8"/>
    <w:rsid w:val="00A60155"/>
    <w:rsid w:val="00A61C60"/>
    <w:rsid w:val="00A61ECB"/>
    <w:rsid w:val="00A6410C"/>
    <w:rsid w:val="00A647B1"/>
    <w:rsid w:val="00A64DEF"/>
    <w:rsid w:val="00A654D2"/>
    <w:rsid w:val="00A665DF"/>
    <w:rsid w:val="00A67928"/>
    <w:rsid w:val="00A67FCC"/>
    <w:rsid w:val="00A70AA5"/>
    <w:rsid w:val="00A70C03"/>
    <w:rsid w:val="00A71256"/>
    <w:rsid w:val="00A7217B"/>
    <w:rsid w:val="00A73861"/>
    <w:rsid w:val="00A739A6"/>
    <w:rsid w:val="00A740ED"/>
    <w:rsid w:val="00A74C29"/>
    <w:rsid w:val="00A74C62"/>
    <w:rsid w:val="00A75DF5"/>
    <w:rsid w:val="00A75EF9"/>
    <w:rsid w:val="00A8311C"/>
    <w:rsid w:val="00A835D0"/>
    <w:rsid w:val="00A84C5F"/>
    <w:rsid w:val="00A85930"/>
    <w:rsid w:val="00A863F7"/>
    <w:rsid w:val="00A86604"/>
    <w:rsid w:val="00A87519"/>
    <w:rsid w:val="00A9246D"/>
    <w:rsid w:val="00A92CCA"/>
    <w:rsid w:val="00A93BD0"/>
    <w:rsid w:val="00A93CC2"/>
    <w:rsid w:val="00A974CC"/>
    <w:rsid w:val="00AA1067"/>
    <w:rsid w:val="00AA2001"/>
    <w:rsid w:val="00AA2B5C"/>
    <w:rsid w:val="00AA32D2"/>
    <w:rsid w:val="00AA4016"/>
    <w:rsid w:val="00AA4C1F"/>
    <w:rsid w:val="00AA5328"/>
    <w:rsid w:val="00AA5393"/>
    <w:rsid w:val="00AA63D4"/>
    <w:rsid w:val="00AA7672"/>
    <w:rsid w:val="00AB03FD"/>
    <w:rsid w:val="00AB2000"/>
    <w:rsid w:val="00AB2E94"/>
    <w:rsid w:val="00AB38CB"/>
    <w:rsid w:val="00AB3BEC"/>
    <w:rsid w:val="00AB44E4"/>
    <w:rsid w:val="00AB4AEB"/>
    <w:rsid w:val="00AB4E5F"/>
    <w:rsid w:val="00AB5256"/>
    <w:rsid w:val="00AB5352"/>
    <w:rsid w:val="00AB56AE"/>
    <w:rsid w:val="00AB62D5"/>
    <w:rsid w:val="00AB65B5"/>
    <w:rsid w:val="00AB6DCD"/>
    <w:rsid w:val="00AB6EE0"/>
    <w:rsid w:val="00AB7A64"/>
    <w:rsid w:val="00AC17A2"/>
    <w:rsid w:val="00AC3581"/>
    <w:rsid w:val="00AC40B7"/>
    <w:rsid w:val="00AC531F"/>
    <w:rsid w:val="00AC5B36"/>
    <w:rsid w:val="00AC6377"/>
    <w:rsid w:val="00AC66A4"/>
    <w:rsid w:val="00AC6CB1"/>
    <w:rsid w:val="00AC7D6D"/>
    <w:rsid w:val="00AD0091"/>
    <w:rsid w:val="00AD23EF"/>
    <w:rsid w:val="00AD2662"/>
    <w:rsid w:val="00AD307B"/>
    <w:rsid w:val="00AD4014"/>
    <w:rsid w:val="00AD41B3"/>
    <w:rsid w:val="00AD42F3"/>
    <w:rsid w:val="00AD5721"/>
    <w:rsid w:val="00AD5C4D"/>
    <w:rsid w:val="00AD69F0"/>
    <w:rsid w:val="00AD7127"/>
    <w:rsid w:val="00AD730C"/>
    <w:rsid w:val="00AD7795"/>
    <w:rsid w:val="00AE123A"/>
    <w:rsid w:val="00AE1539"/>
    <w:rsid w:val="00AE28A7"/>
    <w:rsid w:val="00AE2A98"/>
    <w:rsid w:val="00AE2CF2"/>
    <w:rsid w:val="00AE3012"/>
    <w:rsid w:val="00AE33A6"/>
    <w:rsid w:val="00AE3729"/>
    <w:rsid w:val="00AE4138"/>
    <w:rsid w:val="00AE4CCE"/>
    <w:rsid w:val="00AE5C6A"/>
    <w:rsid w:val="00AE6317"/>
    <w:rsid w:val="00AE6B62"/>
    <w:rsid w:val="00AE7280"/>
    <w:rsid w:val="00AF033A"/>
    <w:rsid w:val="00AF1699"/>
    <w:rsid w:val="00AF1FD3"/>
    <w:rsid w:val="00AF2910"/>
    <w:rsid w:val="00AF34B8"/>
    <w:rsid w:val="00AF3896"/>
    <w:rsid w:val="00AF3FC2"/>
    <w:rsid w:val="00B0098A"/>
    <w:rsid w:val="00B00A5F"/>
    <w:rsid w:val="00B00F89"/>
    <w:rsid w:val="00B029B8"/>
    <w:rsid w:val="00B02F60"/>
    <w:rsid w:val="00B032B8"/>
    <w:rsid w:val="00B04721"/>
    <w:rsid w:val="00B04B15"/>
    <w:rsid w:val="00B04B46"/>
    <w:rsid w:val="00B0534D"/>
    <w:rsid w:val="00B05685"/>
    <w:rsid w:val="00B05F9F"/>
    <w:rsid w:val="00B06368"/>
    <w:rsid w:val="00B068DA"/>
    <w:rsid w:val="00B06A00"/>
    <w:rsid w:val="00B06FC6"/>
    <w:rsid w:val="00B074C9"/>
    <w:rsid w:val="00B07D9D"/>
    <w:rsid w:val="00B11AE5"/>
    <w:rsid w:val="00B12FE6"/>
    <w:rsid w:val="00B1303F"/>
    <w:rsid w:val="00B1364A"/>
    <w:rsid w:val="00B13859"/>
    <w:rsid w:val="00B13EC9"/>
    <w:rsid w:val="00B14319"/>
    <w:rsid w:val="00B14A06"/>
    <w:rsid w:val="00B158E1"/>
    <w:rsid w:val="00B16715"/>
    <w:rsid w:val="00B1768E"/>
    <w:rsid w:val="00B17910"/>
    <w:rsid w:val="00B20F18"/>
    <w:rsid w:val="00B21516"/>
    <w:rsid w:val="00B21A37"/>
    <w:rsid w:val="00B21D23"/>
    <w:rsid w:val="00B21F62"/>
    <w:rsid w:val="00B22CE0"/>
    <w:rsid w:val="00B23738"/>
    <w:rsid w:val="00B23BEF"/>
    <w:rsid w:val="00B247BB"/>
    <w:rsid w:val="00B2504A"/>
    <w:rsid w:val="00B25EE6"/>
    <w:rsid w:val="00B3115A"/>
    <w:rsid w:val="00B31825"/>
    <w:rsid w:val="00B31A5C"/>
    <w:rsid w:val="00B33B06"/>
    <w:rsid w:val="00B33C19"/>
    <w:rsid w:val="00B35A15"/>
    <w:rsid w:val="00B35B45"/>
    <w:rsid w:val="00B36A99"/>
    <w:rsid w:val="00B42264"/>
    <w:rsid w:val="00B434B2"/>
    <w:rsid w:val="00B43D45"/>
    <w:rsid w:val="00B468F2"/>
    <w:rsid w:val="00B469DE"/>
    <w:rsid w:val="00B47286"/>
    <w:rsid w:val="00B50234"/>
    <w:rsid w:val="00B51BF4"/>
    <w:rsid w:val="00B52C68"/>
    <w:rsid w:val="00B5372B"/>
    <w:rsid w:val="00B542FE"/>
    <w:rsid w:val="00B55A1B"/>
    <w:rsid w:val="00B561DB"/>
    <w:rsid w:val="00B56DF9"/>
    <w:rsid w:val="00B600BD"/>
    <w:rsid w:val="00B61274"/>
    <w:rsid w:val="00B61DCE"/>
    <w:rsid w:val="00B62188"/>
    <w:rsid w:val="00B62F79"/>
    <w:rsid w:val="00B62F82"/>
    <w:rsid w:val="00B6306A"/>
    <w:rsid w:val="00B635E3"/>
    <w:rsid w:val="00B653D7"/>
    <w:rsid w:val="00B662FF"/>
    <w:rsid w:val="00B66679"/>
    <w:rsid w:val="00B70145"/>
    <w:rsid w:val="00B71A92"/>
    <w:rsid w:val="00B721D8"/>
    <w:rsid w:val="00B730CA"/>
    <w:rsid w:val="00B747C5"/>
    <w:rsid w:val="00B74F2F"/>
    <w:rsid w:val="00B753ED"/>
    <w:rsid w:val="00B769BC"/>
    <w:rsid w:val="00B77349"/>
    <w:rsid w:val="00B7761E"/>
    <w:rsid w:val="00B80A3D"/>
    <w:rsid w:val="00B80B04"/>
    <w:rsid w:val="00B8127B"/>
    <w:rsid w:val="00B819E5"/>
    <w:rsid w:val="00B821E4"/>
    <w:rsid w:val="00B823E0"/>
    <w:rsid w:val="00B8260D"/>
    <w:rsid w:val="00B82B78"/>
    <w:rsid w:val="00B845B4"/>
    <w:rsid w:val="00B84662"/>
    <w:rsid w:val="00B84C74"/>
    <w:rsid w:val="00B85191"/>
    <w:rsid w:val="00B858A1"/>
    <w:rsid w:val="00B85FEC"/>
    <w:rsid w:val="00B864A3"/>
    <w:rsid w:val="00B86C2A"/>
    <w:rsid w:val="00B878BE"/>
    <w:rsid w:val="00B902A5"/>
    <w:rsid w:val="00B90420"/>
    <w:rsid w:val="00B90848"/>
    <w:rsid w:val="00B91146"/>
    <w:rsid w:val="00B913E4"/>
    <w:rsid w:val="00B91DB9"/>
    <w:rsid w:val="00B91FF3"/>
    <w:rsid w:val="00B93EFE"/>
    <w:rsid w:val="00B944B9"/>
    <w:rsid w:val="00B94956"/>
    <w:rsid w:val="00B94C7F"/>
    <w:rsid w:val="00B94E93"/>
    <w:rsid w:val="00B956B5"/>
    <w:rsid w:val="00B96DF2"/>
    <w:rsid w:val="00B96E18"/>
    <w:rsid w:val="00B96F5A"/>
    <w:rsid w:val="00BA0B39"/>
    <w:rsid w:val="00BA0CB2"/>
    <w:rsid w:val="00BA0E26"/>
    <w:rsid w:val="00BA1310"/>
    <w:rsid w:val="00BA138B"/>
    <w:rsid w:val="00BA305B"/>
    <w:rsid w:val="00BA31BF"/>
    <w:rsid w:val="00BA3FC7"/>
    <w:rsid w:val="00BA478B"/>
    <w:rsid w:val="00BA5224"/>
    <w:rsid w:val="00BA575E"/>
    <w:rsid w:val="00BA76B7"/>
    <w:rsid w:val="00BA7E3B"/>
    <w:rsid w:val="00BB078D"/>
    <w:rsid w:val="00BB079C"/>
    <w:rsid w:val="00BB0D7A"/>
    <w:rsid w:val="00BB10E1"/>
    <w:rsid w:val="00BB2471"/>
    <w:rsid w:val="00BB25B8"/>
    <w:rsid w:val="00BB3035"/>
    <w:rsid w:val="00BB39C1"/>
    <w:rsid w:val="00BB3DF5"/>
    <w:rsid w:val="00BB5D16"/>
    <w:rsid w:val="00BB6180"/>
    <w:rsid w:val="00BB69E6"/>
    <w:rsid w:val="00BB7BE5"/>
    <w:rsid w:val="00BC08BD"/>
    <w:rsid w:val="00BC11E8"/>
    <w:rsid w:val="00BC1B7A"/>
    <w:rsid w:val="00BC2C17"/>
    <w:rsid w:val="00BC3ACD"/>
    <w:rsid w:val="00BC3B20"/>
    <w:rsid w:val="00BC3EE4"/>
    <w:rsid w:val="00BC588C"/>
    <w:rsid w:val="00BC62F4"/>
    <w:rsid w:val="00BC6E73"/>
    <w:rsid w:val="00BC74D3"/>
    <w:rsid w:val="00BD0014"/>
    <w:rsid w:val="00BD01D8"/>
    <w:rsid w:val="00BD255F"/>
    <w:rsid w:val="00BD2895"/>
    <w:rsid w:val="00BD4236"/>
    <w:rsid w:val="00BD483B"/>
    <w:rsid w:val="00BD5CD4"/>
    <w:rsid w:val="00BD65D9"/>
    <w:rsid w:val="00BD6DF3"/>
    <w:rsid w:val="00BD6E09"/>
    <w:rsid w:val="00BD6EF9"/>
    <w:rsid w:val="00BE0ACB"/>
    <w:rsid w:val="00BE2260"/>
    <w:rsid w:val="00BE3917"/>
    <w:rsid w:val="00BE50FD"/>
    <w:rsid w:val="00BE51CA"/>
    <w:rsid w:val="00BE537F"/>
    <w:rsid w:val="00BE5D77"/>
    <w:rsid w:val="00BE6D47"/>
    <w:rsid w:val="00BE7032"/>
    <w:rsid w:val="00BE7330"/>
    <w:rsid w:val="00BF01C5"/>
    <w:rsid w:val="00BF061A"/>
    <w:rsid w:val="00BF066A"/>
    <w:rsid w:val="00BF14CC"/>
    <w:rsid w:val="00BF1821"/>
    <w:rsid w:val="00BF2759"/>
    <w:rsid w:val="00BF4342"/>
    <w:rsid w:val="00BF4704"/>
    <w:rsid w:val="00BF4FFC"/>
    <w:rsid w:val="00BF5050"/>
    <w:rsid w:val="00BF50D1"/>
    <w:rsid w:val="00BF5422"/>
    <w:rsid w:val="00BF59B1"/>
    <w:rsid w:val="00BF6A78"/>
    <w:rsid w:val="00BF7695"/>
    <w:rsid w:val="00BF79B4"/>
    <w:rsid w:val="00BF7C61"/>
    <w:rsid w:val="00C00037"/>
    <w:rsid w:val="00C01427"/>
    <w:rsid w:val="00C014C7"/>
    <w:rsid w:val="00C047AB"/>
    <w:rsid w:val="00C058AF"/>
    <w:rsid w:val="00C075B6"/>
    <w:rsid w:val="00C124C1"/>
    <w:rsid w:val="00C128AE"/>
    <w:rsid w:val="00C12BA8"/>
    <w:rsid w:val="00C136D6"/>
    <w:rsid w:val="00C13902"/>
    <w:rsid w:val="00C13D5B"/>
    <w:rsid w:val="00C141D7"/>
    <w:rsid w:val="00C16F84"/>
    <w:rsid w:val="00C1711B"/>
    <w:rsid w:val="00C17AE2"/>
    <w:rsid w:val="00C17E00"/>
    <w:rsid w:val="00C20140"/>
    <w:rsid w:val="00C20F27"/>
    <w:rsid w:val="00C215CF"/>
    <w:rsid w:val="00C21861"/>
    <w:rsid w:val="00C2244B"/>
    <w:rsid w:val="00C22711"/>
    <w:rsid w:val="00C2280A"/>
    <w:rsid w:val="00C22B0D"/>
    <w:rsid w:val="00C22BFF"/>
    <w:rsid w:val="00C23522"/>
    <w:rsid w:val="00C240C1"/>
    <w:rsid w:val="00C24AED"/>
    <w:rsid w:val="00C250D0"/>
    <w:rsid w:val="00C252AC"/>
    <w:rsid w:val="00C25C0F"/>
    <w:rsid w:val="00C26567"/>
    <w:rsid w:val="00C26923"/>
    <w:rsid w:val="00C27214"/>
    <w:rsid w:val="00C27597"/>
    <w:rsid w:val="00C27E5E"/>
    <w:rsid w:val="00C30382"/>
    <w:rsid w:val="00C30772"/>
    <w:rsid w:val="00C30D6F"/>
    <w:rsid w:val="00C31063"/>
    <w:rsid w:val="00C31B7E"/>
    <w:rsid w:val="00C322D1"/>
    <w:rsid w:val="00C3242A"/>
    <w:rsid w:val="00C33201"/>
    <w:rsid w:val="00C33A39"/>
    <w:rsid w:val="00C33B57"/>
    <w:rsid w:val="00C34619"/>
    <w:rsid w:val="00C35D01"/>
    <w:rsid w:val="00C360B3"/>
    <w:rsid w:val="00C37027"/>
    <w:rsid w:val="00C37B19"/>
    <w:rsid w:val="00C413CB"/>
    <w:rsid w:val="00C42752"/>
    <w:rsid w:val="00C42973"/>
    <w:rsid w:val="00C44C69"/>
    <w:rsid w:val="00C4712A"/>
    <w:rsid w:val="00C5034F"/>
    <w:rsid w:val="00C50830"/>
    <w:rsid w:val="00C52479"/>
    <w:rsid w:val="00C5266E"/>
    <w:rsid w:val="00C5280F"/>
    <w:rsid w:val="00C52C59"/>
    <w:rsid w:val="00C5349E"/>
    <w:rsid w:val="00C539FF"/>
    <w:rsid w:val="00C544BD"/>
    <w:rsid w:val="00C54D3D"/>
    <w:rsid w:val="00C55A30"/>
    <w:rsid w:val="00C56384"/>
    <w:rsid w:val="00C60F8C"/>
    <w:rsid w:val="00C61794"/>
    <w:rsid w:val="00C62A48"/>
    <w:rsid w:val="00C62AC4"/>
    <w:rsid w:val="00C62B59"/>
    <w:rsid w:val="00C62F96"/>
    <w:rsid w:val="00C631E1"/>
    <w:rsid w:val="00C638D8"/>
    <w:rsid w:val="00C63AE7"/>
    <w:rsid w:val="00C63D26"/>
    <w:rsid w:val="00C6540A"/>
    <w:rsid w:val="00C6664C"/>
    <w:rsid w:val="00C668A1"/>
    <w:rsid w:val="00C67223"/>
    <w:rsid w:val="00C707B8"/>
    <w:rsid w:val="00C712AC"/>
    <w:rsid w:val="00C71C15"/>
    <w:rsid w:val="00C71F3D"/>
    <w:rsid w:val="00C72F53"/>
    <w:rsid w:val="00C74035"/>
    <w:rsid w:val="00C748EA"/>
    <w:rsid w:val="00C77818"/>
    <w:rsid w:val="00C8063F"/>
    <w:rsid w:val="00C806ED"/>
    <w:rsid w:val="00C81282"/>
    <w:rsid w:val="00C827B4"/>
    <w:rsid w:val="00C83214"/>
    <w:rsid w:val="00C8329F"/>
    <w:rsid w:val="00C84F8A"/>
    <w:rsid w:val="00C85BA4"/>
    <w:rsid w:val="00C8618F"/>
    <w:rsid w:val="00C8625D"/>
    <w:rsid w:val="00C90372"/>
    <w:rsid w:val="00C9041F"/>
    <w:rsid w:val="00C90F54"/>
    <w:rsid w:val="00C9166B"/>
    <w:rsid w:val="00C91A45"/>
    <w:rsid w:val="00C91FB4"/>
    <w:rsid w:val="00C92150"/>
    <w:rsid w:val="00C92328"/>
    <w:rsid w:val="00C92D42"/>
    <w:rsid w:val="00C938C2"/>
    <w:rsid w:val="00C93F8A"/>
    <w:rsid w:val="00C94EA1"/>
    <w:rsid w:val="00C9511B"/>
    <w:rsid w:val="00C95745"/>
    <w:rsid w:val="00C95902"/>
    <w:rsid w:val="00C962E3"/>
    <w:rsid w:val="00C97246"/>
    <w:rsid w:val="00C978E2"/>
    <w:rsid w:val="00C97997"/>
    <w:rsid w:val="00CA10A2"/>
    <w:rsid w:val="00CA1D83"/>
    <w:rsid w:val="00CA25C0"/>
    <w:rsid w:val="00CA3451"/>
    <w:rsid w:val="00CA35C6"/>
    <w:rsid w:val="00CA4948"/>
    <w:rsid w:val="00CA52F9"/>
    <w:rsid w:val="00CA5368"/>
    <w:rsid w:val="00CA568B"/>
    <w:rsid w:val="00CA573A"/>
    <w:rsid w:val="00CA5C58"/>
    <w:rsid w:val="00CA7D80"/>
    <w:rsid w:val="00CB19D7"/>
    <w:rsid w:val="00CB19FE"/>
    <w:rsid w:val="00CB1C3F"/>
    <w:rsid w:val="00CB2364"/>
    <w:rsid w:val="00CB304C"/>
    <w:rsid w:val="00CB3933"/>
    <w:rsid w:val="00CB53E8"/>
    <w:rsid w:val="00CB594A"/>
    <w:rsid w:val="00CB5CB2"/>
    <w:rsid w:val="00CB6979"/>
    <w:rsid w:val="00CB7DDE"/>
    <w:rsid w:val="00CC0A3D"/>
    <w:rsid w:val="00CC1585"/>
    <w:rsid w:val="00CC3C53"/>
    <w:rsid w:val="00CC3D24"/>
    <w:rsid w:val="00CC3F91"/>
    <w:rsid w:val="00CC472A"/>
    <w:rsid w:val="00CC4ACD"/>
    <w:rsid w:val="00CC4B0A"/>
    <w:rsid w:val="00CC544A"/>
    <w:rsid w:val="00CC57EA"/>
    <w:rsid w:val="00CC5954"/>
    <w:rsid w:val="00CC629B"/>
    <w:rsid w:val="00CC6C4E"/>
    <w:rsid w:val="00CD009D"/>
    <w:rsid w:val="00CD05A2"/>
    <w:rsid w:val="00CD29D4"/>
    <w:rsid w:val="00CD2B5C"/>
    <w:rsid w:val="00CD2FF3"/>
    <w:rsid w:val="00CD3323"/>
    <w:rsid w:val="00CD38F5"/>
    <w:rsid w:val="00CD437E"/>
    <w:rsid w:val="00CD5DAD"/>
    <w:rsid w:val="00CD72C5"/>
    <w:rsid w:val="00CD79A7"/>
    <w:rsid w:val="00CE0789"/>
    <w:rsid w:val="00CE0E8D"/>
    <w:rsid w:val="00CE1A03"/>
    <w:rsid w:val="00CE2346"/>
    <w:rsid w:val="00CE25B2"/>
    <w:rsid w:val="00CE2687"/>
    <w:rsid w:val="00CE27B7"/>
    <w:rsid w:val="00CE3529"/>
    <w:rsid w:val="00CE35C8"/>
    <w:rsid w:val="00CE3962"/>
    <w:rsid w:val="00CE4D1A"/>
    <w:rsid w:val="00CE4E8A"/>
    <w:rsid w:val="00CE5105"/>
    <w:rsid w:val="00CE56BD"/>
    <w:rsid w:val="00CE5EC0"/>
    <w:rsid w:val="00CE6A0B"/>
    <w:rsid w:val="00CE6F9F"/>
    <w:rsid w:val="00CE781A"/>
    <w:rsid w:val="00CE7B08"/>
    <w:rsid w:val="00CE7D52"/>
    <w:rsid w:val="00CF1D74"/>
    <w:rsid w:val="00CF2BE2"/>
    <w:rsid w:val="00CF3DEB"/>
    <w:rsid w:val="00CF55F9"/>
    <w:rsid w:val="00CF7074"/>
    <w:rsid w:val="00CF7390"/>
    <w:rsid w:val="00CF7495"/>
    <w:rsid w:val="00D01CF9"/>
    <w:rsid w:val="00D0334D"/>
    <w:rsid w:val="00D0374D"/>
    <w:rsid w:val="00D06D7B"/>
    <w:rsid w:val="00D06DA5"/>
    <w:rsid w:val="00D07191"/>
    <w:rsid w:val="00D07F1D"/>
    <w:rsid w:val="00D10558"/>
    <w:rsid w:val="00D11D4D"/>
    <w:rsid w:val="00D126DC"/>
    <w:rsid w:val="00D12B03"/>
    <w:rsid w:val="00D13E70"/>
    <w:rsid w:val="00D15FCD"/>
    <w:rsid w:val="00D16C58"/>
    <w:rsid w:val="00D17019"/>
    <w:rsid w:val="00D17FC8"/>
    <w:rsid w:val="00D20B44"/>
    <w:rsid w:val="00D21168"/>
    <w:rsid w:val="00D2438C"/>
    <w:rsid w:val="00D2585A"/>
    <w:rsid w:val="00D259B0"/>
    <w:rsid w:val="00D26C3F"/>
    <w:rsid w:val="00D27026"/>
    <w:rsid w:val="00D27185"/>
    <w:rsid w:val="00D30EF8"/>
    <w:rsid w:val="00D32518"/>
    <w:rsid w:val="00D33488"/>
    <w:rsid w:val="00D33AB3"/>
    <w:rsid w:val="00D33F24"/>
    <w:rsid w:val="00D34160"/>
    <w:rsid w:val="00D346B8"/>
    <w:rsid w:val="00D34DCA"/>
    <w:rsid w:val="00D35AC8"/>
    <w:rsid w:val="00D36F87"/>
    <w:rsid w:val="00D37E4E"/>
    <w:rsid w:val="00D400A4"/>
    <w:rsid w:val="00D40DEF"/>
    <w:rsid w:val="00D417D8"/>
    <w:rsid w:val="00D41F78"/>
    <w:rsid w:val="00D42E6C"/>
    <w:rsid w:val="00D4351C"/>
    <w:rsid w:val="00D43B80"/>
    <w:rsid w:val="00D44988"/>
    <w:rsid w:val="00D45B4C"/>
    <w:rsid w:val="00D45BA4"/>
    <w:rsid w:val="00D471AF"/>
    <w:rsid w:val="00D4724F"/>
    <w:rsid w:val="00D50519"/>
    <w:rsid w:val="00D512C8"/>
    <w:rsid w:val="00D51601"/>
    <w:rsid w:val="00D51ECB"/>
    <w:rsid w:val="00D5264C"/>
    <w:rsid w:val="00D52BBC"/>
    <w:rsid w:val="00D537FE"/>
    <w:rsid w:val="00D53CC9"/>
    <w:rsid w:val="00D54A6A"/>
    <w:rsid w:val="00D54B8F"/>
    <w:rsid w:val="00D55951"/>
    <w:rsid w:val="00D559F0"/>
    <w:rsid w:val="00D57EB6"/>
    <w:rsid w:val="00D608C0"/>
    <w:rsid w:val="00D60D6D"/>
    <w:rsid w:val="00D6128C"/>
    <w:rsid w:val="00D66D8B"/>
    <w:rsid w:val="00D70849"/>
    <w:rsid w:val="00D72297"/>
    <w:rsid w:val="00D72A1C"/>
    <w:rsid w:val="00D7308F"/>
    <w:rsid w:val="00D7313E"/>
    <w:rsid w:val="00D73580"/>
    <w:rsid w:val="00D73802"/>
    <w:rsid w:val="00D73C2C"/>
    <w:rsid w:val="00D73D52"/>
    <w:rsid w:val="00D745E7"/>
    <w:rsid w:val="00D774ED"/>
    <w:rsid w:val="00D777C3"/>
    <w:rsid w:val="00D7797C"/>
    <w:rsid w:val="00D77C44"/>
    <w:rsid w:val="00D77F88"/>
    <w:rsid w:val="00D81AFA"/>
    <w:rsid w:val="00D81EAA"/>
    <w:rsid w:val="00D81FE2"/>
    <w:rsid w:val="00D8259F"/>
    <w:rsid w:val="00D825F2"/>
    <w:rsid w:val="00D8285C"/>
    <w:rsid w:val="00D828B1"/>
    <w:rsid w:val="00D82A55"/>
    <w:rsid w:val="00D83D49"/>
    <w:rsid w:val="00D84181"/>
    <w:rsid w:val="00D846AD"/>
    <w:rsid w:val="00D84754"/>
    <w:rsid w:val="00D84F27"/>
    <w:rsid w:val="00D853F0"/>
    <w:rsid w:val="00D85862"/>
    <w:rsid w:val="00D86D47"/>
    <w:rsid w:val="00D8710C"/>
    <w:rsid w:val="00D873C6"/>
    <w:rsid w:val="00D9074A"/>
    <w:rsid w:val="00D9099E"/>
    <w:rsid w:val="00D9193A"/>
    <w:rsid w:val="00D923B2"/>
    <w:rsid w:val="00D92463"/>
    <w:rsid w:val="00D93E64"/>
    <w:rsid w:val="00D93F64"/>
    <w:rsid w:val="00D94CA4"/>
    <w:rsid w:val="00D95E99"/>
    <w:rsid w:val="00D965D5"/>
    <w:rsid w:val="00D97DA2"/>
    <w:rsid w:val="00DA1A3A"/>
    <w:rsid w:val="00DA2351"/>
    <w:rsid w:val="00DA249E"/>
    <w:rsid w:val="00DA2D3D"/>
    <w:rsid w:val="00DA4C30"/>
    <w:rsid w:val="00DA7722"/>
    <w:rsid w:val="00DB145E"/>
    <w:rsid w:val="00DB1A94"/>
    <w:rsid w:val="00DB1D52"/>
    <w:rsid w:val="00DB1E2B"/>
    <w:rsid w:val="00DB1F62"/>
    <w:rsid w:val="00DB21E7"/>
    <w:rsid w:val="00DB2E03"/>
    <w:rsid w:val="00DB3742"/>
    <w:rsid w:val="00DB3E9B"/>
    <w:rsid w:val="00DB3F4B"/>
    <w:rsid w:val="00DB5375"/>
    <w:rsid w:val="00DB67C1"/>
    <w:rsid w:val="00DB6C0B"/>
    <w:rsid w:val="00DB70F4"/>
    <w:rsid w:val="00DB748A"/>
    <w:rsid w:val="00DC1056"/>
    <w:rsid w:val="00DC1442"/>
    <w:rsid w:val="00DC21D8"/>
    <w:rsid w:val="00DC282A"/>
    <w:rsid w:val="00DC34DC"/>
    <w:rsid w:val="00DC3780"/>
    <w:rsid w:val="00DC3ADA"/>
    <w:rsid w:val="00DC3CC6"/>
    <w:rsid w:val="00DC3F55"/>
    <w:rsid w:val="00DC4782"/>
    <w:rsid w:val="00DC514A"/>
    <w:rsid w:val="00DC67B1"/>
    <w:rsid w:val="00DC7FBC"/>
    <w:rsid w:val="00DD0019"/>
    <w:rsid w:val="00DD132B"/>
    <w:rsid w:val="00DD1725"/>
    <w:rsid w:val="00DD2159"/>
    <w:rsid w:val="00DD218B"/>
    <w:rsid w:val="00DD2A18"/>
    <w:rsid w:val="00DD3044"/>
    <w:rsid w:val="00DD3985"/>
    <w:rsid w:val="00DD61E8"/>
    <w:rsid w:val="00DD62C0"/>
    <w:rsid w:val="00DD64DE"/>
    <w:rsid w:val="00DD7859"/>
    <w:rsid w:val="00DD7B41"/>
    <w:rsid w:val="00DE0784"/>
    <w:rsid w:val="00DE0A1D"/>
    <w:rsid w:val="00DE15B2"/>
    <w:rsid w:val="00DE1A9A"/>
    <w:rsid w:val="00DE3D2C"/>
    <w:rsid w:val="00DE5E82"/>
    <w:rsid w:val="00DE5FA6"/>
    <w:rsid w:val="00DE6792"/>
    <w:rsid w:val="00DE6AA1"/>
    <w:rsid w:val="00DE795F"/>
    <w:rsid w:val="00DE7AAB"/>
    <w:rsid w:val="00DE7EF7"/>
    <w:rsid w:val="00DF015B"/>
    <w:rsid w:val="00DF02EC"/>
    <w:rsid w:val="00DF10FC"/>
    <w:rsid w:val="00DF1185"/>
    <w:rsid w:val="00DF1299"/>
    <w:rsid w:val="00DF1A70"/>
    <w:rsid w:val="00DF1E5F"/>
    <w:rsid w:val="00DF23A8"/>
    <w:rsid w:val="00DF2F27"/>
    <w:rsid w:val="00DF36B6"/>
    <w:rsid w:val="00DF4296"/>
    <w:rsid w:val="00DF53F0"/>
    <w:rsid w:val="00DF5F38"/>
    <w:rsid w:val="00DF6608"/>
    <w:rsid w:val="00DF6CCC"/>
    <w:rsid w:val="00DF6D0C"/>
    <w:rsid w:val="00DF6F64"/>
    <w:rsid w:val="00DF721E"/>
    <w:rsid w:val="00DF7B8A"/>
    <w:rsid w:val="00DF7C87"/>
    <w:rsid w:val="00E009B0"/>
    <w:rsid w:val="00E00A12"/>
    <w:rsid w:val="00E00C49"/>
    <w:rsid w:val="00E01C9C"/>
    <w:rsid w:val="00E0219D"/>
    <w:rsid w:val="00E04C0F"/>
    <w:rsid w:val="00E0570B"/>
    <w:rsid w:val="00E10343"/>
    <w:rsid w:val="00E10913"/>
    <w:rsid w:val="00E10B87"/>
    <w:rsid w:val="00E121CE"/>
    <w:rsid w:val="00E1478B"/>
    <w:rsid w:val="00E14FAC"/>
    <w:rsid w:val="00E15007"/>
    <w:rsid w:val="00E16277"/>
    <w:rsid w:val="00E16EC7"/>
    <w:rsid w:val="00E219CE"/>
    <w:rsid w:val="00E24071"/>
    <w:rsid w:val="00E24EBC"/>
    <w:rsid w:val="00E2522C"/>
    <w:rsid w:val="00E2552F"/>
    <w:rsid w:val="00E2599B"/>
    <w:rsid w:val="00E2710C"/>
    <w:rsid w:val="00E27428"/>
    <w:rsid w:val="00E305B4"/>
    <w:rsid w:val="00E31182"/>
    <w:rsid w:val="00E3197A"/>
    <w:rsid w:val="00E31AFA"/>
    <w:rsid w:val="00E31CB7"/>
    <w:rsid w:val="00E324EE"/>
    <w:rsid w:val="00E32990"/>
    <w:rsid w:val="00E34DB1"/>
    <w:rsid w:val="00E35931"/>
    <w:rsid w:val="00E359FF"/>
    <w:rsid w:val="00E36BD1"/>
    <w:rsid w:val="00E402C5"/>
    <w:rsid w:val="00E402F4"/>
    <w:rsid w:val="00E4058B"/>
    <w:rsid w:val="00E405F1"/>
    <w:rsid w:val="00E4178B"/>
    <w:rsid w:val="00E417DB"/>
    <w:rsid w:val="00E43054"/>
    <w:rsid w:val="00E43655"/>
    <w:rsid w:val="00E44440"/>
    <w:rsid w:val="00E46013"/>
    <w:rsid w:val="00E47099"/>
    <w:rsid w:val="00E47284"/>
    <w:rsid w:val="00E4730A"/>
    <w:rsid w:val="00E477C3"/>
    <w:rsid w:val="00E47E23"/>
    <w:rsid w:val="00E517A5"/>
    <w:rsid w:val="00E51E16"/>
    <w:rsid w:val="00E53730"/>
    <w:rsid w:val="00E5438D"/>
    <w:rsid w:val="00E54511"/>
    <w:rsid w:val="00E54E50"/>
    <w:rsid w:val="00E55288"/>
    <w:rsid w:val="00E57577"/>
    <w:rsid w:val="00E62043"/>
    <w:rsid w:val="00E626B9"/>
    <w:rsid w:val="00E627C9"/>
    <w:rsid w:val="00E630F3"/>
    <w:rsid w:val="00E6332F"/>
    <w:rsid w:val="00E637C9"/>
    <w:rsid w:val="00E6402D"/>
    <w:rsid w:val="00E6680A"/>
    <w:rsid w:val="00E66F0D"/>
    <w:rsid w:val="00E70615"/>
    <w:rsid w:val="00E7161E"/>
    <w:rsid w:val="00E7207B"/>
    <w:rsid w:val="00E7347A"/>
    <w:rsid w:val="00E75A47"/>
    <w:rsid w:val="00E75BB6"/>
    <w:rsid w:val="00E75D8C"/>
    <w:rsid w:val="00E777F2"/>
    <w:rsid w:val="00E802C9"/>
    <w:rsid w:val="00E80BFB"/>
    <w:rsid w:val="00E80F0A"/>
    <w:rsid w:val="00E815D4"/>
    <w:rsid w:val="00E8291B"/>
    <w:rsid w:val="00E82E70"/>
    <w:rsid w:val="00E82F92"/>
    <w:rsid w:val="00E8395F"/>
    <w:rsid w:val="00E8410F"/>
    <w:rsid w:val="00E849D7"/>
    <w:rsid w:val="00E85E41"/>
    <w:rsid w:val="00E85EA1"/>
    <w:rsid w:val="00E86703"/>
    <w:rsid w:val="00E91044"/>
    <w:rsid w:val="00E910D3"/>
    <w:rsid w:val="00E91257"/>
    <w:rsid w:val="00E92154"/>
    <w:rsid w:val="00E923CF"/>
    <w:rsid w:val="00E93685"/>
    <w:rsid w:val="00E93B65"/>
    <w:rsid w:val="00E93C8C"/>
    <w:rsid w:val="00E95111"/>
    <w:rsid w:val="00E95FDF"/>
    <w:rsid w:val="00EA14C8"/>
    <w:rsid w:val="00EA2110"/>
    <w:rsid w:val="00EA283A"/>
    <w:rsid w:val="00EA2C90"/>
    <w:rsid w:val="00EA2E07"/>
    <w:rsid w:val="00EA383B"/>
    <w:rsid w:val="00EA41E6"/>
    <w:rsid w:val="00EA48F3"/>
    <w:rsid w:val="00EA60BF"/>
    <w:rsid w:val="00EA7365"/>
    <w:rsid w:val="00EA763F"/>
    <w:rsid w:val="00EA77E9"/>
    <w:rsid w:val="00EB05D0"/>
    <w:rsid w:val="00EB1151"/>
    <w:rsid w:val="00EB1D49"/>
    <w:rsid w:val="00EB23D9"/>
    <w:rsid w:val="00EB39A0"/>
    <w:rsid w:val="00EB559F"/>
    <w:rsid w:val="00EB566C"/>
    <w:rsid w:val="00EB5F3D"/>
    <w:rsid w:val="00EB77E5"/>
    <w:rsid w:val="00EC1CEB"/>
    <w:rsid w:val="00EC1DC0"/>
    <w:rsid w:val="00EC1DC2"/>
    <w:rsid w:val="00EC21EC"/>
    <w:rsid w:val="00EC24B8"/>
    <w:rsid w:val="00EC268C"/>
    <w:rsid w:val="00EC3753"/>
    <w:rsid w:val="00EC4E71"/>
    <w:rsid w:val="00EC5F1C"/>
    <w:rsid w:val="00ED0365"/>
    <w:rsid w:val="00ED0865"/>
    <w:rsid w:val="00ED1C60"/>
    <w:rsid w:val="00ED2EB9"/>
    <w:rsid w:val="00ED32D5"/>
    <w:rsid w:val="00ED3722"/>
    <w:rsid w:val="00ED3A31"/>
    <w:rsid w:val="00ED4469"/>
    <w:rsid w:val="00ED5424"/>
    <w:rsid w:val="00ED5F23"/>
    <w:rsid w:val="00ED6DC0"/>
    <w:rsid w:val="00ED7A7A"/>
    <w:rsid w:val="00EE0327"/>
    <w:rsid w:val="00EE038C"/>
    <w:rsid w:val="00EE28C5"/>
    <w:rsid w:val="00EE2F09"/>
    <w:rsid w:val="00EE47C5"/>
    <w:rsid w:val="00EE4885"/>
    <w:rsid w:val="00EE490C"/>
    <w:rsid w:val="00EE4E57"/>
    <w:rsid w:val="00EE5738"/>
    <w:rsid w:val="00EE58BD"/>
    <w:rsid w:val="00EE5E59"/>
    <w:rsid w:val="00EE6549"/>
    <w:rsid w:val="00EE73D0"/>
    <w:rsid w:val="00EE7CB0"/>
    <w:rsid w:val="00EF08A8"/>
    <w:rsid w:val="00EF167B"/>
    <w:rsid w:val="00EF41A8"/>
    <w:rsid w:val="00EF44FB"/>
    <w:rsid w:val="00EF5122"/>
    <w:rsid w:val="00EF5554"/>
    <w:rsid w:val="00EF5AD8"/>
    <w:rsid w:val="00EF6B90"/>
    <w:rsid w:val="00EF7807"/>
    <w:rsid w:val="00EF79F7"/>
    <w:rsid w:val="00F006C0"/>
    <w:rsid w:val="00F0125F"/>
    <w:rsid w:val="00F019AA"/>
    <w:rsid w:val="00F0267E"/>
    <w:rsid w:val="00F02686"/>
    <w:rsid w:val="00F030C0"/>
    <w:rsid w:val="00F03291"/>
    <w:rsid w:val="00F0459B"/>
    <w:rsid w:val="00F04E15"/>
    <w:rsid w:val="00F05DF3"/>
    <w:rsid w:val="00F0692C"/>
    <w:rsid w:val="00F069EA"/>
    <w:rsid w:val="00F070E5"/>
    <w:rsid w:val="00F07DDE"/>
    <w:rsid w:val="00F11675"/>
    <w:rsid w:val="00F12557"/>
    <w:rsid w:val="00F13599"/>
    <w:rsid w:val="00F13B28"/>
    <w:rsid w:val="00F14E01"/>
    <w:rsid w:val="00F156A0"/>
    <w:rsid w:val="00F15730"/>
    <w:rsid w:val="00F176A6"/>
    <w:rsid w:val="00F202C2"/>
    <w:rsid w:val="00F212F6"/>
    <w:rsid w:val="00F22756"/>
    <w:rsid w:val="00F23248"/>
    <w:rsid w:val="00F23890"/>
    <w:rsid w:val="00F2504D"/>
    <w:rsid w:val="00F2637F"/>
    <w:rsid w:val="00F268F7"/>
    <w:rsid w:val="00F30B83"/>
    <w:rsid w:val="00F30BDB"/>
    <w:rsid w:val="00F30CF8"/>
    <w:rsid w:val="00F31EDF"/>
    <w:rsid w:val="00F32CDE"/>
    <w:rsid w:val="00F32D4C"/>
    <w:rsid w:val="00F3327E"/>
    <w:rsid w:val="00F338C3"/>
    <w:rsid w:val="00F34B14"/>
    <w:rsid w:val="00F34F58"/>
    <w:rsid w:val="00F35DA7"/>
    <w:rsid w:val="00F36A6A"/>
    <w:rsid w:val="00F40101"/>
    <w:rsid w:val="00F404F7"/>
    <w:rsid w:val="00F40CCA"/>
    <w:rsid w:val="00F42D97"/>
    <w:rsid w:val="00F436B2"/>
    <w:rsid w:val="00F43813"/>
    <w:rsid w:val="00F43FEE"/>
    <w:rsid w:val="00F45A72"/>
    <w:rsid w:val="00F46723"/>
    <w:rsid w:val="00F4706D"/>
    <w:rsid w:val="00F476E1"/>
    <w:rsid w:val="00F47D1D"/>
    <w:rsid w:val="00F47F29"/>
    <w:rsid w:val="00F50016"/>
    <w:rsid w:val="00F50058"/>
    <w:rsid w:val="00F5088F"/>
    <w:rsid w:val="00F5118A"/>
    <w:rsid w:val="00F51A21"/>
    <w:rsid w:val="00F52614"/>
    <w:rsid w:val="00F5276E"/>
    <w:rsid w:val="00F52E9F"/>
    <w:rsid w:val="00F53304"/>
    <w:rsid w:val="00F53B81"/>
    <w:rsid w:val="00F540FE"/>
    <w:rsid w:val="00F556FF"/>
    <w:rsid w:val="00F55D12"/>
    <w:rsid w:val="00F5687F"/>
    <w:rsid w:val="00F56D3F"/>
    <w:rsid w:val="00F575C7"/>
    <w:rsid w:val="00F57FD0"/>
    <w:rsid w:val="00F60305"/>
    <w:rsid w:val="00F61B12"/>
    <w:rsid w:val="00F63264"/>
    <w:rsid w:val="00F634E4"/>
    <w:rsid w:val="00F6379E"/>
    <w:rsid w:val="00F64047"/>
    <w:rsid w:val="00F65171"/>
    <w:rsid w:val="00F6560D"/>
    <w:rsid w:val="00F65C23"/>
    <w:rsid w:val="00F67844"/>
    <w:rsid w:val="00F70799"/>
    <w:rsid w:val="00F70A8B"/>
    <w:rsid w:val="00F70B8D"/>
    <w:rsid w:val="00F71936"/>
    <w:rsid w:val="00F724FB"/>
    <w:rsid w:val="00F726B8"/>
    <w:rsid w:val="00F72A26"/>
    <w:rsid w:val="00F733C3"/>
    <w:rsid w:val="00F746A1"/>
    <w:rsid w:val="00F74820"/>
    <w:rsid w:val="00F756DD"/>
    <w:rsid w:val="00F77F4E"/>
    <w:rsid w:val="00F80047"/>
    <w:rsid w:val="00F800C7"/>
    <w:rsid w:val="00F8104D"/>
    <w:rsid w:val="00F81587"/>
    <w:rsid w:val="00F8288F"/>
    <w:rsid w:val="00F84033"/>
    <w:rsid w:val="00F84802"/>
    <w:rsid w:val="00F85B72"/>
    <w:rsid w:val="00F86540"/>
    <w:rsid w:val="00F865CE"/>
    <w:rsid w:val="00F8766F"/>
    <w:rsid w:val="00F91082"/>
    <w:rsid w:val="00F9116D"/>
    <w:rsid w:val="00F91A9A"/>
    <w:rsid w:val="00F9203B"/>
    <w:rsid w:val="00F93ABB"/>
    <w:rsid w:val="00F94D79"/>
    <w:rsid w:val="00F963A2"/>
    <w:rsid w:val="00F9658C"/>
    <w:rsid w:val="00F97A7F"/>
    <w:rsid w:val="00FA0889"/>
    <w:rsid w:val="00FA16E7"/>
    <w:rsid w:val="00FA31C7"/>
    <w:rsid w:val="00FA472D"/>
    <w:rsid w:val="00FB0CBF"/>
    <w:rsid w:val="00FB18F6"/>
    <w:rsid w:val="00FB2A52"/>
    <w:rsid w:val="00FB3F92"/>
    <w:rsid w:val="00FB52C7"/>
    <w:rsid w:val="00FB57DC"/>
    <w:rsid w:val="00FB6E19"/>
    <w:rsid w:val="00FB71F6"/>
    <w:rsid w:val="00FC0AF8"/>
    <w:rsid w:val="00FC1483"/>
    <w:rsid w:val="00FC1C47"/>
    <w:rsid w:val="00FC3102"/>
    <w:rsid w:val="00FC3493"/>
    <w:rsid w:val="00FC39ED"/>
    <w:rsid w:val="00FC4419"/>
    <w:rsid w:val="00FC47E2"/>
    <w:rsid w:val="00FC4AA5"/>
    <w:rsid w:val="00FC4B88"/>
    <w:rsid w:val="00FC4BB8"/>
    <w:rsid w:val="00FC5148"/>
    <w:rsid w:val="00FC623A"/>
    <w:rsid w:val="00FC6524"/>
    <w:rsid w:val="00FC75AC"/>
    <w:rsid w:val="00FD01BF"/>
    <w:rsid w:val="00FD0525"/>
    <w:rsid w:val="00FD0AB7"/>
    <w:rsid w:val="00FD297D"/>
    <w:rsid w:val="00FD2D13"/>
    <w:rsid w:val="00FD374D"/>
    <w:rsid w:val="00FD6071"/>
    <w:rsid w:val="00FD633B"/>
    <w:rsid w:val="00FE0794"/>
    <w:rsid w:val="00FE1041"/>
    <w:rsid w:val="00FE24CB"/>
    <w:rsid w:val="00FE323F"/>
    <w:rsid w:val="00FE3473"/>
    <w:rsid w:val="00FE4049"/>
    <w:rsid w:val="00FE4794"/>
    <w:rsid w:val="00FE480F"/>
    <w:rsid w:val="00FE4998"/>
    <w:rsid w:val="00FE57DE"/>
    <w:rsid w:val="00FE7A68"/>
    <w:rsid w:val="00FF0231"/>
    <w:rsid w:val="00FF1C9B"/>
    <w:rsid w:val="00FF1D49"/>
    <w:rsid w:val="00FF203B"/>
    <w:rsid w:val="00FF2562"/>
    <w:rsid w:val="00FF3A41"/>
    <w:rsid w:val="00FF3E5B"/>
    <w:rsid w:val="00FF57E4"/>
    <w:rsid w:val="00FF78E5"/>
    <w:rsid w:val="0103398B"/>
    <w:rsid w:val="01237662"/>
    <w:rsid w:val="014C1D05"/>
    <w:rsid w:val="015C4CBF"/>
    <w:rsid w:val="015C7AD5"/>
    <w:rsid w:val="016C2D4F"/>
    <w:rsid w:val="01907316"/>
    <w:rsid w:val="019904DB"/>
    <w:rsid w:val="01A433EB"/>
    <w:rsid w:val="01AF3D99"/>
    <w:rsid w:val="01B90B97"/>
    <w:rsid w:val="01C400FA"/>
    <w:rsid w:val="01DB7ED5"/>
    <w:rsid w:val="01E0307A"/>
    <w:rsid w:val="01E3453D"/>
    <w:rsid w:val="01FF4BEC"/>
    <w:rsid w:val="021741B2"/>
    <w:rsid w:val="02204683"/>
    <w:rsid w:val="023E0CE4"/>
    <w:rsid w:val="02511F9D"/>
    <w:rsid w:val="025263E9"/>
    <w:rsid w:val="025F06CD"/>
    <w:rsid w:val="026F7A2F"/>
    <w:rsid w:val="02827C52"/>
    <w:rsid w:val="02C76111"/>
    <w:rsid w:val="02D526C0"/>
    <w:rsid w:val="02D6235F"/>
    <w:rsid w:val="02E80AFB"/>
    <w:rsid w:val="030532A9"/>
    <w:rsid w:val="03286A1E"/>
    <w:rsid w:val="032B79A4"/>
    <w:rsid w:val="03305A68"/>
    <w:rsid w:val="033F12EC"/>
    <w:rsid w:val="03407951"/>
    <w:rsid w:val="03535D6B"/>
    <w:rsid w:val="03701670"/>
    <w:rsid w:val="039A08B0"/>
    <w:rsid w:val="03A314B8"/>
    <w:rsid w:val="03AD6CA1"/>
    <w:rsid w:val="03B22EB7"/>
    <w:rsid w:val="03B67959"/>
    <w:rsid w:val="03D82B98"/>
    <w:rsid w:val="03D964F4"/>
    <w:rsid w:val="03F83E8B"/>
    <w:rsid w:val="04075C0E"/>
    <w:rsid w:val="049570A7"/>
    <w:rsid w:val="04993972"/>
    <w:rsid w:val="04BA414C"/>
    <w:rsid w:val="04CD2CEE"/>
    <w:rsid w:val="04FA0003"/>
    <w:rsid w:val="04FA60EF"/>
    <w:rsid w:val="04FC24D4"/>
    <w:rsid w:val="05023BEB"/>
    <w:rsid w:val="05064643"/>
    <w:rsid w:val="050E5E84"/>
    <w:rsid w:val="05102192"/>
    <w:rsid w:val="054A0ABE"/>
    <w:rsid w:val="05557587"/>
    <w:rsid w:val="05645B44"/>
    <w:rsid w:val="057F4E2B"/>
    <w:rsid w:val="058549D8"/>
    <w:rsid w:val="058F6224"/>
    <w:rsid w:val="059303F8"/>
    <w:rsid w:val="05C05314"/>
    <w:rsid w:val="05C56868"/>
    <w:rsid w:val="06037902"/>
    <w:rsid w:val="06040198"/>
    <w:rsid w:val="06083B9D"/>
    <w:rsid w:val="06211C5A"/>
    <w:rsid w:val="063A030C"/>
    <w:rsid w:val="06444866"/>
    <w:rsid w:val="06516B57"/>
    <w:rsid w:val="066A40D2"/>
    <w:rsid w:val="06823015"/>
    <w:rsid w:val="0687062B"/>
    <w:rsid w:val="06B25549"/>
    <w:rsid w:val="06B96E5F"/>
    <w:rsid w:val="06C242E4"/>
    <w:rsid w:val="06C91C0B"/>
    <w:rsid w:val="06D86BC4"/>
    <w:rsid w:val="06F95FEB"/>
    <w:rsid w:val="06FE1B5D"/>
    <w:rsid w:val="072940AD"/>
    <w:rsid w:val="072E4C95"/>
    <w:rsid w:val="07633118"/>
    <w:rsid w:val="07640908"/>
    <w:rsid w:val="076C63C4"/>
    <w:rsid w:val="078627A3"/>
    <w:rsid w:val="07A5201F"/>
    <w:rsid w:val="07B72767"/>
    <w:rsid w:val="07C23DE6"/>
    <w:rsid w:val="07FC1ACA"/>
    <w:rsid w:val="08013FF2"/>
    <w:rsid w:val="08077E72"/>
    <w:rsid w:val="08203C28"/>
    <w:rsid w:val="08314631"/>
    <w:rsid w:val="083B16CD"/>
    <w:rsid w:val="083F4472"/>
    <w:rsid w:val="084C5E23"/>
    <w:rsid w:val="084F5179"/>
    <w:rsid w:val="08824CDD"/>
    <w:rsid w:val="0886663C"/>
    <w:rsid w:val="08882DD0"/>
    <w:rsid w:val="088B34A7"/>
    <w:rsid w:val="089F7EAE"/>
    <w:rsid w:val="08BE34E2"/>
    <w:rsid w:val="08C63638"/>
    <w:rsid w:val="08EC11F7"/>
    <w:rsid w:val="08F821C8"/>
    <w:rsid w:val="09110F69"/>
    <w:rsid w:val="09561829"/>
    <w:rsid w:val="096C5F37"/>
    <w:rsid w:val="09783845"/>
    <w:rsid w:val="09860032"/>
    <w:rsid w:val="09921955"/>
    <w:rsid w:val="09A46335"/>
    <w:rsid w:val="09CC2AAC"/>
    <w:rsid w:val="09CC7F0C"/>
    <w:rsid w:val="09D26E76"/>
    <w:rsid w:val="09DD7DDF"/>
    <w:rsid w:val="09DE2A8F"/>
    <w:rsid w:val="09F43D3A"/>
    <w:rsid w:val="09F7289C"/>
    <w:rsid w:val="0A020732"/>
    <w:rsid w:val="0A02529C"/>
    <w:rsid w:val="0A090982"/>
    <w:rsid w:val="0A171D19"/>
    <w:rsid w:val="0A2564A7"/>
    <w:rsid w:val="0A331AD7"/>
    <w:rsid w:val="0A493872"/>
    <w:rsid w:val="0A5C3ECC"/>
    <w:rsid w:val="0A5C76C2"/>
    <w:rsid w:val="0A652D3E"/>
    <w:rsid w:val="0A6A1AA6"/>
    <w:rsid w:val="0A767E3E"/>
    <w:rsid w:val="0A9D4A5C"/>
    <w:rsid w:val="0AA9774E"/>
    <w:rsid w:val="0AAB5F5D"/>
    <w:rsid w:val="0AB6063D"/>
    <w:rsid w:val="0ADA366D"/>
    <w:rsid w:val="0AFA5A05"/>
    <w:rsid w:val="0B193B77"/>
    <w:rsid w:val="0B253B57"/>
    <w:rsid w:val="0B325243"/>
    <w:rsid w:val="0B326F2A"/>
    <w:rsid w:val="0B3D510B"/>
    <w:rsid w:val="0B623221"/>
    <w:rsid w:val="0B6969D8"/>
    <w:rsid w:val="0BD8078C"/>
    <w:rsid w:val="0BE1433A"/>
    <w:rsid w:val="0BE93715"/>
    <w:rsid w:val="0BEA3C78"/>
    <w:rsid w:val="0BF43FB9"/>
    <w:rsid w:val="0BF44BE5"/>
    <w:rsid w:val="0C041ADD"/>
    <w:rsid w:val="0C11238F"/>
    <w:rsid w:val="0C1E2888"/>
    <w:rsid w:val="0C2E225D"/>
    <w:rsid w:val="0C4502C0"/>
    <w:rsid w:val="0C530F2E"/>
    <w:rsid w:val="0C6F29D6"/>
    <w:rsid w:val="0C87560F"/>
    <w:rsid w:val="0C880586"/>
    <w:rsid w:val="0C92213C"/>
    <w:rsid w:val="0C9F5D63"/>
    <w:rsid w:val="0CA20746"/>
    <w:rsid w:val="0CAB5D64"/>
    <w:rsid w:val="0CD304AC"/>
    <w:rsid w:val="0D0114AE"/>
    <w:rsid w:val="0D29001E"/>
    <w:rsid w:val="0D2C3F28"/>
    <w:rsid w:val="0D325EDF"/>
    <w:rsid w:val="0D445D4C"/>
    <w:rsid w:val="0D5860A0"/>
    <w:rsid w:val="0D6D5644"/>
    <w:rsid w:val="0D7A2203"/>
    <w:rsid w:val="0D7D5B62"/>
    <w:rsid w:val="0D84032B"/>
    <w:rsid w:val="0D953396"/>
    <w:rsid w:val="0D994191"/>
    <w:rsid w:val="0DA2594C"/>
    <w:rsid w:val="0DC06676"/>
    <w:rsid w:val="0DE53B38"/>
    <w:rsid w:val="0DF715F7"/>
    <w:rsid w:val="0E26697C"/>
    <w:rsid w:val="0E2B3D03"/>
    <w:rsid w:val="0E2C6916"/>
    <w:rsid w:val="0E5F47DD"/>
    <w:rsid w:val="0E6B66E8"/>
    <w:rsid w:val="0E79225F"/>
    <w:rsid w:val="0E8F2DCE"/>
    <w:rsid w:val="0EA56944"/>
    <w:rsid w:val="0EAC0C2F"/>
    <w:rsid w:val="0EB36C82"/>
    <w:rsid w:val="0EBA6255"/>
    <w:rsid w:val="0ED24096"/>
    <w:rsid w:val="0EE04BDF"/>
    <w:rsid w:val="0EE44AEB"/>
    <w:rsid w:val="0F150F54"/>
    <w:rsid w:val="0F2A74C4"/>
    <w:rsid w:val="0F3330FE"/>
    <w:rsid w:val="0F4E618A"/>
    <w:rsid w:val="0F553015"/>
    <w:rsid w:val="0F814841"/>
    <w:rsid w:val="0FC4692B"/>
    <w:rsid w:val="0FE030CE"/>
    <w:rsid w:val="10202CC1"/>
    <w:rsid w:val="10352DA4"/>
    <w:rsid w:val="103F2A0A"/>
    <w:rsid w:val="10A27F31"/>
    <w:rsid w:val="10A753AB"/>
    <w:rsid w:val="10AA5CB1"/>
    <w:rsid w:val="10AB01BE"/>
    <w:rsid w:val="10BD332C"/>
    <w:rsid w:val="10BF682C"/>
    <w:rsid w:val="10CB29C5"/>
    <w:rsid w:val="10CC3A02"/>
    <w:rsid w:val="10CC6281"/>
    <w:rsid w:val="10D87300"/>
    <w:rsid w:val="10E03636"/>
    <w:rsid w:val="10E33AF2"/>
    <w:rsid w:val="110B438A"/>
    <w:rsid w:val="11301FEB"/>
    <w:rsid w:val="113E66C0"/>
    <w:rsid w:val="114B493D"/>
    <w:rsid w:val="1167339E"/>
    <w:rsid w:val="1167648F"/>
    <w:rsid w:val="11822E5D"/>
    <w:rsid w:val="11873841"/>
    <w:rsid w:val="11927058"/>
    <w:rsid w:val="1193257A"/>
    <w:rsid w:val="119A0FD6"/>
    <w:rsid w:val="11A02DC7"/>
    <w:rsid w:val="11AB0C22"/>
    <w:rsid w:val="11EE4343"/>
    <w:rsid w:val="11F60067"/>
    <w:rsid w:val="120F3D85"/>
    <w:rsid w:val="12171B57"/>
    <w:rsid w:val="1235718D"/>
    <w:rsid w:val="123C2D26"/>
    <w:rsid w:val="123E24E6"/>
    <w:rsid w:val="12573688"/>
    <w:rsid w:val="126A32DB"/>
    <w:rsid w:val="129B61A1"/>
    <w:rsid w:val="12AA40AD"/>
    <w:rsid w:val="12DA4310"/>
    <w:rsid w:val="12EF08E6"/>
    <w:rsid w:val="12F15453"/>
    <w:rsid w:val="133E327C"/>
    <w:rsid w:val="138A0076"/>
    <w:rsid w:val="138C43DE"/>
    <w:rsid w:val="139665A6"/>
    <w:rsid w:val="139C5DE4"/>
    <w:rsid w:val="139D71F2"/>
    <w:rsid w:val="13AC3968"/>
    <w:rsid w:val="13AF4F03"/>
    <w:rsid w:val="13EA2B11"/>
    <w:rsid w:val="140A4F68"/>
    <w:rsid w:val="14112D31"/>
    <w:rsid w:val="14352795"/>
    <w:rsid w:val="1444633F"/>
    <w:rsid w:val="14670F31"/>
    <w:rsid w:val="14736E66"/>
    <w:rsid w:val="147F458F"/>
    <w:rsid w:val="148954D3"/>
    <w:rsid w:val="148C42E3"/>
    <w:rsid w:val="14911257"/>
    <w:rsid w:val="14976435"/>
    <w:rsid w:val="14B93551"/>
    <w:rsid w:val="14BB2734"/>
    <w:rsid w:val="14D958EC"/>
    <w:rsid w:val="14F20D93"/>
    <w:rsid w:val="14FA3E00"/>
    <w:rsid w:val="150B62EB"/>
    <w:rsid w:val="1531036E"/>
    <w:rsid w:val="1534169A"/>
    <w:rsid w:val="1549175F"/>
    <w:rsid w:val="156D25A1"/>
    <w:rsid w:val="157C0122"/>
    <w:rsid w:val="15812F88"/>
    <w:rsid w:val="15911585"/>
    <w:rsid w:val="159513FB"/>
    <w:rsid w:val="159C0EE7"/>
    <w:rsid w:val="15A27358"/>
    <w:rsid w:val="15B14FA7"/>
    <w:rsid w:val="15B93302"/>
    <w:rsid w:val="15C03E03"/>
    <w:rsid w:val="15E67E14"/>
    <w:rsid w:val="15EE508B"/>
    <w:rsid w:val="160F4148"/>
    <w:rsid w:val="162A25EB"/>
    <w:rsid w:val="16553CA3"/>
    <w:rsid w:val="165F50CD"/>
    <w:rsid w:val="169923E1"/>
    <w:rsid w:val="169F56FE"/>
    <w:rsid w:val="16BD6398"/>
    <w:rsid w:val="16D31DF9"/>
    <w:rsid w:val="16FD2A55"/>
    <w:rsid w:val="17047252"/>
    <w:rsid w:val="17067C1A"/>
    <w:rsid w:val="170A4150"/>
    <w:rsid w:val="172036D3"/>
    <w:rsid w:val="172045B4"/>
    <w:rsid w:val="172F08F7"/>
    <w:rsid w:val="17366761"/>
    <w:rsid w:val="17393F58"/>
    <w:rsid w:val="173A76F6"/>
    <w:rsid w:val="173B2377"/>
    <w:rsid w:val="177C01F0"/>
    <w:rsid w:val="178D65A6"/>
    <w:rsid w:val="17973BCE"/>
    <w:rsid w:val="17AB183B"/>
    <w:rsid w:val="17C40F08"/>
    <w:rsid w:val="17CE60BA"/>
    <w:rsid w:val="17CE6630"/>
    <w:rsid w:val="17D32A08"/>
    <w:rsid w:val="17EB3722"/>
    <w:rsid w:val="17EF65A5"/>
    <w:rsid w:val="180E6351"/>
    <w:rsid w:val="18162CAE"/>
    <w:rsid w:val="18283784"/>
    <w:rsid w:val="18353413"/>
    <w:rsid w:val="185D25ED"/>
    <w:rsid w:val="18750DB1"/>
    <w:rsid w:val="187B48A5"/>
    <w:rsid w:val="18A419CD"/>
    <w:rsid w:val="18B15806"/>
    <w:rsid w:val="18BC23B6"/>
    <w:rsid w:val="18EE2472"/>
    <w:rsid w:val="18F3727C"/>
    <w:rsid w:val="190979FD"/>
    <w:rsid w:val="19124B13"/>
    <w:rsid w:val="193F68F3"/>
    <w:rsid w:val="19434380"/>
    <w:rsid w:val="19434886"/>
    <w:rsid w:val="19472899"/>
    <w:rsid w:val="19491239"/>
    <w:rsid w:val="194C3D23"/>
    <w:rsid w:val="19541F63"/>
    <w:rsid w:val="19621891"/>
    <w:rsid w:val="197A7D49"/>
    <w:rsid w:val="199B55FC"/>
    <w:rsid w:val="19AD5CB2"/>
    <w:rsid w:val="19C607E7"/>
    <w:rsid w:val="19EF71FF"/>
    <w:rsid w:val="19F444FF"/>
    <w:rsid w:val="19F6165F"/>
    <w:rsid w:val="1A0B68A8"/>
    <w:rsid w:val="1A1B0F5C"/>
    <w:rsid w:val="1A232551"/>
    <w:rsid w:val="1A48011A"/>
    <w:rsid w:val="1A5C2B7F"/>
    <w:rsid w:val="1A614813"/>
    <w:rsid w:val="1A74392A"/>
    <w:rsid w:val="1A782658"/>
    <w:rsid w:val="1A797E1E"/>
    <w:rsid w:val="1A7E108F"/>
    <w:rsid w:val="1A8573D4"/>
    <w:rsid w:val="1A9548EB"/>
    <w:rsid w:val="1A9B64D2"/>
    <w:rsid w:val="1ACC27B4"/>
    <w:rsid w:val="1AF57BE1"/>
    <w:rsid w:val="1AF65A4C"/>
    <w:rsid w:val="1AFF0AFE"/>
    <w:rsid w:val="1B34103B"/>
    <w:rsid w:val="1B39650C"/>
    <w:rsid w:val="1B4F19F8"/>
    <w:rsid w:val="1B5B76F4"/>
    <w:rsid w:val="1B5C2F75"/>
    <w:rsid w:val="1B6B7470"/>
    <w:rsid w:val="1B8D2CBF"/>
    <w:rsid w:val="1BA33A2D"/>
    <w:rsid w:val="1BAD706E"/>
    <w:rsid w:val="1BAE3D4C"/>
    <w:rsid w:val="1BB36E00"/>
    <w:rsid w:val="1BD10936"/>
    <w:rsid w:val="1BEE7729"/>
    <w:rsid w:val="1BF4700E"/>
    <w:rsid w:val="1C041C70"/>
    <w:rsid w:val="1C1A42E7"/>
    <w:rsid w:val="1C226F03"/>
    <w:rsid w:val="1C3F670D"/>
    <w:rsid w:val="1C9A50D4"/>
    <w:rsid w:val="1CA823CD"/>
    <w:rsid w:val="1CA970EB"/>
    <w:rsid w:val="1CDE1F2F"/>
    <w:rsid w:val="1CE61E5F"/>
    <w:rsid w:val="1CF93E51"/>
    <w:rsid w:val="1D0F556C"/>
    <w:rsid w:val="1D1C46B8"/>
    <w:rsid w:val="1D3943AC"/>
    <w:rsid w:val="1D3A7D4E"/>
    <w:rsid w:val="1D805CF0"/>
    <w:rsid w:val="1D8F637F"/>
    <w:rsid w:val="1D9335FC"/>
    <w:rsid w:val="1D996796"/>
    <w:rsid w:val="1DA07F2F"/>
    <w:rsid w:val="1DD106A3"/>
    <w:rsid w:val="1E0450B5"/>
    <w:rsid w:val="1E286EEF"/>
    <w:rsid w:val="1E2B1AE2"/>
    <w:rsid w:val="1E375346"/>
    <w:rsid w:val="1E5E181A"/>
    <w:rsid w:val="1E657FE9"/>
    <w:rsid w:val="1E662BFA"/>
    <w:rsid w:val="1E72152A"/>
    <w:rsid w:val="1E751FB1"/>
    <w:rsid w:val="1E842C7C"/>
    <w:rsid w:val="1E8C24F9"/>
    <w:rsid w:val="1ECC44FA"/>
    <w:rsid w:val="1ECE7147"/>
    <w:rsid w:val="1EDF6DFF"/>
    <w:rsid w:val="1F063325"/>
    <w:rsid w:val="1F206483"/>
    <w:rsid w:val="1F4D240C"/>
    <w:rsid w:val="1F50678E"/>
    <w:rsid w:val="1F6A3BA7"/>
    <w:rsid w:val="1F80168B"/>
    <w:rsid w:val="1F843156"/>
    <w:rsid w:val="1F91158B"/>
    <w:rsid w:val="1FA05F68"/>
    <w:rsid w:val="1FAF0501"/>
    <w:rsid w:val="1FBC5DF5"/>
    <w:rsid w:val="1FC16863"/>
    <w:rsid w:val="1FE13B31"/>
    <w:rsid w:val="1FEA075F"/>
    <w:rsid w:val="1FF90588"/>
    <w:rsid w:val="201167D2"/>
    <w:rsid w:val="201E1010"/>
    <w:rsid w:val="20213923"/>
    <w:rsid w:val="20245062"/>
    <w:rsid w:val="202D32CC"/>
    <w:rsid w:val="203F6A91"/>
    <w:rsid w:val="204D2ACD"/>
    <w:rsid w:val="20562624"/>
    <w:rsid w:val="20BB6724"/>
    <w:rsid w:val="20C3623F"/>
    <w:rsid w:val="20D3029D"/>
    <w:rsid w:val="20D84C09"/>
    <w:rsid w:val="20E533F4"/>
    <w:rsid w:val="20ED7F55"/>
    <w:rsid w:val="211041C1"/>
    <w:rsid w:val="21194989"/>
    <w:rsid w:val="212635D9"/>
    <w:rsid w:val="21781212"/>
    <w:rsid w:val="219C2D85"/>
    <w:rsid w:val="21B83F86"/>
    <w:rsid w:val="21C90855"/>
    <w:rsid w:val="21E069CE"/>
    <w:rsid w:val="21E75551"/>
    <w:rsid w:val="21F901D7"/>
    <w:rsid w:val="22106464"/>
    <w:rsid w:val="22106A4D"/>
    <w:rsid w:val="221178A8"/>
    <w:rsid w:val="221213CF"/>
    <w:rsid w:val="22327A92"/>
    <w:rsid w:val="22465B1F"/>
    <w:rsid w:val="225C0635"/>
    <w:rsid w:val="22711995"/>
    <w:rsid w:val="22BB3EC7"/>
    <w:rsid w:val="22CE3412"/>
    <w:rsid w:val="22DB129D"/>
    <w:rsid w:val="22FA4C94"/>
    <w:rsid w:val="22FC4FC4"/>
    <w:rsid w:val="230436F8"/>
    <w:rsid w:val="230D61C2"/>
    <w:rsid w:val="231C0980"/>
    <w:rsid w:val="231D53A2"/>
    <w:rsid w:val="232C1B4B"/>
    <w:rsid w:val="233B7225"/>
    <w:rsid w:val="23435214"/>
    <w:rsid w:val="235477BA"/>
    <w:rsid w:val="235A3C30"/>
    <w:rsid w:val="236D5383"/>
    <w:rsid w:val="23A41B75"/>
    <w:rsid w:val="23B7504C"/>
    <w:rsid w:val="23BA654A"/>
    <w:rsid w:val="24205BC8"/>
    <w:rsid w:val="24345FDB"/>
    <w:rsid w:val="24354590"/>
    <w:rsid w:val="24571307"/>
    <w:rsid w:val="247C7D19"/>
    <w:rsid w:val="2488397F"/>
    <w:rsid w:val="24B13D98"/>
    <w:rsid w:val="24B34021"/>
    <w:rsid w:val="24CB4B0D"/>
    <w:rsid w:val="24E05505"/>
    <w:rsid w:val="24EF0AA4"/>
    <w:rsid w:val="24FE5668"/>
    <w:rsid w:val="25110A2A"/>
    <w:rsid w:val="251513DA"/>
    <w:rsid w:val="252B4B4C"/>
    <w:rsid w:val="252F3220"/>
    <w:rsid w:val="25357FCD"/>
    <w:rsid w:val="25647DF0"/>
    <w:rsid w:val="256C0944"/>
    <w:rsid w:val="25773D5F"/>
    <w:rsid w:val="257E73F2"/>
    <w:rsid w:val="25895F27"/>
    <w:rsid w:val="25984DAE"/>
    <w:rsid w:val="25AD6F5A"/>
    <w:rsid w:val="25AE451C"/>
    <w:rsid w:val="25BE7679"/>
    <w:rsid w:val="25C00F8A"/>
    <w:rsid w:val="25D4529B"/>
    <w:rsid w:val="25D53DA4"/>
    <w:rsid w:val="25EC2CF7"/>
    <w:rsid w:val="261F4447"/>
    <w:rsid w:val="263129AE"/>
    <w:rsid w:val="26446DE3"/>
    <w:rsid w:val="264A7253"/>
    <w:rsid w:val="269669E7"/>
    <w:rsid w:val="26A744DB"/>
    <w:rsid w:val="26D4005A"/>
    <w:rsid w:val="26D46B1D"/>
    <w:rsid w:val="26D7699F"/>
    <w:rsid w:val="26E26183"/>
    <w:rsid w:val="26E36ACC"/>
    <w:rsid w:val="26F30F15"/>
    <w:rsid w:val="26F35AF2"/>
    <w:rsid w:val="26F73A2A"/>
    <w:rsid w:val="26F947D6"/>
    <w:rsid w:val="27102C21"/>
    <w:rsid w:val="27227C57"/>
    <w:rsid w:val="2750171F"/>
    <w:rsid w:val="2769156F"/>
    <w:rsid w:val="27793F5D"/>
    <w:rsid w:val="277A7636"/>
    <w:rsid w:val="27A2622E"/>
    <w:rsid w:val="27A60F83"/>
    <w:rsid w:val="27D24FCB"/>
    <w:rsid w:val="280621A9"/>
    <w:rsid w:val="280F682E"/>
    <w:rsid w:val="28115370"/>
    <w:rsid w:val="28124EAE"/>
    <w:rsid w:val="287815CC"/>
    <w:rsid w:val="28785F5E"/>
    <w:rsid w:val="28BE38E2"/>
    <w:rsid w:val="28E167AB"/>
    <w:rsid w:val="28F14595"/>
    <w:rsid w:val="29063629"/>
    <w:rsid w:val="291137B2"/>
    <w:rsid w:val="29156CFF"/>
    <w:rsid w:val="29344AD4"/>
    <w:rsid w:val="293D6B2E"/>
    <w:rsid w:val="29581C87"/>
    <w:rsid w:val="295E2317"/>
    <w:rsid w:val="295F2107"/>
    <w:rsid w:val="296B020D"/>
    <w:rsid w:val="2973495F"/>
    <w:rsid w:val="297D3FFE"/>
    <w:rsid w:val="298B57C8"/>
    <w:rsid w:val="299912AB"/>
    <w:rsid w:val="299D4AAF"/>
    <w:rsid w:val="29AD0C8B"/>
    <w:rsid w:val="29BB39AC"/>
    <w:rsid w:val="29C5574F"/>
    <w:rsid w:val="29C67FA0"/>
    <w:rsid w:val="29D2163F"/>
    <w:rsid w:val="29E509C9"/>
    <w:rsid w:val="29F3375E"/>
    <w:rsid w:val="2A21557C"/>
    <w:rsid w:val="2A4D3396"/>
    <w:rsid w:val="2A4D6EDB"/>
    <w:rsid w:val="2A541720"/>
    <w:rsid w:val="2A6821B4"/>
    <w:rsid w:val="2AAC54E3"/>
    <w:rsid w:val="2AB22903"/>
    <w:rsid w:val="2ACD4A32"/>
    <w:rsid w:val="2AD830F7"/>
    <w:rsid w:val="2AE241C5"/>
    <w:rsid w:val="2AE80DE9"/>
    <w:rsid w:val="2AF310EC"/>
    <w:rsid w:val="2B5862D1"/>
    <w:rsid w:val="2B6A0459"/>
    <w:rsid w:val="2B6E42DA"/>
    <w:rsid w:val="2B774624"/>
    <w:rsid w:val="2B8A5BDD"/>
    <w:rsid w:val="2B8A7A19"/>
    <w:rsid w:val="2B8C3FB1"/>
    <w:rsid w:val="2BAE120E"/>
    <w:rsid w:val="2BC83AB9"/>
    <w:rsid w:val="2BF5056F"/>
    <w:rsid w:val="2C1B56AB"/>
    <w:rsid w:val="2C266CCE"/>
    <w:rsid w:val="2C4A0FE2"/>
    <w:rsid w:val="2C5C3CEE"/>
    <w:rsid w:val="2C7A72BE"/>
    <w:rsid w:val="2C8A7A52"/>
    <w:rsid w:val="2C98410A"/>
    <w:rsid w:val="2C9A7D75"/>
    <w:rsid w:val="2CBC587B"/>
    <w:rsid w:val="2CC17412"/>
    <w:rsid w:val="2CC36AF2"/>
    <w:rsid w:val="2CCB6C14"/>
    <w:rsid w:val="2CD40732"/>
    <w:rsid w:val="2CF350E3"/>
    <w:rsid w:val="2CFD7BC7"/>
    <w:rsid w:val="2CFF7BB9"/>
    <w:rsid w:val="2D04594C"/>
    <w:rsid w:val="2D0A3CA7"/>
    <w:rsid w:val="2D0C5851"/>
    <w:rsid w:val="2D1C1975"/>
    <w:rsid w:val="2D2A7829"/>
    <w:rsid w:val="2D446A9B"/>
    <w:rsid w:val="2D687FE2"/>
    <w:rsid w:val="2D6B7F39"/>
    <w:rsid w:val="2DA120C4"/>
    <w:rsid w:val="2DAC6336"/>
    <w:rsid w:val="2DD85E2E"/>
    <w:rsid w:val="2DE53D06"/>
    <w:rsid w:val="2DFE0923"/>
    <w:rsid w:val="2E0A72C8"/>
    <w:rsid w:val="2E1077F1"/>
    <w:rsid w:val="2E3D1FF3"/>
    <w:rsid w:val="2E3F6BB4"/>
    <w:rsid w:val="2E41718B"/>
    <w:rsid w:val="2E5F03A4"/>
    <w:rsid w:val="2E717F8B"/>
    <w:rsid w:val="2E7B6010"/>
    <w:rsid w:val="2E8E1E30"/>
    <w:rsid w:val="2E941A5C"/>
    <w:rsid w:val="2E9976CE"/>
    <w:rsid w:val="2EC66A77"/>
    <w:rsid w:val="2EE424EE"/>
    <w:rsid w:val="2EE5697A"/>
    <w:rsid w:val="2EF52678"/>
    <w:rsid w:val="2F134027"/>
    <w:rsid w:val="2F1342AA"/>
    <w:rsid w:val="2F401D3C"/>
    <w:rsid w:val="2F462266"/>
    <w:rsid w:val="2F5B24E1"/>
    <w:rsid w:val="2F704EEA"/>
    <w:rsid w:val="2F8026D7"/>
    <w:rsid w:val="2F885E0A"/>
    <w:rsid w:val="2F8F65C7"/>
    <w:rsid w:val="2F977B28"/>
    <w:rsid w:val="2FA572A9"/>
    <w:rsid w:val="2FA95C88"/>
    <w:rsid w:val="2FC97926"/>
    <w:rsid w:val="2FCB79D4"/>
    <w:rsid w:val="2FD471C0"/>
    <w:rsid w:val="2FDD6FD5"/>
    <w:rsid w:val="2FF9770A"/>
    <w:rsid w:val="30242658"/>
    <w:rsid w:val="302F34A0"/>
    <w:rsid w:val="302F4907"/>
    <w:rsid w:val="303B3107"/>
    <w:rsid w:val="3041370F"/>
    <w:rsid w:val="30506D05"/>
    <w:rsid w:val="30665265"/>
    <w:rsid w:val="306D5836"/>
    <w:rsid w:val="3097349C"/>
    <w:rsid w:val="3097429D"/>
    <w:rsid w:val="30A3019D"/>
    <w:rsid w:val="30D32298"/>
    <w:rsid w:val="30EC5E2A"/>
    <w:rsid w:val="30ED1946"/>
    <w:rsid w:val="30FE6C63"/>
    <w:rsid w:val="310D525E"/>
    <w:rsid w:val="3113466B"/>
    <w:rsid w:val="311B0A1E"/>
    <w:rsid w:val="31216B3F"/>
    <w:rsid w:val="312B50A3"/>
    <w:rsid w:val="317172BB"/>
    <w:rsid w:val="318E6873"/>
    <w:rsid w:val="319C52FC"/>
    <w:rsid w:val="31B46ACE"/>
    <w:rsid w:val="31D9410F"/>
    <w:rsid w:val="31F32870"/>
    <w:rsid w:val="31F51115"/>
    <w:rsid w:val="32003808"/>
    <w:rsid w:val="320B582E"/>
    <w:rsid w:val="32103FEE"/>
    <w:rsid w:val="32120DF0"/>
    <w:rsid w:val="321A6930"/>
    <w:rsid w:val="322F3820"/>
    <w:rsid w:val="32453A27"/>
    <w:rsid w:val="3263064A"/>
    <w:rsid w:val="3265766A"/>
    <w:rsid w:val="32A43132"/>
    <w:rsid w:val="32AC0C06"/>
    <w:rsid w:val="32AD0CCA"/>
    <w:rsid w:val="32C33CD3"/>
    <w:rsid w:val="33027836"/>
    <w:rsid w:val="33344EF5"/>
    <w:rsid w:val="333659B6"/>
    <w:rsid w:val="335B5D0D"/>
    <w:rsid w:val="335F2223"/>
    <w:rsid w:val="33631548"/>
    <w:rsid w:val="3378161D"/>
    <w:rsid w:val="33802506"/>
    <w:rsid w:val="33A36C73"/>
    <w:rsid w:val="33B22505"/>
    <w:rsid w:val="33E85CE2"/>
    <w:rsid w:val="341D0201"/>
    <w:rsid w:val="34273F04"/>
    <w:rsid w:val="342B0F4F"/>
    <w:rsid w:val="345A2720"/>
    <w:rsid w:val="347B2D6D"/>
    <w:rsid w:val="347F56D3"/>
    <w:rsid w:val="348222AE"/>
    <w:rsid w:val="34A4664B"/>
    <w:rsid w:val="34B52163"/>
    <w:rsid w:val="34BE337F"/>
    <w:rsid w:val="34BF0E0C"/>
    <w:rsid w:val="34C35A6B"/>
    <w:rsid w:val="34D72013"/>
    <w:rsid w:val="34E02B31"/>
    <w:rsid w:val="34EB7D5F"/>
    <w:rsid w:val="34EE1C44"/>
    <w:rsid w:val="34F2382C"/>
    <w:rsid w:val="34FF745B"/>
    <w:rsid w:val="35122B62"/>
    <w:rsid w:val="352C24DC"/>
    <w:rsid w:val="3537750C"/>
    <w:rsid w:val="3537798C"/>
    <w:rsid w:val="357005A7"/>
    <w:rsid w:val="357A579A"/>
    <w:rsid w:val="358E312C"/>
    <w:rsid w:val="35C13FC9"/>
    <w:rsid w:val="35E5632B"/>
    <w:rsid w:val="35E91989"/>
    <w:rsid w:val="35EF4FE4"/>
    <w:rsid w:val="36085EA6"/>
    <w:rsid w:val="36266D8A"/>
    <w:rsid w:val="36293A22"/>
    <w:rsid w:val="364257B6"/>
    <w:rsid w:val="36543163"/>
    <w:rsid w:val="368456EC"/>
    <w:rsid w:val="36912212"/>
    <w:rsid w:val="369E4AB8"/>
    <w:rsid w:val="36AC43D6"/>
    <w:rsid w:val="36EE4695"/>
    <w:rsid w:val="3705788F"/>
    <w:rsid w:val="3722747D"/>
    <w:rsid w:val="3724059E"/>
    <w:rsid w:val="374E4FB2"/>
    <w:rsid w:val="37725F65"/>
    <w:rsid w:val="377261A3"/>
    <w:rsid w:val="37734E19"/>
    <w:rsid w:val="379C5D4E"/>
    <w:rsid w:val="37AE3719"/>
    <w:rsid w:val="37D25817"/>
    <w:rsid w:val="37DE378C"/>
    <w:rsid w:val="37EA5922"/>
    <w:rsid w:val="380C2E7F"/>
    <w:rsid w:val="38134D6C"/>
    <w:rsid w:val="38276B93"/>
    <w:rsid w:val="384D3BF2"/>
    <w:rsid w:val="386012D7"/>
    <w:rsid w:val="386A2AA2"/>
    <w:rsid w:val="386E11A3"/>
    <w:rsid w:val="38736485"/>
    <w:rsid w:val="389430F0"/>
    <w:rsid w:val="389B749B"/>
    <w:rsid w:val="38AC3431"/>
    <w:rsid w:val="38B20617"/>
    <w:rsid w:val="38C26745"/>
    <w:rsid w:val="38CD0AA7"/>
    <w:rsid w:val="38E67108"/>
    <w:rsid w:val="38F06097"/>
    <w:rsid w:val="38FE35D2"/>
    <w:rsid w:val="391A244B"/>
    <w:rsid w:val="39226DE8"/>
    <w:rsid w:val="392B5731"/>
    <w:rsid w:val="392F2E16"/>
    <w:rsid w:val="39406F09"/>
    <w:rsid w:val="39791C92"/>
    <w:rsid w:val="398D343A"/>
    <w:rsid w:val="399C796E"/>
    <w:rsid w:val="399F26CE"/>
    <w:rsid w:val="39AC2870"/>
    <w:rsid w:val="39B40ED3"/>
    <w:rsid w:val="39B503F5"/>
    <w:rsid w:val="39B614C9"/>
    <w:rsid w:val="39D94185"/>
    <w:rsid w:val="39E00529"/>
    <w:rsid w:val="39E359C2"/>
    <w:rsid w:val="39E9733C"/>
    <w:rsid w:val="3A0B6254"/>
    <w:rsid w:val="3A0B64A7"/>
    <w:rsid w:val="3A106F28"/>
    <w:rsid w:val="3A205374"/>
    <w:rsid w:val="3A2F182B"/>
    <w:rsid w:val="3A36312B"/>
    <w:rsid w:val="3A3B5CDC"/>
    <w:rsid w:val="3A520B7E"/>
    <w:rsid w:val="3A574DDA"/>
    <w:rsid w:val="3A824DB6"/>
    <w:rsid w:val="3A8A1360"/>
    <w:rsid w:val="3AAD0FC0"/>
    <w:rsid w:val="3AAE0666"/>
    <w:rsid w:val="3ABA15C8"/>
    <w:rsid w:val="3AD3075A"/>
    <w:rsid w:val="3AD5142D"/>
    <w:rsid w:val="3AD71232"/>
    <w:rsid w:val="3AF74C02"/>
    <w:rsid w:val="3B0B739D"/>
    <w:rsid w:val="3B631610"/>
    <w:rsid w:val="3B6620EF"/>
    <w:rsid w:val="3B70641D"/>
    <w:rsid w:val="3B954BE0"/>
    <w:rsid w:val="3B9F1620"/>
    <w:rsid w:val="3BB84161"/>
    <w:rsid w:val="3C0059A5"/>
    <w:rsid w:val="3C134E78"/>
    <w:rsid w:val="3C1478ED"/>
    <w:rsid w:val="3C15518D"/>
    <w:rsid w:val="3C33057E"/>
    <w:rsid w:val="3C334EAF"/>
    <w:rsid w:val="3C3D49BD"/>
    <w:rsid w:val="3C6D16C6"/>
    <w:rsid w:val="3C921FB2"/>
    <w:rsid w:val="3C9E1EBC"/>
    <w:rsid w:val="3CF52957"/>
    <w:rsid w:val="3CFB4EF6"/>
    <w:rsid w:val="3D041A5E"/>
    <w:rsid w:val="3D112570"/>
    <w:rsid w:val="3D147205"/>
    <w:rsid w:val="3D245BF8"/>
    <w:rsid w:val="3D2E6923"/>
    <w:rsid w:val="3D331671"/>
    <w:rsid w:val="3D506996"/>
    <w:rsid w:val="3D5750A4"/>
    <w:rsid w:val="3D67163F"/>
    <w:rsid w:val="3D6871A7"/>
    <w:rsid w:val="3D817764"/>
    <w:rsid w:val="3D873FCE"/>
    <w:rsid w:val="3D983056"/>
    <w:rsid w:val="3DAA2E5B"/>
    <w:rsid w:val="3DCF09F5"/>
    <w:rsid w:val="3DEC7285"/>
    <w:rsid w:val="3DEE1C47"/>
    <w:rsid w:val="3DF6345D"/>
    <w:rsid w:val="3E154007"/>
    <w:rsid w:val="3E1B3CD2"/>
    <w:rsid w:val="3E2B5515"/>
    <w:rsid w:val="3E3E5EF1"/>
    <w:rsid w:val="3E4D4F28"/>
    <w:rsid w:val="3E807162"/>
    <w:rsid w:val="3E9E2AE3"/>
    <w:rsid w:val="3EB11AC7"/>
    <w:rsid w:val="3EC9706E"/>
    <w:rsid w:val="3ED818CD"/>
    <w:rsid w:val="3EE13701"/>
    <w:rsid w:val="3EE25742"/>
    <w:rsid w:val="3EE43BF5"/>
    <w:rsid w:val="3EF45B57"/>
    <w:rsid w:val="3F143EEF"/>
    <w:rsid w:val="3F144FB4"/>
    <w:rsid w:val="3F1A4BB3"/>
    <w:rsid w:val="3F445833"/>
    <w:rsid w:val="3F4A64D9"/>
    <w:rsid w:val="3F60225A"/>
    <w:rsid w:val="3F696AC6"/>
    <w:rsid w:val="3F6C7FEC"/>
    <w:rsid w:val="3F6E1561"/>
    <w:rsid w:val="3F714C59"/>
    <w:rsid w:val="3F934E86"/>
    <w:rsid w:val="3FAB4D77"/>
    <w:rsid w:val="3FC719DE"/>
    <w:rsid w:val="3FD8512D"/>
    <w:rsid w:val="3FE32ECE"/>
    <w:rsid w:val="3FF317AE"/>
    <w:rsid w:val="3FFA2455"/>
    <w:rsid w:val="3FFA32B3"/>
    <w:rsid w:val="400032BE"/>
    <w:rsid w:val="4003034F"/>
    <w:rsid w:val="40192BA6"/>
    <w:rsid w:val="401F2287"/>
    <w:rsid w:val="402C58F5"/>
    <w:rsid w:val="40484D68"/>
    <w:rsid w:val="404E1296"/>
    <w:rsid w:val="40565775"/>
    <w:rsid w:val="40741400"/>
    <w:rsid w:val="40760923"/>
    <w:rsid w:val="40761BDC"/>
    <w:rsid w:val="40963BF6"/>
    <w:rsid w:val="40991CAB"/>
    <w:rsid w:val="40B15F11"/>
    <w:rsid w:val="40BE68D5"/>
    <w:rsid w:val="40D43427"/>
    <w:rsid w:val="41071387"/>
    <w:rsid w:val="41076015"/>
    <w:rsid w:val="410A1661"/>
    <w:rsid w:val="41184017"/>
    <w:rsid w:val="412546F1"/>
    <w:rsid w:val="41301D39"/>
    <w:rsid w:val="4134271F"/>
    <w:rsid w:val="413D6CFA"/>
    <w:rsid w:val="4151394D"/>
    <w:rsid w:val="415560AD"/>
    <w:rsid w:val="41766EA9"/>
    <w:rsid w:val="41775EB3"/>
    <w:rsid w:val="41D447E8"/>
    <w:rsid w:val="41D723FB"/>
    <w:rsid w:val="42145CCA"/>
    <w:rsid w:val="423035D9"/>
    <w:rsid w:val="42384DC8"/>
    <w:rsid w:val="42550A18"/>
    <w:rsid w:val="427B1BBB"/>
    <w:rsid w:val="42834F1E"/>
    <w:rsid w:val="428B06E2"/>
    <w:rsid w:val="428E0F52"/>
    <w:rsid w:val="429D496A"/>
    <w:rsid w:val="42CC751E"/>
    <w:rsid w:val="42E0276A"/>
    <w:rsid w:val="42EB6093"/>
    <w:rsid w:val="42F4215A"/>
    <w:rsid w:val="42F473A1"/>
    <w:rsid w:val="42F80FA5"/>
    <w:rsid w:val="42FD62EC"/>
    <w:rsid w:val="4303524A"/>
    <w:rsid w:val="4305361D"/>
    <w:rsid w:val="430C6978"/>
    <w:rsid w:val="431816E6"/>
    <w:rsid w:val="431C26D3"/>
    <w:rsid w:val="431F637C"/>
    <w:rsid w:val="4340622C"/>
    <w:rsid w:val="4344562F"/>
    <w:rsid w:val="434E3AB8"/>
    <w:rsid w:val="43537F8A"/>
    <w:rsid w:val="43DA64B8"/>
    <w:rsid w:val="44104A41"/>
    <w:rsid w:val="44107EE3"/>
    <w:rsid w:val="441129BA"/>
    <w:rsid w:val="441E62C0"/>
    <w:rsid w:val="44406167"/>
    <w:rsid w:val="445615DF"/>
    <w:rsid w:val="448D4A83"/>
    <w:rsid w:val="44967985"/>
    <w:rsid w:val="44974521"/>
    <w:rsid w:val="44AE4395"/>
    <w:rsid w:val="44AF3BAD"/>
    <w:rsid w:val="44C03DC7"/>
    <w:rsid w:val="44EB1ADD"/>
    <w:rsid w:val="44F066C6"/>
    <w:rsid w:val="44FB65C3"/>
    <w:rsid w:val="45192471"/>
    <w:rsid w:val="451F3174"/>
    <w:rsid w:val="451F438B"/>
    <w:rsid w:val="452F1A92"/>
    <w:rsid w:val="45303661"/>
    <w:rsid w:val="45325D14"/>
    <w:rsid w:val="454F4D0B"/>
    <w:rsid w:val="455449DD"/>
    <w:rsid w:val="456A5852"/>
    <w:rsid w:val="45732385"/>
    <w:rsid w:val="45811C7C"/>
    <w:rsid w:val="45906116"/>
    <w:rsid w:val="45A0305D"/>
    <w:rsid w:val="45A03571"/>
    <w:rsid w:val="45A3752C"/>
    <w:rsid w:val="45F51AEF"/>
    <w:rsid w:val="45FB36B1"/>
    <w:rsid w:val="460B016C"/>
    <w:rsid w:val="46345C9D"/>
    <w:rsid w:val="465A46A3"/>
    <w:rsid w:val="46830E83"/>
    <w:rsid w:val="468B220E"/>
    <w:rsid w:val="468B3EFB"/>
    <w:rsid w:val="46C54123"/>
    <w:rsid w:val="46D22C21"/>
    <w:rsid w:val="46D5130D"/>
    <w:rsid w:val="46E15B1B"/>
    <w:rsid w:val="47061EB6"/>
    <w:rsid w:val="470A6193"/>
    <w:rsid w:val="471909B6"/>
    <w:rsid w:val="471B4E2C"/>
    <w:rsid w:val="47385210"/>
    <w:rsid w:val="474D5830"/>
    <w:rsid w:val="475C3001"/>
    <w:rsid w:val="47690E29"/>
    <w:rsid w:val="477626C0"/>
    <w:rsid w:val="479A5F27"/>
    <w:rsid w:val="47A837E0"/>
    <w:rsid w:val="47C337F0"/>
    <w:rsid w:val="47CA6E64"/>
    <w:rsid w:val="47D31E5D"/>
    <w:rsid w:val="47DC4F5C"/>
    <w:rsid w:val="47DD36B3"/>
    <w:rsid w:val="48192084"/>
    <w:rsid w:val="481C7304"/>
    <w:rsid w:val="482C0320"/>
    <w:rsid w:val="482C6A5C"/>
    <w:rsid w:val="484C5484"/>
    <w:rsid w:val="485B79F5"/>
    <w:rsid w:val="48976008"/>
    <w:rsid w:val="48A40158"/>
    <w:rsid w:val="48B40671"/>
    <w:rsid w:val="48F73DFC"/>
    <w:rsid w:val="48F8514C"/>
    <w:rsid w:val="490D112E"/>
    <w:rsid w:val="490E4D0A"/>
    <w:rsid w:val="49385E92"/>
    <w:rsid w:val="493C2711"/>
    <w:rsid w:val="495664BB"/>
    <w:rsid w:val="499B5738"/>
    <w:rsid w:val="499F244D"/>
    <w:rsid w:val="49A73ABE"/>
    <w:rsid w:val="49CC7372"/>
    <w:rsid w:val="49D92C0D"/>
    <w:rsid w:val="4A01178D"/>
    <w:rsid w:val="4A0B3470"/>
    <w:rsid w:val="4A0C2D29"/>
    <w:rsid w:val="4A105051"/>
    <w:rsid w:val="4A251DC3"/>
    <w:rsid w:val="4A254E81"/>
    <w:rsid w:val="4A2D0198"/>
    <w:rsid w:val="4A420EE7"/>
    <w:rsid w:val="4A814A28"/>
    <w:rsid w:val="4A973F3F"/>
    <w:rsid w:val="4A9F387C"/>
    <w:rsid w:val="4AA20B5D"/>
    <w:rsid w:val="4AE6282E"/>
    <w:rsid w:val="4AF4108E"/>
    <w:rsid w:val="4AF50338"/>
    <w:rsid w:val="4AF57CD3"/>
    <w:rsid w:val="4AF96BC7"/>
    <w:rsid w:val="4B074F1C"/>
    <w:rsid w:val="4B196F78"/>
    <w:rsid w:val="4B203103"/>
    <w:rsid w:val="4B32607A"/>
    <w:rsid w:val="4B453FC7"/>
    <w:rsid w:val="4B464533"/>
    <w:rsid w:val="4B496045"/>
    <w:rsid w:val="4B545C08"/>
    <w:rsid w:val="4B5A416B"/>
    <w:rsid w:val="4B667F55"/>
    <w:rsid w:val="4B726781"/>
    <w:rsid w:val="4B7A557E"/>
    <w:rsid w:val="4B7C6990"/>
    <w:rsid w:val="4B862A85"/>
    <w:rsid w:val="4B8B200B"/>
    <w:rsid w:val="4B8B3459"/>
    <w:rsid w:val="4B98008D"/>
    <w:rsid w:val="4B9C6BB6"/>
    <w:rsid w:val="4BAC4867"/>
    <w:rsid w:val="4BAC6A7C"/>
    <w:rsid w:val="4BCB6612"/>
    <w:rsid w:val="4BF417D4"/>
    <w:rsid w:val="4BF92147"/>
    <w:rsid w:val="4BFE1C3A"/>
    <w:rsid w:val="4BFF2F9E"/>
    <w:rsid w:val="4C0253BF"/>
    <w:rsid w:val="4C166B58"/>
    <w:rsid w:val="4C211F55"/>
    <w:rsid w:val="4C3A28DD"/>
    <w:rsid w:val="4C4130B0"/>
    <w:rsid w:val="4C5032F1"/>
    <w:rsid w:val="4C8018E7"/>
    <w:rsid w:val="4C8624FC"/>
    <w:rsid w:val="4C8A38D4"/>
    <w:rsid w:val="4C8F6EBF"/>
    <w:rsid w:val="4C96021E"/>
    <w:rsid w:val="4C9C27CC"/>
    <w:rsid w:val="4CA20A24"/>
    <w:rsid w:val="4CB755B1"/>
    <w:rsid w:val="4CDF4B22"/>
    <w:rsid w:val="4CE74F4D"/>
    <w:rsid w:val="4CEF36E2"/>
    <w:rsid w:val="4CEF4DC5"/>
    <w:rsid w:val="4CF25996"/>
    <w:rsid w:val="4D171C3B"/>
    <w:rsid w:val="4D196F3B"/>
    <w:rsid w:val="4D482BAA"/>
    <w:rsid w:val="4D4873F2"/>
    <w:rsid w:val="4D54264D"/>
    <w:rsid w:val="4D564B5A"/>
    <w:rsid w:val="4D6A5813"/>
    <w:rsid w:val="4D8307EA"/>
    <w:rsid w:val="4D922FBD"/>
    <w:rsid w:val="4D9A766C"/>
    <w:rsid w:val="4DA62246"/>
    <w:rsid w:val="4DC17B81"/>
    <w:rsid w:val="4DC26B79"/>
    <w:rsid w:val="4DD71014"/>
    <w:rsid w:val="4DEE41E3"/>
    <w:rsid w:val="4DF2192A"/>
    <w:rsid w:val="4DF71805"/>
    <w:rsid w:val="4E083C5D"/>
    <w:rsid w:val="4E17231F"/>
    <w:rsid w:val="4E257655"/>
    <w:rsid w:val="4E505C66"/>
    <w:rsid w:val="4E651B46"/>
    <w:rsid w:val="4E785AA0"/>
    <w:rsid w:val="4E8812BF"/>
    <w:rsid w:val="4E8B4332"/>
    <w:rsid w:val="4E8E7871"/>
    <w:rsid w:val="4EB3133C"/>
    <w:rsid w:val="4EC4406A"/>
    <w:rsid w:val="4EDE684E"/>
    <w:rsid w:val="4EF86E3C"/>
    <w:rsid w:val="4F06089E"/>
    <w:rsid w:val="4F06496B"/>
    <w:rsid w:val="4F091C95"/>
    <w:rsid w:val="4F0C1AC6"/>
    <w:rsid w:val="4F0F551A"/>
    <w:rsid w:val="4F127C58"/>
    <w:rsid w:val="4F372380"/>
    <w:rsid w:val="4F372FFB"/>
    <w:rsid w:val="4F71142E"/>
    <w:rsid w:val="4F7A6CA5"/>
    <w:rsid w:val="4FA7341A"/>
    <w:rsid w:val="4FE34F88"/>
    <w:rsid w:val="4FEF4AC6"/>
    <w:rsid w:val="50054B0D"/>
    <w:rsid w:val="5025116D"/>
    <w:rsid w:val="503A3A57"/>
    <w:rsid w:val="503D7DBA"/>
    <w:rsid w:val="504B134F"/>
    <w:rsid w:val="505B6CA9"/>
    <w:rsid w:val="506F403E"/>
    <w:rsid w:val="507765E7"/>
    <w:rsid w:val="508F56DF"/>
    <w:rsid w:val="50BF67C9"/>
    <w:rsid w:val="50C56222"/>
    <w:rsid w:val="50ED7CC8"/>
    <w:rsid w:val="50FB62A0"/>
    <w:rsid w:val="51140890"/>
    <w:rsid w:val="511E0283"/>
    <w:rsid w:val="512B716F"/>
    <w:rsid w:val="513E6AA2"/>
    <w:rsid w:val="516623C4"/>
    <w:rsid w:val="5196363A"/>
    <w:rsid w:val="51984A67"/>
    <w:rsid w:val="51A2270F"/>
    <w:rsid w:val="51B05107"/>
    <w:rsid w:val="51D32DF1"/>
    <w:rsid w:val="51DA39DC"/>
    <w:rsid w:val="51E0241A"/>
    <w:rsid w:val="51F1394A"/>
    <w:rsid w:val="522024E6"/>
    <w:rsid w:val="52314419"/>
    <w:rsid w:val="52395ECD"/>
    <w:rsid w:val="52567130"/>
    <w:rsid w:val="52682095"/>
    <w:rsid w:val="526D4E29"/>
    <w:rsid w:val="52735E8B"/>
    <w:rsid w:val="527F1783"/>
    <w:rsid w:val="52820969"/>
    <w:rsid w:val="52B44696"/>
    <w:rsid w:val="52BD3C89"/>
    <w:rsid w:val="52C10D75"/>
    <w:rsid w:val="52CA1D4B"/>
    <w:rsid w:val="52D55821"/>
    <w:rsid w:val="52E42D94"/>
    <w:rsid w:val="52EB2FB5"/>
    <w:rsid w:val="52F01FD5"/>
    <w:rsid w:val="53285A20"/>
    <w:rsid w:val="532E4021"/>
    <w:rsid w:val="53655BA8"/>
    <w:rsid w:val="536A5F90"/>
    <w:rsid w:val="53A65519"/>
    <w:rsid w:val="53C27FF8"/>
    <w:rsid w:val="53C979DA"/>
    <w:rsid w:val="53EC03B2"/>
    <w:rsid w:val="54162C20"/>
    <w:rsid w:val="54185E47"/>
    <w:rsid w:val="541D7C39"/>
    <w:rsid w:val="544E00F4"/>
    <w:rsid w:val="546348CC"/>
    <w:rsid w:val="546D0EBC"/>
    <w:rsid w:val="5475679C"/>
    <w:rsid w:val="548E485C"/>
    <w:rsid w:val="549E1A80"/>
    <w:rsid w:val="54AB108A"/>
    <w:rsid w:val="54B51E36"/>
    <w:rsid w:val="54C658F4"/>
    <w:rsid w:val="54C87878"/>
    <w:rsid w:val="54CB45B1"/>
    <w:rsid w:val="54E0494C"/>
    <w:rsid w:val="54E171CD"/>
    <w:rsid w:val="54EB51B1"/>
    <w:rsid w:val="54ED7789"/>
    <w:rsid w:val="550C4BD7"/>
    <w:rsid w:val="552E2F95"/>
    <w:rsid w:val="55322669"/>
    <w:rsid w:val="5539470A"/>
    <w:rsid w:val="554C1D56"/>
    <w:rsid w:val="55572986"/>
    <w:rsid w:val="555761AA"/>
    <w:rsid w:val="555E236D"/>
    <w:rsid w:val="559F3252"/>
    <w:rsid w:val="55A1129D"/>
    <w:rsid w:val="55A82C22"/>
    <w:rsid w:val="55B2588A"/>
    <w:rsid w:val="55C062DD"/>
    <w:rsid w:val="55E301A5"/>
    <w:rsid w:val="5607446A"/>
    <w:rsid w:val="56081243"/>
    <w:rsid w:val="561C2CD2"/>
    <w:rsid w:val="56222B52"/>
    <w:rsid w:val="56330E85"/>
    <w:rsid w:val="565340FA"/>
    <w:rsid w:val="565965B7"/>
    <w:rsid w:val="565A053D"/>
    <w:rsid w:val="565C3ECA"/>
    <w:rsid w:val="56636EEC"/>
    <w:rsid w:val="56790914"/>
    <w:rsid w:val="569A7860"/>
    <w:rsid w:val="56B25952"/>
    <w:rsid w:val="56B91708"/>
    <w:rsid w:val="56CE500E"/>
    <w:rsid w:val="56E11A6F"/>
    <w:rsid w:val="56EA79B4"/>
    <w:rsid w:val="56FC3910"/>
    <w:rsid w:val="56FC519F"/>
    <w:rsid w:val="57193F55"/>
    <w:rsid w:val="571B3688"/>
    <w:rsid w:val="571F4860"/>
    <w:rsid w:val="57224417"/>
    <w:rsid w:val="5723343E"/>
    <w:rsid w:val="57244C4C"/>
    <w:rsid w:val="572A4F61"/>
    <w:rsid w:val="572B6870"/>
    <w:rsid w:val="573D7EAB"/>
    <w:rsid w:val="57577C96"/>
    <w:rsid w:val="576E72F2"/>
    <w:rsid w:val="578057C8"/>
    <w:rsid w:val="578231ED"/>
    <w:rsid w:val="57856002"/>
    <w:rsid w:val="57A148B7"/>
    <w:rsid w:val="57AA18F7"/>
    <w:rsid w:val="57BD1D8F"/>
    <w:rsid w:val="57C26BEF"/>
    <w:rsid w:val="57D91936"/>
    <w:rsid w:val="57DD34B9"/>
    <w:rsid w:val="57E6392C"/>
    <w:rsid w:val="57F706C9"/>
    <w:rsid w:val="57FD3876"/>
    <w:rsid w:val="58017793"/>
    <w:rsid w:val="581E6DC2"/>
    <w:rsid w:val="58685C59"/>
    <w:rsid w:val="58697500"/>
    <w:rsid w:val="58803566"/>
    <w:rsid w:val="58843841"/>
    <w:rsid w:val="5891308F"/>
    <w:rsid w:val="589236B1"/>
    <w:rsid w:val="58C06A9A"/>
    <w:rsid w:val="58C86B99"/>
    <w:rsid w:val="58CE0DF1"/>
    <w:rsid w:val="5904102E"/>
    <w:rsid w:val="59062048"/>
    <w:rsid w:val="590A564B"/>
    <w:rsid w:val="59157DD8"/>
    <w:rsid w:val="593504AF"/>
    <w:rsid w:val="59415D84"/>
    <w:rsid w:val="594D2B53"/>
    <w:rsid w:val="595B377D"/>
    <w:rsid w:val="59607768"/>
    <w:rsid w:val="59655BB7"/>
    <w:rsid w:val="59682C0E"/>
    <w:rsid w:val="596C209A"/>
    <w:rsid w:val="598813E0"/>
    <w:rsid w:val="5999679A"/>
    <w:rsid w:val="599C38F2"/>
    <w:rsid w:val="59A03BB4"/>
    <w:rsid w:val="59AA0FB1"/>
    <w:rsid w:val="59B91F8C"/>
    <w:rsid w:val="59EF6A42"/>
    <w:rsid w:val="59F20EF7"/>
    <w:rsid w:val="5A2F2CC8"/>
    <w:rsid w:val="5A487F66"/>
    <w:rsid w:val="5A673F93"/>
    <w:rsid w:val="5A682917"/>
    <w:rsid w:val="5A723722"/>
    <w:rsid w:val="5AAA4EE2"/>
    <w:rsid w:val="5AC95C92"/>
    <w:rsid w:val="5AD00FA7"/>
    <w:rsid w:val="5B0867BA"/>
    <w:rsid w:val="5B12588A"/>
    <w:rsid w:val="5B2561DF"/>
    <w:rsid w:val="5B436D5A"/>
    <w:rsid w:val="5B487697"/>
    <w:rsid w:val="5B570637"/>
    <w:rsid w:val="5B79092D"/>
    <w:rsid w:val="5B7F28A2"/>
    <w:rsid w:val="5B8823CD"/>
    <w:rsid w:val="5B9C3F03"/>
    <w:rsid w:val="5BA26962"/>
    <w:rsid w:val="5BA85879"/>
    <w:rsid w:val="5BB7337B"/>
    <w:rsid w:val="5BC1259B"/>
    <w:rsid w:val="5BD06608"/>
    <w:rsid w:val="5BED2739"/>
    <w:rsid w:val="5BF53D56"/>
    <w:rsid w:val="5C10702D"/>
    <w:rsid w:val="5C14136F"/>
    <w:rsid w:val="5C152601"/>
    <w:rsid w:val="5C20614F"/>
    <w:rsid w:val="5C2A0EF0"/>
    <w:rsid w:val="5C31018E"/>
    <w:rsid w:val="5C33467C"/>
    <w:rsid w:val="5C447CC6"/>
    <w:rsid w:val="5C591F03"/>
    <w:rsid w:val="5C723E18"/>
    <w:rsid w:val="5C8A1B2F"/>
    <w:rsid w:val="5C96399E"/>
    <w:rsid w:val="5C9D73D6"/>
    <w:rsid w:val="5CAF3DCD"/>
    <w:rsid w:val="5CB551AD"/>
    <w:rsid w:val="5CE40F22"/>
    <w:rsid w:val="5CF61922"/>
    <w:rsid w:val="5D011B9D"/>
    <w:rsid w:val="5D0250CC"/>
    <w:rsid w:val="5D0442B4"/>
    <w:rsid w:val="5D134DB5"/>
    <w:rsid w:val="5D2C1215"/>
    <w:rsid w:val="5D3D63DE"/>
    <w:rsid w:val="5D857790"/>
    <w:rsid w:val="5D861815"/>
    <w:rsid w:val="5D8936D2"/>
    <w:rsid w:val="5D914004"/>
    <w:rsid w:val="5DA210CD"/>
    <w:rsid w:val="5DD655DD"/>
    <w:rsid w:val="5DD70790"/>
    <w:rsid w:val="5DD80331"/>
    <w:rsid w:val="5DD9032B"/>
    <w:rsid w:val="5DD95E29"/>
    <w:rsid w:val="5DDD16DD"/>
    <w:rsid w:val="5DEC585C"/>
    <w:rsid w:val="5DF41766"/>
    <w:rsid w:val="5E015F08"/>
    <w:rsid w:val="5E1A78F0"/>
    <w:rsid w:val="5E4151A2"/>
    <w:rsid w:val="5E436E75"/>
    <w:rsid w:val="5E61017B"/>
    <w:rsid w:val="5E615889"/>
    <w:rsid w:val="5E727AB0"/>
    <w:rsid w:val="5E847BF7"/>
    <w:rsid w:val="5EC8520A"/>
    <w:rsid w:val="5ECB3906"/>
    <w:rsid w:val="5ED5506D"/>
    <w:rsid w:val="5F0341A4"/>
    <w:rsid w:val="5F174D94"/>
    <w:rsid w:val="5F4F5E24"/>
    <w:rsid w:val="5F561B72"/>
    <w:rsid w:val="5F6B08B1"/>
    <w:rsid w:val="5F6F4489"/>
    <w:rsid w:val="5F724A0B"/>
    <w:rsid w:val="5F811AD3"/>
    <w:rsid w:val="5F8E3288"/>
    <w:rsid w:val="5F92448C"/>
    <w:rsid w:val="5FA13309"/>
    <w:rsid w:val="5FA71D36"/>
    <w:rsid w:val="5FB40CBE"/>
    <w:rsid w:val="5FD27396"/>
    <w:rsid w:val="5FE00927"/>
    <w:rsid w:val="5FE24EDD"/>
    <w:rsid w:val="5FE437FC"/>
    <w:rsid w:val="5FED0446"/>
    <w:rsid w:val="5FF26ACA"/>
    <w:rsid w:val="5FF4555F"/>
    <w:rsid w:val="5FF87C07"/>
    <w:rsid w:val="60014470"/>
    <w:rsid w:val="603E60FC"/>
    <w:rsid w:val="60504C82"/>
    <w:rsid w:val="606007BB"/>
    <w:rsid w:val="606163EC"/>
    <w:rsid w:val="606F2C4E"/>
    <w:rsid w:val="60782176"/>
    <w:rsid w:val="608E10F9"/>
    <w:rsid w:val="609A3350"/>
    <w:rsid w:val="60AC7F66"/>
    <w:rsid w:val="60C13070"/>
    <w:rsid w:val="60C5514D"/>
    <w:rsid w:val="610D1F57"/>
    <w:rsid w:val="611E12A8"/>
    <w:rsid w:val="61226064"/>
    <w:rsid w:val="6138643E"/>
    <w:rsid w:val="6142054C"/>
    <w:rsid w:val="61497909"/>
    <w:rsid w:val="614F0CAD"/>
    <w:rsid w:val="616B3412"/>
    <w:rsid w:val="61824E34"/>
    <w:rsid w:val="6189448A"/>
    <w:rsid w:val="61A66546"/>
    <w:rsid w:val="61AF107F"/>
    <w:rsid w:val="61BD42A4"/>
    <w:rsid w:val="61BF10D9"/>
    <w:rsid w:val="61DA3D4C"/>
    <w:rsid w:val="61E04A03"/>
    <w:rsid w:val="61F215C9"/>
    <w:rsid w:val="62513057"/>
    <w:rsid w:val="625A457B"/>
    <w:rsid w:val="6265481D"/>
    <w:rsid w:val="626A5412"/>
    <w:rsid w:val="62AC22DC"/>
    <w:rsid w:val="62BF2D76"/>
    <w:rsid w:val="62D51E7D"/>
    <w:rsid w:val="62F964B2"/>
    <w:rsid w:val="62FA4283"/>
    <w:rsid w:val="630871F9"/>
    <w:rsid w:val="630A6917"/>
    <w:rsid w:val="63177FBC"/>
    <w:rsid w:val="63312626"/>
    <w:rsid w:val="633E67A6"/>
    <w:rsid w:val="635251C8"/>
    <w:rsid w:val="635A3E88"/>
    <w:rsid w:val="635C1FFD"/>
    <w:rsid w:val="63606311"/>
    <w:rsid w:val="63607FA4"/>
    <w:rsid w:val="63724593"/>
    <w:rsid w:val="63754B89"/>
    <w:rsid w:val="637833E8"/>
    <w:rsid w:val="63790487"/>
    <w:rsid w:val="63CA76FC"/>
    <w:rsid w:val="63DE0947"/>
    <w:rsid w:val="63F14628"/>
    <w:rsid w:val="63F30799"/>
    <w:rsid w:val="63FB0133"/>
    <w:rsid w:val="64461A82"/>
    <w:rsid w:val="64481274"/>
    <w:rsid w:val="648743E5"/>
    <w:rsid w:val="64B10E28"/>
    <w:rsid w:val="64BB10E5"/>
    <w:rsid w:val="64C210FC"/>
    <w:rsid w:val="64CE15B4"/>
    <w:rsid w:val="64D8014C"/>
    <w:rsid w:val="64E45EF7"/>
    <w:rsid w:val="650B71C5"/>
    <w:rsid w:val="651240A3"/>
    <w:rsid w:val="6528541A"/>
    <w:rsid w:val="6529779B"/>
    <w:rsid w:val="65403AFE"/>
    <w:rsid w:val="6544472C"/>
    <w:rsid w:val="65465871"/>
    <w:rsid w:val="654866C3"/>
    <w:rsid w:val="654E2D83"/>
    <w:rsid w:val="65525C85"/>
    <w:rsid w:val="6555098E"/>
    <w:rsid w:val="655F5BC5"/>
    <w:rsid w:val="65BE6EA4"/>
    <w:rsid w:val="65D90229"/>
    <w:rsid w:val="65EF440F"/>
    <w:rsid w:val="66027F94"/>
    <w:rsid w:val="66061B48"/>
    <w:rsid w:val="661F70AE"/>
    <w:rsid w:val="6630196A"/>
    <w:rsid w:val="66486604"/>
    <w:rsid w:val="665253D0"/>
    <w:rsid w:val="66873275"/>
    <w:rsid w:val="6691014E"/>
    <w:rsid w:val="66B41BEA"/>
    <w:rsid w:val="66C87CCE"/>
    <w:rsid w:val="66E73D86"/>
    <w:rsid w:val="66FB490A"/>
    <w:rsid w:val="673D69D3"/>
    <w:rsid w:val="67592253"/>
    <w:rsid w:val="6771342A"/>
    <w:rsid w:val="677435B2"/>
    <w:rsid w:val="6779688C"/>
    <w:rsid w:val="677D408C"/>
    <w:rsid w:val="67814D8C"/>
    <w:rsid w:val="678801E7"/>
    <w:rsid w:val="678D2EAE"/>
    <w:rsid w:val="679C4B21"/>
    <w:rsid w:val="67DF4560"/>
    <w:rsid w:val="67E35B9E"/>
    <w:rsid w:val="67EF75F1"/>
    <w:rsid w:val="67F323FA"/>
    <w:rsid w:val="67FC35EF"/>
    <w:rsid w:val="682062DD"/>
    <w:rsid w:val="68327BBE"/>
    <w:rsid w:val="683F1534"/>
    <w:rsid w:val="68447FFB"/>
    <w:rsid w:val="687D273A"/>
    <w:rsid w:val="689736F8"/>
    <w:rsid w:val="68B35F15"/>
    <w:rsid w:val="68DB3760"/>
    <w:rsid w:val="69124F16"/>
    <w:rsid w:val="69280117"/>
    <w:rsid w:val="693022D8"/>
    <w:rsid w:val="694A5205"/>
    <w:rsid w:val="69511EBD"/>
    <w:rsid w:val="697274F4"/>
    <w:rsid w:val="697F24B1"/>
    <w:rsid w:val="698435AB"/>
    <w:rsid w:val="699616A8"/>
    <w:rsid w:val="69AD518D"/>
    <w:rsid w:val="69CD5C14"/>
    <w:rsid w:val="69CF0D33"/>
    <w:rsid w:val="69D8686C"/>
    <w:rsid w:val="69D96AC3"/>
    <w:rsid w:val="69F567A0"/>
    <w:rsid w:val="6A0717FD"/>
    <w:rsid w:val="6A1A7186"/>
    <w:rsid w:val="6A36068B"/>
    <w:rsid w:val="6A425452"/>
    <w:rsid w:val="6A434A35"/>
    <w:rsid w:val="6A4B2209"/>
    <w:rsid w:val="6A4B7770"/>
    <w:rsid w:val="6A5066CB"/>
    <w:rsid w:val="6A512713"/>
    <w:rsid w:val="6A542D51"/>
    <w:rsid w:val="6A6030C4"/>
    <w:rsid w:val="6A7F05D0"/>
    <w:rsid w:val="6AA979A5"/>
    <w:rsid w:val="6AAD2EDA"/>
    <w:rsid w:val="6AB235AF"/>
    <w:rsid w:val="6AB37D1A"/>
    <w:rsid w:val="6ABD719F"/>
    <w:rsid w:val="6AE376F8"/>
    <w:rsid w:val="6AE644C3"/>
    <w:rsid w:val="6AFD4928"/>
    <w:rsid w:val="6B125A78"/>
    <w:rsid w:val="6B175FBC"/>
    <w:rsid w:val="6B1C49D9"/>
    <w:rsid w:val="6B20072C"/>
    <w:rsid w:val="6B297797"/>
    <w:rsid w:val="6B2F4D3E"/>
    <w:rsid w:val="6B303F71"/>
    <w:rsid w:val="6B374E7A"/>
    <w:rsid w:val="6B4317B4"/>
    <w:rsid w:val="6B4A10E4"/>
    <w:rsid w:val="6B5C4B71"/>
    <w:rsid w:val="6B6540CB"/>
    <w:rsid w:val="6B801A0F"/>
    <w:rsid w:val="6B9946B3"/>
    <w:rsid w:val="6BC27003"/>
    <w:rsid w:val="6BF5106A"/>
    <w:rsid w:val="6BF5595A"/>
    <w:rsid w:val="6BF7378F"/>
    <w:rsid w:val="6BFD6920"/>
    <w:rsid w:val="6C06033D"/>
    <w:rsid w:val="6C1331CB"/>
    <w:rsid w:val="6C2159A8"/>
    <w:rsid w:val="6C241930"/>
    <w:rsid w:val="6C2D0A9C"/>
    <w:rsid w:val="6C377F31"/>
    <w:rsid w:val="6C3B0A4D"/>
    <w:rsid w:val="6C4052D5"/>
    <w:rsid w:val="6C411352"/>
    <w:rsid w:val="6C431EF3"/>
    <w:rsid w:val="6C4E6902"/>
    <w:rsid w:val="6C662189"/>
    <w:rsid w:val="6C6B22D7"/>
    <w:rsid w:val="6C6C2F38"/>
    <w:rsid w:val="6C7007C7"/>
    <w:rsid w:val="6C821F0F"/>
    <w:rsid w:val="6C873454"/>
    <w:rsid w:val="6C8C2B67"/>
    <w:rsid w:val="6C8D38AF"/>
    <w:rsid w:val="6C8D7684"/>
    <w:rsid w:val="6CB04275"/>
    <w:rsid w:val="6CD622D5"/>
    <w:rsid w:val="6CDB741A"/>
    <w:rsid w:val="6CDC07DA"/>
    <w:rsid w:val="6CE10D46"/>
    <w:rsid w:val="6CF92C55"/>
    <w:rsid w:val="6D013069"/>
    <w:rsid w:val="6D4C7D54"/>
    <w:rsid w:val="6D5C154B"/>
    <w:rsid w:val="6D5C2995"/>
    <w:rsid w:val="6D60703C"/>
    <w:rsid w:val="6D68310A"/>
    <w:rsid w:val="6D6D0174"/>
    <w:rsid w:val="6D915D95"/>
    <w:rsid w:val="6D94625C"/>
    <w:rsid w:val="6D9B53CB"/>
    <w:rsid w:val="6DB63374"/>
    <w:rsid w:val="6DE76850"/>
    <w:rsid w:val="6DEE183F"/>
    <w:rsid w:val="6DF8337B"/>
    <w:rsid w:val="6E054261"/>
    <w:rsid w:val="6E1833D1"/>
    <w:rsid w:val="6E1A3980"/>
    <w:rsid w:val="6E2B50E3"/>
    <w:rsid w:val="6E417708"/>
    <w:rsid w:val="6E506EFF"/>
    <w:rsid w:val="6E8059E4"/>
    <w:rsid w:val="6E9E45BF"/>
    <w:rsid w:val="6EA34CC4"/>
    <w:rsid w:val="6EC00BE3"/>
    <w:rsid w:val="6EE54F57"/>
    <w:rsid w:val="6F055DD7"/>
    <w:rsid w:val="6F1731F5"/>
    <w:rsid w:val="6F2561E5"/>
    <w:rsid w:val="6F270EB1"/>
    <w:rsid w:val="6F34372B"/>
    <w:rsid w:val="6F665BF4"/>
    <w:rsid w:val="6F6B76CB"/>
    <w:rsid w:val="6F6D70DC"/>
    <w:rsid w:val="6F6E0ACF"/>
    <w:rsid w:val="6F753C1F"/>
    <w:rsid w:val="6F876527"/>
    <w:rsid w:val="6FA163D2"/>
    <w:rsid w:val="6FB20BD4"/>
    <w:rsid w:val="6FB650F7"/>
    <w:rsid w:val="6FB75277"/>
    <w:rsid w:val="6FBA59BE"/>
    <w:rsid w:val="6FDD641D"/>
    <w:rsid w:val="6FEA677A"/>
    <w:rsid w:val="6FF16C9A"/>
    <w:rsid w:val="6FF2418B"/>
    <w:rsid w:val="70001CFE"/>
    <w:rsid w:val="701E2184"/>
    <w:rsid w:val="702726F0"/>
    <w:rsid w:val="70296B3E"/>
    <w:rsid w:val="70332D18"/>
    <w:rsid w:val="70332F95"/>
    <w:rsid w:val="704255C1"/>
    <w:rsid w:val="704442BC"/>
    <w:rsid w:val="704542AE"/>
    <w:rsid w:val="704751B9"/>
    <w:rsid w:val="70497291"/>
    <w:rsid w:val="705B357E"/>
    <w:rsid w:val="70611204"/>
    <w:rsid w:val="7072622A"/>
    <w:rsid w:val="70BF0EE0"/>
    <w:rsid w:val="70C20C9C"/>
    <w:rsid w:val="70CB3E02"/>
    <w:rsid w:val="70D01410"/>
    <w:rsid w:val="70D32204"/>
    <w:rsid w:val="70F15847"/>
    <w:rsid w:val="7114413E"/>
    <w:rsid w:val="713116FD"/>
    <w:rsid w:val="71364BFB"/>
    <w:rsid w:val="71370AC8"/>
    <w:rsid w:val="71434E47"/>
    <w:rsid w:val="71486F7F"/>
    <w:rsid w:val="71662A10"/>
    <w:rsid w:val="716D5171"/>
    <w:rsid w:val="717B788E"/>
    <w:rsid w:val="71963F08"/>
    <w:rsid w:val="71982A8B"/>
    <w:rsid w:val="72181A20"/>
    <w:rsid w:val="721A49AD"/>
    <w:rsid w:val="721B6FB3"/>
    <w:rsid w:val="72204649"/>
    <w:rsid w:val="722B6938"/>
    <w:rsid w:val="722C5869"/>
    <w:rsid w:val="727315B1"/>
    <w:rsid w:val="727D6954"/>
    <w:rsid w:val="72844D41"/>
    <w:rsid w:val="72862C7E"/>
    <w:rsid w:val="728976DF"/>
    <w:rsid w:val="72CF4F19"/>
    <w:rsid w:val="72DA633C"/>
    <w:rsid w:val="72EC79FB"/>
    <w:rsid w:val="730F4A67"/>
    <w:rsid w:val="733D16A9"/>
    <w:rsid w:val="73425548"/>
    <w:rsid w:val="73445350"/>
    <w:rsid w:val="73514DB1"/>
    <w:rsid w:val="736A73D7"/>
    <w:rsid w:val="7378402A"/>
    <w:rsid w:val="737C5261"/>
    <w:rsid w:val="738210B6"/>
    <w:rsid w:val="738467A2"/>
    <w:rsid w:val="738A77D2"/>
    <w:rsid w:val="73AB43CE"/>
    <w:rsid w:val="73AC15DC"/>
    <w:rsid w:val="73D72AE8"/>
    <w:rsid w:val="73F27930"/>
    <w:rsid w:val="73F40CCA"/>
    <w:rsid w:val="740E5704"/>
    <w:rsid w:val="74121260"/>
    <w:rsid w:val="743462D3"/>
    <w:rsid w:val="743E7D5E"/>
    <w:rsid w:val="7441374C"/>
    <w:rsid w:val="744149C3"/>
    <w:rsid w:val="74514D98"/>
    <w:rsid w:val="74600FBD"/>
    <w:rsid w:val="749B549C"/>
    <w:rsid w:val="74A470FC"/>
    <w:rsid w:val="74A93E5A"/>
    <w:rsid w:val="74C21C86"/>
    <w:rsid w:val="74C633BB"/>
    <w:rsid w:val="74F00593"/>
    <w:rsid w:val="74FA2C30"/>
    <w:rsid w:val="750140D3"/>
    <w:rsid w:val="751D1A0B"/>
    <w:rsid w:val="754D5C4B"/>
    <w:rsid w:val="756C78B0"/>
    <w:rsid w:val="756D3991"/>
    <w:rsid w:val="757E50F6"/>
    <w:rsid w:val="7581462B"/>
    <w:rsid w:val="75855224"/>
    <w:rsid w:val="75892266"/>
    <w:rsid w:val="75894543"/>
    <w:rsid w:val="75A05064"/>
    <w:rsid w:val="75CB60C0"/>
    <w:rsid w:val="75D833A4"/>
    <w:rsid w:val="75E76F6F"/>
    <w:rsid w:val="75E81BCB"/>
    <w:rsid w:val="75E92A97"/>
    <w:rsid w:val="75EC127C"/>
    <w:rsid w:val="75F0011F"/>
    <w:rsid w:val="75F142DB"/>
    <w:rsid w:val="760B3F34"/>
    <w:rsid w:val="76334397"/>
    <w:rsid w:val="763B0200"/>
    <w:rsid w:val="765B1A3C"/>
    <w:rsid w:val="765B4F30"/>
    <w:rsid w:val="766C4E79"/>
    <w:rsid w:val="767420B5"/>
    <w:rsid w:val="767C1353"/>
    <w:rsid w:val="767D07C6"/>
    <w:rsid w:val="768E73B4"/>
    <w:rsid w:val="76A143E8"/>
    <w:rsid w:val="76AD2366"/>
    <w:rsid w:val="76B41DED"/>
    <w:rsid w:val="76C240A7"/>
    <w:rsid w:val="76C8773D"/>
    <w:rsid w:val="770961C3"/>
    <w:rsid w:val="770D0BE0"/>
    <w:rsid w:val="770F3331"/>
    <w:rsid w:val="772B5A09"/>
    <w:rsid w:val="77315AC4"/>
    <w:rsid w:val="77453EF4"/>
    <w:rsid w:val="775246B7"/>
    <w:rsid w:val="77527698"/>
    <w:rsid w:val="77583C37"/>
    <w:rsid w:val="775974AF"/>
    <w:rsid w:val="77977DAD"/>
    <w:rsid w:val="779A7C02"/>
    <w:rsid w:val="77CA234A"/>
    <w:rsid w:val="77E02B9B"/>
    <w:rsid w:val="77F040E4"/>
    <w:rsid w:val="78014865"/>
    <w:rsid w:val="781E69D1"/>
    <w:rsid w:val="782A2DF7"/>
    <w:rsid w:val="783B4D78"/>
    <w:rsid w:val="783E4EFC"/>
    <w:rsid w:val="789A4D68"/>
    <w:rsid w:val="789C1370"/>
    <w:rsid w:val="78DE4305"/>
    <w:rsid w:val="79175787"/>
    <w:rsid w:val="79402087"/>
    <w:rsid w:val="796A1267"/>
    <w:rsid w:val="797C3622"/>
    <w:rsid w:val="797F0359"/>
    <w:rsid w:val="79863274"/>
    <w:rsid w:val="79962040"/>
    <w:rsid w:val="7997516A"/>
    <w:rsid w:val="799A2861"/>
    <w:rsid w:val="79BC014A"/>
    <w:rsid w:val="79BC34FC"/>
    <w:rsid w:val="79C20811"/>
    <w:rsid w:val="79C95D86"/>
    <w:rsid w:val="79D042C8"/>
    <w:rsid w:val="79FF7DF6"/>
    <w:rsid w:val="7A263B6B"/>
    <w:rsid w:val="7A2C7CE6"/>
    <w:rsid w:val="7A2D01BD"/>
    <w:rsid w:val="7A573C85"/>
    <w:rsid w:val="7A5F16D0"/>
    <w:rsid w:val="7A7106D0"/>
    <w:rsid w:val="7A8E7E6B"/>
    <w:rsid w:val="7A9F3904"/>
    <w:rsid w:val="7ABF6947"/>
    <w:rsid w:val="7ACA49A1"/>
    <w:rsid w:val="7AEB754E"/>
    <w:rsid w:val="7AEE572F"/>
    <w:rsid w:val="7AF46346"/>
    <w:rsid w:val="7AF60D80"/>
    <w:rsid w:val="7AF753E6"/>
    <w:rsid w:val="7AF84436"/>
    <w:rsid w:val="7B0F5EBF"/>
    <w:rsid w:val="7B130FB9"/>
    <w:rsid w:val="7B14483E"/>
    <w:rsid w:val="7B1C0A25"/>
    <w:rsid w:val="7B2611AB"/>
    <w:rsid w:val="7B283AD0"/>
    <w:rsid w:val="7B4C355F"/>
    <w:rsid w:val="7B4E6A0D"/>
    <w:rsid w:val="7B641BCE"/>
    <w:rsid w:val="7B770612"/>
    <w:rsid w:val="7B771268"/>
    <w:rsid w:val="7B875F34"/>
    <w:rsid w:val="7BC2337B"/>
    <w:rsid w:val="7BC655EF"/>
    <w:rsid w:val="7BDD6F19"/>
    <w:rsid w:val="7BF64EDE"/>
    <w:rsid w:val="7C202809"/>
    <w:rsid w:val="7C221C6B"/>
    <w:rsid w:val="7C400C1E"/>
    <w:rsid w:val="7C99714C"/>
    <w:rsid w:val="7CA07DE8"/>
    <w:rsid w:val="7CA53FD5"/>
    <w:rsid w:val="7CB50883"/>
    <w:rsid w:val="7CB93960"/>
    <w:rsid w:val="7CBE6D5D"/>
    <w:rsid w:val="7CDD1808"/>
    <w:rsid w:val="7CF57CC1"/>
    <w:rsid w:val="7D0B5456"/>
    <w:rsid w:val="7D2E2162"/>
    <w:rsid w:val="7D352792"/>
    <w:rsid w:val="7D442B1E"/>
    <w:rsid w:val="7D563551"/>
    <w:rsid w:val="7D6F6791"/>
    <w:rsid w:val="7D7243AD"/>
    <w:rsid w:val="7D830B9D"/>
    <w:rsid w:val="7DA37E53"/>
    <w:rsid w:val="7DB23C3E"/>
    <w:rsid w:val="7DD11708"/>
    <w:rsid w:val="7DF813B2"/>
    <w:rsid w:val="7E0763E6"/>
    <w:rsid w:val="7E1202A7"/>
    <w:rsid w:val="7E2D7872"/>
    <w:rsid w:val="7E3306C9"/>
    <w:rsid w:val="7E522C19"/>
    <w:rsid w:val="7E5C0F61"/>
    <w:rsid w:val="7E8E6EBF"/>
    <w:rsid w:val="7EA07FAE"/>
    <w:rsid w:val="7EA70133"/>
    <w:rsid w:val="7EBD34F5"/>
    <w:rsid w:val="7EBD579E"/>
    <w:rsid w:val="7EC167BD"/>
    <w:rsid w:val="7ED33DE1"/>
    <w:rsid w:val="7ED56D33"/>
    <w:rsid w:val="7EF2733C"/>
    <w:rsid w:val="7EFC345C"/>
    <w:rsid w:val="7EFD64E7"/>
    <w:rsid w:val="7F0B6AB8"/>
    <w:rsid w:val="7F1A6960"/>
    <w:rsid w:val="7F272D9E"/>
    <w:rsid w:val="7F324DF6"/>
    <w:rsid w:val="7F412250"/>
    <w:rsid w:val="7F507488"/>
    <w:rsid w:val="7F687D9B"/>
    <w:rsid w:val="7F7848F6"/>
    <w:rsid w:val="7FB858F7"/>
    <w:rsid w:val="7FDA60C7"/>
    <w:rsid w:val="7FDC6A4C"/>
    <w:rsid w:val="7FE83E4A"/>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0" w:semiHidden="0" w:name="heading 4"/>
    <w:lsdException w:qFormat="1" w:unhideWhenUsed="0" w:uiPriority="9" w:semiHidden="0" w:name="heading 5"/>
    <w:lsdException w:qFormat="1" w:uiPriority="9" w:name="heading 6"/>
    <w:lsdException w:qFormat="1" w:uiPriority="9" w:name="heading 7"/>
    <w:lsdException w:qFormat="1" w:unhideWhenUsed="0" w:uiPriority="9" w:semiHidden="0"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qFormat="1" w:unhideWhenUsed="0" w:uiPriority="0" w:semiHidden="0"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qFormat="1" w:uiPriority="99" w:semiHidden="0" w:name="endnote reference"/>
    <w:lsdException w:uiPriority="99" w:name="endnote text"/>
    <w:lsdException w:uiPriority="99" w:name="table of authorities"/>
    <w:lsdException w:uiPriority="99" w:name="macro"/>
    <w:lsdException w:uiPriority="99" w:name="toa heading"/>
    <w:lsdException w:qFormat="1" w:uiPriority="99" w:semiHidden="0" w:name="List"/>
    <w:lsdException w:uiPriority="99" w:name="List Bullet"/>
    <w:lsdException w:qFormat="1" w:unhideWhenUsed="0" w:uiPriority="0" w:semiHidden="0" w:name="List Number"/>
    <w:lsdException w:qFormat="1" w:uiPriority="99"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iPriority="99" w:semiHidden="0"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39"/>
    <w:autoRedefine/>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40"/>
    <w:autoRedefine/>
    <w:qFormat/>
    <w:uiPriority w:val="9"/>
    <w:pPr>
      <w:keepNext/>
      <w:keepLines/>
      <w:spacing w:before="260" w:after="260" w:line="416" w:lineRule="auto"/>
      <w:outlineLvl w:val="1"/>
    </w:pPr>
    <w:rPr>
      <w:rFonts w:ascii="Cambria" w:hAnsi="Cambria"/>
      <w:b/>
      <w:bCs/>
      <w:sz w:val="32"/>
      <w:szCs w:val="32"/>
    </w:rPr>
  </w:style>
  <w:style w:type="paragraph" w:styleId="4">
    <w:name w:val="heading 3"/>
    <w:basedOn w:val="1"/>
    <w:next w:val="1"/>
    <w:link w:val="41"/>
    <w:autoRedefine/>
    <w:qFormat/>
    <w:uiPriority w:val="9"/>
    <w:pPr>
      <w:keepNext/>
      <w:keepLines/>
      <w:spacing w:before="260" w:after="260" w:line="416" w:lineRule="auto"/>
      <w:outlineLvl w:val="2"/>
    </w:pPr>
    <w:rPr>
      <w:b/>
      <w:bCs/>
      <w:sz w:val="32"/>
      <w:szCs w:val="32"/>
    </w:rPr>
  </w:style>
  <w:style w:type="paragraph" w:styleId="5">
    <w:name w:val="heading 4"/>
    <w:basedOn w:val="1"/>
    <w:next w:val="1"/>
    <w:autoRedefine/>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42"/>
    <w:autoRedefine/>
    <w:qFormat/>
    <w:uiPriority w:val="9"/>
    <w:pPr>
      <w:keepNext/>
      <w:keepLines/>
      <w:spacing w:before="280" w:after="290" w:line="376" w:lineRule="auto"/>
      <w:outlineLvl w:val="4"/>
    </w:pPr>
    <w:rPr>
      <w:b/>
      <w:bCs/>
      <w:sz w:val="28"/>
      <w:szCs w:val="28"/>
    </w:rPr>
  </w:style>
  <w:style w:type="paragraph" w:styleId="7">
    <w:name w:val="heading 8"/>
    <w:basedOn w:val="1"/>
    <w:next w:val="1"/>
    <w:link w:val="43"/>
    <w:autoRedefine/>
    <w:qFormat/>
    <w:uiPriority w:val="9"/>
    <w:pPr>
      <w:keepNext/>
      <w:keepLines/>
      <w:spacing w:before="240" w:after="64" w:line="320" w:lineRule="auto"/>
      <w:outlineLvl w:val="7"/>
    </w:pPr>
    <w:rPr>
      <w:rFonts w:ascii="等线 Light" w:hAnsi="等线 Light" w:eastAsia="等线 Light"/>
      <w:sz w:val="24"/>
    </w:rPr>
  </w:style>
  <w:style w:type="character" w:default="1" w:styleId="30">
    <w:name w:val="Default Paragraph Font"/>
    <w:autoRedefine/>
    <w:unhideWhenUsed/>
    <w:qFormat/>
    <w:uiPriority w:val="1"/>
  </w:style>
  <w:style w:type="table" w:default="1" w:styleId="28">
    <w:name w:val="Normal Table"/>
    <w:autoRedefine/>
    <w:unhideWhenUsed/>
    <w:qFormat/>
    <w:uiPriority w:val="99"/>
    <w:tblPr>
      <w:tblCellMar>
        <w:top w:w="0" w:type="dxa"/>
        <w:left w:w="108" w:type="dxa"/>
        <w:bottom w:w="0" w:type="dxa"/>
        <w:right w:w="108" w:type="dxa"/>
      </w:tblCellMar>
    </w:tblPr>
  </w:style>
  <w:style w:type="paragraph" w:styleId="8">
    <w:name w:val="index 8"/>
    <w:basedOn w:val="1"/>
    <w:next w:val="1"/>
    <w:autoRedefine/>
    <w:qFormat/>
    <w:uiPriority w:val="0"/>
    <w:pPr>
      <w:ind w:left="2940"/>
    </w:pPr>
  </w:style>
  <w:style w:type="paragraph" w:styleId="9">
    <w:name w:val="List Number"/>
    <w:basedOn w:val="1"/>
    <w:autoRedefine/>
    <w:qFormat/>
    <w:uiPriority w:val="0"/>
    <w:pPr>
      <w:widowControl/>
      <w:tabs>
        <w:tab w:val="left" w:pos="454"/>
        <w:tab w:val="left" w:pos="720"/>
        <w:tab w:val="left" w:pos="840"/>
      </w:tabs>
      <w:spacing w:after="50" w:afterLines="50"/>
      <w:ind w:left="454" w:hanging="284"/>
      <w:jc w:val="left"/>
    </w:pPr>
    <w:rPr>
      <w:kern w:val="0"/>
      <w:sz w:val="24"/>
      <w:szCs w:val="20"/>
    </w:rPr>
  </w:style>
  <w:style w:type="paragraph" w:styleId="10">
    <w:name w:val="Normal Indent"/>
    <w:basedOn w:val="1"/>
    <w:autoRedefine/>
    <w:qFormat/>
    <w:uiPriority w:val="0"/>
    <w:pPr>
      <w:ind w:firstLine="420"/>
    </w:pPr>
    <w:rPr>
      <w:szCs w:val="20"/>
    </w:rPr>
  </w:style>
  <w:style w:type="paragraph" w:styleId="11">
    <w:name w:val="annotation text"/>
    <w:basedOn w:val="1"/>
    <w:link w:val="44"/>
    <w:autoRedefine/>
    <w:qFormat/>
    <w:uiPriority w:val="0"/>
    <w:pPr>
      <w:jc w:val="left"/>
    </w:pPr>
  </w:style>
  <w:style w:type="paragraph" w:styleId="12">
    <w:name w:val="Body Text 3"/>
    <w:basedOn w:val="1"/>
    <w:link w:val="45"/>
    <w:autoRedefine/>
    <w:unhideWhenUsed/>
    <w:qFormat/>
    <w:uiPriority w:val="99"/>
    <w:pPr>
      <w:spacing w:after="120"/>
    </w:pPr>
    <w:rPr>
      <w:sz w:val="16"/>
      <w:szCs w:val="16"/>
    </w:rPr>
  </w:style>
  <w:style w:type="paragraph" w:styleId="13">
    <w:name w:val="Body Text"/>
    <w:basedOn w:val="1"/>
    <w:next w:val="1"/>
    <w:link w:val="46"/>
    <w:autoRedefine/>
    <w:unhideWhenUsed/>
    <w:qFormat/>
    <w:uiPriority w:val="0"/>
    <w:pPr>
      <w:spacing w:after="120"/>
    </w:pPr>
  </w:style>
  <w:style w:type="paragraph" w:styleId="14">
    <w:name w:val="Body Text Indent"/>
    <w:basedOn w:val="1"/>
    <w:next w:val="15"/>
    <w:link w:val="47"/>
    <w:autoRedefine/>
    <w:qFormat/>
    <w:uiPriority w:val="0"/>
    <w:pPr>
      <w:ind w:firstLine="830" w:firstLineChars="352"/>
    </w:pPr>
    <w:rPr>
      <w:rFonts w:ascii="仿宋_GB2312" w:eastAsia="仿宋_GB2312"/>
      <w:kern w:val="0"/>
      <w:sz w:val="32"/>
      <w:szCs w:val="20"/>
    </w:rPr>
  </w:style>
  <w:style w:type="paragraph" w:styleId="15">
    <w:name w:val="Body Text First Indent 2"/>
    <w:basedOn w:val="14"/>
    <w:autoRedefine/>
    <w:qFormat/>
    <w:uiPriority w:val="0"/>
    <w:pPr>
      <w:autoSpaceDE w:val="0"/>
      <w:autoSpaceDN w:val="0"/>
      <w:spacing w:after="120" w:afterLines="0" w:line="360" w:lineRule="auto"/>
      <w:ind w:left="420" w:leftChars="200" w:firstLine="420" w:firstLineChars="200"/>
    </w:pPr>
    <w:rPr>
      <w:sz w:val="21"/>
      <w:szCs w:val="24"/>
    </w:rPr>
  </w:style>
  <w:style w:type="paragraph" w:styleId="16">
    <w:name w:val="List 2"/>
    <w:basedOn w:val="1"/>
    <w:autoRedefine/>
    <w:unhideWhenUsed/>
    <w:qFormat/>
    <w:uiPriority w:val="99"/>
    <w:pPr>
      <w:ind w:left="100" w:leftChars="200" w:hanging="200" w:hangingChars="200"/>
      <w:contextualSpacing/>
    </w:pPr>
  </w:style>
  <w:style w:type="paragraph" w:styleId="17">
    <w:name w:val="toc 3"/>
    <w:basedOn w:val="1"/>
    <w:next w:val="1"/>
    <w:autoRedefine/>
    <w:unhideWhenUsed/>
    <w:qFormat/>
    <w:uiPriority w:val="39"/>
    <w:pPr>
      <w:ind w:left="840" w:leftChars="400"/>
    </w:pPr>
  </w:style>
  <w:style w:type="paragraph" w:styleId="18">
    <w:name w:val="Plain Text"/>
    <w:basedOn w:val="1"/>
    <w:link w:val="48"/>
    <w:autoRedefine/>
    <w:qFormat/>
    <w:uiPriority w:val="0"/>
    <w:rPr>
      <w:rFonts w:ascii="宋体" w:hAnsi="Courier New"/>
      <w:kern w:val="0"/>
      <w:sz w:val="20"/>
      <w:szCs w:val="21"/>
    </w:rPr>
  </w:style>
  <w:style w:type="paragraph" w:styleId="19">
    <w:name w:val="Date"/>
    <w:basedOn w:val="1"/>
    <w:next w:val="1"/>
    <w:link w:val="49"/>
    <w:autoRedefine/>
    <w:unhideWhenUsed/>
    <w:qFormat/>
    <w:uiPriority w:val="99"/>
    <w:pPr>
      <w:ind w:left="100" w:leftChars="2500"/>
    </w:pPr>
  </w:style>
  <w:style w:type="paragraph" w:styleId="20">
    <w:name w:val="Balloon Text"/>
    <w:basedOn w:val="1"/>
    <w:autoRedefine/>
    <w:semiHidden/>
    <w:qFormat/>
    <w:uiPriority w:val="0"/>
    <w:rPr>
      <w:sz w:val="18"/>
      <w:szCs w:val="18"/>
    </w:rPr>
  </w:style>
  <w:style w:type="paragraph" w:styleId="21">
    <w:name w:val="footer"/>
    <w:basedOn w:val="1"/>
    <w:next w:val="1"/>
    <w:link w:val="50"/>
    <w:autoRedefine/>
    <w:unhideWhenUsed/>
    <w:qFormat/>
    <w:uiPriority w:val="99"/>
    <w:pPr>
      <w:tabs>
        <w:tab w:val="center" w:pos="4153"/>
        <w:tab w:val="right" w:pos="8306"/>
      </w:tabs>
      <w:snapToGrid w:val="0"/>
      <w:jc w:val="left"/>
    </w:pPr>
    <w:rPr>
      <w:kern w:val="0"/>
      <w:sz w:val="18"/>
      <w:szCs w:val="18"/>
    </w:rPr>
  </w:style>
  <w:style w:type="paragraph" w:styleId="22">
    <w:name w:val="header"/>
    <w:basedOn w:val="1"/>
    <w:link w:val="51"/>
    <w:autoRedefine/>
    <w:unhideWhenUsed/>
    <w:qFormat/>
    <w:uiPriority w:val="99"/>
    <w:pPr>
      <w:pBdr>
        <w:bottom w:val="single" w:color="auto" w:sz="6" w:space="1"/>
      </w:pBdr>
      <w:tabs>
        <w:tab w:val="center" w:pos="4153"/>
        <w:tab w:val="right" w:pos="8306"/>
      </w:tabs>
      <w:snapToGrid w:val="0"/>
      <w:jc w:val="center"/>
    </w:pPr>
    <w:rPr>
      <w:kern w:val="0"/>
      <w:sz w:val="18"/>
      <w:szCs w:val="18"/>
    </w:rPr>
  </w:style>
  <w:style w:type="paragraph" w:styleId="23">
    <w:name w:val="toc 1"/>
    <w:basedOn w:val="1"/>
    <w:next w:val="1"/>
    <w:autoRedefine/>
    <w:unhideWhenUsed/>
    <w:qFormat/>
    <w:uiPriority w:val="39"/>
  </w:style>
  <w:style w:type="paragraph" w:styleId="24">
    <w:name w:val="List"/>
    <w:basedOn w:val="1"/>
    <w:autoRedefine/>
    <w:unhideWhenUsed/>
    <w:qFormat/>
    <w:uiPriority w:val="99"/>
    <w:pPr>
      <w:ind w:left="200" w:hanging="200" w:hangingChars="200"/>
      <w:contextualSpacing/>
    </w:pPr>
  </w:style>
  <w:style w:type="paragraph" w:styleId="25">
    <w:name w:val="toc 2"/>
    <w:basedOn w:val="1"/>
    <w:next w:val="1"/>
    <w:autoRedefine/>
    <w:unhideWhenUsed/>
    <w:qFormat/>
    <w:uiPriority w:val="39"/>
    <w:pPr>
      <w:tabs>
        <w:tab w:val="right" w:leader="dot" w:pos="8296"/>
      </w:tabs>
      <w:ind w:left="420" w:leftChars="200"/>
    </w:pPr>
  </w:style>
  <w:style w:type="paragraph" w:styleId="26">
    <w:name w:val="Normal (Web)"/>
    <w:basedOn w:val="1"/>
    <w:autoRedefine/>
    <w:unhideWhenUsed/>
    <w:qFormat/>
    <w:uiPriority w:val="99"/>
    <w:pPr>
      <w:spacing w:before="0" w:beforeAutospacing="0" w:after="0" w:afterAutospacing="0"/>
      <w:ind w:left="0" w:right="0"/>
      <w:jc w:val="both"/>
    </w:pPr>
    <w:rPr>
      <w:rFonts w:hint="default" w:ascii="Calibri" w:hAnsi="Calibri" w:cs="Calibri"/>
      <w:kern w:val="0"/>
      <w:sz w:val="24"/>
      <w:szCs w:val="24"/>
      <w:lang w:val="en-US" w:eastAsia="zh-CN" w:bidi="ar"/>
    </w:rPr>
  </w:style>
  <w:style w:type="paragraph" w:styleId="27">
    <w:name w:val="annotation subject"/>
    <w:basedOn w:val="11"/>
    <w:next w:val="11"/>
    <w:link w:val="52"/>
    <w:autoRedefine/>
    <w:qFormat/>
    <w:uiPriority w:val="99"/>
    <w:rPr>
      <w:b/>
      <w:bCs/>
    </w:rPr>
  </w:style>
  <w:style w:type="table" w:styleId="29">
    <w:name w:val="Table Grid"/>
    <w:basedOn w:val="28"/>
    <w:autoRedefine/>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31">
    <w:name w:val="Strong"/>
    <w:basedOn w:val="30"/>
    <w:autoRedefine/>
    <w:qFormat/>
    <w:uiPriority w:val="22"/>
    <w:rPr>
      <w:b/>
    </w:rPr>
  </w:style>
  <w:style w:type="character" w:styleId="32">
    <w:name w:val="endnote reference"/>
    <w:autoRedefine/>
    <w:unhideWhenUsed/>
    <w:qFormat/>
    <w:uiPriority w:val="99"/>
    <w:rPr>
      <w:vertAlign w:val="superscript"/>
    </w:rPr>
  </w:style>
  <w:style w:type="character" w:styleId="33">
    <w:name w:val="page number"/>
    <w:basedOn w:val="30"/>
    <w:autoRedefine/>
    <w:qFormat/>
    <w:uiPriority w:val="0"/>
  </w:style>
  <w:style w:type="character" w:styleId="34">
    <w:name w:val="FollowedHyperlink"/>
    <w:basedOn w:val="30"/>
    <w:autoRedefine/>
    <w:unhideWhenUsed/>
    <w:qFormat/>
    <w:uiPriority w:val="99"/>
    <w:rPr>
      <w:color w:val="800080"/>
      <w:u w:val="single"/>
    </w:rPr>
  </w:style>
  <w:style w:type="character" w:styleId="35">
    <w:name w:val="Hyperlink"/>
    <w:autoRedefine/>
    <w:unhideWhenUsed/>
    <w:qFormat/>
    <w:uiPriority w:val="99"/>
    <w:rPr>
      <w:color w:val="0000FF"/>
      <w:u w:val="single"/>
    </w:rPr>
  </w:style>
  <w:style w:type="character" w:styleId="36">
    <w:name w:val="annotation reference"/>
    <w:autoRedefine/>
    <w:qFormat/>
    <w:uiPriority w:val="99"/>
    <w:rPr>
      <w:sz w:val="21"/>
      <w:szCs w:val="21"/>
    </w:rPr>
  </w:style>
  <w:style w:type="paragraph" w:customStyle="1" w:styleId="37">
    <w:name w:val="Default"/>
    <w:autoRedefine/>
    <w:qFormat/>
    <w:uiPriority w:val="0"/>
    <w:pPr>
      <w:widowControl w:val="0"/>
      <w:autoSpaceDE w:val="0"/>
      <w:autoSpaceDN w:val="0"/>
      <w:adjustRightInd w:val="0"/>
    </w:pPr>
    <w:rPr>
      <w:rFonts w:ascii="Arial" w:hAnsi="Arial" w:eastAsia="宋体" w:cs="Arial"/>
      <w:color w:val="000000"/>
      <w:sz w:val="24"/>
      <w:szCs w:val="24"/>
      <w:lang w:val="en-US" w:eastAsia="zh-CN" w:bidi="ar-SA"/>
    </w:rPr>
  </w:style>
  <w:style w:type="paragraph" w:customStyle="1" w:styleId="38">
    <w:name w:val="表格文字"/>
    <w:basedOn w:val="1"/>
    <w:autoRedefine/>
    <w:qFormat/>
    <w:uiPriority w:val="0"/>
    <w:pPr>
      <w:jc w:val="left"/>
    </w:pPr>
    <w:rPr>
      <w:rFonts w:ascii="Calibri" w:hAnsi="Calibri" w:eastAsia="宋体" w:cs="Times New Roman"/>
      <w:bCs/>
      <w:spacing w:val="10"/>
      <w:kern w:val="0"/>
      <w:sz w:val="24"/>
    </w:rPr>
  </w:style>
  <w:style w:type="character" w:customStyle="1" w:styleId="39">
    <w:name w:val="标题 1 Char"/>
    <w:link w:val="2"/>
    <w:autoRedefine/>
    <w:qFormat/>
    <w:uiPriority w:val="9"/>
    <w:rPr>
      <w:b/>
      <w:bCs/>
      <w:kern w:val="44"/>
      <w:sz w:val="44"/>
      <w:szCs w:val="44"/>
    </w:rPr>
  </w:style>
  <w:style w:type="character" w:customStyle="1" w:styleId="40">
    <w:name w:val="标题 2 Char1"/>
    <w:link w:val="3"/>
    <w:autoRedefine/>
    <w:qFormat/>
    <w:uiPriority w:val="9"/>
    <w:rPr>
      <w:rFonts w:ascii="Cambria" w:hAnsi="Cambria" w:eastAsia="宋体" w:cs="Times New Roman"/>
      <w:b/>
      <w:bCs/>
      <w:kern w:val="2"/>
      <w:sz w:val="32"/>
      <w:szCs w:val="32"/>
    </w:rPr>
  </w:style>
  <w:style w:type="character" w:customStyle="1" w:styleId="41">
    <w:name w:val="标题 3 Char"/>
    <w:link w:val="4"/>
    <w:autoRedefine/>
    <w:semiHidden/>
    <w:qFormat/>
    <w:uiPriority w:val="9"/>
    <w:rPr>
      <w:b/>
      <w:bCs/>
      <w:kern w:val="2"/>
      <w:sz w:val="32"/>
      <w:szCs w:val="32"/>
    </w:rPr>
  </w:style>
  <w:style w:type="character" w:customStyle="1" w:styleId="42">
    <w:name w:val="标题 5 Char"/>
    <w:link w:val="6"/>
    <w:autoRedefine/>
    <w:qFormat/>
    <w:uiPriority w:val="9"/>
    <w:rPr>
      <w:rFonts w:ascii="Times New Roman" w:hAnsi="Times New Roman"/>
      <w:b/>
      <w:bCs/>
      <w:kern w:val="2"/>
      <w:sz w:val="28"/>
      <w:szCs w:val="28"/>
    </w:rPr>
  </w:style>
  <w:style w:type="character" w:customStyle="1" w:styleId="43">
    <w:name w:val="标题 8 Char1"/>
    <w:link w:val="7"/>
    <w:autoRedefine/>
    <w:semiHidden/>
    <w:qFormat/>
    <w:uiPriority w:val="9"/>
    <w:rPr>
      <w:rFonts w:ascii="等线 Light" w:hAnsi="等线 Light" w:eastAsia="等线 Light" w:cs="Times New Roman"/>
      <w:kern w:val="2"/>
      <w:sz w:val="24"/>
      <w:szCs w:val="24"/>
    </w:rPr>
  </w:style>
  <w:style w:type="character" w:customStyle="1" w:styleId="44">
    <w:name w:val="批注文字 Char1"/>
    <w:link w:val="11"/>
    <w:autoRedefine/>
    <w:qFormat/>
    <w:uiPriority w:val="0"/>
    <w:rPr>
      <w:rFonts w:ascii="Times New Roman" w:hAnsi="Times New Roman"/>
      <w:kern w:val="2"/>
      <w:sz w:val="21"/>
      <w:szCs w:val="24"/>
    </w:rPr>
  </w:style>
  <w:style w:type="character" w:customStyle="1" w:styleId="45">
    <w:name w:val="正文文本 3 Char"/>
    <w:link w:val="12"/>
    <w:autoRedefine/>
    <w:semiHidden/>
    <w:qFormat/>
    <w:uiPriority w:val="99"/>
    <w:rPr>
      <w:kern w:val="2"/>
      <w:sz w:val="16"/>
      <w:szCs w:val="16"/>
    </w:rPr>
  </w:style>
  <w:style w:type="character" w:customStyle="1" w:styleId="46">
    <w:name w:val="正文文本 Char1"/>
    <w:link w:val="13"/>
    <w:autoRedefine/>
    <w:qFormat/>
    <w:uiPriority w:val="0"/>
    <w:rPr>
      <w:rFonts w:ascii="Times New Roman" w:hAnsi="Times New Roman"/>
      <w:kern w:val="2"/>
      <w:sz w:val="21"/>
      <w:szCs w:val="24"/>
    </w:rPr>
  </w:style>
  <w:style w:type="character" w:customStyle="1" w:styleId="47">
    <w:name w:val="正文文本缩进 Char"/>
    <w:link w:val="14"/>
    <w:autoRedefine/>
    <w:qFormat/>
    <w:uiPriority w:val="0"/>
    <w:rPr>
      <w:rFonts w:ascii="仿宋_GB2312" w:hAnsi="Times New Roman" w:eastAsia="仿宋_GB2312" w:cs="Times New Roman"/>
      <w:sz w:val="32"/>
      <w:szCs w:val="20"/>
    </w:rPr>
  </w:style>
  <w:style w:type="character" w:customStyle="1" w:styleId="48">
    <w:name w:val="纯文本 Char1"/>
    <w:link w:val="18"/>
    <w:autoRedefine/>
    <w:qFormat/>
    <w:uiPriority w:val="0"/>
    <w:rPr>
      <w:rFonts w:ascii="宋体" w:hAnsi="Courier New" w:eastAsia="宋体" w:cs="Courier New"/>
      <w:szCs w:val="21"/>
    </w:rPr>
  </w:style>
  <w:style w:type="character" w:customStyle="1" w:styleId="49">
    <w:name w:val="日期 Char"/>
    <w:link w:val="19"/>
    <w:autoRedefine/>
    <w:semiHidden/>
    <w:qFormat/>
    <w:uiPriority w:val="99"/>
    <w:rPr>
      <w:rFonts w:ascii="Times New Roman" w:hAnsi="Times New Roman"/>
      <w:kern w:val="2"/>
      <w:sz w:val="21"/>
      <w:szCs w:val="24"/>
    </w:rPr>
  </w:style>
  <w:style w:type="character" w:customStyle="1" w:styleId="50">
    <w:name w:val="页脚 Char"/>
    <w:link w:val="21"/>
    <w:autoRedefine/>
    <w:qFormat/>
    <w:uiPriority w:val="99"/>
    <w:rPr>
      <w:sz w:val="18"/>
      <w:szCs w:val="18"/>
    </w:rPr>
  </w:style>
  <w:style w:type="character" w:customStyle="1" w:styleId="51">
    <w:name w:val="页眉 Char"/>
    <w:link w:val="22"/>
    <w:autoRedefine/>
    <w:qFormat/>
    <w:uiPriority w:val="99"/>
    <w:rPr>
      <w:sz w:val="18"/>
      <w:szCs w:val="18"/>
    </w:rPr>
  </w:style>
  <w:style w:type="character" w:customStyle="1" w:styleId="52">
    <w:name w:val="批注主题 Char"/>
    <w:link w:val="27"/>
    <w:autoRedefine/>
    <w:qFormat/>
    <w:uiPriority w:val="99"/>
    <w:rPr>
      <w:rFonts w:ascii="Times New Roman" w:hAnsi="Times New Roman"/>
      <w:b/>
      <w:bCs/>
      <w:kern w:val="2"/>
      <w:sz w:val="21"/>
      <w:szCs w:val="24"/>
    </w:rPr>
  </w:style>
  <w:style w:type="character" w:customStyle="1" w:styleId="53">
    <w:name w:val="批注文字 字符"/>
    <w:autoRedefine/>
    <w:qFormat/>
    <w:uiPriority w:val="0"/>
    <w:rPr>
      <w:rFonts w:ascii="Times New Roman" w:hAnsi="Times New Roman"/>
      <w:kern w:val="2"/>
      <w:sz w:val="21"/>
      <w:szCs w:val="24"/>
    </w:rPr>
  </w:style>
  <w:style w:type="character" w:customStyle="1" w:styleId="54">
    <w:name w:val="10"/>
    <w:autoRedefine/>
    <w:qFormat/>
    <w:uiPriority w:val="0"/>
  </w:style>
  <w:style w:type="character" w:customStyle="1" w:styleId="55">
    <w:name w:val="正文文本 (26) + 间距 0 pt"/>
    <w:autoRedefine/>
    <w:qFormat/>
    <w:uiPriority w:val="0"/>
    <w:rPr>
      <w:rFonts w:ascii="宋体" w:hAnsi="宋体" w:eastAsia="宋体" w:cs="宋体"/>
      <w:color w:val="000000"/>
      <w:spacing w:val="0"/>
      <w:w w:val="100"/>
      <w:position w:val="0"/>
      <w:sz w:val="22"/>
      <w:szCs w:val="22"/>
      <w:u w:val="none"/>
      <w:lang w:val="zh-CN" w:eastAsia="zh-CN" w:bidi="zh-CN"/>
    </w:rPr>
  </w:style>
  <w:style w:type="character" w:customStyle="1" w:styleId="56">
    <w:name w:val="未处理的提及"/>
    <w:autoRedefine/>
    <w:unhideWhenUsed/>
    <w:qFormat/>
    <w:uiPriority w:val="99"/>
    <w:rPr>
      <w:color w:val="605E5C"/>
      <w:shd w:val="clear" w:color="auto" w:fill="E1DFDD"/>
    </w:rPr>
  </w:style>
  <w:style w:type="character" w:customStyle="1" w:styleId="57">
    <w:name w:val="批注文字 字符1"/>
    <w:autoRedefine/>
    <w:qFormat/>
    <w:uiPriority w:val="0"/>
    <w:rPr>
      <w:rFonts w:ascii="Times New Roman" w:hAnsi="Times New Roman"/>
      <w:kern w:val="2"/>
      <w:sz w:val="21"/>
      <w:szCs w:val="24"/>
    </w:rPr>
  </w:style>
  <w:style w:type="character" w:customStyle="1" w:styleId="58">
    <w:name w:val="正文文本 Char"/>
    <w:autoRedefine/>
    <w:qFormat/>
    <w:uiPriority w:val="0"/>
    <w:rPr>
      <w:rFonts w:ascii="Times New Roman" w:hAnsi="Times New Roman"/>
      <w:kern w:val="2"/>
      <w:sz w:val="21"/>
      <w:szCs w:val="24"/>
    </w:rPr>
  </w:style>
  <w:style w:type="character" w:customStyle="1" w:styleId="59">
    <w:name w:val="正文文本 (2) + 间距 0 pt"/>
    <w:autoRedefine/>
    <w:qFormat/>
    <w:uiPriority w:val="0"/>
    <w:rPr>
      <w:rFonts w:ascii="微软雅黑 Light" w:hAnsi="微软雅黑 Light" w:eastAsia="微软雅黑 Light" w:cs="微软雅黑 Light"/>
      <w:color w:val="000000"/>
      <w:spacing w:val="0"/>
      <w:w w:val="100"/>
      <w:position w:val="0"/>
      <w:sz w:val="22"/>
      <w:szCs w:val="22"/>
      <w:shd w:val="clear" w:color="auto" w:fill="FFFFFF"/>
      <w:lang w:val="zh-CN" w:eastAsia="zh-CN" w:bidi="zh-CN"/>
    </w:rPr>
  </w:style>
  <w:style w:type="character" w:customStyle="1" w:styleId="60">
    <w:name w:val="textcontents"/>
    <w:autoRedefine/>
    <w:qFormat/>
    <w:uiPriority w:val="0"/>
  </w:style>
  <w:style w:type="character" w:customStyle="1" w:styleId="61">
    <w:name w:val="纯文本 Char"/>
    <w:autoRedefine/>
    <w:qFormat/>
    <w:uiPriority w:val="0"/>
    <w:rPr>
      <w:rFonts w:ascii="宋体" w:hAnsi="Courier New" w:eastAsia="宋体" w:cs="Courier New"/>
      <w:szCs w:val="21"/>
    </w:rPr>
  </w:style>
  <w:style w:type="character" w:customStyle="1" w:styleId="62">
    <w:name w:val="标题 1 字符1"/>
    <w:autoRedefine/>
    <w:qFormat/>
    <w:uiPriority w:val="0"/>
    <w:rPr>
      <w:b/>
      <w:bCs/>
      <w:kern w:val="44"/>
      <w:sz w:val="44"/>
      <w:szCs w:val="44"/>
    </w:rPr>
  </w:style>
  <w:style w:type="character" w:customStyle="1" w:styleId="63">
    <w:name w:val="标题 2 Char"/>
    <w:autoRedefine/>
    <w:qFormat/>
    <w:uiPriority w:val="9"/>
    <w:rPr>
      <w:rFonts w:ascii="Cambria" w:hAnsi="Cambria" w:eastAsia="宋体" w:cs="Times New Roman"/>
      <w:b/>
      <w:bCs/>
      <w:kern w:val="2"/>
      <w:sz w:val="32"/>
      <w:szCs w:val="32"/>
    </w:rPr>
  </w:style>
  <w:style w:type="character" w:customStyle="1" w:styleId="64">
    <w:name w:val="纯文本 字符1"/>
    <w:autoRedefine/>
    <w:qFormat/>
    <w:uiPriority w:val="0"/>
    <w:rPr>
      <w:rFonts w:ascii="宋体" w:hAnsi="Courier New"/>
    </w:rPr>
  </w:style>
  <w:style w:type="character" w:customStyle="1" w:styleId="65">
    <w:name w:val="批注文字 Char"/>
    <w:autoRedefine/>
    <w:qFormat/>
    <w:uiPriority w:val="0"/>
    <w:rPr>
      <w:rFonts w:ascii="Times New Roman" w:hAnsi="Times New Roman"/>
      <w:kern w:val="2"/>
      <w:sz w:val="21"/>
      <w:szCs w:val="24"/>
    </w:rPr>
  </w:style>
  <w:style w:type="character" w:customStyle="1" w:styleId="66">
    <w:name w:val="标题 8 Char"/>
    <w:autoRedefine/>
    <w:qFormat/>
    <w:uiPriority w:val="0"/>
    <w:rPr>
      <w:rFonts w:ascii="Arial" w:hAnsi="Arial" w:eastAsia="黑体"/>
      <w:kern w:val="2"/>
      <w:sz w:val="24"/>
      <w:szCs w:val="24"/>
    </w:rPr>
  </w:style>
  <w:style w:type="character" w:customStyle="1" w:styleId="67">
    <w:name w:val="正文文本 字符"/>
    <w:autoRedefine/>
    <w:qFormat/>
    <w:uiPriority w:val="0"/>
    <w:rPr>
      <w:rFonts w:ascii="Times New Roman" w:hAnsi="Times New Roman"/>
      <w:kern w:val="2"/>
      <w:sz w:val="21"/>
      <w:szCs w:val="24"/>
    </w:rPr>
  </w:style>
  <w:style w:type="character" w:customStyle="1" w:styleId="68">
    <w:name w:val="纯文本 字符2"/>
    <w:autoRedefine/>
    <w:qFormat/>
    <w:uiPriority w:val="0"/>
    <w:rPr>
      <w:rFonts w:ascii="宋体" w:hAnsi="Courier New" w:eastAsia="宋体" w:cs="Courier New"/>
      <w:szCs w:val="21"/>
    </w:rPr>
  </w:style>
  <w:style w:type="character" w:customStyle="1" w:styleId="69">
    <w:name w:val="纯文本 字符"/>
    <w:autoRedefine/>
    <w:qFormat/>
    <w:uiPriority w:val="0"/>
    <w:rPr>
      <w:rFonts w:ascii="宋体" w:hAnsi="Courier New" w:eastAsia="宋体" w:cs="Courier New"/>
      <w:szCs w:val="21"/>
    </w:rPr>
  </w:style>
  <w:style w:type="character" w:customStyle="1" w:styleId="70">
    <w:name w:val="apple-style-span"/>
    <w:autoRedefine/>
    <w:qFormat/>
    <w:uiPriority w:val="0"/>
  </w:style>
  <w:style w:type="character" w:customStyle="1" w:styleId="71">
    <w:name w:val="正文2 Char Char"/>
    <w:link w:val="72"/>
    <w:autoRedefine/>
    <w:qFormat/>
    <w:uiPriority w:val="0"/>
    <w:rPr>
      <w:sz w:val="24"/>
    </w:rPr>
  </w:style>
  <w:style w:type="paragraph" w:customStyle="1" w:styleId="72">
    <w:name w:val="正文2"/>
    <w:basedOn w:val="1"/>
    <w:link w:val="71"/>
    <w:autoRedefine/>
    <w:qFormat/>
    <w:uiPriority w:val="0"/>
    <w:pPr>
      <w:adjustRightInd w:val="0"/>
      <w:spacing w:before="156" w:line="360" w:lineRule="auto"/>
      <w:ind w:firstLine="510" w:firstLineChars="200"/>
    </w:pPr>
    <w:rPr>
      <w:kern w:val="0"/>
      <w:sz w:val="24"/>
      <w:szCs w:val="20"/>
    </w:rPr>
  </w:style>
  <w:style w:type="paragraph" w:customStyle="1" w:styleId="73">
    <w:name w:val="_Style 70"/>
    <w:basedOn w:val="2"/>
    <w:next w:val="1"/>
    <w:autoRedefine/>
    <w:qFormat/>
    <w:uiPriority w:val="39"/>
    <w:pPr>
      <w:widowControl/>
      <w:spacing w:before="240" w:after="0" w:line="259" w:lineRule="auto"/>
      <w:jc w:val="left"/>
      <w:outlineLvl w:val="9"/>
    </w:pPr>
    <w:rPr>
      <w:rFonts w:ascii="等线 Light" w:hAnsi="等线 Light" w:eastAsia="等线 Light" w:cs="Times New Roman"/>
      <w:b w:val="0"/>
      <w:bCs w:val="0"/>
      <w:color w:val="2F5496"/>
      <w:kern w:val="0"/>
      <w:sz w:val="32"/>
      <w:szCs w:val="32"/>
      <w:lang w:val="en-US" w:eastAsia="zh-CN"/>
    </w:rPr>
  </w:style>
  <w:style w:type="paragraph" w:customStyle="1" w:styleId="74">
    <w:name w:val="Char Char Char Char"/>
    <w:basedOn w:val="1"/>
    <w:autoRedefine/>
    <w:qFormat/>
    <w:uiPriority w:val="0"/>
    <w:pPr>
      <w:widowControl/>
      <w:spacing w:after="160" w:line="240" w:lineRule="exact"/>
      <w:jc w:val="left"/>
    </w:pPr>
  </w:style>
  <w:style w:type="paragraph" w:customStyle="1" w:styleId="75">
    <w:name w:val="正文文本_0"/>
    <w:basedOn w:val="76"/>
    <w:autoRedefine/>
    <w:unhideWhenUsed/>
    <w:qFormat/>
    <w:uiPriority w:val="99"/>
    <w:pPr>
      <w:adjustRightInd w:val="0"/>
      <w:spacing w:after="60" w:line="360" w:lineRule="atLeast"/>
      <w:ind w:left="72" w:leftChars="30" w:right="30" w:rightChars="30"/>
      <w:jc w:val="center"/>
    </w:pPr>
    <w:rPr>
      <w:rFonts w:ascii="Calibri" w:hAnsi="Calibri"/>
      <w:kern w:val="0"/>
      <w:sz w:val="20"/>
      <w:szCs w:val="20"/>
      <w:lang w:val="zh-CN" w:eastAsia="zh-CN"/>
    </w:rPr>
  </w:style>
  <w:style w:type="paragraph" w:customStyle="1" w:styleId="76">
    <w:name w:val="正文_0"/>
    <w:next w:val="75"/>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7">
    <w:name w:val="正文缩进1"/>
    <w:basedOn w:val="1"/>
    <w:next w:val="14"/>
    <w:autoRedefine/>
    <w:qFormat/>
    <w:uiPriority w:val="0"/>
    <w:pPr>
      <w:autoSpaceDE w:val="0"/>
      <w:autoSpaceDN w:val="0"/>
      <w:adjustRightInd w:val="0"/>
      <w:snapToGrid w:val="0"/>
      <w:spacing w:after="120" w:line="360" w:lineRule="auto"/>
      <w:ind w:left="420" w:leftChars="200" w:firstLine="480" w:firstLineChars="200"/>
    </w:pPr>
    <w:rPr>
      <w:sz w:val="24"/>
      <w:szCs w:val="21"/>
    </w:rPr>
  </w:style>
  <w:style w:type="paragraph" w:customStyle="1" w:styleId="78">
    <w:name w:val="正文_3"/>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9">
    <w:name w:val="列出段落2"/>
    <w:basedOn w:val="1"/>
    <w:autoRedefine/>
    <w:unhideWhenUsed/>
    <w:qFormat/>
    <w:uiPriority w:val="99"/>
    <w:pPr>
      <w:spacing w:line="360" w:lineRule="auto"/>
      <w:ind w:firstLine="420" w:firstLineChars="200"/>
    </w:pPr>
    <w:rPr>
      <w:rFonts w:ascii="Calibri" w:hAnsi="Calibri" w:eastAsia="仿宋" w:cs="Times New Roman"/>
      <w:sz w:val="28"/>
      <w:szCs w:val="22"/>
    </w:rPr>
  </w:style>
  <w:style w:type="paragraph" w:customStyle="1" w:styleId="80">
    <w:name w:val="样式5"/>
    <w:basedOn w:val="1"/>
    <w:autoRedefine/>
    <w:qFormat/>
    <w:uiPriority w:val="0"/>
    <w:pPr>
      <w:adjustRightInd w:val="0"/>
      <w:spacing w:line="440" w:lineRule="exact"/>
      <w:ind w:left="2" w:firstLine="480" w:firstLineChars="200"/>
    </w:pPr>
    <w:rPr>
      <w:rFonts w:ascii="仿宋_GB2312" w:hAnsi="仿宋" w:eastAsia="仿宋_GB2312"/>
      <w:sz w:val="24"/>
    </w:rPr>
  </w:style>
  <w:style w:type="paragraph" w:customStyle="1" w:styleId="81">
    <w:name w:val="正文-2字符首行缩进"/>
    <w:basedOn w:val="1"/>
    <w:autoRedefine/>
    <w:qFormat/>
    <w:uiPriority w:val="0"/>
    <w:pPr>
      <w:spacing w:line="360" w:lineRule="auto"/>
      <w:ind w:firstLine="200" w:firstLineChars="200"/>
    </w:pPr>
    <w:rPr>
      <w:rFonts w:ascii="仿宋_GB2312" w:hAnsi="宋体" w:eastAsia="仿宋_GB2312" w:cs="Times New Roman"/>
      <w:sz w:val="28"/>
      <w:szCs w:val="22"/>
    </w:rPr>
  </w:style>
  <w:style w:type="paragraph" w:styleId="82">
    <w:name w:val="List Paragraph"/>
    <w:basedOn w:val="1"/>
    <w:autoRedefine/>
    <w:qFormat/>
    <w:uiPriority w:val="34"/>
    <w:pPr>
      <w:ind w:firstLine="420" w:firstLineChars="200"/>
    </w:pPr>
  </w:style>
  <w:style w:type="paragraph" w:customStyle="1" w:styleId="83">
    <w:name w:val="Table Paragraph"/>
    <w:basedOn w:val="1"/>
    <w:autoRedefine/>
    <w:qFormat/>
    <w:uiPriority w:val="1"/>
    <w:pPr>
      <w:jc w:val="left"/>
    </w:pPr>
    <w:rPr>
      <w:rFonts w:ascii="Calibri" w:hAnsi="Calibri"/>
      <w:kern w:val="0"/>
      <w:sz w:val="22"/>
      <w:szCs w:val="22"/>
      <w:lang w:eastAsia="en-US"/>
    </w:rPr>
  </w:style>
  <w:style w:type="paragraph" w:customStyle="1" w:styleId="84">
    <w:name w:val="表内文字"/>
    <w:basedOn w:val="1"/>
    <w:autoRedefine/>
    <w:qFormat/>
    <w:uiPriority w:val="0"/>
    <w:pPr>
      <w:snapToGrid w:val="0"/>
      <w:spacing w:before="50" w:after="50"/>
      <w:jc w:val="center"/>
    </w:pPr>
    <w:rPr>
      <w:rFonts w:ascii="仿宋_GB2312" w:hAnsi="宋体" w:eastAsia="仿宋_GB2312"/>
      <w:b/>
      <w:color w:val="000000"/>
      <w:sz w:val="32"/>
      <w:szCs w:val="32"/>
    </w:rPr>
  </w:style>
  <w:style w:type="paragraph" w:customStyle="1" w:styleId="85">
    <w:name w:val="正文_2"/>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86">
    <w:name w:val="默认段落字体 Para Char Char Char Char Char Char Char Char Char1 Char Char Char Char"/>
    <w:basedOn w:val="1"/>
    <w:autoRedefine/>
    <w:qFormat/>
    <w:uiPriority w:val="0"/>
    <w:rPr>
      <w:rFonts w:ascii="Tahoma" w:hAnsi="Tahoma"/>
      <w:sz w:val="24"/>
      <w:szCs w:val="20"/>
    </w:rPr>
  </w:style>
  <w:style w:type="paragraph" w:customStyle="1" w:styleId="87">
    <w:name w:val="无间隔1"/>
    <w:autoRedefine/>
    <w:qFormat/>
    <w:uiPriority w:val="99"/>
    <w:pPr>
      <w:widowControl w:val="0"/>
      <w:jc w:val="both"/>
    </w:pPr>
    <w:rPr>
      <w:rFonts w:ascii="Times New Roman" w:hAnsi="Times New Roman" w:eastAsia="宋体" w:cs="Times New Roman"/>
      <w:kern w:val="2"/>
      <w:sz w:val="21"/>
      <w:szCs w:val="21"/>
      <w:lang w:val="en-US" w:eastAsia="zh-CN" w:bidi="ar-SA"/>
    </w:rPr>
  </w:style>
  <w:style w:type="paragraph" w:customStyle="1" w:styleId="88">
    <w:name w:val="正文_4"/>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89">
    <w:name w:val="正文_3_0"/>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90">
    <w:name w:val="正文_4_0"/>
    <w:autoRedefine/>
    <w:qFormat/>
    <w:uiPriority w:val="0"/>
    <w:pPr>
      <w:widowControl w:val="0"/>
      <w:jc w:val="both"/>
    </w:pPr>
    <w:rPr>
      <w:rFonts w:ascii="Calibri" w:hAnsi="Calibri" w:eastAsia="宋体" w:cs="Times New Roman"/>
      <w:kern w:val="2"/>
      <w:sz w:val="21"/>
      <w:szCs w:val="22"/>
      <w:lang w:val="en-US" w:eastAsia="zh-CN" w:bidi="ar-SA"/>
    </w:rPr>
  </w:style>
  <w:style w:type="paragraph" w:customStyle="1" w:styleId="91">
    <w:name w:val="reader-word-layer_0"/>
    <w:basedOn w:val="88"/>
    <w:autoRedefine/>
    <w:qFormat/>
    <w:uiPriority w:val="0"/>
    <w:pPr>
      <w:widowControl/>
      <w:spacing w:before="100" w:beforeAutospacing="1" w:after="100" w:afterAutospacing="1"/>
      <w:jc w:val="left"/>
    </w:pPr>
    <w:rPr>
      <w:rFonts w:ascii="宋体" w:hAnsi="宋体" w:cs="宋体"/>
      <w:kern w:val="0"/>
      <w:sz w:val="24"/>
      <w:szCs w:val="24"/>
    </w:rPr>
  </w:style>
  <w:style w:type="paragraph" w:customStyle="1" w:styleId="92">
    <w:name w:val="标题 1_2"/>
    <w:basedOn w:val="88"/>
    <w:next w:val="88"/>
    <w:autoRedefine/>
    <w:qFormat/>
    <w:uiPriority w:val="0"/>
    <w:pPr>
      <w:keepNext/>
      <w:keepLines/>
      <w:spacing w:line="360" w:lineRule="auto"/>
      <w:outlineLvl w:val="0"/>
    </w:pPr>
    <w:rPr>
      <w:rFonts w:ascii="Times New Roman" w:hAnsi="Times New Roman"/>
      <w:b/>
      <w:bCs/>
      <w:kern w:val="44"/>
      <w:sz w:val="32"/>
      <w:szCs w:val="44"/>
    </w:rPr>
  </w:style>
  <w:style w:type="paragraph" w:customStyle="1" w:styleId="93">
    <w:name w:val="正文_2_0"/>
    <w:autoRedefine/>
    <w:qFormat/>
    <w:uiPriority w:val="0"/>
    <w:pPr>
      <w:widowControl w:val="0"/>
      <w:jc w:val="both"/>
    </w:pPr>
    <w:rPr>
      <w:rFonts w:ascii="Calibri" w:hAnsi="Calibri" w:eastAsia="宋体" w:cs="Times New Roman"/>
      <w:kern w:val="2"/>
      <w:sz w:val="21"/>
      <w:szCs w:val="22"/>
      <w:lang w:val="en-US" w:eastAsia="zh-CN" w:bidi="ar-SA"/>
    </w:rPr>
  </w:style>
  <w:style w:type="paragraph" w:customStyle="1" w:styleId="94">
    <w:name w:val="p15"/>
    <w:basedOn w:val="1"/>
    <w:autoRedefine/>
    <w:qFormat/>
    <w:uiPriority w:val="0"/>
    <w:pPr>
      <w:widowControl/>
    </w:pPr>
    <w:rPr>
      <w:rFonts w:ascii="宋体" w:hAnsi="宋体" w:cs="宋体"/>
      <w:kern w:val="0"/>
      <w:szCs w:val="21"/>
    </w:rPr>
  </w:style>
  <w:style w:type="paragraph" w:customStyle="1" w:styleId="95">
    <w:name w:val="正文小标题"/>
    <w:basedOn w:val="2"/>
    <w:autoRedefine/>
    <w:qFormat/>
    <w:uiPriority w:val="0"/>
    <w:pPr>
      <w:keepLines w:val="0"/>
      <w:spacing w:before="240" w:after="240" w:line="420" w:lineRule="exact"/>
    </w:pPr>
    <w:rPr>
      <w:rFonts w:hAnsi="宋体"/>
      <w:b w:val="0"/>
      <w:bCs w:val="0"/>
      <w:kern w:val="0"/>
      <w:sz w:val="21"/>
      <w:szCs w:val="21"/>
    </w:rPr>
  </w:style>
  <w:style w:type="paragraph" w:customStyle="1" w:styleId="96">
    <w:name w:val="WPSOffice手动目录 1"/>
    <w:autoRedefine/>
    <w:qFormat/>
    <w:uiPriority w:val="0"/>
    <w:pPr>
      <w:ind w:leftChars="0"/>
    </w:pPr>
    <w:rPr>
      <w:rFonts w:ascii="Times New Roman" w:hAnsi="Times New Roman" w:eastAsia="宋体" w:cs="Times New Roman"/>
      <w:sz w:val="20"/>
      <w:szCs w:val="20"/>
    </w:rPr>
  </w:style>
  <w:style w:type="paragraph" w:customStyle="1" w:styleId="97">
    <w:name w:val="WPSOffice手动目录 2"/>
    <w:autoRedefine/>
    <w:qFormat/>
    <w:uiPriority w:val="0"/>
    <w:pPr>
      <w:ind w:leftChars="200"/>
    </w:pPr>
    <w:rPr>
      <w:rFonts w:ascii="Times New Roman" w:hAnsi="Times New Roman" w:eastAsia="宋体" w:cs="Times New Roman"/>
      <w:sz w:val="20"/>
      <w:szCs w:val="20"/>
    </w:rPr>
  </w:style>
  <w:style w:type="paragraph" w:customStyle="1" w:styleId="98">
    <w:name w:val="WPSOffice手动目录 3"/>
    <w:autoRedefine/>
    <w:qFormat/>
    <w:uiPriority w:val="0"/>
    <w:pPr>
      <w:ind w:leftChars="400"/>
    </w:pPr>
    <w:rPr>
      <w:rFonts w:ascii="Times New Roman" w:hAnsi="Times New Roman" w:eastAsia="宋体" w:cs="Times New Roman"/>
      <w:sz w:val="20"/>
      <w:szCs w:val="20"/>
    </w:rPr>
  </w:style>
  <w:style w:type="paragraph" w:customStyle="1" w:styleId="99">
    <w:name w:val="Normal_0"/>
    <w:autoRedefine/>
    <w:qFormat/>
    <w:uiPriority w:val="0"/>
    <w:rPr>
      <w:rFonts w:ascii="Times New Roman" w:hAnsi="Times New Roman" w:eastAsia="Times New Roman" w:cs="Times New Roman"/>
      <w:sz w:val="24"/>
      <w:szCs w:val="24"/>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5.wmf"/><Relationship Id="rId27" Type="http://schemas.openxmlformats.org/officeDocument/2006/relationships/oleObject" Target="embeddings/oleObject5.bin"/><Relationship Id="rId26" Type="http://schemas.openxmlformats.org/officeDocument/2006/relationships/image" Target="media/image4.wmf"/><Relationship Id="rId25" Type="http://schemas.openxmlformats.org/officeDocument/2006/relationships/oleObject" Target="embeddings/oleObject4.bin"/><Relationship Id="rId24" Type="http://schemas.openxmlformats.org/officeDocument/2006/relationships/image" Target="media/image3.wmf"/><Relationship Id="rId23" Type="http://schemas.openxmlformats.org/officeDocument/2006/relationships/oleObject" Target="embeddings/oleObject3.bin"/><Relationship Id="rId22" Type="http://schemas.openxmlformats.org/officeDocument/2006/relationships/image" Target="media/image2.wmf"/><Relationship Id="rId21" Type="http://schemas.openxmlformats.org/officeDocument/2006/relationships/oleObject" Target="embeddings/oleObject2.bin"/><Relationship Id="rId20" Type="http://schemas.openxmlformats.org/officeDocument/2006/relationships/image" Target="media/image1.wmf"/><Relationship Id="rId2" Type="http://schemas.openxmlformats.org/officeDocument/2006/relationships/settings" Target="settings.xml"/><Relationship Id="rId19" Type="http://schemas.openxmlformats.org/officeDocument/2006/relationships/oleObject" Target="embeddings/oleObject1.bin"/><Relationship Id="rId18" Type="http://schemas.openxmlformats.org/officeDocument/2006/relationships/theme" Target="theme/theme1.xml"/><Relationship Id="rId17" Type="http://schemas.openxmlformats.org/officeDocument/2006/relationships/footer" Target="footer8.xml"/><Relationship Id="rId16" Type="http://schemas.openxmlformats.org/officeDocument/2006/relationships/header" Target="header7.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header" Target="head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广西云龙招标有限公司</Company>
  <Pages>166</Pages>
  <Words>748</Words>
  <Characters>913</Characters>
  <Lines>638</Lines>
  <Paragraphs>179</Paragraphs>
  <TotalTime>6</TotalTime>
  <ScaleCrop>false</ScaleCrop>
  <LinksUpToDate>false</LinksUpToDate>
  <CharactersWithSpaces>1148</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2021-08-17T04:20:00Z</dcterms:created>
  <dc:creator>唐冰</dc:creator>
  <cp:lastModifiedBy>风中的思索</cp:lastModifiedBy>
  <cp:lastPrinted>2023-03-22T02:36:00Z</cp:lastPrinted>
  <dcterms:modified xsi:type="dcterms:W3CDTF">2025-12-08T08:57:09Z</dcterms:modified>
  <dc:title>竞争性谈判文件规范</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12799BDBDD2D47348D4211C03E53D696_13</vt:lpwstr>
  </property>
  <property fmtid="{D5CDD505-2E9C-101B-9397-08002B2CF9AE}" pid="4" name="KSOTemplateDocerSaveRecord">
    <vt:lpwstr>eyJoZGlkIjoiNGMzMTEyMDdlZTZlNWJiNjBmM2VlNTRjM2Y0MzYwNGEiLCJ1c2VySWQiOiIzMTY0MjQyMzYifQ==</vt:lpwstr>
  </property>
</Properties>
</file>