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79"/>
        <w:gridCol w:w="1119"/>
        <w:gridCol w:w="799"/>
        <w:gridCol w:w="6285"/>
        <w:gridCol w:w="1000"/>
      </w:tblGrid>
      <w:tr w14:paraId="6530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noWrap w:val="0"/>
            <w:vAlign w:val="center"/>
          </w:tcPr>
          <w:p w14:paraId="19990D8E">
            <w:pPr>
              <w:spacing w:line="32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需求一览表</w:t>
            </w:r>
          </w:p>
        </w:tc>
        <w:tc>
          <w:tcPr>
            <w:tcW w:w="479" w:type="dxa"/>
            <w:tcBorders>
              <w:top w:val="single" w:color="auto" w:sz="4" w:space="0"/>
            </w:tcBorders>
            <w:noWrap w:val="0"/>
            <w:vAlign w:val="center"/>
          </w:tcPr>
          <w:p w14:paraId="7DCDB6C8">
            <w:pPr>
              <w:spacing w:line="32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119" w:type="dxa"/>
            <w:tcBorders>
              <w:top w:val="single" w:color="auto" w:sz="4" w:space="0"/>
            </w:tcBorders>
            <w:noWrap w:val="0"/>
            <w:vAlign w:val="center"/>
          </w:tcPr>
          <w:p w14:paraId="7DA031E1">
            <w:pPr>
              <w:spacing w:line="32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标的名称</w:t>
            </w:r>
          </w:p>
        </w:tc>
        <w:tc>
          <w:tcPr>
            <w:tcW w:w="799" w:type="dxa"/>
            <w:tcBorders>
              <w:top w:val="single" w:color="auto" w:sz="4" w:space="0"/>
            </w:tcBorders>
            <w:noWrap w:val="0"/>
            <w:vAlign w:val="center"/>
          </w:tcPr>
          <w:p w14:paraId="135146D2">
            <w:pPr>
              <w:spacing w:line="32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数量</w:t>
            </w:r>
          </w:p>
          <w:p w14:paraId="1E47F61E">
            <w:pPr>
              <w:spacing w:line="320" w:lineRule="exact"/>
              <w:jc w:val="center"/>
              <w:rPr>
                <w:rFonts w:hint="eastAsia" w:ascii="宋体" w:hAnsi="宋体" w:eastAsia="宋体" w:cs="宋体"/>
                <w:color w:val="000000"/>
                <w:szCs w:val="21"/>
                <w:highlight w:val="none"/>
              </w:rPr>
            </w:pPr>
            <w:r>
              <w:rPr>
                <w:rFonts w:hint="eastAsia" w:ascii="宋体" w:hAnsi="宋体" w:eastAsia="宋体" w:cs="宋体"/>
                <w:color w:val="000000"/>
                <w:sz w:val="21"/>
                <w:szCs w:val="21"/>
                <w:lang w:eastAsia="zh-CN"/>
              </w:rPr>
              <w:t>及</w:t>
            </w:r>
            <w:r>
              <w:rPr>
                <w:rFonts w:hint="eastAsia" w:ascii="宋体" w:hAnsi="宋体" w:eastAsia="宋体" w:cs="宋体"/>
                <w:color w:val="000000"/>
                <w:sz w:val="21"/>
                <w:szCs w:val="21"/>
              </w:rPr>
              <w:t>单位</w:t>
            </w:r>
          </w:p>
          <w:p w14:paraId="0767D7D8">
            <w:pPr>
              <w:spacing w:line="320" w:lineRule="exact"/>
              <w:jc w:val="center"/>
              <w:rPr>
                <w:rFonts w:hint="eastAsia" w:ascii="宋体" w:hAnsi="宋体" w:eastAsia="宋体" w:cs="宋体"/>
                <w:color w:val="000000"/>
                <w:szCs w:val="21"/>
                <w:highlight w:val="none"/>
              </w:rPr>
            </w:pPr>
          </w:p>
        </w:tc>
        <w:tc>
          <w:tcPr>
            <w:tcW w:w="6285" w:type="dxa"/>
            <w:tcBorders>
              <w:top w:val="single" w:color="auto" w:sz="4" w:space="0"/>
            </w:tcBorders>
            <w:noWrap w:val="0"/>
            <w:vAlign w:val="center"/>
          </w:tcPr>
          <w:p w14:paraId="3B81AEE7">
            <w:pPr>
              <w:spacing w:line="320" w:lineRule="exact"/>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服务</w:t>
            </w:r>
            <w:r>
              <w:rPr>
                <w:rFonts w:hint="eastAsia" w:ascii="宋体" w:hAnsi="宋体" w:eastAsia="宋体" w:cs="宋体"/>
                <w:color w:val="000000"/>
                <w:szCs w:val="21"/>
                <w:highlight w:val="none"/>
                <w:lang w:eastAsia="zh-CN"/>
              </w:rPr>
              <w:t>要求</w:t>
            </w:r>
          </w:p>
        </w:tc>
        <w:tc>
          <w:tcPr>
            <w:tcW w:w="1000" w:type="dxa"/>
            <w:tcBorders>
              <w:top w:val="single" w:color="auto" w:sz="4" w:space="0"/>
            </w:tcBorders>
            <w:noWrap w:val="0"/>
            <w:vAlign w:val="center"/>
          </w:tcPr>
          <w:p w14:paraId="04A9FBF6">
            <w:pPr>
              <w:spacing w:line="320" w:lineRule="exact"/>
              <w:jc w:val="center"/>
              <w:rPr>
                <w:rFonts w:hint="eastAsia" w:ascii="宋体" w:hAnsi="宋体" w:eastAsia="宋体" w:cs="宋体"/>
                <w:color w:val="auto"/>
                <w:szCs w:val="21"/>
                <w:highlight w:val="none"/>
              </w:rPr>
            </w:pPr>
          </w:p>
          <w:p w14:paraId="3BC06FC1">
            <w:pPr>
              <w:spacing w:line="320" w:lineRule="exact"/>
              <w:jc w:val="both"/>
              <w:rPr>
                <w:rFonts w:hint="eastAsia" w:ascii="宋体" w:hAnsi="宋体" w:eastAsia="宋体" w:cs="宋体"/>
                <w:color w:val="auto"/>
                <w:szCs w:val="21"/>
                <w:highlight w:val="none"/>
                <w:lang w:val="en-US" w:eastAsia="zh-CN"/>
              </w:rPr>
            </w:pPr>
            <w:r>
              <w:rPr>
                <w:rFonts w:ascii="宋体" w:hAnsi="宋体" w:eastAsia="宋体" w:cs="宋体"/>
                <w:b/>
                <w:bCs/>
                <w:color w:val="auto"/>
                <w:sz w:val="20"/>
                <w:szCs w:val="20"/>
              </w:rPr>
              <w:t>上限单价 （元）</w:t>
            </w:r>
          </w:p>
          <w:p w14:paraId="7D5A2746">
            <w:pPr>
              <w:spacing w:line="320" w:lineRule="exact"/>
              <w:jc w:val="center"/>
              <w:rPr>
                <w:rFonts w:hint="eastAsia" w:ascii="宋体" w:hAnsi="宋体" w:eastAsia="宋体" w:cs="宋体"/>
                <w:color w:val="auto"/>
                <w:szCs w:val="21"/>
                <w:highlight w:val="none"/>
              </w:rPr>
            </w:pPr>
          </w:p>
        </w:tc>
      </w:tr>
      <w:tr w14:paraId="3F61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1" w:hRule="atLeast"/>
          <w:jc w:val="center"/>
        </w:trPr>
        <w:tc>
          <w:tcPr>
            <w:tcW w:w="423" w:type="dxa"/>
            <w:vMerge w:val="continue"/>
            <w:noWrap w:val="0"/>
            <w:vAlign w:val="center"/>
          </w:tcPr>
          <w:p w14:paraId="4927A256">
            <w:pPr>
              <w:spacing w:line="320" w:lineRule="exact"/>
              <w:jc w:val="center"/>
              <w:rPr>
                <w:rFonts w:hint="eastAsia" w:ascii="宋体" w:hAnsi="宋体" w:eastAsia="宋体" w:cs="宋体"/>
                <w:color w:val="000000"/>
                <w:szCs w:val="21"/>
                <w:highlight w:val="none"/>
              </w:rPr>
            </w:pPr>
          </w:p>
        </w:tc>
        <w:tc>
          <w:tcPr>
            <w:tcW w:w="479" w:type="dxa"/>
            <w:noWrap w:val="0"/>
            <w:vAlign w:val="center"/>
          </w:tcPr>
          <w:p w14:paraId="1977B2B9">
            <w:pPr>
              <w:spacing w:line="24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rPr>
              <w:t>1</w:t>
            </w:r>
          </w:p>
        </w:tc>
        <w:tc>
          <w:tcPr>
            <w:tcW w:w="1119" w:type="dxa"/>
            <w:noWrap w:val="0"/>
            <w:vAlign w:val="center"/>
          </w:tcPr>
          <w:p w14:paraId="273EA0A0">
            <w:pPr>
              <w:spacing w:line="32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硕士学位论文评阅</w:t>
            </w:r>
          </w:p>
        </w:tc>
        <w:tc>
          <w:tcPr>
            <w:tcW w:w="799" w:type="dxa"/>
            <w:noWrap w:val="0"/>
            <w:vAlign w:val="center"/>
          </w:tcPr>
          <w:p w14:paraId="5C285A41">
            <w:pPr>
              <w:spacing w:line="320" w:lineRule="exact"/>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3200篇次</w:t>
            </w:r>
          </w:p>
        </w:tc>
        <w:tc>
          <w:tcPr>
            <w:tcW w:w="6285" w:type="dxa"/>
            <w:vMerge w:val="restart"/>
            <w:noWrap w:val="0"/>
            <w:vAlign w:val="center"/>
          </w:tcPr>
          <w:p w14:paraId="6B12C5B7">
            <w:pPr>
              <w:numPr>
                <w:ilvl w:val="0"/>
                <w:numId w:val="0"/>
              </w:numPr>
              <w:adjustRightInd w:val="0"/>
              <w:snapToGrid w:val="0"/>
              <w:spacing w:line="440" w:lineRule="exact"/>
              <w:jc w:val="left"/>
              <w:rPr>
                <w:rFonts w:hint="eastAsia" w:ascii="宋体" w:hAnsi="宋体" w:eastAsia="宋体" w:cs="宋体"/>
                <w:b/>
                <w:bCs/>
                <w:color w:val="000000"/>
                <w:szCs w:val="21"/>
                <w:highlight w:val="none"/>
                <w:lang w:eastAsia="zh-CN"/>
              </w:rPr>
            </w:pPr>
            <w:r>
              <w:rPr>
                <w:rFonts w:hint="eastAsia" w:ascii="宋体" w:hAnsi="宋体" w:cs="宋体"/>
                <w:b/>
                <w:bCs/>
                <w:color w:val="000000"/>
                <w:szCs w:val="21"/>
                <w:highlight w:val="none"/>
                <w:lang w:val="en-US" w:eastAsia="zh-CN"/>
              </w:rPr>
              <w:t>一、</w:t>
            </w:r>
            <w:r>
              <w:rPr>
                <w:rFonts w:hint="eastAsia" w:ascii="宋体" w:hAnsi="宋体" w:eastAsia="宋体" w:cs="宋体"/>
                <w:b/>
                <w:bCs/>
                <w:color w:val="000000"/>
                <w:szCs w:val="21"/>
                <w:highlight w:val="none"/>
                <w:lang w:eastAsia="zh-CN"/>
              </w:rPr>
              <w:t>功能技术需求</w:t>
            </w:r>
          </w:p>
          <w:p w14:paraId="0B0C0A53">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（一）为采购人设置独立的登录界面，支持https安全协议。</w:t>
            </w:r>
          </w:p>
          <w:p w14:paraId="7C609223">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（二）支持学院上传论文管理、研究生院送审等多角色管理、送审模式。研究生院账户可根据各个学院的使用情况配置相应权限。</w:t>
            </w:r>
          </w:p>
          <w:p w14:paraId="293BC194">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（三）研究生院可以通过平台对学校、学院的送审情况进行实时监督与管理。</w:t>
            </w:r>
          </w:p>
          <w:p w14:paraId="131AD75B">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（四）平台可提供短信、邮件等及时消息提醒功能，包含：送审提醒、催评、评审费提取提醒。</w:t>
            </w:r>
          </w:p>
          <w:p w14:paraId="09FAEC08">
            <w:pPr>
              <w:numPr>
                <w:ilvl w:val="0"/>
                <w:numId w:val="0"/>
              </w:numPr>
              <w:adjustRightInd w:val="0"/>
              <w:snapToGrid w:val="0"/>
              <w:spacing w:line="440" w:lineRule="exact"/>
              <w:jc w:val="left"/>
              <w:rPr>
                <w:rFonts w:hint="eastAsia" w:ascii="宋体" w:hAnsi="宋体" w:eastAsia="宋体" w:cs="宋体"/>
                <w:b/>
                <w:bCs/>
                <w:color w:val="000000"/>
                <w:szCs w:val="21"/>
                <w:highlight w:val="none"/>
                <w:lang w:eastAsia="zh-CN"/>
              </w:rPr>
            </w:pPr>
            <w:r>
              <w:rPr>
                <w:rFonts w:hint="eastAsia" w:ascii="宋体" w:hAnsi="宋体" w:eastAsia="宋体" w:cs="宋体"/>
                <w:color w:val="000000"/>
                <w:szCs w:val="21"/>
                <w:highlight w:val="none"/>
                <w:lang w:eastAsia="zh-CN"/>
              </w:rPr>
              <w:t>（五</w:t>
            </w:r>
            <w:r>
              <w:rPr>
                <w:rFonts w:hint="eastAsia" w:ascii="宋体" w:hAnsi="宋体" w:eastAsia="宋体" w:cs="宋体"/>
                <w:b/>
                <w:bCs/>
                <w:color w:val="000000"/>
                <w:szCs w:val="21"/>
                <w:highlight w:val="none"/>
                <w:lang w:eastAsia="zh-CN"/>
              </w:rPr>
              <w:t>）</w:t>
            </w:r>
            <w:r>
              <w:rPr>
                <w:rFonts w:hint="eastAsia" w:ascii="宋体" w:hAnsi="宋体" w:eastAsia="宋体" w:cs="宋体"/>
                <w:b w:val="0"/>
                <w:bCs w:val="0"/>
                <w:color w:val="000000"/>
                <w:szCs w:val="21"/>
                <w:highlight w:val="none"/>
                <w:lang w:val="en-US" w:eastAsia="zh-CN"/>
              </w:rPr>
              <w:t>支持根据学校的送审要求，在线定制送审方案。支持按全局、按篇次、按学科、按学科篇次等维度灵活定制送审方案，支持行业专家送审，支持在线调整送审方案，支持动态设置学校类别优先级，支持一键导出送审方案，功能丰富满足送审方要求</w:t>
            </w:r>
            <w:r>
              <w:rPr>
                <w:rFonts w:hint="eastAsia" w:ascii="宋体" w:hAnsi="宋体" w:eastAsia="宋体" w:cs="宋体"/>
                <w:b/>
                <w:bCs/>
                <w:color w:val="000000"/>
                <w:szCs w:val="21"/>
                <w:highlight w:val="none"/>
                <w:lang w:val="en-US" w:eastAsia="zh-CN"/>
              </w:rPr>
              <w:t>。</w:t>
            </w:r>
          </w:p>
          <w:p w14:paraId="029F3685">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（六）支持生成评审结果分项评价明细表，列出所有论文的每位专家分项评价明细，可以下载导出；且支持批量下载评审结果，自定义命名格式，可在线批量打印等。</w:t>
            </w:r>
          </w:p>
          <w:p w14:paraId="0C3E4316">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（七）系统能自动检测出论文是否含有导师、学生姓名等敏感信息，并在论文材料上传后自动去除全文中的敏感信息。</w:t>
            </w:r>
            <w:r>
              <w:rPr>
                <w:rFonts w:hint="eastAsia" w:ascii="宋体" w:hAnsi="宋体" w:eastAsia="宋体" w:cs="宋体"/>
                <w:color w:val="000000"/>
                <w:szCs w:val="21"/>
                <w:highlight w:val="none"/>
                <w:lang w:eastAsia="zh-CN"/>
              </w:rPr>
              <w:br w:type="textWrapping"/>
            </w:r>
            <w:r>
              <w:rPr>
                <w:rFonts w:hint="eastAsia" w:ascii="宋体" w:hAnsi="宋体" w:eastAsia="宋体" w:cs="宋体"/>
                <w:color w:val="000000"/>
                <w:szCs w:val="21"/>
                <w:highlight w:val="none"/>
                <w:lang w:eastAsia="zh-CN"/>
              </w:rPr>
              <w:t>（八）支持论文格式检测，格式检测范围包括但不限于：页面设置、封面、目录、摘要、正文、引文标注与注释、参考文献、附录等。同时生成详细的检测结果报告。</w:t>
            </w:r>
          </w:p>
          <w:p w14:paraId="0ADB47AC">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（九）支持专家对评阅结果在线电子签名。</w:t>
            </w:r>
          </w:p>
          <w:p w14:paraId="146C3438">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（十）可以对评审结果进行多维度（分学科，分学院，分导师，分年度质量等）的统计分析，并可生成质量分析报告。</w:t>
            </w:r>
          </w:p>
          <w:p w14:paraId="3E501434">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（十一）</w:t>
            </w:r>
            <w:r>
              <w:rPr>
                <w:rFonts w:hint="eastAsia" w:ascii="宋体" w:hAnsi="宋体" w:eastAsia="宋体" w:cs="宋体"/>
                <w:b w:val="0"/>
                <w:bCs w:val="0"/>
                <w:i w:val="0"/>
                <w:iCs w:val="0"/>
                <w:caps w:val="0"/>
                <w:color w:val="000000"/>
                <w:spacing w:val="0"/>
                <w:sz w:val="21"/>
                <w:szCs w:val="21"/>
                <w:highlight w:val="none"/>
                <w:shd w:val="clear" w:color="auto" w:fill="auto"/>
              </w:rPr>
              <w:t>投标人须拥有稳定的全国性学位论文评审专家资源，可为本项目提供的在库专家总数不低于10万名。</w:t>
            </w:r>
          </w:p>
          <w:p w14:paraId="376D0D95">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（十二）系统支持手机端操作，用户不需要下载安装APP，可通过微信小程序，实现专家在线移动评阅论文，管理员移动接审论文、跟踪送审进度等，提高论文评审的便利性和时效性。</w:t>
            </w:r>
          </w:p>
          <w:p w14:paraId="1E90C437">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（十三）</w:t>
            </w:r>
            <w:r>
              <w:rPr>
                <w:rFonts w:hint="eastAsia" w:ascii="宋体" w:hAnsi="宋体" w:eastAsia="宋体" w:cs="宋体"/>
                <w:color w:val="000000"/>
                <w:szCs w:val="21"/>
                <w:highlight w:val="none"/>
                <w:lang w:val="en-US" w:eastAsia="zh-CN"/>
              </w:rPr>
              <w:t>支持在线筛查专家评阅结果，自动进行预警，预警异常种类丰富，确保专家评审质量。</w:t>
            </w:r>
          </w:p>
          <w:p w14:paraId="3B619C2F">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（十四）系统支持填报学位与研究生教育质量报告并导出填报的内容（含20种统计表格）。</w:t>
            </w:r>
          </w:p>
          <w:p w14:paraId="55FB28A4">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(十五）系统可以对评审专家的学科、研究方向、历次评审状况生成画像，优先选择高质量专家评审。</w:t>
            </w:r>
          </w:p>
          <w:p w14:paraId="3A9C98B4">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（十六）利用AI鉴识技术对论文进行分析，判断是否由AI生成，提供详细的逐句鉴伪报告，提高论文质量控制及创新能力。</w:t>
            </w:r>
          </w:p>
          <w:p w14:paraId="7F4B0B67">
            <w:pPr>
              <w:numPr>
                <w:ilvl w:val="0"/>
                <w:numId w:val="0"/>
              </w:numPr>
              <w:adjustRightInd w:val="0"/>
              <w:snapToGrid w:val="0"/>
              <w:spacing w:line="440" w:lineRule="exact"/>
              <w:jc w:val="left"/>
              <w:rPr>
                <w:rFonts w:hint="eastAsia" w:ascii="宋体" w:hAnsi="宋体" w:eastAsia="宋体" w:cs="宋体"/>
                <w:b/>
                <w:bCs/>
                <w:color w:val="000000"/>
                <w:szCs w:val="21"/>
                <w:highlight w:val="none"/>
                <w:lang w:eastAsia="zh-CN"/>
              </w:rPr>
            </w:pPr>
            <w:r>
              <w:rPr>
                <w:rFonts w:hint="eastAsia" w:ascii="宋体" w:hAnsi="宋体" w:eastAsia="宋体" w:cs="宋体"/>
                <w:b/>
                <w:bCs/>
                <w:color w:val="000000"/>
                <w:szCs w:val="21"/>
                <w:highlight w:val="none"/>
                <w:lang w:eastAsia="zh-CN"/>
              </w:rPr>
              <w:t>二、服务要求</w:t>
            </w:r>
          </w:p>
          <w:p w14:paraId="186DC35A">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（一）</w:t>
            </w:r>
            <w:r>
              <w:rPr>
                <w:rFonts w:hint="eastAsia"/>
                <w:lang w:val="en-US" w:eastAsia="zh-CN"/>
              </w:rPr>
              <w:t>成交供应商须投入有</w:t>
            </w:r>
            <w:r>
              <w:rPr>
                <w:rFonts w:hint="eastAsia" w:ascii="宋体" w:hAnsi="宋体" w:eastAsia="宋体" w:cs="宋体"/>
                <w:color w:val="000000"/>
                <w:szCs w:val="21"/>
                <w:highlight w:val="none"/>
                <w:lang w:eastAsia="zh-CN"/>
              </w:rPr>
              <w:t>稳定运行的网络评审平台，具有承担学校论文评审工作的能力。</w:t>
            </w:r>
          </w:p>
          <w:p w14:paraId="7FC69BEE">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二）按学校要求委托第三方高校研究生管理部门聘请专家进行论文评审，评审过程通过“学位论文评审平台”进行，并按时返回评阅结果。学校可在平台中查看论文评审的进展状态，并可查看和下载论文评审结果。</w:t>
            </w:r>
          </w:p>
          <w:p w14:paraId="08C2D14F">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（三)每篇论文的送审周期不超过15个自然日，复审论文不超过7个自然日。</w:t>
            </w:r>
          </w:p>
          <w:p w14:paraId="77709F31">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四）保证评审专家资质的真实性。评审专家的学科专业须与论文作者的二级学科专业一致，且研究方向相关。硕士论文评审专家必须具有副高级及以上职称的硕士研究生导师，博士论文评审专家必须具有正高级及以上职称的博士研究生导师。</w:t>
            </w:r>
          </w:p>
          <w:p w14:paraId="6BCA37AA">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（五）同一篇论文的多名评审专家必须为不同学校的专家，每位专家同批次评审的论文上限为4篇。</w:t>
            </w:r>
          </w:p>
          <w:p w14:paraId="6B39B2BA">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六）研究生学位论文送审学校层次和广西师范大学相当或高于广西师范大学；行业专家应来自企事业单位或重要行业机构，且其从事的专业领域应与学位论文研究方向紧密相关。其职称与资质要求如下：评审专业硕士学位论文的专家应具有副高级及以上专业技术职称（或相当执业资格）；评审专业博士学位论文的专家须具有副高级职称并同时拥有博士学位，或具有正高级职称（或相当执业资格）。学术型博士研究生、专业型博士研究生、学术型硕士研究生、专业学位研究生学位论文评审要求按照《广西师范大学学术型博士研究生学位论文评阅书》《广西师范大学专业型博士研究生学位论文评阅书》《广西师范大学学术型硕士研究生学位论文评阅书》《广西师范大学专业型硕士研究生学位论文评阅书》的要求执行。</w:t>
            </w:r>
          </w:p>
          <w:p w14:paraId="02C89333">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（七）须对</w:t>
            </w:r>
            <w:r>
              <w:rPr>
                <w:rFonts w:hint="eastAsia"/>
                <w:lang w:val="en-US" w:eastAsia="zh-CN"/>
              </w:rPr>
              <w:t>采购人</w:t>
            </w:r>
            <w:r>
              <w:rPr>
                <w:rFonts w:hint="eastAsia" w:ascii="宋体" w:hAnsi="宋体" w:eastAsia="宋体" w:cs="宋体"/>
                <w:color w:val="000000"/>
                <w:szCs w:val="21"/>
                <w:highlight w:val="none"/>
                <w:lang w:eastAsia="zh-CN"/>
              </w:rPr>
              <w:t>在平台上的学生及论文信息、评阅结果进行保密和负责。</w:t>
            </w:r>
          </w:p>
          <w:p w14:paraId="1BC9FCE4">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（八）平台提供7x24小时在线技术支持与服务，如在使用过程中因软件自身问题导致无法正常使用，</w:t>
            </w:r>
            <w:r>
              <w:rPr>
                <w:rFonts w:hint="eastAsia"/>
                <w:lang w:val="en-US" w:eastAsia="zh-CN"/>
              </w:rPr>
              <w:t>成交供应商</w:t>
            </w:r>
            <w:r>
              <w:rPr>
                <w:rFonts w:hint="eastAsia" w:ascii="宋体" w:hAnsi="宋体" w:eastAsia="宋体" w:cs="宋体"/>
                <w:color w:val="000000"/>
                <w:szCs w:val="21"/>
                <w:highlight w:val="none"/>
                <w:lang w:eastAsia="zh-CN"/>
              </w:rPr>
              <w:t>应在120分钟之内给予响应，12小时之内解决问题。</w:t>
            </w:r>
          </w:p>
        </w:tc>
        <w:tc>
          <w:tcPr>
            <w:tcW w:w="1000" w:type="dxa"/>
            <w:noWrap w:val="0"/>
            <w:vAlign w:val="center"/>
          </w:tcPr>
          <w:p w14:paraId="275E3446">
            <w:pPr>
              <w:spacing w:line="320" w:lineRule="exact"/>
              <w:jc w:val="left"/>
              <w:rPr>
                <w:rFonts w:hint="default" w:ascii="宋体" w:hAnsi="宋体" w:eastAsia="仿宋" w:cs="宋体"/>
                <w:color w:val="auto"/>
                <w:szCs w:val="21"/>
                <w:highlight w:val="none"/>
                <w:lang w:val="en-US" w:eastAsia="zh-CN"/>
              </w:rPr>
            </w:pPr>
            <w:r>
              <w:rPr>
                <w:rFonts w:hint="eastAsia" w:ascii="宋体" w:hAnsi="宋体" w:eastAsia="宋体" w:cs="宋体"/>
                <w:color w:val="auto"/>
                <w:szCs w:val="21"/>
                <w:highlight w:val="none"/>
              </w:rPr>
              <w:t>320</w:t>
            </w:r>
            <w:r>
              <w:rPr>
                <w:rFonts w:hint="eastAsia" w:ascii="宋体" w:hAnsi="宋体" w:eastAsia="宋体" w:cs="宋体"/>
                <w:color w:val="auto"/>
                <w:szCs w:val="21"/>
                <w:highlight w:val="none"/>
                <w:lang w:val="en-US" w:eastAsia="zh-CN"/>
              </w:rPr>
              <w:t>.00</w:t>
            </w:r>
          </w:p>
        </w:tc>
      </w:tr>
      <w:tr w14:paraId="55F0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23" w:type="dxa"/>
            <w:vMerge w:val="continue"/>
            <w:noWrap w:val="0"/>
            <w:vAlign w:val="center"/>
          </w:tcPr>
          <w:p w14:paraId="4F21BD92">
            <w:pPr>
              <w:spacing w:line="320" w:lineRule="exact"/>
              <w:jc w:val="center"/>
              <w:rPr>
                <w:rFonts w:hint="eastAsia" w:ascii="宋体" w:hAnsi="宋体" w:eastAsia="宋体" w:cs="宋体"/>
                <w:color w:val="000000"/>
                <w:szCs w:val="21"/>
                <w:highlight w:val="none"/>
              </w:rPr>
            </w:pPr>
          </w:p>
        </w:tc>
        <w:tc>
          <w:tcPr>
            <w:tcW w:w="479" w:type="dxa"/>
            <w:noWrap w:val="0"/>
            <w:vAlign w:val="center"/>
          </w:tcPr>
          <w:p w14:paraId="2F9D0AEA">
            <w:pPr>
              <w:spacing w:line="24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1119" w:type="dxa"/>
            <w:noWrap w:val="0"/>
            <w:vAlign w:val="center"/>
          </w:tcPr>
          <w:p w14:paraId="270787FB">
            <w:pPr>
              <w:spacing w:line="320" w:lineRule="exact"/>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博士学位论文评阅</w:t>
            </w:r>
          </w:p>
        </w:tc>
        <w:tc>
          <w:tcPr>
            <w:tcW w:w="799" w:type="dxa"/>
            <w:noWrap w:val="0"/>
            <w:vAlign w:val="center"/>
          </w:tcPr>
          <w:p w14:paraId="541ECE77">
            <w:pPr>
              <w:spacing w:line="32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870篇次</w:t>
            </w:r>
          </w:p>
        </w:tc>
        <w:tc>
          <w:tcPr>
            <w:tcW w:w="6285" w:type="dxa"/>
            <w:vMerge w:val="continue"/>
            <w:noWrap w:val="0"/>
            <w:vAlign w:val="center"/>
          </w:tcPr>
          <w:p w14:paraId="444E67CE">
            <w:pPr>
              <w:numPr>
                <w:ilvl w:val="0"/>
                <w:numId w:val="0"/>
              </w:numPr>
              <w:adjustRightInd w:val="0"/>
              <w:snapToGrid w:val="0"/>
              <w:spacing w:line="440" w:lineRule="exact"/>
              <w:jc w:val="left"/>
              <w:rPr>
                <w:rFonts w:hint="eastAsia" w:ascii="宋体" w:hAnsi="宋体" w:eastAsia="宋体" w:cs="宋体"/>
                <w:color w:val="000000"/>
                <w:szCs w:val="21"/>
                <w:highlight w:val="none"/>
                <w:lang w:eastAsia="zh-CN"/>
              </w:rPr>
            </w:pPr>
          </w:p>
        </w:tc>
        <w:tc>
          <w:tcPr>
            <w:tcW w:w="1000" w:type="dxa"/>
            <w:noWrap w:val="0"/>
            <w:vAlign w:val="center"/>
          </w:tcPr>
          <w:p w14:paraId="34819631">
            <w:pPr>
              <w:spacing w:line="32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520</w:t>
            </w:r>
            <w:r>
              <w:rPr>
                <w:rFonts w:hint="eastAsia" w:ascii="宋体" w:hAnsi="宋体" w:cs="宋体"/>
                <w:color w:val="auto"/>
                <w:szCs w:val="21"/>
                <w:highlight w:val="none"/>
                <w:lang w:val="en-US" w:eastAsia="zh-CN"/>
              </w:rPr>
              <w:t>.00</w:t>
            </w:r>
          </w:p>
        </w:tc>
      </w:tr>
      <w:tr w14:paraId="666D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noWrap w:val="0"/>
            <w:vAlign w:val="center"/>
          </w:tcPr>
          <w:p w14:paraId="09AE4770">
            <w:pPr>
              <w:spacing w:line="400" w:lineRule="exact"/>
              <w:rPr>
                <w:rFonts w:hint="eastAsia" w:ascii="宋体" w:hAnsi="宋体" w:eastAsia="宋体" w:cs="宋体"/>
                <w:color w:val="000000"/>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highlight w:val="none"/>
              </w:rPr>
              <w:t>商务条款</w:t>
            </w:r>
          </w:p>
        </w:tc>
        <w:tc>
          <w:tcPr>
            <w:tcW w:w="9682" w:type="dxa"/>
            <w:gridSpan w:val="5"/>
            <w:noWrap w:val="0"/>
            <w:vAlign w:val="top"/>
          </w:tcPr>
          <w:p w14:paraId="2F7D8118">
            <w:pPr>
              <w:spacing w:line="400" w:lineRule="exact"/>
              <w:rPr>
                <w:color w:val="auto"/>
              </w:rPr>
            </w:pPr>
            <w:r>
              <w:rPr>
                <w:rFonts w:hint="eastAsia" w:ascii="宋体" w:hAnsi="宋体" w:cs="宋体"/>
                <w:color w:val="auto"/>
                <w:highlight w:val="none"/>
              </w:rPr>
              <w:t>一、合同签订期：</w:t>
            </w:r>
            <w:r>
              <w:rPr>
                <w:rFonts w:hint="eastAsia" w:ascii="宋体" w:hAnsi="宋体" w:cs="宋体"/>
                <w:color w:val="auto"/>
                <w:szCs w:val="21"/>
              </w:rPr>
              <w:t>自</w:t>
            </w:r>
            <w:r>
              <w:rPr>
                <w:rFonts w:hint="eastAsia" w:ascii="宋体" w:hAnsi="宋体" w:cs="宋体"/>
                <w:color w:val="auto"/>
                <w:szCs w:val="21"/>
                <w:lang w:eastAsia="zh-CN"/>
              </w:rPr>
              <w:t>成交</w:t>
            </w:r>
            <w:r>
              <w:rPr>
                <w:rFonts w:hint="eastAsia" w:ascii="宋体" w:hAnsi="宋体" w:cs="宋体"/>
                <w:color w:val="auto"/>
                <w:szCs w:val="21"/>
              </w:rPr>
              <w:t>通知书发出之日起</w:t>
            </w:r>
            <w:r>
              <w:rPr>
                <w:rFonts w:hint="eastAsia" w:ascii="宋体" w:hAnsi="宋体" w:cs="宋体"/>
                <w:color w:val="auto"/>
                <w:szCs w:val="21"/>
                <w:u w:val="single"/>
                <w:lang w:val="en-US" w:eastAsia="zh-CN"/>
              </w:rPr>
              <w:t>25日</w:t>
            </w:r>
            <w:r>
              <w:rPr>
                <w:rFonts w:hint="eastAsia" w:ascii="宋体" w:hAnsi="宋体" w:cs="宋体"/>
                <w:color w:val="auto"/>
                <w:szCs w:val="21"/>
              </w:rPr>
              <w:t>内</w:t>
            </w:r>
            <w:r>
              <w:rPr>
                <w:rFonts w:hint="eastAsia" w:ascii="宋体" w:hAnsi="宋体" w:cs="宋体"/>
                <w:color w:val="auto"/>
                <w:highlight w:val="none"/>
                <w:lang w:eastAsia="zh-CN"/>
              </w:rPr>
              <w:t>。</w:t>
            </w:r>
          </w:p>
          <w:p w14:paraId="24FB6066">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宋体" w:hAnsi="宋体" w:cs="Times New Roman"/>
                <w:color w:val="auto"/>
                <w:szCs w:val="21"/>
                <w:highlight w:val="none"/>
                <w:lang w:val="en-US" w:eastAsia="zh-CN"/>
              </w:rPr>
            </w:pPr>
            <w:r>
              <w:rPr>
                <w:rFonts w:hint="eastAsia" w:ascii="宋体" w:hAnsi="宋体" w:cs="宋体"/>
                <w:color w:val="auto"/>
                <w:highlight w:val="none"/>
                <w:lang w:eastAsia="zh-CN"/>
              </w:rPr>
              <w:t>二、服务</w:t>
            </w:r>
            <w:r>
              <w:rPr>
                <w:rFonts w:hint="eastAsia" w:ascii="宋体" w:hAnsi="宋体" w:cs="宋体"/>
                <w:color w:val="auto"/>
                <w:highlight w:val="none"/>
                <w:lang w:val="en-US" w:eastAsia="zh-CN"/>
              </w:rPr>
              <w:t>期</w:t>
            </w:r>
            <w:r>
              <w:rPr>
                <w:rFonts w:hint="eastAsia" w:ascii="宋体" w:hAnsi="宋体" w:cs="宋体"/>
                <w:color w:val="auto"/>
                <w:highlight w:val="none"/>
                <w:lang w:eastAsia="zh-CN"/>
              </w:rPr>
              <w:t>：</w:t>
            </w:r>
            <w:r>
              <w:rPr>
                <w:rFonts w:hint="default" w:ascii="Times New Roman" w:hAnsi="Times New Roman" w:eastAsia="宋体" w:cs="Times New Roman"/>
                <w:color w:val="auto"/>
                <w:szCs w:val="24"/>
              </w:rPr>
              <w:t>自合同签订之日起至</w:t>
            </w:r>
            <w:r>
              <w:rPr>
                <w:rFonts w:hint="default" w:ascii="Times New Roman" w:hAnsi="Times New Roman" w:eastAsia="宋体" w:cs="Times New Roman"/>
                <w:color w:val="auto"/>
                <w:lang w:val="en-US" w:eastAsia="zh-CN"/>
              </w:rPr>
              <w:t>2026年12月31日止</w:t>
            </w:r>
          </w:p>
          <w:p w14:paraId="2BF05A4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三</w:t>
            </w:r>
            <w:r>
              <w:rPr>
                <w:rFonts w:hint="eastAsia" w:ascii="宋体" w:hAnsi="宋体" w:cs="宋体"/>
                <w:color w:val="auto"/>
                <w:highlight w:val="none"/>
              </w:rPr>
              <w:t>、</w:t>
            </w:r>
            <w:r>
              <w:rPr>
                <w:rFonts w:hint="eastAsia" w:ascii="宋体" w:hAnsi="宋体" w:eastAsia="宋体" w:cs="宋体"/>
                <w:color w:val="auto"/>
                <w:highlight w:val="none"/>
              </w:rPr>
              <w:t>售后服务：(1)供应商务必确保数据安全，遵守保密原则，不得向第三方提供有关的任何材料和信息；</w:t>
            </w:r>
          </w:p>
          <w:p w14:paraId="35909EF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(2)对平台发生的故障，供应商提供7X24小时内服务运营响应；</w:t>
            </w:r>
          </w:p>
          <w:p w14:paraId="519990C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(3)需在约定时间内将评审结果返回；</w:t>
            </w:r>
          </w:p>
          <w:p w14:paraId="5268901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(4)按要求将论文送到其他培养单位或专家，并持续进行催审工作；</w:t>
            </w:r>
          </w:p>
          <w:p w14:paraId="10B1516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color w:val="auto"/>
              </w:rPr>
            </w:pPr>
            <w:r>
              <w:rPr>
                <w:rFonts w:hint="eastAsia" w:ascii="宋体" w:hAnsi="宋体" w:eastAsia="宋体" w:cs="宋体"/>
                <w:color w:val="auto"/>
                <w:highlight w:val="none"/>
              </w:rPr>
              <w:t>(5)提供免费的操作及维护培训，日常随时响应需求</w:t>
            </w:r>
            <w:r>
              <w:rPr>
                <w:rFonts w:hint="eastAsia"/>
                <w:color w:val="auto"/>
              </w:rPr>
              <w:t>。</w:t>
            </w:r>
          </w:p>
          <w:p w14:paraId="79022B0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highlight w:val="none"/>
              </w:rPr>
            </w:pPr>
            <w:r>
              <w:rPr>
                <w:rFonts w:hint="eastAsia" w:ascii="宋体" w:hAnsi="宋体" w:cs="宋体"/>
                <w:color w:val="auto"/>
                <w:highlight w:val="none"/>
                <w:lang w:val="en-US" w:eastAsia="zh-CN"/>
              </w:rPr>
              <w:t>四</w:t>
            </w:r>
            <w:r>
              <w:rPr>
                <w:rFonts w:hint="eastAsia" w:ascii="宋体" w:hAnsi="宋体" w:cs="宋体"/>
                <w:color w:val="auto"/>
                <w:highlight w:val="none"/>
              </w:rPr>
              <w:t>、验收要求</w:t>
            </w:r>
          </w:p>
          <w:p w14:paraId="44975DF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highlight w:val="none"/>
                <w:lang w:eastAsia="zh-CN"/>
              </w:rPr>
            </w:pPr>
            <w:r>
              <w:rPr>
                <w:rFonts w:hint="eastAsia" w:ascii="宋体" w:hAnsi="宋体" w:eastAsia="宋体" w:cs="宋体"/>
                <w:color w:val="auto"/>
                <w:highlight w:val="none"/>
              </w:rPr>
              <w:t>符合现行国家相关标准、行业标准、地方标准或者其他标准、规范。</w:t>
            </w:r>
          </w:p>
          <w:p w14:paraId="6778868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highlight w:val="none"/>
              </w:rPr>
            </w:pPr>
            <w:r>
              <w:rPr>
                <w:rFonts w:hint="eastAsia" w:ascii="宋体" w:hAnsi="宋体" w:cs="宋体"/>
                <w:color w:val="auto"/>
                <w:highlight w:val="none"/>
                <w:lang w:val="en-US" w:eastAsia="zh-CN"/>
              </w:rPr>
              <w:t>五</w:t>
            </w:r>
            <w:r>
              <w:rPr>
                <w:rFonts w:hint="eastAsia" w:ascii="宋体" w:hAnsi="宋体" w:cs="宋体"/>
                <w:color w:val="auto"/>
                <w:highlight w:val="none"/>
              </w:rPr>
              <w:t>、其他要求</w:t>
            </w:r>
          </w:p>
          <w:p w14:paraId="673D9EF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eastAsia="宋体" w:cs="宋体"/>
                <w:color w:val="auto"/>
                <w:kern w:val="0"/>
                <w:szCs w:val="21"/>
                <w:highlight w:val="none"/>
              </w:rPr>
              <w:t>.</w:t>
            </w:r>
            <w:r>
              <w:rPr>
                <w:rFonts w:hint="eastAsia" w:ascii="宋体" w:hAnsi="宋体" w:cs="宋体"/>
                <w:color w:val="auto"/>
                <w:highlight w:val="none"/>
              </w:rPr>
              <w:t>报价必须含以下部分</w:t>
            </w:r>
            <w:r>
              <w:rPr>
                <w:rFonts w:hint="eastAsia" w:ascii="宋体" w:hAnsi="宋体" w:cs="宋体"/>
                <w:color w:val="auto"/>
                <w:highlight w:val="none"/>
                <w:lang w:eastAsia="zh-CN"/>
              </w:rPr>
              <w:t>，</w:t>
            </w:r>
            <w:r>
              <w:rPr>
                <w:rFonts w:hint="eastAsia" w:ascii="宋体" w:hAnsi="宋体" w:cs="宋体"/>
                <w:color w:val="auto"/>
                <w:highlight w:val="none"/>
              </w:rPr>
              <w:t>包括：</w:t>
            </w:r>
          </w:p>
          <w:p w14:paraId="6BED6F9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highlight w:val="none"/>
              </w:rPr>
            </w:pPr>
            <w:r>
              <w:rPr>
                <w:rFonts w:hint="eastAsia" w:ascii="宋体" w:hAnsi="宋体" w:cs="宋体"/>
                <w:color w:val="auto"/>
                <w:highlight w:val="none"/>
              </w:rPr>
              <w:t>（1）服务的价格；</w:t>
            </w:r>
          </w:p>
          <w:p w14:paraId="2F04613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highlight w:val="none"/>
              </w:rPr>
            </w:pPr>
            <w:r>
              <w:rPr>
                <w:rFonts w:hint="eastAsia" w:ascii="宋体" w:hAnsi="宋体" w:cs="宋体"/>
                <w:color w:val="auto"/>
                <w:highlight w:val="none"/>
              </w:rPr>
              <w:t>（2）完成服务内容所需的标准附件、备品备件、专用工具的价格；</w:t>
            </w:r>
          </w:p>
          <w:p w14:paraId="0DE8746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highlight w:val="none"/>
              </w:rPr>
            </w:pPr>
            <w:r>
              <w:rPr>
                <w:rFonts w:hint="eastAsia" w:ascii="宋体" w:hAnsi="宋体" w:cs="宋体"/>
                <w:color w:val="auto"/>
                <w:highlight w:val="none"/>
              </w:rPr>
              <w:t>（3）必要的保险费用和各项税金；</w:t>
            </w:r>
          </w:p>
          <w:p w14:paraId="555CEE4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highlight w:val="none"/>
              </w:rPr>
            </w:pPr>
            <w:r>
              <w:rPr>
                <w:rFonts w:hint="eastAsia" w:ascii="宋体" w:hAnsi="宋体" w:cs="宋体"/>
                <w:color w:val="auto"/>
                <w:highlight w:val="none"/>
              </w:rPr>
              <w:t>（4）运输、安装、调试、培训、技术支持、更新升级等费用；</w:t>
            </w:r>
          </w:p>
          <w:p w14:paraId="1EB612D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rPr>
              <w:t>（5）</w:t>
            </w:r>
            <w:r>
              <w:rPr>
                <w:rFonts w:hint="eastAsia"/>
                <w:color w:val="auto"/>
                <w:lang w:val="en-US" w:eastAsia="zh-CN"/>
              </w:rPr>
              <w:t>本项目</w:t>
            </w:r>
            <w:r>
              <w:rPr>
                <w:rFonts w:hint="eastAsia" w:ascii="宋体" w:hAnsi="宋体" w:cs="宋体"/>
                <w:color w:val="auto"/>
                <w:highlight w:val="none"/>
              </w:rPr>
              <w:t>验收的费用</w:t>
            </w:r>
            <w:r>
              <w:rPr>
                <w:rFonts w:hint="eastAsia" w:ascii="宋体" w:hAnsi="宋体" w:cs="宋体"/>
                <w:color w:val="auto"/>
                <w:highlight w:val="none"/>
                <w:lang w:eastAsia="zh-CN"/>
              </w:rPr>
              <w:t>。</w:t>
            </w:r>
          </w:p>
          <w:p w14:paraId="379011D2">
            <w:pPr>
              <w:spacing w:line="400" w:lineRule="exac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2"/>
                <w:sz w:val="21"/>
                <w:szCs w:val="24"/>
                <w:highlight w:val="none"/>
                <w:lang w:val="en-US" w:eastAsia="zh-CN" w:bidi="ar-SA"/>
              </w:rPr>
              <w:t>2</w:t>
            </w:r>
            <w:r>
              <w:rPr>
                <w:rFonts w:hint="eastAsia" w:ascii="宋体" w:hAnsi="宋体" w:eastAsia="宋体" w:cs="宋体"/>
                <w:color w:val="auto"/>
                <w:kern w:val="0"/>
                <w:szCs w:val="21"/>
                <w:highlight w:val="none"/>
              </w:rPr>
              <w:t>.</w:t>
            </w:r>
            <w:r>
              <w:rPr>
                <w:rFonts w:hint="eastAsia" w:ascii="宋体" w:hAnsi="宋体" w:eastAsia="宋体" w:cs="宋体"/>
                <w:color w:val="auto"/>
                <w:kern w:val="2"/>
                <w:sz w:val="21"/>
                <w:szCs w:val="24"/>
                <w:highlight w:val="none"/>
                <w:lang w:val="en-US" w:eastAsia="zh-CN" w:bidi="ar-SA"/>
              </w:rPr>
              <w:t>付款方式：完成2026年度（含春季学期和秋季学期）研究生学位论文评阅工作，经验收后，</w:t>
            </w:r>
            <w:r>
              <w:rPr>
                <w:rFonts w:hint="eastAsia" w:ascii="宋体" w:hAnsi="宋体" w:cs="宋体"/>
                <w:color w:val="auto"/>
                <w:highlight w:val="none"/>
              </w:rPr>
              <w:t>按实际发生的数量×成交单价进行结算</w:t>
            </w:r>
            <w:r>
              <w:rPr>
                <w:rFonts w:hint="eastAsia" w:ascii="宋体" w:hAnsi="宋体" w:eastAsia="宋体" w:cs="宋体"/>
                <w:color w:val="auto"/>
                <w:kern w:val="2"/>
                <w:sz w:val="21"/>
                <w:szCs w:val="24"/>
                <w:highlight w:val="none"/>
                <w:lang w:val="en-US" w:eastAsia="zh-CN" w:bidi="ar-SA"/>
              </w:rPr>
              <w:t>，15个工作日内，由采购方向</w:t>
            </w:r>
            <w:r>
              <w:rPr>
                <w:rFonts w:hint="eastAsia" w:ascii="宋体" w:hAnsi="宋体" w:cs="宋体"/>
                <w:color w:val="auto"/>
                <w:kern w:val="2"/>
                <w:sz w:val="21"/>
                <w:szCs w:val="24"/>
                <w:highlight w:val="none"/>
                <w:lang w:val="en-US" w:eastAsia="zh-CN" w:bidi="ar-SA"/>
              </w:rPr>
              <w:t>成交</w:t>
            </w:r>
            <w:r>
              <w:rPr>
                <w:rFonts w:hint="eastAsia" w:ascii="宋体" w:hAnsi="宋体" w:eastAsia="宋体" w:cs="宋体"/>
                <w:color w:val="auto"/>
                <w:kern w:val="2"/>
                <w:sz w:val="21"/>
                <w:szCs w:val="24"/>
                <w:highlight w:val="none"/>
                <w:lang w:val="en-US" w:eastAsia="zh-CN" w:bidi="ar-SA"/>
              </w:rPr>
              <w:t>供应商支付100%的项目款。在付款前，</w:t>
            </w:r>
            <w:r>
              <w:rPr>
                <w:rFonts w:hint="eastAsia" w:ascii="宋体" w:hAnsi="宋体" w:cs="宋体"/>
                <w:color w:val="auto"/>
                <w:kern w:val="2"/>
                <w:sz w:val="21"/>
                <w:szCs w:val="24"/>
                <w:highlight w:val="none"/>
                <w:lang w:val="en-US" w:eastAsia="zh-CN" w:bidi="ar-SA"/>
              </w:rPr>
              <w:t>成交</w:t>
            </w:r>
            <w:r>
              <w:rPr>
                <w:rFonts w:hint="eastAsia" w:ascii="宋体" w:hAnsi="宋体" w:eastAsia="宋体" w:cs="宋体"/>
                <w:color w:val="auto"/>
                <w:kern w:val="2"/>
                <w:sz w:val="21"/>
                <w:szCs w:val="24"/>
                <w:highlight w:val="none"/>
                <w:lang w:val="en-US" w:eastAsia="zh-CN" w:bidi="ar-SA"/>
              </w:rPr>
              <w:t>供应商应开具相应金额正式发票给采购方</w:t>
            </w:r>
            <w:r>
              <w:rPr>
                <w:rFonts w:hint="eastAsia" w:ascii="宋体" w:hAnsi="宋体" w:eastAsia="宋体" w:cs="宋体"/>
                <w:color w:val="auto"/>
                <w:kern w:val="0"/>
                <w:sz w:val="21"/>
                <w:szCs w:val="21"/>
                <w:highlight w:val="none"/>
              </w:rPr>
              <w:t>。</w:t>
            </w:r>
          </w:p>
        </w:tc>
      </w:tr>
      <w:tr w14:paraId="0034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noWrap w:val="0"/>
            <w:vAlign w:val="center"/>
          </w:tcPr>
          <w:p w14:paraId="3EF675FC">
            <w:pPr>
              <w:spacing w:line="40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b/>
                <w:bCs/>
                <w:color w:val="000000"/>
                <w:sz w:val="21"/>
                <w:szCs w:val="21"/>
              </w:rPr>
              <w:t>系统演示</w:t>
            </w:r>
            <w:r>
              <w:rPr>
                <w:rFonts w:hint="eastAsia" w:ascii="宋体" w:hAnsi="宋体" w:eastAsia="宋体" w:cs="宋体"/>
                <w:b/>
                <w:bCs/>
                <w:color w:val="000000"/>
                <w:sz w:val="21"/>
                <w:szCs w:val="21"/>
                <w:lang w:val="en-US" w:eastAsia="zh-CN"/>
              </w:rPr>
              <w:t>要求</w:t>
            </w:r>
          </w:p>
        </w:tc>
        <w:tc>
          <w:tcPr>
            <w:tcW w:w="9682" w:type="dxa"/>
            <w:gridSpan w:val="5"/>
            <w:noWrap w:val="0"/>
            <w:vAlign w:val="center"/>
          </w:tcPr>
          <w:p w14:paraId="4F094E1D">
            <w:pPr>
              <w:widowControl/>
              <w:autoSpaceDE/>
              <w:autoSpaceDN/>
              <w:spacing w:line="340" w:lineRule="exact"/>
              <w:ind w:firstLine="422" w:firstLineChars="200"/>
              <w:jc w:val="left"/>
              <w:rPr>
                <w:rFonts w:hint="eastAsia" w:ascii="宋体" w:hAnsi="宋体" w:eastAsia="宋体" w:cs="宋体"/>
                <w:b/>
                <w:bCs/>
                <w:color w:val="auto"/>
                <w:szCs w:val="24"/>
                <w:lang w:val="zh-CN"/>
              </w:rPr>
            </w:pPr>
            <w:r>
              <w:rPr>
                <w:rFonts w:hint="eastAsia" w:ascii="宋体" w:hAnsi="宋体" w:eastAsia="宋体" w:cs="宋体"/>
                <w:b/>
                <w:bCs/>
                <w:color w:val="auto"/>
                <w:szCs w:val="24"/>
                <w:lang w:val="en-US" w:eastAsia="zh-CN"/>
              </w:rPr>
              <w:t>该演示作为评审内容</w:t>
            </w:r>
            <w:r>
              <w:rPr>
                <w:rFonts w:hint="eastAsia" w:ascii="宋体" w:hAnsi="宋体" w:eastAsia="宋体" w:cs="宋体"/>
                <w:b/>
                <w:bCs/>
                <w:color w:val="auto"/>
                <w:szCs w:val="24"/>
                <w:lang w:val="zh-CN"/>
              </w:rPr>
              <w:t>，</w:t>
            </w:r>
            <w:r>
              <w:rPr>
                <w:rFonts w:hint="eastAsia" w:ascii="宋体" w:hAnsi="宋体" w:eastAsia="宋体" w:cs="宋体"/>
                <w:b/>
                <w:bCs/>
                <w:color w:val="auto"/>
                <w:szCs w:val="24"/>
              </w:rPr>
              <w:t>演示设备由供应商自行提前准备。</w:t>
            </w:r>
          </w:p>
          <w:p w14:paraId="08ED9641">
            <w:pPr>
              <w:widowControl/>
              <w:spacing w:line="340" w:lineRule="exact"/>
              <w:ind w:firstLine="422" w:firstLineChars="200"/>
              <w:jc w:val="left"/>
              <w:rPr>
                <w:rFonts w:hint="eastAsia" w:ascii="宋体" w:hAnsi="宋体" w:cs="宋体"/>
                <w:color w:val="auto"/>
                <w:kern w:val="2"/>
                <w:sz w:val="21"/>
                <w:szCs w:val="24"/>
                <w:highlight w:val="none"/>
                <w:lang w:val="en-US" w:eastAsia="zh-CN" w:bidi="ar-SA"/>
              </w:rPr>
            </w:pPr>
            <w:r>
              <w:rPr>
                <w:rFonts w:hint="eastAsia" w:ascii="宋体" w:hAnsi="宋体" w:cs="宋体"/>
                <w:b/>
                <w:bCs/>
                <w:color w:val="auto"/>
                <w:lang w:val="en-US" w:eastAsia="zh-CN"/>
              </w:rPr>
              <w:t>演示时间为开标时间之后，具体时间按磋商小组要求，</w:t>
            </w:r>
            <w:r>
              <w:rPr>
                <w:rFonts w:hint="eastAsia" w:ascii="宋体" w:hAnsi="宋体" w:cs="宋体"/>
                <w:b/>
                <w:bCs/>
                <w:color w:val="auto"/>
              </w:rPr>
              <w:t>演示视频总时间不超过15分钟。所摄视频格式应采取通用可播放的视频格式。因</w:t>
            </w:r>
            <w:r>
              <w:rPr>
                <w:rFonts w:hint="eastAsia" w:ascii="宋体" w:hAnsi="宋体" w:cs="宋体"/>
                <w:b/>
                <w:bCs/>
                <w:color w:val="auto"/>
                <w:lang w:val="en-US" w:eastAsia="zh-CN"/>
              </w:rPr>
              <w:t>供应商</w:t>
            </w:r>
            <w:r>
              <w:rPr>
                <w:rFonts w:hint="eastAsia" w:ascii="宋体" w:hAnsi="宋体" w:cs="宋体"/>
                <w:b/>
                <w:bCs/>
                <w:color w:val="auto"/>
              </w:rPr>
              <w:t>演示资料或视频格式等问题导致无法播放的，由</w:t>
            </w:r>
            <w:r>
              <w:rPr>
                <w:rFonts w:hint="eastAsia" w:ascii="宋体" w:hAnsi="宋体" w:cs="宋体"/>
                <w:b/>
                <w:bCs/>
                <w:color w:val="auto"/>
                <w:lang w:val="en-US" w:eastAsia="zh-CN"/>
              </w:rPr>
              <w:t>供应商</w:t>
            </w:r>
            <w:r>
              <w:rPr>
                <w:rFonts w:hint="eastAsia" w:ascii="宋体" w:hAnsi="宋体" w:cs="宋体"/>
                <w:b/>
                <w:bCs/>
                <w:color w:val="auto"/>
              </w:rPr>
              <w:t>自行承担一切风险和责任。</w:t>
            </w:r>
            <w:r>
              <w:rPr>
                <w:rFonts w:hint="eastAsia" w:ascii="宋体" w:hAnsi="宋体" w:cs="宋体"/>
                <w:b/>
                <w:bCs/>
                <w:color w:val="auto"/>
                <w:lang w:val="en-US" w:eastAsia="zh-CN"/>
              </w:rPr>
              <w:t>具体演示内容及其评分办法详见第四章中的评审标准。</w:t>
            </w:r>
          </w:p>
        </w:tc>
      </w:tr>
    </w:tbl>
    <w:p w14:paraId="642F0C8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8E6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2026-03-25T07:50:33Z</dcterms:created>
  <dc:creator>Administrator</dc:creator>
  <cp:lastModifiedBy>Administrator</cp:lastModifiedBy>
  <dcterms:modified xsi:type="dcterms:W3CDTF">2026-03-25T07:50:53Z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eyJoZGlkIjoiZWI2NWJhMGM0OTFmNTZhNDdiNjkxYjZjMzA3ZGYzNjEiLCJ1c2VySWQiOiI2Njk4Nzg0MjUifQ==</vt:lpwstr>
  </property>
  <property fmtid="{D5CDD505-2E9C-101B-9397-08002B2CF9AE}" pid="4" name="ICV">
    <vt:lpwstr>C7FE0EF513174083A34000E3C7FCCD8C_12</vt:lpwstr>
  </property>
</Properties>
</file>