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Cambria" w:hAnsi="Cambria" w:eastAsia="宋体" w:cs="Times New Roman"/>
          <w:bCs w:val="0"/>
          <w:color w:val="auto"/>
          <w:sz w:val="32"/>
          <w:szCs w:val="32"/>
          <w:highlight w:val="none"/>
        </w:rPr>
      </w:pPr>
      <w:r>
        <w:rPr>
          <w:rFonts w:hint="eastAsia" w:ascii="Cambria" w:hAnsi="Cambria" w:eastAsia="宋体" w:cs="Times New Roman"/>
          <w:bCs w:val="0"/>
          <w:color w:val="auto"/>
          <w:sz w:val="32"/>
          <w:szCs w:val="32"/>
          <w:highlight w:val="none"/>
        </w:rPr>
        <w:t>采购需求</w:t>
      </w:r>
    </w:p>
    <w:p>
      <w:pPr>
        <w:spacing w:line="420" w:lineRule="exact"/>
        <w:jc w:val="lef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Style w:val="12"/>
          <w:rFonts w:hint="eastAsia" w:ascii="宋体" w:hAnsi="宋体" w:eastAsia="宋体" w:cs="宋体"/>
          <w:color w:val="auto"/>
          <w:highlight w:val="none"/>
        </w:rPr>
        <w:t>评审程序、评审方法和评审标准</w:t>
      </w:r>
      <w:r>
        <w:rPr>
          <w:rFonts w:hint="eastAsia" w:ascii="宋体" w:hAnsi="宋体" w:eastAsia="宋体" w:cs="宋体"/>
          <w:color w:val="auto"/>
          <w:szCs w:val="21"/>
          <w:highlight w:val="none"/>
        </w:rPr>
        <w:t>”。</w:t>
      </w:r>
    </w:p>
    <w:p>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pPr>
        <w:pStyle w:val="4"/>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竞标</w:t>
      </w:r>
      <w:r>
        <w:rPr>
          <w:rFonts w:hint="eastAsia" w:ascii="宋体" w:hAnsi="宋体" w:eastAsia="宋体" w:cs="宋体"/>
          <w:color w:val="auto"/>
          <w:highlight w:val="none"/>
        </w:rPr>
        <w:t>内容所涉及的专利承担法律责任，并负责保护</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的利益不受任何损害。一切由于文字、商标、技术和软件专利授权引起的法律裁决、诉讼和赔偿费用均由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highlight w:val="none"/>
        </w:rPr>
        <w:t>负责。</w:t>
      </w:r>
    </w:p>
    <w:p>
      <w:pPr>
        <w:tabs>
          <w:tab w:val="left" w:pos="180"/>
          <w:tab w:val="left" w:pos="1620"/>
        </w:tabs>
        <w:spacing w:line="420" w:lineRule="exact"/>
        <w:ind w:firstLine="420" w:firstLineChars="200"/>
        <w:rPr>
          <w:rFonts w:hint="eastAsia" w:ascii="Times New Roman" w:hAnsi="Times New Roman" w:eastAsia="宋体" w:cs="宋体"/>
          <w:b/>
          <w:bCs/>
          <w:color w:val="auto"/>
          <w:sz w:val="24"/>
          <w:highlight w:val="none"/>
        </w:rPr>
      </w:pPr>
      <w:r>
        <w:rPr>
          <w:rFonts w:hint="eastAsia" w:ascii="宋体" w:hAnsi="宋体" w:eastAsia="宋体" w:cs="宋体"/>
          <w:color w:val="auto"/>
          <w:highlight w:val="none"/>
          <w:lang w:val="en-US" w:eastAsia="zh-CN"/>
        </w:rPr>
        <w:t>6.采购标的对应的中小企业划分标准所属行业名称：</w:t>
      </w:r>
      <w:r>
        <w:rPr>
          <w:rFonts w:hint="eastAsia" w:ascii="宋体" w:hAnsi="宋体" w:eastAsia="宋体" w:cs="宋体"/>
          <w:color w:val="auto"/>
          <w:highlight w:val="none"/>
          <w:u w:val="single"/>
          <w:lang w:val="en-US" w:eastAsia="zh-CN"/>
        </w:rPr>
        <w:t>详见各标项采购需求一览表</w:t>
      </w:r>
    </w:p>
    <w:tbl>
      <w:tblPr>
        <w:tblStyle w:val="9"/>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675"/>
        <w:gridCol w:w="22"/>
        <w:gridCol w:w="731"/>
        <w:gridCol w:w="638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需求一览表</w:t>
            </w:r>
          </w:p>
        </w:tc>
        <w:tc>
          <w:tcPr>
            <w:tcW w:w="59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75"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53" w:type="dxa"/>
            <w:gridSpan w:val="2"/>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数量及</w:t>
            </w:r>
            <w:r>
              <w:rPr>
                <w:rFonts w:hint="eastAsia" w:ascii="宋体" w:hAnsi="宋体" w:eastAsia="宋体" w:cs="宋体"/>
                <w:color w:val="auto"/>
                <w:sz w:val="21"/>
                <w:szCs w:val="21"/>
                <w:highlight w:val="none"/>
              </w:rPr>
              <w:t>单位</w:t>
            </w:r>
          </w:p>
          <w:p>
            <w:pPr>
              <w:spacing w:line="320" w:lineRule="exact"/>
              <w:jc w:val="center"/>
              <w:rPr>
                <w:rFonts w:hint="eastAsia" w:ascii="宋体" w:hAnsi="宋体" w:eastAsia="宋体" w:cs="宋体"/>
                <w:color w:val="auto"/>
                <w:szCs w:val="21"/>
                <w:highlight w:val="none"/>
              </w:rPr>
            </w:pPr>
          </w:p>
        </w:tc>
        <w:tc>
          <w:tcPr>
            <w:tcW w:w="6382"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要求</w:t>
            </w:r>
          </w:p>
          <w:p>
            <w:pPr>
              <w:spacing w:line="320" w:lineRule="exact"/>
              <w:jc w:val="center"/>
              <w:rPr>
                <w:rFonts w:hint="eastAsia" w:ascii="宋体" w:hAnsi="宋体" w:eastAsia="宋体" w:cs="宋体"/>
                <w:color w:val="auto"/>
                <w:szCs w:val="21"/>
                <w:highlight w:val="none"/>
              </w:rPr>
            </w:pPr>
          </w:p>
          <w:p>
            <w:pPr>
              <w:spacing w:line="320" w:lineRule="exact"/>
              <w:jc w:val="center"/>
              <w:rPr>
                <w:rFonts w:hint="eastAsia" w:ascii="宋体" w:hAnsi="宋体" w:eastAsia="宋体" w:cs="宋体"/>
                <w:color w:val="auto"/>
                <w:szCs w:val="21"/>
                <w:highlight w:val="none"/>
              </w:rPr>
            </w:pPr>
          </w:p>
        </w:tc>
        <w:tc>
          <w:tcPr>
            <w:tcW w:w="1276" w:type="dxa"/>
            <w:tcBorders>
              <w:top w:val="single" w:color="auto" w:sz="4" w:space="0"/>
            </w:tcBorders>
            <w:noWrap w:val="0"/>
            <w:vAlign w:val="center"/>
          </w:tcPr>
          <w:p>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23" w:type="dxa"/>
            <w:vMerge w:val="continue"/>
            <w:noWrap w:val="0"/>
            <w:vAlign w:val="center"/>
          </w:tcPr>
          <w:p>
            <w:pPr>
              <w:spacing w:line="320" w:lineRule="exact"/>
              <w:jc w:val="center"/>
              <w:rPr>
                <w:rFonts w:hint="eastAsia" w:ascii="宋体" w:hAnsi="宋体" w:eastAsia="宋体" w:cs="宋体"/>
                <w:color w:val="auto"/>
                <w:szCs w:val="21"/>
                <w:highlight w:val="none"/>
              </w:rPr>
            </w:pPr>
          </w:p>
        </w:tc>
        <w:tc>
          <w:tcPr>
            <w:tcW w:w="596" w:type="dxa"/>
            <w:noWrap w:val="0"/>
            <w:vAlign w:val="center"/>
          </w:tcPr>
          <w:p>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75"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遗传性耳聋基因（4个基因，20个位点）检测服务</w:t>
            </w:r>
          </w:p>
        </w:tc>
        <w:tc>
          <w:tcPr>
            <w:tcW w:w="753" w:type="dxa"/>
            <w:gridSpan w:val="2"/>
            <w:noWrap w:val="0"/>
            <w:vAlign w:val="center"/>
          </w:tcPr>
          <w:p>
            <w:pPr>
              <w:spacing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63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一、运输要求：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由成交供应商负责样本的妥善寄送与接收，并在样本接收有异常问题时及时反馈给采购人相关科室项目负责人。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二、检测服务要求：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1.检测基因： GJB2、GJB3、SLC26A4及MT-RNR1这4个耳聋常见基因。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 ▲检测位点数：覆盖GJB2、GJB3、SLC26A4及MT-RNR1这4个耳聋基因的常见位点数≥20个位点。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 ▲样本类型：干血片，外周血。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 ▲产品性能：准确率高，与sanger测序法符合率100%，特异性在99.9%以上，可检出杂合、纯合、复合杂合突变等位点。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5.对所有初检阳性样本均进行重复检测验证，确保阳性结果的真阳性。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6.供应商能有完善的后续诊疗措施，包括能提供单个基因的全测序和耳聋相关的多个基因全测序检测服务</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供货时</w:t>
            </w:r>
            <w:r>
              <w:rPr>
                <w:rFonts w:hint="eastAsia" w:ascii="宋体" w:hAnsi="宋体" w:eastAsia="宋体" w:cs="宋体"/>
                <w:b/>
                <w:bCs/>
                <w:color w:val="auto"/>
                <w:highlight w:val="none"/>
              </w:rPr>
              <w:t>提供检测报告附件，即：阳性报告发出前，需进行基因测序确认，并附测序报告)</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7.检测周期：收到样本5个工作日内。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8.▲检测设备、检测试剂盒，两者</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具备中国国家药品监督管理局（NMPA）批准可用于临床检测</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须在响应文件中</w:t>
            </w:r>
            <w:r>
              <w:rPr>
                <w:rFonts w:hint="eastAsia" w:ascii="宋体" w:hAnsi="宋体" w:eastAsia="宋体" w:cs="宋体"/>
                <w:b/>
                <w:bCs/>
                <w:color w:val="auto"/>
                <w:highlight w:val="none"/>
              </w:rPr>
              <w:t>提供</w:t>
            </w:r>
            <w:r>
              <w:rPr>
                <w:rFonts w:hint="eastAsia" w:ascii="宋体" w:hAnsi="宋体" w:eastAsia="宋体" w:cs="宋体"/>
                <w:b/>
                <w:bCs/>
                <w:color w:val="auto"/>
                <w:highlight w:val="none"/>
                <w:lang w:eastAsia="zh-CN"/>
              </w:rPr>
              <w:t>相关</w:t>
            </w:r>
            <w:r>
              <w:rPr>
                <w:rFonts w:hint="eastAsia" w:ascii="宋体" w:hAnsi="宋体" w:eastAsia="宋体" w:cs="宋体"/>
                <w:b/>
                <w:bCs/>
                <w:color w:val="auto"/>
                <w:highlight w:val="none"/>
              </w:rPr>
              <w:t>证明材料</w:t>
            </w:r>
            <w:r>
              <w:rPr>
                <w:rFonts w:hint="eastAsia" w:ascii="宋体" w:hAnsi="宋体" w:eastAsia="宋体" w:cs="宋体"/>
                <w:b/>
                <w:bCs/>
                <w:color w:val="auto"/>
                <w:highlight w:val="none"/>
                <w:lang w:eastAsia="zh-CN"/>
              </w:rPr>
              <w:t>复印件</w:t>
            </w:r>
            <w:r>
              <w:rPr>
                <w:rFonts w:hint="eastAsia" w:ascii="宋体" w:hAnsi="宋体" w:eastAsia="宋体" w:cs="宋体"/>
                <w:b/>
                <w:bCs/>
                <w:color w:val="auto"/>
                <w:highlight w:val="none"/>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 ▲耳聋基因检测分析软件获得中国国家药品监督管理局（NMPA）颁发的</w:t>
            </w:r>
            <w:bookmarkStart w:id="0" w:name="OLE_LINK5"/>
            <w:r>
              <w:rPr>
                <w:rFonts w:hint="eastAsia" w:ascii="宋体" w:hAnsi="宋体" w:eastAsia="宋体" w:cs="宋体"/>
                <w:color w:val="auto"/>
                <w:highlight w:val="none"/>
              </w:rPr>
              <w:t>医疗器械注册证认证</w:t>
            </w:r>
            <w:bookmarkEnd w:id="0"/>
            <w:r>
              <w:rPr>
                <w:rFonts w:hint="eastAsia" w:ascii="宋体" w:hAnsi="宋体" w:eastAsia="宋体" w:cs="宋体"/>
                <w:b/>
                <w:bCs/>
                <w:color w:val="auto"/>
                <w:highlight w:val="none"/>
              </w:rPr>
              <w:t>（须在响应文件中提供相关证明材料复印件）</w:t>
            </w:r>
            <w:r>
              <w:rPr>
                <w:rFonts w:hint="eastAsia" w:ascii="宋体" w:hAnsi="宋体" w:eastAsia="宋体" w:cs="宋体"/>
                <w:b/>
                <w:bCs/>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10.▲室内质量控制：同批次检测样本应有空白对照、阴性对照、杂合突变阳性对照、纯合突变阳性对照，</w:t>
            </w:r>
            <w:r>
              <w:rPr>
                <w:rFonts w:hint="eastAsia" w:ascii="宋体" w:hAnsi="宋体" w:eastAsia="宋体" w:cs="宋体"/>
                <w:color w:val="auto"/>
                <w:highlight w:val="none"/>
                <w:lang w:eastAsia="zh-CN"/>
              </w:rPr>
              <w:t>服务时</w:t>
            </w:r>
            <w:r>
              <w:rPr>
                <w:rFonts w:hint="eastAsia" w:ascii="宋体" w:hAnsi="宋体" w:eastAsia="宋体" w:cs="宋体"/>
                <w:color w:val="auto"/>
                <w:highlight w:val="none"/>
              </w:rPr>
              <w:t>提供完善的室内质控方案。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须有当地临床检验中心批准开展耳聋基因分型检测</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12.严格按照《中华人民共和国人类遗传资源管理条例》进行管理，不得向第三方提供样本及样本信息等。</w:t>
            </w:r>
          </w:p>
        </w:tc>
        <w:tc>
          <w:tcPr>
            <w:tcW w:w="1276"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7"/>
            <w:noWrap w:val="0"/>
            <w:vAlign w:val="center"/>
          </w:tcPr>
          <w:p>
            <w:pPr>
              <w:spacing w:line="320" w:lineRule="exact"/>
              <w:jc w:val="left"/>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合同签订时间</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自成交通知书发出之日起</w:t>
            </w:r>
            <w:r>
              <w:rPr>
                <w:rFonts w:hint="eastAsia" w:ascii="宋体" w:hAnsi="宋体" w:eastAsia="宋体" w:cs="宋体"/>
                <w:color w:val="auto"/>
                <w:kern w:val="2"/>
                <w:sz w:val="21"/>
                <w:szCs w:val="21"/>
                <w:highlight w:val="none"/>
                <w:u w:val="single"/>
                <w:lang w:val="en-US" w:eastAsia="zh-CN" w:bidi="ar"/>
              </w:rPr>
              <w:t xml:space="preserve"> 25 个日历</w:t>
            </w:r>
            <w:r>
              <w:rPr>
                <w:rFonts w:hint="eastAsia" w:ascii="宋体" w:hAnsi="宋体" w:eastAsia="宋体" w:cs="宋体"/>
                <w:color w:val="auto"/>
                <w:kern w:val="2"/>
                <w:sz w:val="21"/>
                <w:szCs w:val="21"/>
                <w:highlight w:val="none"/>
                <w:lang w:val="en-US" w:eastAsia="zh-CN" w:bidi="ar"/>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服务期</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签订合同之日起1年。（如采购人对成交供应商在合同期内，对检测单价、检测要求及项目周期等合同内容服务不满意或采购人自行开展检测项目有权解除合同）。按照目前市场收费标准收费，预计总年用量为18000样。具体服务量根据实际发生购买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服务地点</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南宁市厢竹大道59号广西区妇幼保健院。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售后服务</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1.接到采购人电话通知后，2小时内做出响应，48小时到达现场。一般问题应在48小时内解决，重大问题或其它无法迅速解决的问题应在一周内解决。</w:t>
            </w:r>
          </w:p>
          <w:p>
            <w:pPr>
              <w:keepNext w:val="0"/>
              <w:keepLines w:val="0"/>
              <w:widowControl w:val="0"/>
              <w:suppressLineNumbers w:val="0"/>
              <w:spacing w:before="0" w:beforeAutospacing="0" w:after="0" w:afterAutospacing="0" w:line="360" w:lineRule="auto"/>
              <w:ind w:left="0" w:leftChars="0" w:right="0" w:rightChars="0"/>
              <w:jc w:val="both"/>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kern w:val="2"/>
                <w:sz w:val="21"/>
                <w:szCs w:val="21"/>
                <w:highlight w:val="none"/>
                <w:lang w:val="en-US" w:eastAsia="zh-CN" w:bidi="ar"/>
              </w:rPr>
              <w:t>2.每季度回访、培训。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人员配置</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拟投入本项目的相关服务人员不少于2人。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付款条件</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按批次结算，每批次数据返回合格且采购单位收到发票后的3-6个月，根据实际服务量结算。服务期内最终总结算金额不得超过合同总金额</w:t>
            </w:r>
            <w:r>
              <w:rPr>
                <w:rFonts w:hint="eastAsia" w:ascii="宋体" w:hAnsi="宋体" w:eastAsia="宋体" w:cs="宋体"/>
                <w:b/>
                <w:bCs/>
                <w:color w:val="auto"/>
                <w:kern w:val="2"/>
                <w:sz w:val="21"/>
                <w:szCs w:val="21"/>
                <w:highlight w:val="none"/>
                <w:lang w:val="en-US" w:eastAsia="zh-CN" w:bidi="ar"/>
              </w:rPr>
              <w:t>（即预算总金额1332000.00元）</w:t>
            </w:r>
            <w:r>
              <w:rPr>
                <w:rFonts w:hint="eastAsia" w:ascii="宋体" w:hAnsi="宋体" w:eastAsia="宋体" w:cs="宋体"/>
                <w:color w:val="auto"/>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报价要求</w:t>
            </w:r>
          </w:p>
        </w:tc>
        <w:tc>
          <w:tcPr>
            <w:tcW w:w="8389" w:type="dxa"/>
            <w:gridSpan w:val="3"/>
            <w:noWrap w:val="0"/>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1.本项目最高限价：1332000.00元 ，单价上控价74.00元/例。报价不能超上控单价和总价。</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磋商公告中的预算金额为上控价金额，实际检测数量以医院实际需求为准，按实结算。结算金额=检测单价×实际数量,但服务期内最终总结算金额不得超过合同总金额。本项目预计总检测量为18000样，具体以实际检测量为准并结算。</w:t>
            </w:r>
          </w:p>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3.供应商需在报价文件中承诺一旦签订合同，供应商不得以任何理由（除不可抗拒的原因之外）扣押已检测项目结果，否则供应商应承担违约责任。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6" w:type="dxa"/>
            <w:gridSpan w:val="4"/>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其他要求</w:t>
            </w:r>
          </w:p>
        </w:tc>
        <w:tc>
          <w:tcPr>
            <w:tcW w:w="8389" w:type="dxa"/>
            <w:gridSpan w:val="3"/>
            <w:noWrap w:val="0"/>
            <w:vAlign w:val="center"/>
          </w:tcPr>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1.供应商</w:t>
            </w:r>
            <w:r>
              <w:rPr>
                <w:rFonts w:hint="eastAsia" w:ascii="宋体" w:hAnsi="宋体" w:eastAsia="宋体" w:cs="宋体"/>
                <w:color w:val="auto"/>
                <w:kern w:val="2"/>
                <w:sz w:val="21"/>
                <w:szCs w:val="21"/>
                <w:highlight w:val="none"/>
                <w:lang w:val="en-US" w:eastAsia="zh-CN" w:bidi="ar"/>
              </w:rPr>
              <w:t>承诺一旦签订合同，检测机构不得以任何理由（除不可抗拒的原因之外）扣押已检测项目结果，否则检测机构应承担违约责任。</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2.合同期内如遇国家、自治区出台新的政策文件，涉及本项目检测内容则按国家、自治区政策文件要求执行包括但不限于停止服务、限价，成交供应商自行承担采购政策变化带来的风险，并签订附加合同说明。</w:t>
            </w:r>
          </w:p>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bidi="ar"/>
              </w:rPr>
              <w:t>3.在合同期内，若医保政策出现变动，采购人和成交供应商双方可就此进行充分协商，进而对检测单价予以调整。调整后的价格务必不高于已签订的单价，同时，双方应签订附加合同对调整后的情况进行详细说明，包括但不限于调整的原因、具体调整幅度、生效时间以及双方在新价格下的权利与义务等内容，以确保合同的顺利履行和双方的合法权益得到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7"/>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7"/>
            <w:noWrap w:val="0"/>
            <w:vAlign w:val="center"/>
          </w:tcPr>
          <w:p>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评审方法和评审标准”。产品在中国境内生产的组件成本，按照《中国境内生产的组件成本核算基本规则》（见附件3）计算。</w:t>
            </w:r>
          </w:p>
        </w:tc>
      </w:tr>
    </w:tbl>
    <w:p>
      <w:pPr>
        <w:spacing w:line="360" w:lineRule="auto"/>
        <w:ind w:left="119"/>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numPr>
          <w:ilvl w:val="0"/>
          <w:numId w:val="1"/>
        </w:numPr>
        <w:ind w:left="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以“★”标注的为政府强制采购产品。</w:t>
      </w: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numPr>
          <w:ilvl w:val="0"/>
          <w:numId w:val="0"/>
        </w:numPr>
        <w:jc w:val="left"/>
        <w:rPr>
          <w:rFonts w:hint="eastAsia" w:ascii="宋体" w:hAnsi="宋体" w:eastAsia="宋体" w:cs="宋体"/>
          <w:b/>
          <w:bCs/>
          <w:color w:val="auto"/>
          <w:szCs w:val="21"/>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sz w:val="32"/>
          <w:szCs w:val="32"/>
          <w:highlight w:val="none"/>
        </w:rPr>
      </w:pPr>
    </w:p>
    <w:p>
      <w:pPr>
        <w:jc w:val="left"/>
        <w:rPr>
          <w:rFonts w:hint="eastAsia" w:ascii="Arial Unicode MS" w:hAnsi="Arial Unicode MS" w:eastAsia="Arial Unicode MS" w:cs="Arial Unicode MS"/>
          <w:color w:val="auto"/>
          <w:kern w:val="0"/>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2</w:t>
      </w:r>
    </w:p>
    <w:p>
      <w:pPr>
        <w:widowControl/>
        <w:spacing w:before="156" w:beforeLines="50" w:after="156" w:afterLines="50" w:line="280" w:lineRule="exact"/>
        <w:jc w:val="center"/>
        <w:rPr>
          <w:rFonts w:ascii="宋体" w:hAnsi="宋体" w:eastAsia="宋体" w:cs="宋体"/>
          <w:b/>
          <w:bCs/>
          <w:color w:val="auto"/>
          <w:kern w:val="0"/>
          <w:sz w:val="30"/>
          <w:szCs w:val="30"/>
          <w:highlight w:val="none"/>
        </w:rPr>
      </w:pPr>
      <w:bookmarkStart w:id="1" w:name="_Toc28361_WPSOffice_Level2"/>
      <w:r>
        <w:rPr>
          <w:rFonts w:hint="eastAsia" w:ascii="宋体" w:hAnsi="宋体" w:eastAsia="宋体" w:cs="宋体"/>
          <w:b/>
          <w:bCs/>
          <w:color w:val="auto"/>
          <w:kern w:val="0"/>
          <w:sz w:val="30"/>
          <w:szCs w:val="30"/>
          <w:highlight w:val="none"/>
        </w:rPr>
        <w:t>统计上大中小微型企业划分标准</w:t>
      </w:r>
      <w:bookmarkEnd w:id="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eastAsia="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pPr>
        <w:widowControl/>
        <w:spacing w:line="280" w:lineRule="exact"/>
        <w:rPr>
          <w:rFonts w:ascii="宋体" w:hAnsi="宋体" w:eastAsia="宋体" w:cs="宋体"/>
          <w:color w:val="auto"/>
          <w:spacing w:val="8"/>
          <w:kern w:val="0"/>
          <w:sz w:val="24"/>
          <w:highlight w:val="none"/>
        </w:rPr>
      </w:pPr>
    </w:p>
    <w:p>
      <w:pPr>
        <w:widowControl/>
        <w:spacing w:line="480" w:lineRule="auto"/>
        <w:rPr>
          <w:rFonts w:hint="eastAsia" w:ascii="宋体" w:hAnsi="宋体" w:eastAsia="宋体" w:cs="宋体"/>
          <w:color w:val="auto"/>
          <w:spacing w:val="8"/>
          <w:kern w:val="0"/>
          <w:szCs w:val="21"/>
          <w:highlight w:val="none"/>
        </w:rPr>
      </w:pPr>
    </w:p>
    <w:p>
      <w:pPr>
        <w:widowControl/>
        <w:spacing w:line="480" w:lineRule="auto"/>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1.大型、中型和小型企业须同时满足所列指标的下限，否则下划一档；微型企业只须满足所列指标中的一项即可。</w:t>
      </w:r>
    </w:p>
    <w:p>
      <w:pPr>
        <w:pStyle w:val="5"/>
        <w:adjustRightInd w:val="0"/>
        <w:spacing w:line="480" w:lineRule="auto"/>
        <w:ind w:firstLine="432" w:firstLineChars="200"/>
        <w:contextualSpacing/>
        <w:rPr>
          <w:rFonts w:hAnsi="宋体" w:eastAsia="宋体" w:cs="宋体"/>
          <w:color w:val="auto"/>
          <w:spacing w:val="8"/>
          <w:kern w:val="0"/>
          <w:szCs w:val="21"/>
          <w:highlight w:val="none"/>
        </w:rPr>
      </w:pPr>
      <w:r>
        <w:rPr>
          <w:rFonts w:hint="eastAsia"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eastAsia="宋体" w:cs="宋体"/>
          <w:color w:val="auto"/>
          <w:spacing w:val="8"/>
          <w:kern w:val="0"/>
          <w:szCs w:val="21"/>
          <w:highlight w:val="none"/>
          <w:lang w:eastAsia="zh-CN"/>
        </w:rPr>
        <w:t>；</w:t>
      </w:r>
      <w:r>
        <w:rPr>
          <w:rFonts w:hint="eastAsia" w:hAnsi="宋体" w:eastAsia="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5"/>
        <w:spacing w:line="480" w:lineRule="auto"/>
        <w:ind w:firstLine="432" w:firstLineChars="200"/>
        <w:rPr>
          <w:rFonts w:hint="eastAsia" w:hAnsi="宋体" w:eastAsia="宋体" w:cs="宋体"/>
          <w:color w:val="auto"/>
          <w:spacing w:val="8"/>
          <w:kern w:val="0"/>
          <w:szCs w:val="21"/>
          <w:highlight w:val="none"/>
        </w:rPr>
      </w:pPr>
      <w:r>
        <w:rPr>
          <w:rFonts w:hint="eastAsia"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lang w:val="en-US" w:eastAsia="zh-CN"/>
        </w:rPr>
      </w:pPr>
      <w:r>
        <w:rPr>
          <w:rFonts w:hint="eastAsia" w:eastAsia="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color w:val="auto"/>
          <w:sz w:val="32"/>
          <w:szCs w:val="32"/>
          <w:highlight w:val="none"/>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36"/>
          <w:szCs w:val="36"/>
          <w:highlight w:val="none"/>
        </w:rPr>
      </w:pPr>
      <w:r>
        <w:rPr>
          <w:rStyle w:val="11"/>
          <w:rFonts w:hint="eastAsia" w:ascii="宋体" w:hAnsi="宋体" w:eastAsia="宋体" w:cs="宋体"/>
          <w:i w:val="0"/>
          <w:iCs w:val="0"/>
          <w:caps w:val="0"/>
          <w:color w:val="auto"/>
          <w:spacing w:val="0"/>
          <w:kern w:val="2"/>
          <w:sz w:val="36"/>
          <w:szCs w:val="36"/>
          <w:highlight w:val="none"/>
          <w:shd w:val="clear" w:color="auto" w:fill="FFFFFF"/>
          <w:lang w:bidi="ar-SA"/>
        </w:rPr>
        <w:t>中国境内生产的组件成本核算基本规则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auto"/>
          <w:spacing w:val="0"/>
          <w:sz w:val="24"/>
          <w:szCs w:val="24"/>
          <w:highlight w:val="no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一、产品的一级组件是指直接组成产品的组件。产品的二级组件是指直接组成产品一级组件的组件。一级组件不可分解的，视同二级组件。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二、二级组件在中国境内生产的，其全部成本计入中国境内生产的组件成本；二级组件不在中国境内生产的，其成本不计入中国境内生产的组件成本。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三、产品总成本和组件成本以相关会计核算数据、采购合同、进货记录等为基础进行计算。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四、需要对成本核算规则予以进一步明确的其他有关事项，由财政部会同有关部门另行规定。</w:t>
      </w:r>
    </w:p>
    <w:p>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FC925"/>
    <w:multiLevelType w:val="singleLevel"/>
    <w:tmpl w:val="1FFFC925"/>
    <w:lvl w:ilvl="0" w:tentative="0">
      <w:start w:val="2"/>
      <w:numFmt w:val="decimal"/>
      <w:lvlText w:val="%1."/>
      <w:lvlJc w:val="left"/>
      <w:pPr>
        <w:tabs>
          <w:tab w:val="left" w:pos="312"/>
        </w:tabs>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FmOGU0Y2RhNTc1YzUzN2NjMTM5MGQ1YTJkOWMifQ=="/>
  </w:docVars>
  <w:rsids>
    <w:rsidRoot w:val="75845F9F"/>
    <w:rsid w:val="1D2C6FB1"/>
    <w:rsid w:val="5C2C0026"/>
    <w:rsid w:val="75545F7B"/>
    <w:rsid w:val="7584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Plain Text"/>
    <w:next w:val="3"/>
    <w:qFormat/>
    <w:uiPriority w:val="0"/>
    <w:pPr>
      <w:widowControl w:val="0"/>
      <w:jc w:val="both"/>
    </w:pPr>
    <w:rPr>
      <w:rFonts w:ascii="宋体" w:hAnsi="Courier New" w:eastAsia="宋体" w:cs="Times New Roman"/>
      <w:kern w:val="0"/>
      <w:sz w:val="20"/>
      <w:szCs w:val="21"/>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unhideWhenUsed/>
    <w:qFormat/>
    <w:uiPriority w:val="99"/>
    <w:pPr>
      <w:widowControl w:val="0"/>
      <w:spacing w:before="0" w:beforeAutospacing="0" w:after="0" w:afterAutospacing="0"/>
      <w:ind w:left="0" w:right="0"/>
      <w:jc w:val="both"/>
    </w:pPr>
    <w:rPr>
      <w:rFonts w:hint="default" w:ascii="Calibri" w:hAnsi="Calibri" w:eastAsia="宋体" w:cs="Calibri"/>
      <w:kern w:val="0"/>
      <w:sz w:val="24"/>
      <w:szCs w:val="24"/>
      <w:lang w:val="en-US" w:eastAsia="zh-CN" w:bidi="ar"/>
    </w:rPr>
  </w:style>
  <w:style w:type="character" w:styleId="11">
    <w:name w:val="Strong"/>
    <w:qFormat/>
    <w:uiPriority w:val="0"/>
    <w:rPr>
      <w:b/>
    </w:rPr>
  </w:style>
  <w:style w:type="character" w:styleId="12">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2026-03-12T03:17:00Z</dcterms:created>
  <dc:creator>A</dc:creator>
  <cp:lastModifiedBy>A</cp:lastModifiedBy>
  <dcterms:modified xsi:type="dcterms:W3CDTF">2026-03-12T03:18:44Z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5B190F31642D4369ADC54014DCA62DCE_11</vt:lpwstr>
  </property>
</Properties>
</file>