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ascii="Times New Roman" w:hAnsi="Times New Roman" w:eastAsia="宋体" w:cs="Times New Roman"/>
          <w:b/>
          <w:bCs/>
          <w:color w:val="auto"/>
          <w:kern w:val="44"/>
          <w:sz w:val="44"/>
          <w:szCs w:val="44"/>
          <w:highlight w:val="none"/>
          <w:lang w:val="zh-CN"/>
        </w:rPr>
      </w:pPr>
      <w:r>
        <w:rPr>
          <w:rFonts w:hint="eastAsia" w:ascii="Cambria" w:hAnsi="Cambria" w:eastAsia="宋体" w:cs="Times New Roman"/>
          <w:b/>
          <w:color w:val="auto"/>
          <w:kern w:val="44"/>
          <w:sz w:val="32"/>
          <w:szCs w:val="32"/>
          <w:highlight w:val="none"/>
          <w:lang w:val="zh-CN"/>
        </w:rPr>
        <w:t>采购需求</w:t>
      </w:r>
    </w:p>
    <w:p>
      <w:pPr>
        <w:spacing w:line="420" w:lineRule="exact"/>
        <w:ind w:firstLine="0" w:firstLineChars="0"/>
        <w:jc w:val="left"/>
        <w:rPr>
          <w:rFonts w:hint="eastAsia" w:ascii="宋体" w:hAnsi="宋体" w:eastAsia="宋体" w:cs="宋体"/>
          <w:color w:val="auto"/>
          <w:szCs w:val="24"/>
          <w:highlight w:val="none"/>
        </w:rPr>
      </w:pPr>
      <w:r>
        <w:rPr>
          <w:rFonts w:hint="eastAsia" w:ascii="宋体" w:hAnsi="宋体" w:eastAsia="宋体" w:cs="宋体"/>
          <w:color w:val="auto"/>
          <w:szCs w:val="21"/>
          <w:highlight w:val="none"/>
        </w:rPr>
        <w:t>说明：</w:t>
      </w:r>
    </w:p>
    <w:p>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4"/>
          <w:highlight w:val="none"/>
        </w:rPr>
        <w:t>1.为落实政府采购政策需满足的要求：</w:t>
      </w:r>
    </w:p>
    <w:p>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（1）本竞争性谈判文件所称中小企业必须符合《政府采购促进中小企业发展管理办法》（财库〔2020〕46号）的规定。</w:t>
      </w:r>
    </w:p>
    <w:p>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详见本章</w:t>
      </w:r>
      <w:r>
        <w:rPr>
          <w:rFonts w:hint="eastAsia" w:ascii="宋体" w:hAnsi="宋体" w:eastAsia="宋体" w:cs="宋体"/>
          <w:color w:val="auto"/>
          <w:szCs w:val="21"/>
          <w:highlight w:val="none"/>
          <w:lang w:eastAsia="zh-CN"/>
        </w:rPr>
        <w:t>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供应商必须在响应文件中提供所竞标产品有效期内的节能产品认证证书复印件（加盖供应商公章），否则响应文件作无效处理</w:t>
      </w:r>
      <w:r>
        <w:rPr>
          <w:rFonts w:hint="eastAsia" w:ascii="宋体" w:hAnsi="宋体" w:eastAsia="宋体" w:cs="宋体"/>
          <w:color w:val="auto"/>
          <w:szCs w:val="21"/>
          <w:highlight w:val="none"/>
        </w:rPr>
        <w:t>。如本项目包含的配套货物属于品目清单内非标注</w:t>
      </w:r>
      <w:bookmarkStart w:id="4" w:name="_GoBack"/>
      <w:bookmarkEnd w:id="4"/>
      <w:r>
        <w:rPr>
          <w:rFonts w:hint="eastAsia" w:ascii="宋体" w:hAnsi="宋体" w:eastAsia="宋体" w:cs="宋体"/>
          <w:color w:val="auto"/>
          <w:szCs w:val="21"/>
          <w:highlight w:val="none"/>
        </w:rPr>
        <w:t>“★”的产品时，应优先采购，具体详见“第四章 评审程序、评审方法和成交标准”。</w:t>
      </w:r>
    </w:p>
    <w:p>
      <w:pPr>
        <w:spacing w:line="420" w:lineRule="exact"/>
        <w:ind w:firstLine="420" w:firstLineChars="200"/>
        <w:rPr>
          <w:rFonts w:hint="eastAsia" w:ascii="宋体" w:hAnsi="宋体" w:eastAsia="宋体" w:cs="Times New Roman"/>
          <w:b w:val="0"/>
          <w:i/>
          <w:iCs/>
          <w:color w:val="auto"/>
          <w:sz w:val="21"/>
          <w:szCs w:val="21"/>
          <w:highlight w:val="none"/>
        </w:rPr>
      </w:pPr>
      <w:r>
        <w:rPr>
          <w:rFonts w:hint="eastAsia" w:ascii="宋体" w:hAnsi="宋体" w:eastAsia="宋体" w:cs="宋体"/>
          <w:color w:val="auto"/>
          <w:szCs w:val="21"/>
          <w:highlight w:val="none"/>
        </w:rPr>
        <w:t>2.</w:t>
      </w:r>
      <w:r>
        <w:rPr>
          <w:rFonts w:hint="default" w:ascii="宋体" w:hAnsi="宋体" w:eastAsia="宋体" w:cs="宋体"/>
          <w:b/>
          <w:bCs/>
          <w:color w:val="auto"/>
          <w:sz w:val="21"/>
          <w:szCs w:val="21"/>
          <w:highlight w:val="none"/>
          <w:lang w:val="en-US"/>
        </w:rPr>
        <w:t>采购需求中带“▲”的条款</w:t>
      </w:r>
      <w:r>
        <w:rPr>
          <w:rFonts w:hint="eastAsia" w:ascii="宋体" w:hAnsi="宋体" w:eastAsia="宋体" w:cs="宋体"/>
          <w:b/>
          <w:bCs/>
          <w:color w:val="auto"/>
          <w:sz w:val="21"/>
          <w:szCs w:val="21"/>
          <w:highlight w:val="none"/>
          <w:lang w:val="en-US" w:eastAsia="zh-CN"/>
        </w:rPr>
        <w:t>为实质性条款，不满足</w:t>
      </w:r>
      <w:r>
        <w:rPr>
          <w:rFonts w:hint="default" w:ascii="宋体" w:hAnsi="宋体" w:eastAsia="宋体" w:cs="宋体"/>
          <w:b/>
          <w:bCs/>
          <w:color w:val="auto"/>
          <w:sz w:val="21"/>
          <w:szCs w:val="21"/>
          <w:highlight w:val="none"/>
          <w:lang w:val="en-US" w:eastAsia="zh-CN"/>
        </w:rPr>
        <w:t>作</w:t>
      </w:r>
      <w:r>
        <w:rPr>
          <w:rFonts w:hint="default" w:ascii="宋体" w:hAnsi="宋体" w:eastAsia="宋体" w:cs="宋体"/>
          <w:b/>
          <w:bCs/>
          <w:color w:val="auto"/>
          <w:sz w:val="21"/>
          <w:szCs w:val="21"/>
          <w:highlight w:val="none"/>
          <w:lang w:val="en-US"/>
        </w:rPr>
        <w:t>无效响应处理。</w:t>
      </w:r>
    </w:p>
    <w:p>
      <w:pPr>
        <w:spacing w:line="420" w:lineRule="exact"/>
        <w:ind w:firstLine="420" w:firstLineChars="200"/>
        <w:jc w:val="left"/>
        <w:rPr>
          <w:rFonts w:hint="eastAsia" w:ascii="宋体" w:hAnsi="宋体" w:eastAsia="宋体" w:cs="宋体"/>
          <w:color w:val="auto"/>
          <w:kern w:val="2"/>
          <w:sz w:val="21"/>
          <w:szCs w:val="21"/>
          <w:highlight w:val="none"/>
          <w:lang w:val="en-US"/>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kern w:val="2"/>
          <w:sz w:val="21"/>
          <w:szCs w:val="21"/>
          <w:highlight w:val="none"/>
          <w:lang w:val="en-US"/>
        </w:rPr>
        <w:t>.采购需求中出现的品牌、型号或者</w:t>
      </w:r>
      <w:r>
        <w:rPr>
          <w:rFonts w:hint="eastAsia" w:ascii="宋体" w:hAnsi="宋体" w:eastAsia="宋体" w:cs="宋体"/>
          <w:color w:val="auto"/>
          <w:kern w:val="2"/>
          <w:sz w:val="21"/>
          <w:szCs w:val="21"/>
          <w:highlight w:val="none"/>
          <w:lang w:val="en-US" w:eastAsia="zh-CN"/>
        </w:rPr>
        <w:t>制造商</w:t>
      </w:r>
      <w:r>
        <w:rPr>
          <w:rFonts w:hint="eastAsia" w:ascii="宋体" w:hAnsi="宋体" w:eastAsia="宋体" w:cs="宋体"/>
          <w:color w:val="auto"/>
          <w:kern w:val="2"/>
          <w:sz w:val="21"/>
          <w:szCs w:val="21"/>
          <w:highlight w:val="none"/>
          <w:lang w:val="en-US"/>
        </w:rPr>
        <w:t>仅起参考作用，不属于指定品牌、型号或者</w:t>
      </w:r>
      <w:r>
        <w:rPr>
          <w:rFonts w:hint="eastAsia" w:ascii="宋体" w:hAnsi="宋体" w:eastAsia="宋体" w:cs="宋体"/>
          <w:color w:val="auto"/>
          <w:kern w:val="2"/>
          <w:sz w:val="21"/>
          <w:szCs w:val="21"/>
          <w:highlight w:val="none"/>
          <w:lang w:val="en-US" w:eastAsia="zh-CN"/>
        </w:rPr>
        <w:t>制造商</w:t>
      </w:r>
      <w:r>
        <w:rPr>
          <w:rFonts w:hint="eastAsia" w:ascii="宋体" w:hAnsi="宋体" w:eastAsia="宋体" w:cs="宋体"/>
          <w:color w:val="auto"/>
          <w:kern w:val="2"/>
          <w:sz w:val="21"/>
          <w:szCs w:val="21"/>
          <w:highlight w:val="none"/>
          <w:lang w:val="en-US"/>
        </w:rPr>
        <w:t>的情形。</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en-US"/>
        </w:rPr>
        <w:t>可参照或者选用其他相当的品牌、型号或者</w:t>
      </w:r>
      <w:r>
        <w:rPr>
          <w:rFonts w:hint="eastAsia" w:ascii="宋体" w:hAnsi="宋体" w:eastAsia="宋体" w:cs="宋体"/>
          <w:color w:val="auto"/>
          <w:kern w:val="2"/>
          <w:sz w:val="21"/>
          <w:szCs w:val="21"/>
          <w:highlight w:val="none"/>
          <w:lang w:val="en-US" w:eastAsia="zh-CN"/>
        </w:rPr>
        <w:t>制造商</w:t>
      </w:r>
      <w:r>
        <w:rPr>
          <w:rFonts w:hint="eastAsia" w:ascii="宋体" w:hAnsi="宋体" w:eastAsia="宋体" w:cs="宋体"/>
          <w:color w:val="auto"/>
          <w:kern w:val="2"/>
          <w:sz w:val="21"/>
          <w:szCs w:val="21"/>
          <w:highlight w:val="none"/>
          <w:lang w:val="en-US"/>
        </w:rPr>
        <w:t>替代，但选用的</w:t>
      </w:r>
      <w:r>
        <w:rPr>
          <w:rFonts w:hint="eastAsia" w:ascii="宋体" w:hAnsi="宋体" w:eastAsia="宋体" w:cs="宋体"/>
          <w:color w:val="auto"/>
          <w:kern w:val="2"/>
          <w:sz w:val="21"/>
          <w:szCs w:val="21"/>
          <w:highlight w:val="none"/>
          <w:lang w:val="en-US" w:eastAsia="zh-CN"/>
        </w:rPr>
        <w:t>竞</w:t>
      </w:r>
      <w:r>
        <w:rPr>
          <w:rFonts w:hint="eastAsia" w:ascii="宋体" w:hAnsi="宋体" w:eastAsia="宋体" w:cs="宋体"/>
          <w:color w:val="auto"/>
          <w:kern w:val="2"/>
          <w:sz w:val="21"/>
          <w:szCs w:val="21"/>
          <w:highlight w:val="none"/>
          <w:lang w:val="en-US"/>
        </w:rPr>
        <w:t>标产品</w:t>
      </w:r>
      <w:r>
        <w:rPr>
          <w:rFonts w:hint="eastAsia" w:ascii="宋体" w:hAnsi="宋体" w:eastAsia="宋体" w:cs="宋体"/>
          <w:color w:val="auto"/>
          <w:kern w:val="2"/>
          <w:sz w:val="21"/>
          <w:szCs w:val="21"/>
          <w:highlight w:val="none"/>
          <w:lang w:val="en-US" w:eastAsia="zh-CN"/>
        </w:rPr>
        <w:t>技术</w:t>
      </w:r>
      <w:r>
        <w:rPr>
          <w:rFonts w:hint="eastAsia" w:ascii="宋体" w:hAnsi="宋体" w:eastAsia="宋体" w:cs="宋体"/>
          <w:color w:val="auto"/>
          <w:kern w:val="2"/>
          <w:sz w:val="21"/>
          <w:szCs w:val="21"/>
          <w:highlight w:val="none"/>
          <w:lang w:val="en-US"/>
        </w:rPr>
        <w:t>参数</w:t>
      </w:r>
      <w:r>
        <w:rPr>
          <w:rFonts w:hint="eastAsia" w:ascii="宋体" w:hAnsi="宋体" w:eastAsia="宋体" w:cs="宋体"/>
          <w:color w:val="auto"/>
          <w:kern w:val="2"/>
          <w:sz w:val="21"/>
          <w:szCs w:val="21"/>
          <w:highlight w:val="none"/>
          <w:lang w:val="en-US" w:eastAsia="zh-CN"/>
        </w:rPr>
        <w:t>及配置</w:t>
      </w:r>
      <w:r>
        <w:rPr>
          <w:rFonts w:hint="eastAsia" w:ascii="宋体" w:hAnsi="宋体" w:eastAsia="宋体" w:cs="宋体"/>
          <w:color w:val="auto"/>
          <w:kern w:val="2"/>
          <w:sz w:val="21"/>
          <w:szCs w:val="21"/>
          <w:highlight w:val="none"/>
          <w:lang w:val="en-US"/>
        </w:rPr>
        <w:t>必须满足</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en-US"/>
        </w:rPr>
        <w:t>要求。</w:t>
      </w:r>
    </w:p>
    <w:p>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必须对</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文件中提供的证明材料和资质文件真实性负责，如出现虚假应标情况，</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除了应接受有关部门的处罚外，还应依据《中华人民共和国民法典》的相关条款来</w:t>
      </w:r>
      <w:r>
        <w:rPr>
          <w:rFonts w:hint="eastAsia" w:ascii="宋体" w:hAnsi="宋体" w:eastAsia="宋体" w:cs="宋体"/>
          <w:color w:val="auto"/>
          <w:szCs w:val="21"/>
          <w:highlight w:val="none"/>
          <w:lang w:eastAsia="zh-CN"/>
        </w:rPr>
        <w:t>进行</w:t>
      </w:r>
      <w:r>
        <w:rPr>
          <w:rFonts w:hint="eastAsia" w:ascii="宋体" w:hAnsi="宋体" w:eastAsia="宋体" w:cs="宋体"/>
          <w:color w:val="auto"/>
          <w:szCs w:val="21"/>
          <w:highlight w:val="none"/>
        </w:rPr>
        <w:t>赔偿。</w:t>
      </w:r>
    </w:p>
    <w:p>
      <w:pPr>
        <w:spacing w:line="420" w:lineRule="exact"/>
        <w:ind w:firstLine="420" w:firstLineChars="200"/>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5</w:t>
      </w:r>
      <w:r>
        <w:rPr>
          <w:rFonts w:hint="eastAsia" w:ascii="宋体" w:hAnsi="宋体" w:eastAsia="宋体" w:cs="宋体"/>
          <w:color w:val="auto"/>
          <w:szCs w:val="22"/>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2"/>
          <w:highlight w:val="none"/>
        </w:rPr>
        <w:t>应对</w:t>
      </w:r>
      <w:r>
        <w:rPr>
          <w:rFonts w:hint="eastAsia" w:ascii="宋体" w:hAnsi="宋体" w:eastAsia="宋体" w:cs="宋体"/>
          <w:color w:val="auto"/>
          <w:szCs w:val="22"/>
          <w:highlight w:val="none"/>
          <w:lang w:eastAsia="zh-CN"/>
        </w:rPr>
        <w:t>竞</w:t>
      </w:r>
      <w:r>
        <w:rPr>
          <w:rFonts w:hint="eastAsia" w:ascii="宋体" w:hAnsi="宋体" w:eastAsia="宋体" w:cs="宋体"/>
          <w:color w:val="auto"/>
          <w:szCs w:val="22"/>
          <w:highlight w:val="none"/>
        </w:rPr>
        <w:t>标内容所涉及的专利承担法律责任，并负责保护</w:t>
      </w:r>
      <w:r>
        <w:rPr>
          <w:rFonts w:hint="eastAsia" w:ascii="宋体" w:hAnsi="宋体" w:eastAsia="宋体" w:cs="宋体"/>
          <w:color w:val="auto"/>
          <w:szCs w:val="22"/>
          <w:highlight w:val="none"/>
          <w:lang w:eastAsia="zh-CN"/>
        </w:rPr>
        <w:t>采购人</w:t>
      </w:r>
      <w:r>
        <w:rPr>
          <w:rFonts w:hint="eastAsia" w:ascii="宋体" w:hAnsi="宋体" w:eastAsia="宋体" w:cs="宋体"/>
          <w:color w:val="auto"/>
          <w:szCs w:val="22"/>
          <w:highlight w:val="none"/>
        </w:rPr>
        <w:t>的利益不受任何损害。一切由于文字、商标、技术和软件专利授权引起的法律裁决、诉讼和赔偿费用均由</w:t>
      </w:r>
      <w:r>
        <w:rPr>
          <w:rFonts w:hint="eastAsia" w:ascii="宋体" w:hAnsi="宋体" w:eastAsia="宋体" w:cs="宋体"/>
          <w:color w:val="auto"/>
          <w:szCs w:val="22"/>
          <w:highlight w:val="none"/>
          <w:lang w:eastAsia="zh-CN"/>
        </w:rPr>
        <w:t>成交供应商</w:t>
      </w:r>
      <w:r>
        <w:rPr>
          <w:rFonts w:hint="eastAsia" w:ascii="宋体" w:hAnsi="宋体" w:eastAsia="宋体" w:cs="宋体"/>
          <w:color w:val="auto"/>
          <w:szCs w:val="22"/>
          <w:highlight w:val="none"/>
        </w:rPr>
        <w:t>负责。</w:t>
      </w:r>
    </w:p>
    <w:p>
      <w:pPr>
        <w:spacing w:line="420" w:lineRule="exact"/>
        <w:ind w:firstLine="420" w:firstLineChars="200"/>
        <w:jc w:val="left"/>
        <w:rPr>
          <w:rFonts w:hint="eastAsia" w:ascii="宋体" w:hAnsi="宋体" w:eastAsia="宋体" w:cs="宋体"/>
          <w:i/>
          <w:iCs/>
          <w:color w:val="auto"/>
          <w:szCs w:val="22"/>
          <w:highlight w:val="none"/>
          <w:u w:val="single"/>
          <w:lang w:eastAsia="zh-CN"/>
        </w:rPr>
      </w:pPr>
      <w:r>
        <w:rPr>
          <w:rFonts w:hint="eastAsia" w:ascii="宋体" w:hAnsi="宋体" w:eastAsia="宋体" w:cs="宋体"/>
          <w:color w:val="auto"/>
          <w:szCs w:val="22"/>
          <w:highlight w:val="none"/>
          <w:lang w:val="en-US" w:eastAsia="zh-CN"/>
        </w:rPr>
        <w:t>6.</w:t>
      </w:r>
      <w:bookmarkStart w:id="0" w:name="PO_3000001871_PM050"/>
      <w:r>
        <w:rPr>
          <w:rFonts w:hint="eastAsia" w:ascii="宋体" w:hAnsi="宋体" w:eastAsia="宋体" w:cs="宋体"/>
          <w:color w:val="auto"/>
          <w:szCs w:val="22"/>
          <w:highlight w:val="none"/>
        </w:rPr>
        <w:t>需求一览表中的采购标的对应的中小企业划分标准所属行业名称为：</w:t>
      </w:r>
      <w:r>
        <w:rPr>
          <w:rFonts w:hint="eastAsia" w:ascii="宋体" w:hAnsi="宋体" w:eastAsia="宋体" w:cs="宋体"/>
          <w:b/>
          <w:bCs/>
          <w:color w:val="auto"/>
          <w:szCs w:val="22"/>
          <w:highlight w:val="none"/>
          <w:u w:val="single"/>
        </w:rPr>
        <w:t>工业</w:t>
      </w:r>
      <w:r>
        <w:rPr>
          <w:rFonts w:hint="eastAsia" w:ascii="宋体" w:hAnsi="宋体" w:eastAsia="宋体" w:cs="宋体"/>
          <w:b/>
          <w:bCs/>
          <w:color w:val="auto"/>
          <w:szCs w:val="22"/>
          <w:highlight w:val="none"/>
          <w:u w:val="single"/>
          <w:lang w:eastAsia="zh-CN"/>
        </w:rPr>
        <w:t>。</w:t>
      </w:r>
    </w:p>
    <w:p>
      <w:pPr>
        <w:widowControl w:val="0"/>
        <w:tabs>
          <w:tab w:val="center" w:pos="4153"/>
          <w:tab w:val="right" w:pos="8306"/>
        </w:tabs>
        <w:snapToGrid w:val="0"/>
        <w:jc w:val="left"/>
        <w:rPr>
          <w:rFonts w:ascii="宋体" w:hAnsi="宋体" w:eastAsia="宋体" w:cs="宋体"/>
          <w:i/>
          <w:iCs/>
          <w:color w:val="auto"/>
          <w:kern w:val="0"/>
          <w:sz w:val="18"/>
          <w:szCs w:val="18"/>
          <w:highlight w:val="none"/>
          <w:u w:val="single"/>
          <w:lang w:val="en-US" w:eastAsia="zh-CN" w:bidi="ar-SA"/>
        </w:rPr>
      </w:pPr>
    </w:p>
    <w:bookmarkEnd w:id="0"/>
    <w:tbl>
      <w:tblPr>
        <w:tblStyle w:val="2"/>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6"/>
        <w:gridCol w:w="585"/>
        <w:gridCol w:w="945"/>
        <w:gridCol w:w="825"/>
        <w:gridCol w:w="71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5"/>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b/>
                <w:bCs/>
                <w:color w:val="auto"/>
                <w:szCs w:val="21"/>
                <w:highlight w:val="none"/>
              </w:rPr>
            </w:pPr>
            <w:bookmarkStart w:id="1" w:name="PO_TDCUS_ITEM_PB_REQ_FILE_1_1"/>
            <w:r>
              <w:rPr>
                <w:rFonts w:hint="eastAsia" w:ascii="宋体" w:hAnsi="宋体" w:eastAsia="宋体" w:cs="宋体"/>
                <w:color w:val="auto"/>
                <w:szCs w:val="21"/>
                <w:highlight w:val="none"/>
              </w:rPr>
              <w:t>分标：无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96" w:type="dxa"/>
            <w:vMerge w:val="restart"/>
            <w:tcBorders>
              <w:top w:val="single" w:color="auto" w:sz="4" w:space="0"/>
              <w:left w:val="single" w:color="auto" w:sz="4" w:space="0"/>
              <w:right w:val="single" w:color="auto" w:sz="4" w:space="0"/>
            </w:tcBorders>
          </w:tcPr>
          <w:p>
            <w:pPr>
              <w:keepNext w:val="0"/>
              <w:keepLines w:val="0"/>
              <w:suppressLineNumbers w:val="0"/>
              <w:spacing w:before="0" w:beforeAutospacing="0" w:after="0" w:afterAutospacing="0" w:line="360" w:lineRule="auto"/>
              <w:ind w:left="0" w:right="0" w:firstLine="422" w:firstLineChars="200"/>
              <w:jc w:val="center"/>
              <w:rPr>
                <w:rFonts w:hint="eastAsia" w:ascii="宋体" w:hAnsi="宋体" w:eastAsia="宋体" w:cs="宋体"/>
                <w:b/>
                <w:bCs/>
                <w:color w:val="auto"/>
                <w:szCs w:val="21"/>
                <w:highlight w:val="none"/>
              </w:rPr>
            </w:pPr>
          </w:p>
          <w:p>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需求一览表</w:t>
            </w:r>
          </w:p>
          <w:p>
            <w:pPr>
              <w:keepNext w:val="0"/>
              <w:keepLines w:val="0"/>
              <w:widowControl/>
              <w:suppressLineNumbers w:val="0"/>
              <w:spacing w:before="0" w:beforeAutospacing="0" w:after="0" w:afterAutospacing="0" w:line="360" w:lineRule="auto"/>
              <w:ind w:left="0" w:right="0" w:firstLine="422" w:firstLineChars="200"/>
              <w:jc w:val="left"/>
              <w:rPr>
                <w:rFonts w:hint="eastAsia" w:ascii="宋体" w:hAnsi="宋体" w:eastAsia="宋体" w:cs="宋体"/>
                <w:b/>
                <w:bCs/>
                <w:color w:val="auto"/>
                <w:szCs w:val="21"/>
                <w:highlight w:val="none"/>
              </w:rPr>
            </w:pPr>
          </w:p>
          <w:p>
            <w:pPr>
              <w:keepNext w:val="0"/>
              <w:keepLines w:val="0"/>
              <w:widowControl w:val="0"/>
              <w:suppressLineNumbers w:val="0"/>
              <w:snapToGrid w:val="0"/>
              <w:spacing w:before="0" w:beforeAutospacing="0" w:after="0" w:afterAutospacing="0" w:line="360" w:lineRule="auto"/>
              <w:ind w:left="0" w:right="0" w:firstLine="422" w:firstLineChars="200"/>
              <w:jc w:val="left"/>
              <w:rPr>
                <w:rFonts w:hint="eastAsia" w:ascii="宋体" w:hAnsi="宋体" w:eastAsia="宋体" w:cs="宋体"/>
                <w:b/>
                <w:bCs/>
                <w:color w:val="auto"/>
                <w:kern w:val="0"/>
                <w:sz w:val="21"/>
                <w:szCs w:val="21"/>
                <w:highlight w:val="none"/>
                <w:lang w:val="zh-CN" w:eastAsia="zh-CN" w:bidi="ar-SA"/>
              </w:rPr>
            </w:pPr>
          </w:p>
        </w:tc>
        <w:tc>
          <w:tcPr>
            <w:tcW w:w="5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标的名称</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数量及单位</w:t>
            </w:r>
          </w:p>
        </w:tc>
        <w:tc>
          <w:tcPr>
            <w:tcW w:w="71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技术参数及配置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59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p>
        </w:tc>
        <w:tc>
          <w:tcPr>
            <w:tcW w:w="585"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45"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共焦显微拉曼光谱仪</w:t>
            </w:r>
          </w:p>
        </w:tc>
        <w:tc>
          <w:tcPr>
            <w:tcW w:w="825"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lang w:bidi="ar"/>
              </w:rPr>
              <w:t>1套</w:t>
            </w:r>
          </w:p>
        </w:tc>
        <w:tc>
          <w:tcPr>
            <w:tcW w:w="71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一、设备要求 </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用于材料的微观结构和化学成分分析。该仪器结合了共焦显微镜和拉曼光谱技术，能够在显微尺度下进行实时表征，鉴定物质分子结构等各类化学信息。配备激光光源、光谱检测系统和样品台、主机，具备高分辨率成像和谱图获取能力。可以在不受周围物质干扰的情况下，精准的获取样品微区有关的各种拉曼光谱信息，在材料科学、生物学、医学制药、生命科学、爆炸物安测、毒品、文物研究等各个方面应用。</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二、技术规格及参数要求</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 拉曼光谱仪主机</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1.1▲激光波长：</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内置约532nm窄线宽激光器，其最大激光输出功率不低于80 mW，拉曼光谱范围不低于150-8000cm-1；</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内置785nm窄线宽激光器，其最大激光输出功率不低于300mW，拉曼光谱范围为150-3500cm-1。</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1.2激光功率可通过软件设置，连续可调；</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1.3光谱分辨率：≤0.5cm-1；</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1.4分光光谱仪焦距不低于350mm，内置3片塔式可转动大面积光栅，光栅面积不低于70×70mm，光栅线数分别为600线、1200线、1800线；</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1.5光谱采样间隔：0.5 cm-1；</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1.6像元尺寸:约14μm×14μm；</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1.7▲显微部分和分光光谱仪部分分立设计，激光器和光谱仪采用光纤连接显微镜，分光光谱仪可以作为光栅光谱仪独立工作，方便不同应用场景；</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1.8激光器采用恒功率控制，2小时功率变化量不超过0.1%；</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1.9检测器：制冷型科学级背照式 CCD (制冷最低可达 -70ºC)，探测器像素：2048 × 506，积分时间可长达1.2小时；</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1.10▲自动对焦功能，同时可支持可手动微调；</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1.11▲Mapping功能：具有边扫描边自动成像，扫描时要求实时图像拼接等功能；</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1.12工作温度范围：-10-40℃；</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1.13通讯模式：USB 2.0。</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bidi="ar"/>
              </w:rPr>
            </w:pP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 . 显微镜</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2.1配备专门为拉曼系统设计的物镜，使得激光光斑接近衍射极限，再通过500万相机将焦点信息准确直观的显示在电脑上。克服普通的拉曼系统中收集拉曼信号的焦面稍高于或稍低于实际最佳焦面的问题，从而提高拉曼光谱质量。</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2.2显微镜放大倍数：1000倍；</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2.3表面成像相机分辨率：500万像素，相机可以对高低不平的样品扫描，在同一张图片中可以对各个不同高度的样品均可清晰成像；</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2.4物镜孔：至少有4个物镜孔，用户可自由切换不同物镜；</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2.5物镜：4×,10×,20×（其他倍数可选配）；</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2.6工作距离：≥7mm。</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 全自动电控二维平台</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3.1XY轴移动范围：50×50mm；</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3.2移动分辨率：0.2μm；</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3.3定位精度：1μm；</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3.4 Z轴（自动对焦）；</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3.5对焦精度：≤ ±0.2 μm。</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 拉曼光谱仪操作软件</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4.1软件功能具有峰值查找，需要按局部信噪比进行查找，需要找出信噪比为3的拉曼峰值，硅四阶峰可见；</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4.2▲能同时显示多张谱图，具体数量可设定；能一次复制、保存显示界面上的所有谱图原始数据（不少于5条）；</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4.3能打印当前谱图，打印的谱图上需要体现测试仪器参数设定值，如积分时间、激光功率等；</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4,4▲有波长矫正功能，用户可以自行完成波长校准；</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4.5软件包含被测样本区域实拍图、mapping成像区、光谱显示区、伪彩色评价值显示区；</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4.6软件具有单次采集以及扫描成像选项，采集可通过选取区域自动采集.选取中心点采集以及任意选点三种模式采集功能；</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4.7软件具有自建方法库功能，能直接调用之前设定或处理好数据的实验模板重复运行新的实验，结果无需重复处理分析；</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4.8▲支持快速采集、精确采集、高精采集三种工作模式；</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5.产品质量保证相关</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5.1设备安装环境要求：电源220V 50/60Hz；室内温度10～35℃；湿度40～85%以内；</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bidi="ar"/>
              </w:rPr>
            </w:pPr>
          </w:p>
          <w:p>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智能科研管理系统可获取研究员实验终端的工作数据，支持对科研实验数据进行自动评判或人工审核评判，对各类科研数据进行分类统计并展现。智能信息终端可以对实验或科研过程进行图像采集、实验数据输入、文字描述输入、数据自动审核评定等，实现实验科研全过程信息化管理与实验原始数据电子化，整体系统具备以下功能：</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（一）实验终端</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1.支持研究员通过员工一键登录做实验，终端系统自动记录研究员员工信息与所在实验室座位编号； 2.支持研究员联网登录并实现实验课程推送；3.支持实验终端与系统平台无缝数据传输，项目实验数据报告一键上传，支持多次上传并联网获取最新实验数据；4.针对每个实验项目，支持研究员图片记录并上传不少于15张图片；5.针对每个实验项目，支持手动输入实验数据，具备实验操作状态图像记录功能，实现研究员头像、实验操作状态、实验仪器状态拍照并嵌入电子实验报告；</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（二）实验科研管理：1.提供统一登录入口，支持科研通知公告、规章制度、操作指南等资料发布功能； 2.支持在线整体查看研究员实验预习、复习实时情况； 3.针对不同身份权限用户，提供多种后台显示界面； 4.支持实验选课名单一键导入，并据此自动生成选课人员名单表，自动关联并推送研究员实验信息； 5.支持管理者可将文档、视频、图片、实验指导书等各种科研资源上传，支持研究员线上查阅； 6.支持管理者自定义实验成绩统计策略，并具备根据管理者定义的统计策略进行自动成绩统计汇总，且支持百分制排序和五等制(优、良、中、及 格、不及格)排序；7.针对每个实验项目，支持研究员在线查阅、预习实验报告模版；8.针对每个实验项目，支持管理者上传实验课程预习资源、编辑报告模板等；9.支持客观题（单选、多选、判断题）线上考试设置，灵活设置考试时 间、成绩用时排序以及随机抽题功能；10.针对每次提交通过的项目数据与管理者审核的数据、报告，均可生成 电子报告文档，永久保存与翻查；11.支持每个实验项目，一键签到、预习测试、项目审核、实验后测试，实验后报告等多环节实验学习综合考核，考核成绩自动计入总分；12.针对每个实验项目，支持研究员实验后云端下载项目实验数据原始电子报告，管理者一键下载所有研究员报告；13.针对每个实验项目，支持研究员实验后多终端（手机、PC端）在线编辑、上传完整实验报告各终端系统数据无缝连接； </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三）人员管理：1.支持系统不同用户分级管理，可分为管理员、课程负责人、管理者、学生；2.系统管理员、管理者可查看自己所辖实验课程总统计情况，包括按课程分类、按课号分类、按管理者分类、支持查看实验课程成绩总体分类情况，实验项目成绩情况，实验环节成绩情况、实验提交次数统计、实验历史成绩分类人数趋势等；3.支持管理者、管理员对研究员一键密码重置与用户恢复；4.支持管理员查看系统日志。</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w:t>
            </w:r>
            <w:r>
              <w:rPr>
                <w:rFonts w:hint="eastAsia" w:ascii="宋体" w:hAnsi="宋体" w:eastAsia="宋体" w:cs="宋体"/>
                <w:b/>
                <w:bCs/>
                <w:color w:val="auto"/>
                <w:szCs w:val="21"/>
                <w:highlight w:val="none"/>
                <w:lang w:bidi="ar"/>
              </w:rPr>
              <w:t>▲</w:t>
            </w:r>
            <w:r>
              <w:rPr>
                <w:rFonts w:hint="eastAsia" w:ascii="宋体" w:hAnsi="宋体" w:eastAsia="宋体" w:cs="宋体"/>
                <w:color w:val="auto"/>
                <w:szCs w:val="21"/>
                <w:highlight w:val="none"/>
                <w:lang w:bidi="ar"/>
              </w:rPr>
              <w:t xml:space="preserve">智能数据评判及统计管理：1.支持实验数据多种审核模式，系统自动审核研究员实验数据并给出错误提醒，可根据管理者要求更改为人工审核方式； 2.针对每个实验项目，支持研究员在线做实验预习题、实验后测试题，支持系统自动评分并给出正确解析，测试成绩自动按比例计入课程总分； 3.支持管理者对实验数据报告图片通过、拒绝、批注等多种批改方式； 4.针对每个实验项目，支持管理者全局浏览研究员上传的实验状态图片及完 整实验报告,并在线审核打分； 5.管理者可按实验课号（团队）查询统计研究员实验环节状态、成绩，并支 持一键导出； </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w:t>
            </w:r>
            <w:r>
              <w:rPr>
                <w:rFonts w:hint="eastAsia" w:ascii="宋体" w:hAnsi="宋体" w:eastAsia="宋体" w:cs="宋体"/>
                <w:b/>
                <w:bCs/>
                <w:color w:val="auto"/>
                <w:szCs w:val="21"/>
                <w:highlight w:val="none"/>
                <w:lang w:bidi="ar"/>
              </w:rPr>
              <w:t>▲</w:t>
            </w:r>
            <w:r>
              <w:rPr>
                <w:rFonts w:hint="eastAsia" w:ascii="宋体" w:hAnsi="宋体" w:eastAsia="宋体" w:cs="宋体"/>
                <w:color w:val="auto"/>
                <w:szCs w:val="21"/>
                <w:highlight w:val="none"/>
                <w:lang w:bidi="ar"/>
              </w:rPr>
              <w:t>移动端应用 1.支持管理者PAD端实验科研管理APP，提供至少两种移动终端操作系统软件（安卓、IOS系统）； 2.管理者可通过APP在线查看研究员实验情况，并审核研究员实验数据、批注 记录图片、批改研究员实验报告、发布随堂测试题、查看研究员实验错题等； 4.支持研究员手机移动端实验APP，提供至少两种移动终端操作系统软件 （安卓、IOS系统）； 5.研究员移动终端支持实验课前预习、实验后复习、实验报告编辑等实 验环节操作，移动端操作数据均与系统平台、项目实验终端报告数据无 缝流转。</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w:t>
            </w:r>
            <w:r>
              <w:rPr>
                <w:rFonts w:hint="eastAsia" w:ascii="宋体" w:hAnsi="宋体" w:eastAsia="宋体" w:cs="宋体"/>
                <w:b/>
                <w:bCs/>
                <w:color w:val="auto"/>
                <w:szCs w:val="21"/>
                <w:highlight w:val="none"/>
                <w:lang w:bidi="ar"/>
              </w:rPr>
              <w:t>▲</w:t>
            </w:r>
            <w:r>
              <w:rPr>
                <w:rFonts w:hint="eastAsia" w:ascii="宋体" w:hAnsi="宋体" w:eastAsia="宋体" w:cs="宋体"/>
                <w:color w:val="auto"/>
                <w:szCs w:val="21"/>
                <w:highlight w:val="none"/>
                <w:lang w:bidi="ar"/>
              </w:rPr>
              <w:t>系统兼容性 1.兼容主流操作系统，支持Windows，MacOS与Linux； 2.兼容各种硬件终端访问，可通过PC机，平板与移动终端设备访问系统； 3.为后期科研管理需要，支持与仪器管理系统、编程实验科研模块在同一平台内嵌部署与兼容。</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w:t>
            </w:r>
            <w:r>
              <w:rPr>
                <w:rFonts w:hint="eastAsia" w:ascii="宋体" w:hAnsi="宋体" w:eastAsia="宋体" w:cs="宋体"/>
                <w:b/>
                <w:bCs/>
                <w:color w:val="auto"/>
                <w:szCs w:val="21"/>
                <w:highlight w:val="none"/>
                <w:lang w:bidi="ar"/>
              </w:rPr>
              <w:t>▲</w:t>
            </w:r>
            <w:r>
              <w:rPr>
                <w:rFonts w:hint="eastAsia" w:ascii="宋体" w:hAnsi="宋体" w:eastAsia="宋体" w:cs="宋体"/>
                <w:color w:val="auto"/>
                <w:szCs w:val="21"/>
                <w:highlight w:val="none"/>
                <w:lang w:bidi="ar"/>
              </w:rPr>
              <w:t>接口协议 1.系统具有通用的接口或开放接口协议，支持使用单位根据实际情况持续合作开发升级，能与其他管理系统兼容，并能纳入系统统一管理；（八）本系统所提供的上述功能，供应商需具备对其调整、升级的能力， 并在成交后能根据使用单位实际需求，对本系统进行适当调整，以适应使用单位原有的项目科研流程</w:t>
            </w:r>
            <w:r>
              <w:rPr>
                <w:rFonts w:hint="eastAsia" w:ascii="Calibri" w:hAnsi="Calibri" w:eastAsia="宋体" w:cs="Times New Roman"/>
                <w:color w:val="auto"/>
                <w:szCs w:val="22"/>
                <w:highlight w:val="none"/>
              </w:rPr>
              <w:t>。</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▲为保证售后服务质量，交货时必须提供生产厂家售后服务承诺书原件。</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三、设备配置</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2.1.拉曼光谱仪主机 1台</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2.2.显微镜 1台 </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2.3.液体样品测量附件 1个</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2.4.拉曼光谱仪数据采集处理软件 1套</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9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超高温热电池拉曼测试装置</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lang w:bidi="ar"/>
              </w:rPr>
              <w:t>1套</w:t>
            </w:r>
          </w:p>
        </w:tc>
        <w:tc>
          <w:tcPr>
            <w:tcW w:w="7170" w:type="dxa"/>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1"/>
              </w:numPr>
              <w:suppressLineNumbers w:val="0"/>
              <w:spacing w:before="0" w:beforeAutospacing="0" w:after="0" w:afterAutospacing="0" w:line="360" w:lineRule="auto"/>
              <w:ind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▲尺寸为φ约8mm*2mm的陶瓷圆形槽，可实现RT~1500℃内的控温；</w:t>
            </w:r>
          </w:p>
          <w:p>
            <w:pPr>
              <w:keepNext w:val="0"/>
              <w:keepLines w:val="0"/>
              <w:numPr>
                <w:ilvl w:val="0"/>
                <w:numId w:val="1"/>
              </w:numPr>
              <w:suppressLineNumbers w:val="0"/>
              <w:spacing w:before="0" w:beforeAutospacing="0" w:after="0" w:afterAutospacing="0" w:line="360" w:lineRule="auto"/>
              <w:ind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温控系统：温控系统采用PID调节方式，可以实时监测并调节温度，超高温热台在1000℃以内温度稳定性±0.1℃，1000~1500℃内，温度稳定性±1℃，最大升温速率：150℃/min；冷热台芯内置温度传感器实时采集温度数据，反馈至控制器形成闭环调节，载样台配置温度传感器；</w:t>
            </w:r>
          </w:p>
          <w:p>
            <w:pPr>
              <w:keepNext w:val="0"/>
              <w:keepLines w:val="0"/>
              <w:numPr>
                <w:ilvl w:val="0"/>
                <w:numId w:val="1"/>
              </w:numPr>
              <w:suppressLineNumbers w:val="0"/>
              <w:spacing w:before="0" w:beforeAutospacing="0" w:after="0" w:afterAutospacing="0" w:line="360" w:lineRule="auto"/>
              <w:ind w:right="0" w:firstLine="420" w:firstLineChars="200"/>
              <w:rPr>
                <w:rFonts w:hint="eastAsia" w:ascii="宋体" w:hAnsi="宋体" w:eastAsia="宋体" w:cs="宋体"/>
                <w:color w:val="auto"/>
                <w:szCs w:val="21"/>
                <w:highlight w:val="none"/>
              </w:rPr>
            </w:pPr>
            <w:r>
              <w:rPr>
                <w:rFonts w:hint="eastAsia" w:ascii="Times New Roman" w:hAnsi="Times New Roman" w:eastAsia="宋体" w:cs="Times New Roman"/>
                <w:color w:val="auto"/>
                <w:szCs w:val="21"/>
                <w:highlight w:val="none"/>
              </w:rPr>
              <w:t>▲</w:t>
            </w:r>
            <w:r>
              <w:rPr>
                <w:rFonts w:hint="eastAsia" w:ascii="宋体" w:hAnsi="宋体" w:eastAsia="宋体" w:cs="宋体"/>
                <w:color w:val="auto"/>
                <w:szCs w:val="21"/>
                <w:highlight w:val="none"/>
                <w:lang w:bidi="ar"/>
              </w:rPr>
              <w:t>结构模块：与现场拉曼主机底板结构适配，视窗上表面到载样台上表面7.5mm的尺寸满足加热单元：超高温热台采用电阻加热的方式，样品加热采用炉腔式载样台，观察需求，超高温台拆卸简易快捷且不影响拉曼主机功能；</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4、观察模块：正面观察窗偏心旋转玻璃视窗设计，保持测试过程中视野清晰，满足观测需求，视窗是易拆卸更换模块，可根据实验需求更换不同的视窗材质；</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5、水冷模块：装置设计水道，保持外壳表面常温，避免高温运行时造成操作安全问题。冷却方式：水冷，自动运行；</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6、腔体环境模块：腔体配有一进一出气源接口，可通惰性保护气体，防止样品在高温条件下氧化或发生不必要反应；</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7、数据采集与分析模块：配备温度控制软件；可实时记录变化曲线，生成数据报告，用于实验分析。</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支持锂电池充放电过程中的原位拉曼观测。</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结构与现场拉曼主机适配，拆卸简易快捷且不影响拉曼主机功能。</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lang w:bidi="ar"/>
              </w:rPr>
              <w:t>▲为保证售后服务质量，交货时必须提供生产厂家售后服务承诺书原件。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9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光学平台</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lang w:bidi="ar"/>
              </w:rPr>
              <w:t>2台</w:t>
            </w:r>
          </w:p>
        </w:tc>
        <w:tc>
          <w:tcPr>
            <w:tcW w:w="71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应用范围:显微镜、光路测试、光学测量、激光干涉、激光扫描、光谱实验等领域。</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1、台面板材料:6mm1Cr17优质高导磁不锈钢。</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 xml:space="preserve">2、台体总厚度:200mm±1mm。 </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3、台面离地高度:800mm±1mm。</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4、台体总尺寸（长*宽*高） : 约2000mm*1200mm*800mm。</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5、固定螺孔:台面布M6螺孔阵距约25mm×25mm。</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6、台体内状结构:蜂窝状钢质结构。</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7、振幅≤1.0um。</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8、台面平整精度:0.02-0.05mm/m2。</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9、表面粗糙度＜0.8μm。</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10、固有频率垂直:1.2～1.8Hz 水平1.2～1.8Hz。</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11、负载重量:约800kg。</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12、减振效率 :  x方向＜5Hz时：88%～94%y方向＜5Hz时：86%～92%   x方向＜10Hz时：92%～98%  y方向＜10Hz时：90%～95%；</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13、台体支撑方式:内置4点空气弹簧隔振装置支撑系统，自动充气自动平衡、采用气动元件,配置脚轮，方便移动，配超静音空压机。</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14、产品特点：</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▲通用性隔振光学平台，能够满足精密负载对振动隔离需求，且面向设备仪器提供通用化隔振解决方案，改善振动环境，以发挥设备仪器的最佳效能。</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▲优异的隔振性能：内置精密空气弹簧隔振系统，具备固有频率，对多个方向的振动特别是垂直方向有着衰减效果，避免外界振动干扰设备仪器精度，提高仪器设备使用精度和使用效率。</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▲自动调节水平功能：放置负载的位置发生变化，平台迅速通过高精度阀门自动调整空气弹簧内部的气压，自动保持水平。标配压缩机。</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▲台板采用蜂窝芯夹板结构,上面板为1cr17优质高导磁不锈钢，经精密研磨处理，平面度高，回旋打磨工艺清除毛边，达到无反射、亚光效果，面板具有M6螺孔阵列，易于固定光学元件。</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▲隔振支撑为优质钢管焊接而成，整体坚固可靠。</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▲工作压力为0.35～0.6Mpa，标准配置调压过滤阀将保证空气弹簧的长期有效工作，用户只需要将气管连接进气口，就能使装置正常发挥隔振功能，气源可通过小型空气压缩机或氮气瓶供给，便于在安静场合使用。</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▲为保证售后服务质量，交货时必须提供生产厂家售后服务承诺书原件。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9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除湿机</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lang w:bidi="ar"/>
              </w:rPr>
              <w:t>2台</w:t>
            </w:r>
          </w:p>
        </w:tc>
        <w:tc>
          <w:tcPr>
            <w:tcW w:w="71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除湿量:80升/天【30℃，80%HR】；</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电源:220V-50Hz；</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电流:6.5A；</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输入功率:1350 W；</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循环风量:900 m³/h；</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使用环境温度:5-38℃；</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排水方式:8.5升水箱/增压泵软管连续排水；</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外形尺寸:约515*375*825mm；</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毛重:约26Kg；</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净重:约24Kg；</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适用面积:80-120²【层高约2.6m】；</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lang w:bidi="ar"/>
              </w:rPr>
              <w:t>压缩机:旋转式压缩机，省电、高效R410A/380g压控制方式:微电脑控制，湿度自动控制，自动除霜。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9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管式等离子体增强化学气相沉积仪</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lang w:bidi="ar"/>
              </w:rPr>
              <w:t>1套</w:t>
            </w:r>
          </w:p>
        </w:tc>
        <w:tc>
          <w:tcPr>
            <w:tcW w:w="71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设备可具体用于：制备石墨烯、碳、 ZnO 纳米管或纳米线的制备或用于各种CVD实验 。</w:t>
            </w:r>
          </w:p>
          <w:p>
            <w:pPr>
              <w:keepNext w:val="0"/>
              <w:keepLines w:val="0"/>
              <w:numPr>
                <w:ilvl w:val="0"/>
                <w:numId w:val="2"/>
              </w:numPr>
              <w:suppressLineNumbers w:val="0"/>
              <w:spacing w:before="0" w:beforeAutospacing="0" w:after="0" w:afterAutospacing="0" w:line="360" w:lineRule="auto"/>
              <w:ind w:right="0" w:firstLine="422" w:firstLineChars="200"/>
              <w:jc w:val="left"/>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射频电源</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输出功率:0~500W，稳定性为±1%；</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射频频率:13.56 MHz，稳定性为±0.005%；</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最大反射功率:150W；</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匹配:自动；</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射频接口: 50Ω,N-type；</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噪音: &lt;50 dB；</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冷却方式:电扇，风冷；</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电源: AC208-240V, 50/60Hz。</w:t>
            </w:r>
          </w:p>
          <w:p>
            <w:pPr>
              <w:keepNext w:val="0"/>
              <w:keepLines w:val="0"/>
              <w:numPr>
                <w:ilvl w:val="0"/>
                <w:numId w:val="2"/>
              </w:numPr>
              <w:suppressLineNumbers w:val="0"/>
              <w:spacing w:before="0" w:beforeAutospacing="0" w:after="0" w:afterAutospacing="0" w:line="360" w:lineRule="auto"/>
              <w:ind w:right="0" w:firstLine="422" w:firstLineChars="200"/>
              <w:jc w:val="left"/>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管式加热炉</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▲工作温度：≦1500℃；</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▲控温精度：±1℃；</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▲加热温区：双温区；</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炉管材质：刚玉管；</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炉膛材料：纤维；</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安全防护：超温报警、断偶保护；</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密封方式：真空法兰；</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测温元件：热电偶；</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真空法兰：不锈钢水冷法兰；</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连接阀门：KF25挡板阀；</w:t>
            </w:r>
          </w:p>
          <w:p>
            <w:pPr>
              <w:keepNext w:val="0"/>
              <w:keepLines w:val="0"/>
              <w:widowControl/>
              <w:suppressLineNumbers w:val="0"/>
              <w:spacing w:before="0" w:beforeAutospacing="0" w:after="0" w:afterAutospacing="0" w:line="360" w:lineRule="auto"/>
              <w:ind w:left="-360" w:right="8"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工作温度：室温～1500℃；控温精度：+/- 1 ºC；</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炉管尺寸：100 O.D × 92I.D × 1600 L（单位mm）；</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加热温区：400mm；</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▲带有过热和断偶保护；</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▲带有控制模块，可以将温度设置和温度曲线导入到电脑；</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输入电源：208–240V、AC，单相；</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设计功率：5KW。</w:t>
            </w:r>
          </w:p>
          <w:p>
            <w:pPr>
              <w:keepNext w:val="0"/>
              <w:keepLines w:val="0"/>
              <w:suppressLineNumbers w:val="0"/>
              <w:spacing w:before="0" w:beforeAutospacing="0" w:after="0" w:afterAutospacing="0" w:line="360" w:lineRule="auto"/>
              <w:ind w:left="0" w:right="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bidi="ar"/>
              </w:rPr>
              <w:t>3.数字真空规</w:t>
            </w:r>
            <w:r>
              <w:rPr>
                <w:rFonts w:hint="eastAsia" w:ascii="宋体" w:hAnsi="宋体" w:eastAsia="宋体" w:cs="宋体"/>
                <w:color w:val="auto"/>
                <w:szCs w:val="21"/>
                <w:highlight w:val="none"/>
                <w:lang w:bidi="ar"/>
              </w:rPr>
              <w:t>：</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接口尺寸：CF16</w:t>
            </w:r>
          </w:p>
          <w:p>
            <w:pPr>
              <w:keepNext w:val="0"/>
              <w:keepLines w:val="0"/>
              <w:suppressLineNumbers w:val="0"/>
              <w:spacing w:before="0" w:beforeAutospacing="0" w:after="0" w:afterAutospacing="0" w:line="360" w:lineRule="auto"/>
              <w:ind w:left="0" w:right="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bidi="ar"/>
              </w:rPr>
              <w:t>4.真空泵</w:t>
            </w:r>
            <w:r>
              <w:rPr>
                <w:rFonts w:hint="eastAsia" w:ascii="宋体" w:hAnsi="宋体" w:eastAsia="宋体" w:cs="宋体"/>
                <w:color w:val="auto"/>
                <w:szCs w:val="21"/>
                <w:highlight w:val="none"/>
                <w:lang w:bidi="ar"/>
              </w:rPr>
              <w:t>：</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抽气速率：4L/min</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极限真空：6x10E-1Pa</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真空泄露：≦5x10E-9PaM3/S</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抽气接口：KF25快接法兰</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工作噪音：&lt;56dB</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工作电源：AC220V 50Hz</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连接管道：不锈钢波纹管，气动挡板阀与法兰和真空泵相连。</w:t>
            </w:r>
          </w:p>
          <w:p>
            <w:pPr>
              <w:keepNext w:val="0"/>
              <w:keepLines w:val="0"/>
              <w:numPr>
                <w:ilvl w:val="255"/>
                <w:numId w:val="0"/>
              </w:numPr>
              <w:suppressLineNumbers w:val="0"/>
              <w:spacing w:before="0" w:beforeAutospacing="0" w:after="0" w:afterAutospacing="0" w:line="360" w:lineRule="auto"/>
              <w:ind w:left="0" w:right="0"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5.气体质量流量控制器</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4路数字式气体流量控制器</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MFC1量程：100 sccm</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MFC2量程：200 sccm </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MFC3量程：200 sccm </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MFC4量程：500 sccm </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流量控制采用PLC+触摸屏控制方式。</w:t>
            </w:r>
          </w:p>
          <w:p>
            <w:pPr>
              <w:keepNext w:val="0"/>
              <w:keepLines w:val="0"/>
              <w:numPr>
                <w:ilvl w:val="255"/>
                <w:numId w:val="0"/>
              </w:numPr>
              <w:suppressLineNumbers w:val="0"/>
              <w:spacing w:before="0" w:beforeAutospacing="0" w:after="0" w:afterAutospacing="0" w:line="360" w:lineRule="auto"/>
              <w:ind w:left="0" w:right="0"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6.控制方式</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▲采用PLC+触摸屏自动控制方式</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▲控制内容：真空泵开启、阀门开启、射频电源开启、射频电源功率控制、气体流量开关及流量控制、放气控制、加热温度及程序段控制等。</w:t>
            </w:r>
          </w:p>
          <w:p>
            <w:pPr>
              <w:keepNext w:val="0"/>
              <w:keepLines w:val="0"/>
              <w:suppressLineNumbers w:val="0"/>
              <w:adjustRightInd w:val="0"/>
              <w:snapToGrid w:val="0"/>
              <w:spacing w:before="0" w:beforeAutospacing="0" w:after="0" w:afterAutospacing="0" w:line="360" w:lineRule="auto"/>
              <w:ind w:left="0" w:right="0" w:firstLine="422"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▲为保证售后服务质量，交货时必须提供生产厂家售后服务承诺书原件。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9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45"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通风橱</w:t>
            </w:r>
          </w:p>
        </w:tc>
        <w:tc>
          <w:tcPr>
            <w:tcW w:w="825"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lang w:bidi="ar"/>
              </w:rPr>
              <w:t>2台</w:t>
            </w:r>
          </w:p>
        </w:tc>
        <w:tc>
          <w:tcPr>
            <w:tcW w:w="7170"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全钢通风柜</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规格：约1500*850*2350mm；</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1、主体框架：左右旁板、前钢板、后背板、顶板及下柜体均采用（裸板）1.0mm厚马钢一级冷轧镀锌钢板，全自动数控激光切割机下料，折弯采用全自动数控折弯机一次性一体折弯成型，喷涂表面经环氧树脂静电流水线自动化喷涂。</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2、内衬板\导流板：采用实芯抗倍特板（5mm厚）具有良好的防腐蚀、化学抗性。导流板固定件使用PP优质材质制作一体成型。</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3、移动视窗：5mm</w:t>
            </w:r>
            <w:r>
              <w:rPr>
                <w:rFonts w:hint="eastAsia" w:ascii="Calibri" w:hAnsi="Calibri" w:eastAsia="宋体" w:cs="Times New Roman"/>
                <w:color w:val="auto"/>
                <w:szCs w:val="22"/>
                <w:highlight w:val="none"/>
              </w:rPr>
              <w:t>厚</w:t>
            </w:r>
            <w:r>
              <w:rPr>
                <w:rFonts w:hint="eastAsia" w:ascii="宋体" w:hAnsi="宋体" w:eastAsia="宋体" w:cs="宋体"/>
                <w:bCs/>
                <w:color w:val="auto"/>
                <w:kern w:val="0"/>
                <w:szCs w:val="21"/>
                <w:highlight w:val="none"/>
                <w:lang w:bidi="ar"/>
              </w:rPr>
              <w:t>优质钢化玻璃，门开启高度为700mm,自由升降，移门上下滑动装置采用电梯配重方式结构，无级任意停留，移门导向装置由抗腐蚀的聚氯乙稀材质构成。移门把手PP一体成型制作，移门旁边是抗化学腐蚀的塑料包裹，移门的开、闭有橡胶缓冲装置。</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4、通风柜正前方全部为玻璃视窗，有良好的可视范围。导流板和内衬材料一致，导流板支架由非金属材料构成。</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5、下柜体：台面选用12.7mm厚优质实芯理化板，为保证通风柜台面在实验环境中的使用要求，</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6、连接部分：所有的内部连接装置都需隐藏布置和抗腐蚀。没有外露的螺钉。</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外部连接装置都抗化学腐蚀，用聚氯乙稀包裹的不锈钢部件与非金属材料。</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7、排气出口：排气出口为圆形，套管连接，减少气体扰流。</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二、性能及其它配置：</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1、通风柜内衬板材料具</w:t>
            </w:r>
            <w:r>
              <w:rPr>
                <w:rFonts w:hint="eastAsia" w:ascii="Calibri" w:hAnsi="Calibri" w:eastAsia="宋体" w:cs="Times New Roman"/>
                <w:color w:val="auto"/>
                <w:szCs w:val="22"/>
                <w:highlight w:val="none"/>
              </w:rPr>
              <w:t>有</w:t>
            </w:r>
            <w:r>
              <w:rPr>
                <w:rFonts w:hint="eastAsia" w:ascii="宋体" w:hAnsi="宋体" w:eastAsia="宋体" w:cs="宋体"/>
                <w:bCs/>
                <w:color w:val="auto"/>
                <w:kern w:val="0"/>
                <w:szCs w:val="21"/>
                <w:highlight w:val="none"/>
                <w:lang w:bidi="ar"/>
              </w:rPr>
              <w:t>耐酸碱及有机溶剂腐蚀等性能，无裸露金属或不能抗腐蚀和防火的材料。</w:t>
            </w:r>
          </w:p>
          <w:p>
            <w:pPr>
              <w:keepNext w:val="0"/>
              <w:keepLines w:val="0"/>
              <w:suppressLineNumbers w:val="0"/>
              <w:adjustRightInd w:val="0"/>
              <w:snapToGrid w:val="0"/>
              <w:spacing w:before="0" w:beforeAutospacing="0" w:after="0" w:afterAutospacing="0" w:line="360" w:lineRule="auto"/>
              <w:ind w:left="0" w:right="0"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▲为保证售后服务质量，交货时必须提供生产厂家售后服务承诺书原件。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9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firstLine="420" w:firstLineChars="200"/>
              <w:jc w:val="center"/>
              <w:rPr>
                <w:rFonts w:hint="eastAsia" w:ascii="宋体" w:hAnsi="宋体" w:eastAsia="宋体" w:cs="宋体"/>
                <w:color w:val="auto"/>
                <w:szCs w:val="21"/>
                <w:highlight w:val="none"/>
              </w:rPr>
            </w:pPr>
          </w:p>
          <w:p>
            <w:pPr>
              <w:keepNext w:val="0"/>
              <w:keepLines w:val="0"/>
              <w:suppressLineNumbers w:val="0"/>
              <w:spacing w:before="0" w:beforeAutospacing="0" w:after="0" w:afterAutospacing="0" w:line="360" w:lineRule="auto"/>
              <w:ind w:left="0" w:right="0" w:firstLine="420" w:firstLineChars="200"/>
              <w:jc w:val="center"/>
              <w:rPr>
                <w:rFonts w:hint="eastAsia" w:ascii="宋体" w:hAnsi="宋体" w:eastAsia="宋体" w:cs="宋体"/>
                <w:color w:val="auto"/>
                <w:szCs w:val="21"/>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w:t>
            </w:r>
          </w:p>
        </w:tc>
        <w:tc>
          <w:tcPr>
            <w:tcW w:w="9525" w:type="dxa"/>
            <w:gridSpan w:val="4"/>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color="auto" w:fill="auto"/>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1.合同签订期：自成交通知书发出之日起</w:t>
            </w:r>
            <w:r>
              <w:rPr>
                <w:rFonts w:hint="eastAsia" w:ascii="宋体" w:hAnsi="宋体" w:eastAsia="宋体" w:cs="宋体"/>
                <w:color w:val="auto"/>
                <w:szCs w:val="21"/>
                <w:highlight w:val="none"/>
                <w:u w:val="single"/>
              </w:rPr>
              <w:t xml:space="preserve"> 25</w:t>
            </w:r>
            <w:r>
              <w:rPr>
                <w:rFonts w:hint="eastAsia" w:ascii="宋体" w:hAnsi="宋体" w:eastAsia="宋体" w:cs="宋体"/>
                <w:color w:val="auto"/>
                <w:szCs w:val="21"/>
                <w:highlight w:val="none"/>
              </w:rPr>
              <w:t>日内。</w:t>
            </w:r>
          </w:p>
          <w:p>
            <w:pPr>
              <w:keepNext w:val="0"/>
              <w:keepLines w:val="0"/>
              <w:widowControl/>
              <w:suppressLineNumbers w:val="0"/>
              <w:shd w:val="clear" w:color="auto" w:fill="auto"/>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2.交货</w:t>
            </w:r>
            <w:r>
              <w:rPr>
                <w:rFonts w:hint="eastAsia" w:ascii="宋体" w:hAnsi="宋体" w:eastAsia="宋体" w:cs="宋体"/>
                <w:bCs/>
                <w:color w:val="auto"/>
                <w:szCs w:val="21"/>
                <w:highlight w:val="none"/>
              </w:rPr>
              <w:t>时间：</w:t>
            </w:r>
            <w:r>
              <w:rPr>
                <w:rFonts w:hint="eastAsia" w:ascii="宋体" w:hAnsi="宋体" w:eastAsia="宋体" w:cs="宋体"/>
                <w:color w:val="auto"/>
                <w:kern w:val="0"/>
                <w:szCs w:val="21"/>
                <w:highlight w:val="none"/>
              </w:rPr>
              <w:t>自合同签订之日起30个工作日内交付并完成所有的安装及调试。</w:t>
            </w:r>
          </w:p>
          <w:p>
            <w:pPr>
              <w:keepNext w:val="0"/>
              <w:keepLines w:val="0"/>
              <w:widowControl/>
              <w:suppressLineNumbers w:val="0"/>
              <w:shd w:val="clear" w:color="auto" w:fill="auto"/>
              <w:spacing w:before="0" w:beforeAutospacing="0" w:after="0" w:afterAutospacing="0" w:line="360" w:lineRule="auto"/>
              <w:ind w:left="0" w:right="0"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3.交货地点：</w:t>
            </w:r>
            <w:r>
              <w:rPr>
                <w:rFonts w:hint="eastAsia" w:ascii="宋体" w:hAnsi="宋体" w:eastAsia="宋体" w:cs="宋体"/>
                <w:bCs/>
                <w:color w:val="auto"/>
                <w:szCs w:val="21"/>
                <w:highlight w:val="none"/>
              </w:rPr>
              <w:t xml:space="preserve">南宁市内采购人指定地点。 </w:t>
            </w:r>
          </w:p>
          <w:p>
            <w:pPr>
              <w:keepNext w:val="0"/>
              <w:keepLines w:val="0"/>
              <w:widowControl/>
              <w:suppressLineNumbers w:val="0"/>
              <w:shd w:val="clear" w:color="auto" w:fill="auto"/>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付款方式：合同签订后，由成交供应商向采购人申请，经采购人审核通过后10个工作日内支付合同金额的30%作为预付款，其余合同款项在项目最终验收合格且成交供应商提供所有支付金额的合法发票后10个工作日内支付；采购人未收到合格发票的，有权不予支付相应款项，并不承担延迟付款责任。</w:t>
            </w:r>
          </w:p>
          <w:p>
            <w:pPr>
              <w:keepNext w:val="0"/>
              <w:keepLines w:val="0"/>
              <w:widowControl/>
              <w:suppressLineNumbers w:val="0"/>
              <w:shd w:val="clear" w:color="auto" w:fill="auto"/>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5.售后服务要求：</w:t>
            </w:r>
          </w:p>
          <w:p>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质量保证期：货物质量保证期不少于1年（自本项目最终验收合格之日起算），在质保期内设备运行发生故障，及时上门维修、更换零部件。终身维修（质保期外只收配件费，差旅费由厂家或成交供应商负责）。</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售后技术服务要求：送货上门、安装调试。出现故障必须在12小时内做出答复，一般问题应在24小时内解决，重大问题或其它无法迅速解决的问题应在48小时内解决，定期回访；提供终身维护。培训服务：设备安装调试完成后，成交供应商提供技术培训，保证采购人的设备使用人员掌握设备操作的各种知识和技巧。</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6.其他要求：</w:t>
            </w:r>
            <w:r>
              <w:rPr>
                <w:rFonts w:hint="eastAsia" w:ascii="Calibri" w:hAnsi="Calibri" w:eastAsia="宋体" w:cs="Times New Roman"/>
                <w:color w:val="auto"/>
                <w:szCs w:val="22"/>
                <w:highlight w:val="none"/>
              </w:rPr>
              <w:t>成交</w:t>
            </w:r>
            <w:r>
              <w:rPr>
                <w:rFonts w:hint="eastAsia" w:ascii="宋体" w:hAnsi="宋体" w:eastAsia="宋体" w:cs="宋体"/>
                <w:color w:val="auto"/>
                <w:szCs w:val="21"/>
                <w:highlight w:val="none"/>
              </w:rPr>
              <w:t>供应商所提供的产品必须为原装正品的、全新的、完好无破损、且为未开箱状态、符合有关质量标准的产品；设备到货安装前，采购人在现场根据竞争性谈文件要求及响应文件承诺逐条对应进行核验，核验不合格的，采购人有权终止合同执行并全部退货，同时报相关监督管理部门处理，由此造成采购人经济损失的由成交供应商负责承担全部赔偿责任。</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2" w:name="OLE_LINK42"/>
            <w:r>
              <w:rPr>
                <w:rFonts w:hint="eastAsia" w:ascii="宋体" w:hAnsi="宋体" w:eastAsia="宋体" w:cs="宋体"/>
                <w:color w:val="auto"/>
                <w:szCs w:val="21"/>
                <w:highlight w:val="none"/>
              </w:rPr>
              <w:t>报价要求：</w:t>
            </w:r>
            <w:bookmarkEnd w:id="2"/>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本项目采用总价包干的方式进行报价，报价必须含以下部分，包括：</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(1)货物（含服务）的价格。</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(2)货物的标准附件、备品备件、专用工具的价格。</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(3)运输、装卸、软件部署、调试、用户培训、技术支持、售后服务、质保期内维护等费用。</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(4)必要的检测、保险费用和各项税金。</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(5)其它所有成本费用的总和。</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8.验收标准：</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照采购文件的技术参数全面核对检验，如不符合采购文件的项目要求或者提供虚假承诺的，按相关规定做退货处理及违约处理，成交供应商承担所有责任和费用，采购人保留进一步追究责任的权利。验收过程中所产生的一切费用均由成交供应商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其他未尽事宜应严格按照《关于印发广西壮族自治区政府采购项目履约验收管理办法的通知》[桂财采(2015)22号]以及《财政部关于进一步加强政府采购需求和履约验收管理的指导意见》[财库(2016)205号]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6"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其他说明</w:t>
            </w:r>
          </w:p>
        </w:tc>
        <w:tc>
          <w:tcPr>
            <w:tcW w:w="9525" w:type="dxa"/>
            <w:gridSpan w:val="4"/>
            <w:tcBorders>
              <w:top w:val="single" w:color="auto" w:sz="4" w:space="0"/>
              <w:left w:val="single" w:color="auto" w:sz="4" w:space="0"/>
              <w:bottom w:val="single" w:color="auto" w:sz="4" w:space="0"/>
              <w:right w:val="single" w:color="auto" w:sz="4" w:space="0"/>
            </w:tcBorders>
          </w:tcPr>
          <w:p>
            <w:pPr>
              <w:keepNext w:val="0"/>
              <w:keepLines w:val="0"/>
              <w:widowControl/>
              <w:suppressLineNumbers w:val="0"/>
              <w:tabs>
                <w:tab w:val="left" w:pos="180"/>
                <w:tab w:val="left" w:pos="1620"/>
              </w:tabs>
              <w:spacing w:before="0" w:beforeAutospacing="0" w:after="0" w:afterAutospacing="0" w:line="360" w:lineRule="auto"/>
              <w:ind w:left="0" w:right="0"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一、进口产品说明：</w:t>
            </w:r>
          </w:p>
          <w:p>
            <w:pPr>
              <w:keepNext w:val="0"/>
              <w:keepLines w:val="0"/>
              <w:widowControl/>
              <w:suppressLineNumbers w:val="0"/>
              <w:tabs>
                <w:tab w:val="left" w:pos="180"/>
                <w:tab w:val="left" w:pos="1620"/>
              </w:tabs>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本项目货物所涉及的货物不接受进口产品（即通过中国海关报关验放进入中国境内且产自关境外的产品）参与竞标，</w:t>
            </w:r>
            <w:r>
              <w:rPr>
                <w:rFonts w:hint="eastAsia" w:ascii="宋体" w:hAnsi="宋体" w:eastAsia="宋体" w:cs="宋体"/>
                <w:b/>
                <w:color w:val="auto"/>
                <w:szCs w:val="21"/>
                <w:highlight w:val="none"/>
              </w:rPr>
              <w:t>如有进口产品参与竞标的作无效竞标处理</w:t>
            </w:r>
            <w:r>
              <w:rPr>
                <w:rFonts w:hint="eastAsia" w:ascii="宋体" w:hAnsi="宋体" w:eastAsia="宋体" w:cs="宋体"/>
                <w:color w:val="auto"/>
                <w:szCs w:val="21"/>
                <w:highlight w:val="none"/>
              </w:rPr>
              <w:t>。</w:t>
            </w:r>
          </w:p>
          <w:p>
            <w:pPr>
              <w:keepNext w:val="0"/>
              <w:keepLines w:val="0"/>
              <w:widowControl/>
              <w:suppressLineNumbers w:val="0"/>
              <w:tabs>
                <w:tab w:val="left" w:pos="180"/>
                <w:tab w:val="left" w:pos="1620"/>
              </w:tabs>
              <w:spacing w:before="0" w:beforeAutospacing="0" w:after="0" w:afterAutospacing="0" w:line="360" w:lineRule="auto"/>
              <w:ind w:left="0" w:right="0"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w:t>
            </w:r>
            <w:r>
              <w:rPr>
                <w:rFonts w:hint="eastAsia" w:ascii="宋体" w:hAnsi="宋体" w:eastAsia="宋体" w:cs="宋体"/>
                <w:b/>
                <w:bCs/>
                <w:color w:val="auto"/>
                <w:szCs w:val="21"/>
                <w:highlight w:val="none"/>
              </w:rPr>
              <w:t>核心产品：</w:t>
            </w:r>
          </w:p>
          <w:p>
            <w:pPr>
              <w:keepNext w:val="0"/>
              <w:keepLines w:val="0"/>
              <w:widowControl/>
              <w:suppressLineNumbers w:val="0"/>
              <w:tabs>
                <w:tab w:val="left" w:pos="180"/>
                <w:tab w:val="left" w:pos="1620"/>
              </w:tabs>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本项目的核心产品为“需求一览表”中第1项“共焦显微拉曼光谱仪”。</w:t>
            </w:r>
          </w:p>
          <w:p>
            <w:pPr>
              <w:keepNext w:val="0"/>
              <w:keepLines w:val="0"/>
              <w:widowControl w:val="0"/>
              <w:numPr>
                <w:ilvl w:val="0"/>
                <w:numId w:val="0"/>
              </w:numPr>
              <w:suppressLineNumbers w:val="0"/>
              <w:tabs>
                <w:tab w:val="left" w:pos="180"/>
                <w:tab w:val="left" w:pos="1620"/>
              </w:tabs>
              <w:spacing w:before="0" w:beforeAutospacing="0" w:after="0" w:afterAutospacing="0" w:line="360" w:lineRule="auto"/>
              <w:ind w:left="0" w:right="0" w:firstLine="420" w:firstLineChars="200"/>
              <w:jc w:val="both"/>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pPr>
            <w:r>
              <w:rPr>
                <w:rFonts w:hint="eastAsia" w:ascii="宋体" w:hAnsi="宋体" w:eastAsia="宋体" w:cs="宋体"/>
                <w:i w:val="0"/>
                <w:iCs w:val="0"/>
                <w:caps w:val="0"/>
                <w:color w:val="auto"/>
                <w:spacing w:val="0"/>
                <w:kern w:val="2"/>
                <w:sz w:val="21"/>
                <w:szCs w:val="21"/>
                <w:highlight w:val="none"/>
                <w:shd w:val="clear" w:fill="auto"/>
                <w:lang w:val="en-US" w:eastAsia="zh-CN" w:bidi="ar-SA"/>
              </w:rPr>
              <w:t>三、</w:t>
            </w:r>
            <w:r>
              <w:rPr>
                <w:rFonts w:hint="eastAsia" w:ascii="宋体" w:hAnsi="宋体" w:eastAsia="宋体" w:cs="宋体"/>
                <w:color w:val="auto"/>
                <w:kern w:val="2"/>
                <w:sz w:val="21"/>
                <w:szCs w:val="21"/>
                <w:highlight w:val="none"/>
                <w:lang w:val="en-US" w:eastAsia="zh-CN" w:bidi="ar-SA"/>
              </w:rPr>
              <w:t>根据 《国务院办公厅关于在政府采购中实施本国产品标准及相关政策的通知》（国办发〔2025〕34号）的规定，</w:t>
            </w:r>
            <w:r>
              <w:rPr>
                <w:rFonts w:hint="eastAsia" w:ascii="宋体" w:hAnsi="宋体" w:eastAsia="宋体" w:cs="宋体"/>
                <w:i w:val="0"/>
                <w:iCs w:val="0"/>
                <w:caps w:val="0"/>
                <w:color w:val="auto"/>
                <w:spacing w:val="0"/>
                <w:kern w:val="2"/>
                <w:sz w:val="21"/>
                <w:szCs w:val="21"/>
                <w:highlight w:val="none"/>
                <w:shd w:val="clear" w:color="auto" w:fill="FFFFFF"/>
                <w:lang w:val="en-US" w:eastAsia="zh-CN" w:bidi="ar-SA"/>
              </w:rPr>
              <w:t>政府采购活动中既有本国产品又有非本国产品参与竞争的，依法对符合政策要求的本国产品给予价格评审优惠，</w:t>
            </w:r>
            <w:r>
              <w:rPr>
                <w:rFonts w:hint="eastAsia" w:ascii="宋体" w:hAnsi="宋体" w:eastAsia="宋体" w:cs="宋体"/>
                <w:b/>
                <w:bCs/>
                <w:color w:val="auto"/>
                <w:kern w:val="2"/>
                <w:sz w:val="21"/>
                <w:szCs w:val="21"/>
                <w:highlight w:val="none"/>
                <w:lang w:val="en-US" w:eastAsia="zh-CN" w:bidi="ar-SA"/>
              </w:rPr>
              <w:t>具体详见“第四章 评审程序、评审方法和成交标准”</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产品在中国境内生产的组件成本，按照《中国境内生产的组件成本核算基本规则》（见附件3）计算。</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i w:val="0"/>
                <w:iCs w:val="0"/>
                <w:caps w:val="0"/>
                <w:color w:val="auto"/>
                <w:spacing w:val="0"/>
                <w:kern w:val="2"/>
                <w:sz w:val="21"/>
                <w:szCs w:val="21"/>
                <w:highlight w:val="none"/>
                <w:shd w:val="clear" w:fill="auto"/>
                <w:lang w:val="en-US" w:eastAsia="zh-CN" w:bidi="ar-SA"/>
              </w:rPr>
              <w:t>四、</w:t>
            </w:r>
            <w:r>
              <w:rPr>
                <w:rFonts w:hint="eastAsia" w:ascii="宋体" w:hAnsi="宋体" w:eastAsia="宋体" w:cs="宋体"/>
                <w:b/>
                <w:bCs/>
                <w:color w:val="auto"/>
                <w:kern w:val="2"/>
                <w:sz w:val="21"/>
                <w:szCs w:val="21"/>
                <w:highlight w:val="none"/>
                <w:lang w:val="en-US" w:eastAsia="zh-CN" w:bidi="ar-SA"/>
              </w:rPr>
              <w:t>谈判小组根据与供应商谈判情况可能实质性变动的内容：未标注“▲”的内容。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▲五、负偏离要求：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商务条款评审中允许负偏离的条款数为</w:t>
            </w:r>
            <w:r>
              <w:rPr>
                <w:rFonts w:hint="eastAsia" w:ascii="宋体" w:hAnsi="宋体" w:eastAsia="宋体" w:cs="宋体"/>
                <w:color w:val="auto"/>
                <w:kern w:val="2"/>
                <w:sz w:val="21"/>
                <w:szCs w:val="21"/>
                <w:highlight w:val="none"/>
                <w:u w:val="single"/>
                <w:lang w:val="en-US" w:eastAsia="zh-CN" w:bidi="ar-SA"/>
              </w:rPr>
              <w:t xml:space="preserve"> 0 </w:t>
            </w:r>
            <w:r>
              <w:rPr>
                <w:rFonts w:hint="eastAsia" w:ascii="宋体" w:hAnsi="宋体" w:eastAsia="宋体" w:cs="宋体"/>
                <w:color w:val="auto"/>
                <w:kern w:val="2"/>
                <w:sz w:val="21"/>
                <w:szCs w:val="21"/>
                <w:highlight w:val="none"/>
                <w:lang w:val="en-US" w:eastAsia="zh-CN" w:bidi="ar-SA"/>
              </w:rPr>
              <w:t>项。</w:t>
            </w:r>
          </w:p>
          <w:p>
            <w:pPr>
              <w:keepNext w:val="0"/>
              <w:keepLines w:val="0"/>
              <w:widowControl w:val="0"/>
              <w:numPr>
                <w:ilvl w:val="-1"/>
                <w:numId w:val="0"/>
              </w:numPr>
              <w:suppressLineNumbers w:val="0"/>
              <w:tabs>
                <w:tab w:val="left" w:pos="180"/>
                <w:tab w:val="left" w:pos="1620"/>
              </w:tabs>
              <w:spacing w:before="0" w:beforeAutospacing="0" w:after="0" w:afterAutospacing="0" w:line="360" w:lineRule="auto"/>
              <w:ind w:left="0" w:leftChars="0" w:right="0" w:firstLine="420" w:firstLineChars="200"/>
              <w:jc w:val="both"/>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lang w:val="en-US" w:eastAsia="zh-CN" w:bidi="ar-SA"/>
              </w:rPr>
              <w:t>技术需求评审中允许负偏离的条款数为</w:t>
            </w:r>
            <w:r>
              <w:rPr>
                <w:rFonts w:hint="eastAsia" w:ascii="宋体" w:hAnsi="宋体" w:eastAsia="宋体" w:cs="宋体"/>
                <w:color w:val="auto"/>
                <w:kern w:val="2"/>
                <w:sz w:val="21"/>
                <w:szCs w:val="21"/>
                <w:highlight w:val="none"/>
                <w:u w:val="single"/>
                <w:lang w:val="en-US" w:eastAsia="zh-CN" w:bidi="ar-SA"/>
              </w:rPr>
              <w:t xml:space="preserve"> 2</w:t>
            </w:r>
            <w:r>
              <w:rPr>
                <w:rFonts w:hint="eastAsia" w:ascii="宋体" w:hAnsi="宋体" w:eastAsia="宋体" w:cs="宋体"/>
                <w:color w:val="auto"/>
                <w:kern w:val="2"/>
                <w:sz w:val="21"/>
                <w:szCs w:val="21"/>
                <w:highlight w:val="none"/>
                <w:lang w:val="en-US" w:eastAsia="zh-CN" w:bidi="ar-SA"/>
              </w:rPr>
              <w:t>项。</w:t>
            </w:r>
          </w:p>
        </w:tc>
      </w:tr>
      <w:bookmarkEnd w:id="1"/>
    </w:tbl>
    <w:p>
      <w:pPr>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br w:type="page"/>
      </w:r>
    </w:p>
    <w:p>
      <w:pPr>
        <w:spacing w:line="428"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附件1</w:t>
      </w:r>
    </w:p>
    <w:p>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16"/>
        <w:gridCol w:w="1516"/>
        <w:gridCol w:w="1612"/>
        <w:gridCol w:w="4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41" w:type="dxa"/>
            <w:noWrap w:val="0"/>
            <w:vAlign w:val="top"/>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244" w:type="dxa"/>
            <w:gridSpan w:val="3"/>
            <w:noWrap w:val="0"/>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335" w:type="dxa"/>
            <w:noWrap w:val="0"/>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335" w:type="dxa"/>
            <w:noWrap w:val="0"/>
            <w:vAlign w:val="center"/>
          </w:tcPr>
          <w:p>
            <w:pPr>
              <w:widowControl/>
              <w:jc w:val="left"/>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参照《复印机、打印机和传真机能效限定值及能效等级》（GB21521</w:t>
            </w:r>
            <w:r>
              <w:rPr>
                <w:rFonts w:hint="eastAsia" w:ascii="宋体" w:hAnsi="宋体" w:eastAsia="宋体" w:cs="宋体"/>
                <w:color w:val="auto"/>
                <w:kern w:val="0"/>
                <w:sz w:val="20"/>
                <w:szCs w:val="20"/>
                <w:highlight w:val="none"/>
                <w:lang w:eastAsia="zh-CN"/>
              </w:rPr>
              <w:t>）中打印速度为15页/分的针式打印机相关要求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pPr>
        <w:spacing w:after="120" w:line="360" w:lineRule="auto"/>
        <w:rPr>
          <w:rFonts w:hint="eastAsia" w:ascii="宋体" w:hAnsi="宋体" w:eastAsia="宋体" w:cs="宋体"/>
          <w:color w:val="auto"/>
          <w:spacing w:val="-3"/>
          <w:szCs w:val="21"/>
          <w:highlight w:val="none"/>
        </w:rPr>
      </w:pPr>
    </w:p>
    <w:p>
      <w:pPr>
        <w:spacing w:after="120" w:line="360" w:lineRule="auto"/>
        <w:ind w:firstLine="408" w:firstLineChars="200"/>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pPr>
        <w:spacing w:line="428" w:lineRule="exact"/>
        <w:rPr>
          <w:rFonts w:hint="eastAsia" w:ascii="宋体" w:hAnsi="宋体" w:eastAsia="宋体" w:cs="宋体"/>
          <w:color w:val="auto"/>
          <w:sz w:val="32"/>
          <w:szCs w:val="32"/>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2</w:t>
      </w:r>
      <w:r>
        <w:rPr>
          <w:rFonts w:hint="eastAsia" w:ascii="宋体" w:hAnsi="宋体" w:eastAsia="宋体" w:cs="宋体"/>
          <w:b/>
          <w:bCs/>
          <w:color w:val="auto"/>
          <w:szCs w:val="21"/>
          <w:highlight w:val="none"/>
        </w:rPr>
        <w:t>.以“★”标注的为政府强制采购产品。</w:t>
      </w: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widowControl/>
        <w:spacing w:before="120" w:beforeLines="50" w:after="120" w:afterLines="50" w:line="280" w:lineRule="exact"/>
        <w:jc w:val="both"/>
        <w:rPr>
          <w:rFonts w:hint="eastAsia" w:ascii="宋体" w:hAnsi="宋体" w:eastAsia="宋体" w:cs="宋体"/>
          <w:b/>
          <w:bCs/>
          <w:color w:val="auto"/>
          <w:kern w:val="0"/>
          <w:sz w:val="30"/>
          <w:szCs w:val="30"/>
          <w:highlight w:val="none"/>
          <w:lang w:val="en-US" w:eastAsia="zh-CN"/>
        </w:rPr>
      </w:pPr>
      <w:bookmarkStart w:id="3" w:name="_Toc28361_WPSOffice_Level2"/>
    </w:p>
    <w:p>
      <w:pPr>
        <w:widowControl/>
        <w:spacing w:before="0" w:beforeLines="-2147483648" w:after="0" w:afterLines="-2147483648" w:line="240" w:lineRule="auto"/>
        <w:jc w:val="left"/>
        <w:rPr>
          <w:rFonts w:hint="eastAsia"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lang w:val="en-US" w:eastAsia="zh-CN"/>
        </w:rPr>
        <w:br w:type="page"/>
      </w:r>
    </w:p>
    <w:p>
      <w:pPr>
        <w:widowControl/>
        <w:spacing w:before="120" w:beforeLines="50" w:after="120" w:afterLines="50" w:line="428" w:lineRule="exact"/>
        <w:jc w:val="both"/>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t>附件2</w:t>
      </w:r>
    </w:p>
    <w:p>
      <w:pPr>
        <w:widowControl/>
        <w:spacing w:before="120" w:beforeLines="50" w:after="120" w:afterLines="50" w:line="528" w:lineRule="exact"/>
        <w:jc w:val="center"/>
        <w:rPr>
          <w:rFonts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统计上大中小微型企业划分标准</w:t>
      </w:r>
      <w:bookmarkEnd w:id="3"/>
    </w:p>
    <w:tbl>
      <w:tblPr>
        <w:tblStyle w:val="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pPr>
              <w:widowControl/>
              <w:spacing w:line="280" w:lineRule="exact"/>
              <w:jc w:val="center"/>
              <w:rPr>
                <w:rFonts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vAlign w:val="center"/>
          </w:tcPr>
          <w:p>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vAlign w:val="center"/>
          </w:tcPr>
          <w:p>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vAlign w:val="center"/>
          </w:tcPr>
          <w:p>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eastAsia="宋体" w:cs="宋体"/>
                <w:color w:val="auto"/>
                <w:spacing w:val="-12"/>
                <w:kern w:val="0"/>
                <w:sz w:val="18"/>
                <w:szCs w:val="18"/>
                <w:highlight w:val="none"/>
              </w:rPr>
            </w:pP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pPr>
        <w:widowControl/>
        <w:spacing w:line="280" w:lineRule="exact"/>
        <w:rPr>
          <w:rFonts w:ascii="宋体" w:hAnsi="宋体" w:eastAsia="宋体" w:cs="宋体"/>
          <w:color w:val="auto"/>
          <w:spacing w:val="8"/>
          <w:kern w:val="0"/>
          <w:sz w:val="24"/>
          <w:szCs w:val="22"/>
          <w:highlight w:val="none"/>
        </w:rPr>
      </w:pPr>
    </w:p>
    <w:p>
      <w:pPr>
        <w:widowControl/>
        <w:spacing w:line="360" w:lineRule="auto"/>
        <w:rPr>
          <w:rFonts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pPr>
        <w:widowControl w:val="0"/>
        <w:adjustRightInd w:val="0"/>
        <w:spacing w:line="360" w:lineRule="auto"/>
        <w:ind w:firstLine="452" w:firstLineChars="200"/>
        <w:contextualSpacing/>
        <w:jc w:val="both"/>
        <w:rPr>
          <w:rFonts w:ascii="宋体" w:hAnsi="宋体" w:eastAsia="宋体" w:cs="宋体"/>
          <w:color w:val="auto"/>
          <w:spacing w:val="8"/>
          <w:kern w:val="0"/>
          <w:sz w:val="21"/>
          <w:szCs w:val="21"/>
          <w:highlight w:val="none"/>
          <w:lang w:val="zh-CN" w:eastAsia="zh-CN" w:bidi="ar-SA"/>
        </w:rPr>
      </w:pPr>
      <w:r>
        <w:rPr>
          <w:rFonts w:hint="eastAsia" w:ascii="宋体" w:hAnsi="宋体" w:eastAsia="宋体" w:cs="宋体"/>
          <w:color w:val="auto"/>
          <w:spacing w:val="8"/>
          <w:kern w:val="0"/>
          <w:sz w:val="21"/>
          <w:szCs w:val="21"/>
          <w:highlight w:val="none"/>
          <w:lang w:val="zh-CN" w:eastAsia="zh-CN" w:bidi="ar-SA"/>
        </w:rPr>
        <w:t>1.大型、中型和小型企业须同时满足所列指标的下限，否则下划一档；微型企业只须满足所列指标中的一项即可。</w:t>
      </w:r>
    </w:p>
    <w:p>
      <w:pPr>
        <w:widowControl w:val="0"/>
        <w:adjustRightInd w:val="0"/>
        <w:spacing w:line="360" w:lineRule="auto"/>
        <w:ind w:firstLine="452" w:firstLineChars="200"/>
        <w:contextualSpacing/>
        <w:jc w:val="both"/>
        <w:rPr>
          <w:rFonts w:ascii="宋体" w:hAnsi="宋体" w:eastAsia="宋体" w:cs="宋体"/>
          <w:color w:val="auto"/>
          <w:spacing w:val="8"/>
          <w:kern w:val="0"/>
          <w:sz w:val="21"/>
          <w:szCs w:val="21"/>
          <w:highlight w:val="none"/>
          <w:lang w:val="zh-CN" w:eastAsia="zh-CN" w:bidi="ar-SA"/>
        </w:rPr>
      </w:pPr>
      <w:r>
        <w:rPr>
          <w:rFonts w:hint="eastAsia" w:ascii="宋体" w:hAnsi="宋体" w:eastAsia="宋体" w:cs="宋体"/>
          <w:color w:val="auto"/>
          <w:spacing w:val="8"/>
          <w:kern w:val="0"/>
          <w:sz w:val="21"/>
          <w:szCs w:val="21"/>
          <w:highlight w:val="none"/>
          <w:lang w:val="zh-CN" w:eastAsia="zh-CN" w:bidi="ar-SA"/>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val="0"/>
        <w:spacing w:line="360" w:lineRule="auto"/>
        <w:ind w:firstLine="452" w:firstLineChars="200"/>
        <w:jc w:val="both"/>
        <w:rPr>
          <w:rFonts w:ascii="宋体" w:hAnsi="宋体" w:eastAsia="宋体" w:cs="宋体"/>
          <w:color w:val="auto"/>
          <w:spacing w:val="8"/>
          <w:kern w:val="0"/>
          <w:sz w:val="21"/>
          <w:szCs w:val="21"/>
          <w:highlight w:val="none"/>
          <w:lang w:val="zh-CN" w:eastAsia="zh-CN" w:bidi="ar-SA"/>
        </w:rPr>
      </w:pPr>
      <w:r>
        <w:rPr>
          <w:rFonts w:hint="eastAsia" w:ascii="宋体" w:hAnsi="宋体" w:eastAsia="宋体" w:cs="宋体"/>
          <w:color w:val="auto"/>
          <w:spacing w:val="8"/>
          <w:kern w:val="0"/>
          <w:sz w:val="21"/>
          <w:szCs w:val="21"/>
          <w:highlight w:val="none"/>
          <w:lang w:val="zh-CN" w:eastAsia="zh-CN" w:bidi="ar-SA"/>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28" w:lineRule="exact"/>
        <w:ind w:left="0" w:right="0" w:firstLine="0"/>
        <w:jc w:val="left"/>
        <w:rPr>
          <w:rFonts w:hint="eastAsia" w:ascii="宋体" w:hAnsi="宋体" w:eastAsia="宋体" w:cs="宋体"/>
          <w:color w:val="auto"/>
          <w:kern w:val="0"/>
          <w:sz w:val="32"/>
          <w:szCs w:val="32"/>
          <w:highlight w:val="none"/>
          <w:lang w:val="en-US" w:eastAsia="zh-CN" w:bidi="ar-SA"/>
        </w:rPr>
      </w:pPr>
      <w:r>
        <w:rPr>
          <w:rFonts w:hint="eastAsia" w:ascii="宋体" w:hAnsi="宋体" w:eastAsia="宋体" w:cs="宋体"/>
          <w:color w:val="auto"/>
          <w:kern w:val="0"/>
          <w:sz w:val="32"/>
          <w:szCs w:val="32"/>
          <w:highlight w:val="none"/>
          <w:lang w:val="en-US" w:eastAsia="zh-CN" w:bidi="ar-SA"/>
        </w:rPr>
        <w:t>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28" w:lineRule="exact"/>
        <w:ind w:left="0" w:right="0" w:firstLine="0"/>
        <w:jc w:val="center"/>
        <w:rPr>
          <w:rFonts w:hint="eastAsia" w:ascii="宋体" w:hAnsi="宋体" w:eastAsia="宋体" w:cs="宋体"/>
          <w:b/>
          <w:i w:val="0"/>
          <w:iCs w:val="0"/>
          <w:caps w:val="0"/>
          <w:color w:val="auto"/>
          <w:spacing w:val="0"/>
          <w:kern w:val="2"/>
          <w:sz w:val="30"/>
          <w:szCs w:val="30"/>
          <w:highlight w:val="none"/>
          <w:shd w:val="clear" w:color="auto" w:fill="auto"/>
          <w:lang w:val="en-US" w:eastAsia="zh-CN" w:bidi="ar-SA"/>
        </w:rPr>
      </w:pPr>
      <w:r>
        <w:rPr>
          <w:rFonts w:hint="eastAsia" w:ascii="宋体" w:hAnsi="宋体" w:eastAsia="宋体" w:cs="宋体"/>
          <w:b/>
          <w:i w:val="0"/>
          <w:iCs w:val="0"/>
          <w:caps w:val="0"/>
          <w:color w:val="auto"/>
          <w:spacing w:val="0"/>
          <w:kern w:val="2"/>
          <w:sz w:val="30"/>
          <w:szCs w:val="30"/>
          <w:highlight w:val="none"/>
          <w:shd w:val="clear" w:color="auto" w:fill="auto"/>
          <w:lang w:val="en-US" w:eastAsia="zh-CN" w:bidi="ar-SA"/>
        </w:rPr>
        <w:t>中国境内生产的组件成本核算基本规则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28" w:lineRule="exact"/>
        <w:ind w:left="0" w:right="0" w:firstLine="420" w:firstLineChars="200"/>
        <w:jc w:val="both"/>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28" w:lineRule="exact"/>
        <w:ind w:left="0" w:right="0" w:firstLine="420" w:firstLineChars="200"/>
        <w:jc w:val="both"/>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pP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产品在中国境内生产的组件成本，一般按照其二级组件的相关成本进行核算。按照产品的一级组件进行成本核算能够满足中国境内生产的组件成本判定需求的，可以按照一级组件的相关成本进行核算。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28" w:lineRule="exact"/>
        <w:ind w:left="0" w:right="0" w:firstLine="420" w:firstLineChars="200"/>
        <w:jc w:val="both"/>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pP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一、产品的一级组件是指直接组成产品的组件。产品的二级组件是指直接组成产品一级组件的组件。一级组件不可分解的，视同二级组件。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28" w:lineRule="exact"/>
        <w:ind w:left="0" w:right="0" w:firstLine="420" w:firstLineChars="200"/>
        <w:jc w:val="both"/>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pP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二、二级组件在中国境内生产的，其全部成本计入中国境内生产的组件成本；二级组件不在中国境内生产的，其成本不计入中国境内生产的组件成本。</w:t>
      </w:r>
    </w:p>
    <w:p>
      <w:pPr>
        <w:keepNext w:val="0"/>
        <w:keepLines w:val="0"/>
        <w:widowControl/>
        <w:pBdr>
          <w:top w:val="none" w:color="auto" w:sz="0" w:space="0"/>
          <w:left w:val="none" w:color="auto" w:sz="0" w:space="0"/>
          <w:bottom w:val="none" w:color="auto" w:sz="0" w:space="0"/>
          <w:right w:val="none" w:color="auto" w:sz="0" w:space="0"/>
        </w:pBdr>
        <w:shd w:val="clear" w:color="auto" w:fill="FFFFFF"/>
        <w:spacing w:before="30" w:after="30" w:line="528" w:lineRule="exact"/>
        <w:ind w:firstLine="420" w:firstLineChars="200"/>
        <w:jc w:val="both"/>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pP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三、产品总成本和组件成本以相关会计核算数据、采购合同、进货记录等为基础进行计算。</w:t>
      </w:r>
    </w:p>
    <w:p>
      <w:pPr>
        <w:keepNext w:val="0"/>
        <w:keepLines w:val="0"/>
        <w:widowControl/>
        <w:pBdr>
          <w:top w:val="none" w:color="auto" w:sz="0" w:space="0"/>
          <w:left w:val="none" w:color="auto" w:sz="0" w:space="0"/>
          <w:bottom w:val="none" w:color="auto" w:sz="0" w:space="0"/>
          <w:right w:val="none" w:color="auto" w:sz="0" w:space="0"/>
        </w:pBdr>
        <w:shd w:val="clear" w:color="auto" w:fill="FFFFFF"/>
        <w:spacing w:before="30" w:after="30" w:line="528" w:lineRule="exact"/>
        <w:ind w:firstLine="420" w:firstLineChars="200"/>
        <w:jc w:val="both"/>
        <w:rPr>
          <w:rFonts w:hint="eastAsia" w:ascii="宋体" w:hAnsi="宋体" w:eastAsia="宋体" w:cs="宋体"/>
          <w:i w:val="0"/>
          <w:iCs w:val="0"/>
          <w:caps w:val="0"/>
          <w:color w:val="auto"/>
          <w:spacing w:val="0"/>
          <w:kern w:val="0"/>
          <w:sz w:val="21"/>
          <w:szCs w:val="21"/>
          <w:highlight w:val="none"/>
          <w:shd w:val="clear" w:color="auto" w:fill="auto"/>
          <w:lang w:val="en-US" w:eastAsia="zh-CN" w:bidi="ar-SA"/>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SA"/>
        </w:rPr>
        <w:t>四、需要对成本核算规则予以进一步明确的其他有关事项，由财政部会同有关部门另行规定。</w:t>
      </w: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32D4C"/>
    <w:multiLevelType w:val="multilevel"/>
    <w:tmpl w:val="01532D4C"/>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E2347FB"/>
    <w:multiLevelType w:val="multilevel"/>
    <w:tmpl w:val="3E2347FB"/>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ODFmOGU0Y2RhNTc1YzUzN2NjMTM5MGQ1YTJkOWMifQ=="/>
  </w:docVars>
  <w:rsids>
    <w:rsidRoot w:val="569F4133"/>
    <w:rsid w:val="1D2C6FB1"/>
    <w:rsid w:val="569F4133"/>
    <w:rsid w:val="5C2C0026"/>
    <w:rsid w:val="75545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2026-03-18T09:07:00Z</dcterms:created>
  <dc:creator>A</dc:creator>
  <cp:lastModifiedBy>A</cp:lastModifiedBy>
  <dcterms:modified xsi:type="dcterms:W3CDTF">2026-03-18T09:07:47Z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43B284DA5B954B9A990C8D427DB960CA_11</vt:lpwstr>
  </property>
</Properties>
</file>