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E3891">
      <w:pPr>
        <w:keepNext/>
        <w:keepLines/>
        <w:spacing w:before="340" w:after="330" w:line="578" w:lineRule="auto"/>
        <w:jc w:val="center"/>
        <w:outlineLvl w:val="0"/>
        <w:rPr>
          <w:rFonts w:ascii="宋体" w:hAnsi="宋体" w:eastAsia="宋体" w:cs="宋体"/>
          <w:color w:val="auto"/>
          <w:sz w:val="36"/>
          <w:szCs w:val="36"/>
        </w:rPr>
      </w:pPr>
      <w:r>
        <w:rPr>
          <w:rFonts w:hint="eastAsia" w:ascii="Cambria" w:hAnsi="Cambria" w:eastAsia="宋体" w:cs="Times New Roman"/>
          <w:b/>
          <w:color w:val="auto"/>
          <w:kern w:val="44"/>
          <w:sz w:val="32"/>
          <w:szCs w:val="32"/>
          <w:lang w:val="zh-CN"/>
        </w:rPr>
        <w:t>采购需求</w:t>
      </w:r>
    </w:p>
    <w:p w14:paraId="7F509D5E">
      <w:pPr>
        <w:spacing w:line="420" w:lineRule="exact"/>
        <w:jc w:val="left"/>
        <w:rPr>
          <w:rFonts w:ascii="宋体" w:hAnsi="宋体" w:eastAsia="宋体" w:cs="宋体"/>
          <w:color w:val="auto"/>
          <w:sz w:val="21"/>
          <w:szCs w:val="21"/>
        </w:rPr>
      </w:pPr>
      <w:r>
        <w:rPr>
          <w:rFonts w:hint="eastAsia" w:ascii="宋体" w:hAnsi="宋体" w:eastAsia="宋体" w:cs="宋体"/>
          <w:color w:val="auto"/>
          <w:sz w:val="21"/>
          <w:szCs w:val="21"/>
        </w:rPr>
        <w:t>说明：</w:t>
      </w:r>
    </w:p>
    <w:p w14:paraId="713FFFD3">
      <w:pPr>
        <w:spacing w:line="360" w:lineRule="auto"/>
        <w:ind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4"/>
        </w:rPr>
        <w:t>1. 为落实政府采购政策需满足的要求：</w:t>
      </w:r>
    </w:p>
    <w:p w14:paraId="0B60E6EA">
      <w:pPr>
        <w:spacing w:line="360" w:lineRule="auto"/>
        <w:ind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（1）本竞争性谈判文件所称中小企业必须符合《政府采购促进中小企业发展管理办法》（财库〔2020〕46号）的规定。</w:t>
      </w:r>
    </w:p>
    <w:p w14:paraId="032F2703">
      <w:pPr>
        <w:spacing w:line="360" w:lineRule="auto"/>
        <w:ind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color w:val="auto"/>
          <w:sz w:val="21"/>
          <w:szCs w:val="21"/>
        </w:rPr>
        <w:t>供应商必须在响应文件中提供所竞标产品有效期内的节能产品认证证书复印件（加盖供应商公章），否则响应文件作无效处理</w:t>
      </w:r>
      <w:r>
        <w:rPr>
          <w:rFonts w:hint="eastAsia" w:ascii="宋体" w:hAnsi="宋体" w:eastAsia="宋体" w:cs="宋体"/>
          <w:color w:val="auto"/>
          <w:sz w:val="21"/>
          <w:szCs w:val="21"/>
        </w:rPr>
        <w:t>。如本项目包含的配套货物属于品目清单内非标注“★”的产品时，应优先采购，具体详见“第四章 评审程序、评审方法和成交标准”。</w:t>
      </w:r>
    </w:p>
    <w:p w14:paraId="31A54E99">
      <w:pPr>
        <w:widowControl w:val="0"/>
        <w:tabs>
          <w:tab w:val="center" w:pos="4153"/>
          <w:tab w:val="right" w:pos="8306"/>
        </w:tabs>
        <w:snapToGrid w:val="0"/>
        <w:spacing w:line="360" w:lineRule="auto"/>
        <w:ind w:firstLine="420" w:firstLineChars="200"/>
        <w:jc w:val="left"/>
        <w:rPr>
          <w:rFonts w:ascii="宋体" w:hAnsi="宋体" w:eastAsia="宋体" w:cs="宋体"/>
          <w:b/>
          <w:bCs/>
          <w:color w:val="auto"/>
          <w:kern w:val="0"/>
          <w:sz w:val="18"/>
          <w:szCs w:val="21"/>
          <w:lang w:val="en-US" w:eastAsia="zh-CN" w:bidi="ar-SA"/>
        </w:rPr>
      </w:pPr>
      <w:r>
        <w:rPr>
          <w:rFonts w:ascii="宋体" w:hAnsi="宋体" w:eastAsia="宋体" w:cs="宋体"/>
          <w:color w:val="auto"/>
          <w:kern w:val="0"/>
          <w:sz w:val="21"/>
          <w:szCs w:val="21"/>
          <w:lang w:val="en-US" w:eastAsia="zh-CN" w:bidi="ar-SA"/>
        </w:rPr>
        <w:t>2.</w:t>
      </w:r>
      <w:r>
        <w:rPr>
          <w:rFonts w:ascii="宋体" w:hAnsi="宋体" w:eastAsia="宋体" w:cs="宋体"/>
          <w:b/>
          <w:bCs/>
          <w:color w:val="auto"/>
          <w:kern w:val="0"/>
          <w:sz w:val="21"/>
          <w:szCs w:val="21"/>
          <w:lang w:val="en-US" w:eastAsia="zh-CN" w:bidi="ar-SA"/>
        </w:rPr>
        <w:t>采购需求中带“▲”的条款</w:t>
      </w:r>
      <w:r>
        <w:rPr>
          <w:rFonts w:hint="eastAsia" w:ascii="宋体" w:hAnsi="宋体" w:eastAsia="宋体" w:cs="宋体"/>
          <w:b/>
          <w:bCs/>
          <w:color w:val="auto"/>
          <w:kern w:val="0"/>
          <w:sz w:val="21"/>
          <w:szCs w:val="21"/>
          <w:lang w:val="en-US" w:eastAsia="zh-CN" w:bidi="ar-SA"/>
        </w:rPr>
        <w:t>为实质性条款，不满足</w:t>
      </w:r>
      <w:r>
        <w:rPr>
          <w:rFonts w:ascii="宋体" w:hAnsi="宋体" w:eastAsia="宋体" w:cs="宋体"/>
          <w:b/>
          <w:bCs/>
          <w:color w:val="auto"/>
          <w:kern w:val="0"/>
          <w:sz w:val="21"/>
          <w:szCs w:val="21"/>
          <w:lang w:val="en-US" w:eastAsia="zh-CN" w:bidi="ar-SA"/>
        </w:rPr>
        <w:t>作无效响应处理。</w:t>
      </w:r>
    </w:p>
    <w:p w14:paraId="412F3BEF">
      <w:pPr>
        <w:widowControl w:val="0"/>
        <w:tabs>
          <w:tab w:val="center" w:pos="4153"/>
          <w:tab w:val="right" w:pos="8306"/>
        </w:tabs>
        <w:snapToGrid w:val="0"/>
        <w:spacing w:line="360" w:lineRule="auto"/>
        <w:ind w:firstLine="420" w:firstLineChars="200"/>
        <w:jc w:val="left"/>
        <w:rPr>
          <w:rFonts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2"/>
          <w:sz w:val="21"/>
          <w:szCs w:val="21"/>
          <w:lang w:val="en-US" w:eastAsia="zh-CN" w:bidi="ar-SA"/>
        </w:rPr>
        <w:t>.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14:paraId="3FEE0F27">
      <w:pPr>
        <w:spacing w:line="360" w:lineRule="auto"/>
        <w:ind w:firstLine="424" w:firstLineChars="202"/>
        <w:jc w:val="left"/>
        <w:rPr>
          <w:rFonts w:ascii="宋体" w:hAnsi="宋体" w:eastAsia="宋体" w:cs="宋体"/>
          <w:color w:val="auto"/>
          <w:sz w:val="21"/>
          <w:szCs w:val="22"/>
        </w:rPr>
      </w:pPr>
      <w:bookmarkStart w:id="0" w:name="PO_3000001871_PM050"/>
      <w:r>
        <w:rPr>
          <w:rFonts w:hint="eastAsia" w:ascii="宋体" w:hAnsi="宋体" w:eastAsia="宋体" w:cs="宋体"/>
          <w:color w:val="auto"/>
          <w:sz w:val="21"/>
          <w:szCs w:val="21"/>
        </w:rPr>
        <w:t>4.供应商必须对响应文件中提供的证明材料和资质文件真实性负责，如出现虚假应标情况，供应商除了应接受有关部门的处罚外，还应依据《中华人民共和国民法典》的相关条款来进行赔偿。</w:t>
      </w:r>
    </w:p>
    <w:p w14:paraId="06A2318D">
      <w:pPr>
        <w:tabs>
          <w:tab w:val="left" w:pos="180"/>
          <w:tab w:val="left" w:pos="1620"/>
        </w:tabs>
        <w:spacing w:line="420" w:lineRule="exact"/>
        <w:ind w:firstLine="420" w:firstLineChars="200"/>
        <w:rPr>
          <w:rFonts w:ascii="宋体" w:hAnsi="宋体" w:eastAsia="宋体" w:cs="宋体"/>
          <w:color w:val="auto"/>
          <w:sz w:val="21"/>
          <w:szCs w:val="22"/>
        </w:rPr>
      </w:pPr>
      <w:r>
        <w:rPr>
          <w:rFonts w:hint="eastAsia" w:ascii="宋体" w:hAnsi="宋体" w:eastAsia="宋体" w:cs="宋体"/>
          <w:color w:val="auto"/>
          <w:sz w:val="21"/>
          <w:szCs w:val="22"/>
        </w:rPr>
        <w:t>5.</w:t>
      </w:r>
      <w:r>
        <w:rPr>
          <w:rFonts w:hint="eastAsia" w:ascii="宋体" w:hAnsi="宋体" w:eastAsia="宋体" w:cs="宋体"/>
          <w:color w:val="auto"/>
          <w:sz w:val="21"/>
          <w:szCs w:val="21"/>
        </w:rPr>
        <w:t>供应商</w:t>
      </w:r>
      <w:r>
        <w:rPr>
          <w:rFonts w:hint="eastAsia" w:ascii="宋体" w:hAnsi="宋体" w:eastAsia="宋体" w:cs="宋体"/>
          <w:color w:val="auto"/>
          <w:sz w:val="21"/>
          <w:szCs w:val="22"/>
        </w:rPr>
        <w:t>应对竞标内容所涉及的专利承担法律责任，并负责保护采购人的利益不受任何损害。一切由于文字、商标、技术和软件专利授权引起的法律裁决、诉讼和赔偿费用均由成交供应商负责。</w:t>
      </w:r>
    </w:p>
    <w:p w14:paraId="4E9D7368">
      <w:pPr>
        <w:tabs>
          <w:tab w:val="left" w:pos="180"/>
          <w:tab w:val="left" w:pos="1620"/>
        </w:tabs>
        <w:spacing w:line="420" w:lineRule="exact"/>
        <w:ind w:firstLine="420" w:firstLineChars="200"/>
        <w:rPr>
          <w:rFonts w:ascii="宋体" w:hAnsi="宋体" w:eastAsia="宋体" w:cs="宋体"/>
          <w:i/>
          <w:iCs/>
          <w:color w:val="auto"/>
          <w:sz w:val="21"/>
          <w:szCs w:val="22"/>
          <w:highlight w:val="yellow"/>
          <w:u w:val="single"/>
        </w:rPr>
      </w:pPr>
      <w:r>
        <w:rPr>
          <w:rFonts w:hint="eastAsia" w:ascii="宋体" w:hAnsi="宋体" w:eastAsia="宋体" w:cs="宋体"/>
          <w:color w:val="auto"/>
          <w:sz w:val="21"/>
          <w:szCs w:val="22"/>
        </w:rPr>
        <w:t>6.采购标的对应的中小企业划分标准所属行业名称：</w:t>
      </w:r>
      <w:r>
        <w:rPr>
          <w:rFonts w:hint="eastAsia" w:ascii="宋体" w:hAnsi="宋体" w:eastAsia="宋体" w:cs="宋体"/>
          <w:color w:val="auto"/>
          <w:sz w:val="21"/>
          <w:szCs w:val="22"/>
          <w:u w:val="single"/>
        </w:rPr>
        <w:t xml:space="preserve"> 工业     </w:t>
      </w:r>
    </w:p>
    <w:bookmarkEnd w:id="0"/>
    <w:p w14:paraId="2BA7C022">
      <w:pPr>
        <w:spacing w:line="240" w:lineRule="auto"/>
        <w:jc w:val="center"/>
        <w:rPr>
          <w:rFonts w:ascii="Times New Roman" w:hAnsi="Times New Roman" w:eastAsia="宋体" w:cs="Times New Roman"/>
          <w:color w:val="auto"/>
          <w:sz w:val="21"/>
          <w:szCs w:val="24"/>
        </w:rPr>
      </w:pPr>
      <w:bookmarkStart w:id="1" w:name="PO_TDCUS_ITEM_PB_REQ_FILE_1_1"/>
    </w:p>
    <w:tbl>
      <w:tblPr>
        <w:tblStyle w:val="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092"/>
        <w:gridCol w:w="877"/>
        <w:gridCol w:w="4985"/>
        <w:gridCol w:w="912"/>
        <w:gridCol w:w="1165"/>
      </w:tblGrid>
      <w:tr w14:paraId="378CB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vAlign w:val="center"/>
          </w:tcPr>
          <w:p w14:paraId="3DCEB09E">
            <w:pPr>
              <w:spacing w:line="320" w:lineRule="exact"/>
              <w:jc w:val="left"/>
              <w:rPr>
                <w:rFonts w:ascii="宋体" w:hAnsi="宋体" w:eastAsia="宋体" w:cs="宋体"/>
                <w:b/>
                <w:bCs/>
                <w:color w:val="auto"/>
                <w:sz w:val="28"/>
                <w:szCs w:val="22"/>
                <w:highlight w:val="none"/>
              </w:rPr>
            </w:pPr>
            <w:r>
              <w:rPr>
                <w:rFonts w:hint="eastAsia" w:ascii="宋体" w:hAnsi="宋体" w:eastAsia="宋体" w:cs="宋体"/>
                <w:color w:val="auto"/>
                <w:sz w:val="21"/>
                <w:szCs w:val="21"/>
                <w:highlight w:val="none"/>
              </w:rPr>
              <w:t>分标：无</w:t>
            </w:r>
          </w:p>
        </w:tc>
      </w:tr>
      <w:tr w14:paraId="1F027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vAlign w:val="center"/>
          </w:tcPr>
          <w:p w14:paraId="48ACD91D">
            <w:pPr>
              <w:spacing w:line="240" w:lineRule="auto"/>
              <w:jc w:val="center"/>
              <w:rPr>
                <w:rFonts w:ascii="宋体" w:hAnsi="宋体" w:eastAsia="宋体" w:cs="宋体"/>
                <w:color w:val="auto"/>
                <w:sz w:val="21"/>
                <w:szCs w:val="21"/>
                <w:highlight w:val="none"/>
              </w:rPr>
            </w:pPr>
          </w:p>
          <w:p w14:paraId="2A69730C">
            <w:pPr>
              <w:spacing w:line="240" w:lineRule="auto"/>
              <w:jc w:val="center"/>
              <w:rPr>
                <w:rFonts w:ascii="宋体" w:hAnsi="宋体" w:eastAsia="宋体" w:cs="宋体"/>
                <w:color w:val="auto"/>
                <w:sz w:val="24"/>
                <w:szCs w:val="22"/>
                <w:highlight w:val="none"/>
              </w:rPr>
            </w:pPr>
            <w:r>
              <w:rPr>
                <w:rFonts w:hint="eastAsia" w:ascii="宋体" w:hAnsi="宋体" w:eastAsia="宋体" w:cs="宋体"/>
                <w:color w:val="auto"/>
                <w:sz w:val="21"/>
                <w:szCs w:val="21"/>
                <w:highlight w:val="none"/>
              </w:rPr>
              <w:t>需求一览表</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D8B769">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92" w:type="dxa"/>
            <w:tcBorders>
              <w:top w:val="single" w:color="auto" w:sz="4" w:space="0"/>
              <w:left w:val="single" w:color="auto" w:sz="4" w:space="0"/>
              <w:bottom w:val="single" w:color="auto" w:sz="4" w:space="0"/>
              <w:right w:val="single" w:color="auto" w:sz="4" w:space="0"/>
            </w:tcBorders>
            <w:vAlign w:val="center"/>
          </w:tcPr>
          <w:p w14:paraId="0C68DFE2">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77" w:type="dxa"/>
            <w:tcBorders>
              <w:top w:val="single" w:color="auto" w:sz="4" w:space="0"/>
              <w:left w:val="single" w:color="auto" w:sz="4" w:space="0"/>
              <w:bottom w:val="single" w:color="auto" w:sz="4" w:space="0"/>
              <w:right w:val="single" w:color="auto" w:sz="4" w:space="0"/>
            </w:tcBorders>
            <w:vAlign w:val="center"/>
          </w:tcPr>
          <w:p w14:paraId="6CD10DFC">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4985" w:type="dxa"/>
            <w:tcBorders>
              <w:top w:val="single" w:color="auto" w:sz="4" w:space="0"/>
              <w:left w:val="single" w:color="auto" w:sz="4" w:space="0"/>
              <w:bottom w:val="single" w:color="auto" w:sz="4" w:space="0"/>
              <w:right w:val="single" w:color="auto" w:sz="4" w:space="0"/>
            </w:tcBorders>
            <w:vAlign w:val="center"/>
          </w:tcPr>
          <w:p w14:paraId="45DC7BD7">
            <w:pPr>
              <w:spacing w:line="240" w:lineRule="auto"/>
              <w:jc w:val="center"/>
              <w:rPr>
                <w:rFonts w:ascii="宋体" w:hAnsi="宋体" w:eastAsia="宋体" w:cs="宋体"/>
                <w:color w:val="auto"/>
                <w:sz w:val="21"/>
                <w:szCs w:val="21"/>
                <w:highlight w:val="none"/>
              </w:rPr>
            </w:pPr>
          </w:p>
          <w:p w14:paraId="208AE1E9">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技术参数及配置</w:t>
            </w:r>
          </w:p>
        </w:tc>
        <w:tc>
          <w:tcPr>
            <w:tcW w:w="912" w:type="dxa"/>
            <w:tcBorders>
              <w:top w:val="single" w:color="auto" w:sz="4" w:space="0"/>
              <w:left w:val="single" w:color="auto" w:sz="4" w:space="0"/>
              <w:bottom w:val="single" w:color="auto" w:sz="4" w:space="0"/>
              <w:right w:val="single" w:color="auto" w:sz="4" w:space="0"/>
            </w:tcBorders>
            <w:vAlign w:val="center"/>
          </w:tcPr>
          <w:p w14:paraId="0C6DCC80">
            <w:pPr>
              <w:spacing w:line="240" w:lineRule="auto"/>
              <w:jc w:val="center"/>
              <w:rPr>
                <w:rFonts w:ascii="宋体" w:hAnsi="宋体" w:eastAsia="宋体" w:cs="宋体"/>
                <w:color w:val="auto"/>
                <w:sz w:val="21"/>
                <w:szCs w:val="22"/>
                <w:highlight w:val="none"/>
              </w:rPr>
            </w:pPr>
            <w:r>
              <w:rPr>
                <w:rFonts w:hint="eastAsia" w:ascii="宋体" w:hAnsi="宋体" w:eastAsia="宋体" w:cs="宋体"/>
                <w:color w:val="auto"/>
                <w:sz w:val="21"/>
                <w:szCs w:val="22"/>
                <w:highlight w:val="none"/>
              </w:rPr>
              <w:t>分项预算合计（元）</w:t>
            </w:r>
          </w:p>
        </w:tc>
        <w:tc>
          <w:tcPr>
            <w:tcW w:w="1165" w:type="dxa"/>
            <w:tcBorders>
              <w:top w:val="single" w:color="auto" w:sz="4" w:space="0"/>
              <w:left w:val="single" w:color="auto" w:sz="4" w:space="0"/>
              <w:bottom w:val="single" w:color="auto" w:sz="4" w:space="0"/>
              <w:right w:val="single" w:color="auto" w:sz="4" w:space="0"/>
            </w:tcBorders>
            <w:vAlign w:val="center"/>
          </w:tcPr>
          <w:p w14:paraId="18648A1A">
            <w:pPr>
              <w:spacing w:line="240" w:lineRule="auto"/>
              <w:jc w:val="center"/>
              <w:rPr>
                <w:rFonts w:ascii="宋体" w:hAnsi="宋体" w:eastAsia="宋体" w:cs="宋体"/>
                <w:color w:val="auto"/>
                <w:sz w:val="24"/>
                <w:szCs w:val="22"/>
                <w:highlight w:val="none"/>
              </w:rPr>
            </w:pPr>
            <w:r>
              <w:rPr>
                <w:rFonts w:hint="eastAsia" w:ascii="宋体" w:hAnsi="宋体" w:eastAsia="宋体" w:cs="宋体"/>
                <w:color w:val="auto"/>
                <w:sz w:val="21"/>
                <w:szCs w:val="22"/>
                <w:highlight w:val="none"/>
              </w:rPr>
              <w:t>中小企业划分标准所属行业名称（行业名称及划分见本章附件2）</w:t>
            </w:r>
          </w:p>
        </w:tc>
      </w:tr>
      <w:tr w14:paraId="5F210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14:paraId="79A339C7">
            <w:pPr>
              <w:widowControl/>
              <w:spacing w:line="240" w:lineRule="auto"/>
              <w:jc w:val="center"/>
              <w:rPr>
                <w:rFonts w:ascii="宋体" w:hAnsi="宋体" w:eastAsia="宋体" w:cs="宋体"/>
                <w:color w:val="auto"/>
                <w:sz w:val="24"/>
                <w:szCs w:val="22"/>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40E297FA">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92" w:type="dxa"/>
            <w:tcBorders>
              <w:top w:val="single" w:color="auto" w:sz="4" w:space="0"/>
              <w:left w:val="single" w:color="auto" w:sz="4" w:space="0"/>
              <w:bottom w:val="single" w:color="auto" w:sz="4" w:space="0"/>
              <w:right w:val="single" w:color="auto" w:sz="4" w:space="0"/>
            </w:tcBorders>
            <w:vAlign w:val="center"/>
          </w:tcPr>
          <w:p w14:paraId="2B04FD52">
            <w:pPr>
              <w:spacing w:line="260" w:lineRule="exact"/>
              <w:jc w:val="center"/>
              <w:rPr>
                <w:rFonts w:hint="eastAsia" w:ascii="宋体" w:hAnsi="宋体" w:eastAsia="宋体" w:cs="宋体"/>
                <w:color w:val="auto"/>
                <w:sz w:val="22"/>
                <w:szCs w:val="22"/>
                <w:highlight w:val="none"/>
              </w:rPr>
            </w:pPr>
            <w:bookmarkStart w:id="2" w:name="OLE_LINK2"/>
            <w:bookmarkStart w:id="3" w:name="OLE_LINK4"/>
            <w:bookmarkStart w:id="4" w:name="OLE_LINK3"/>
            <w:r>
              <w:rPr>
                <w:rFonts w:hint="eastAsia" w:ascii="宋体" w:hAnsi="宋体" w:eastAsia="宋体" w:cs="宋体"/>
                <w:color w:val="auto"/>
                <w:sz w:val="22"/>
                <w:szCs w:val="22"/>
                <w:highlight w:val="none"/>
              </w:rPr>
              <w:t>数字化全身型双能x线骨密度仪</w:t>
            </w:r>
            <w:bookmarkEnd w:id="2"/>
            <w:bookmarkEnd w:id="3"/>
            <w:bookmarkEnd w:id="4"/>
          </w:p>
        </w:tc>
        <w:tc>
          <w:tcPr>
            <w:tcW w:w="877" w:type="dxa"/>
            <w:tcBorders>
              <w:top w:val="single" w:color="auto" w:sz="4" w:space="0"/>
              <w:left w:val="single" w:color="auto" w:sz="4" w:space="0"/>
              <w:bottom w:val="single" w:color="auto" w:sz="4" w:space="0"/>
              <w:right w:val="single" w:color="auto" w:sz="4" w:space="0"/>
            </w:tcBorders>
            <w:vAlign w:val="center"/>
          </w:tcPr>
          <w:p w14:paraId="5E908164">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1套</w:t>
            </w:r>
          </w:p>
        </w:tc>
        <w:tc>
          <w:tcPr>
            <w:tcW w:w="4985" w:type="dxa"/>
            <w:tcBorders>
              <w:top w:val="single" w:color="auto" w:sz="4" w:space="0"/>
              <w:left w:val="single" w:color="auto" w:sz="4" w:space="0"/>
              <w:bottom w:val="single" w:color="auto" w:sz="4" w:space="0"/>
              <w:right w:val="single" w:color="auto" w:sz="4" w:space="0"/>
            </w:tcBorders>
            <w:vAlign w:val="center"/>
          </w:tcPr>
          <w:p w14:paraId="431FEB2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1.X 线源及高压发生器：</w:t>
            </w:r>
          </w:p>
          <w:p w14:paraId="4C0B224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1.1  K 缘过滤，同时产生高低双能 X 线；</w:t>
            </w:r>
          </w:p>
          <w:p w14:paraId="4CB4C18C">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▲1.2  X 线扫描线束：窄角扇形且扇形开角≤4.5°；</w:t>
            </w:r>
          </w:p>
          <w:p w14:paraId="65C6736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1.3</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采集成像方式：连续扫描式；</w:t>
            </w:r>
          </w:p>
          <w:p w14:paraId="594AB9C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管电流：</w:t>
            </w:r>
          </w:p>
          <w:p w14:paraId="356C5A3E">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1.4.1  电流工作档位：≥4 档；</w:t>
            </w:r>
          </w:p>
          <w:p w14:paraId="59F4DCC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1.4.2  最大工作管电流：≥3mA；</w:t>
            </w:r>
          </w:p>
          <w:p w14:paraId="44757D4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球管靶角：≥12 °；</w:t>
            </w:r>
          </w:p>
          <w:p w14:paraId="432EBE7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1.6</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球管最大热容量：≥260KJ；</w:t>
            </w:r>
          </w:p>
          <w:p w14:paraId="33FD3EC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1.7</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X线束低能能量：≤40kev；</w:t>
            </w:r>
          </w:p>
          <w:p w14:paraId="441D719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2.探测器系统：</w:t>
            </w:r>
          </w:p>
          <w:p w14:paraId="27530A4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trike/>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2.1  具备光子计数探测器；</w:t>
            </w:r>
          </w:p>
          <w:p w14:paraId="61453525">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2.2  探测器通道数量：≥16个；</w:t>
            </w:r>
          </w:p>
          <w:p w14:paraId="31F75460">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3.扫描：</w:t>
            </w:r>
          </w:p>
          <w:p w14:paraId="1C0AAC1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适用于全身的扫描床，长度： ≥200cm；</w:t>
            </w:r>
          </w:p>
          <w:p w14:paraId="58A02FF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适用于全身的扫描床，宽度： ≥105cm；</w:t>
            </w:r>
          </w:p>
          <w:p w14:paraId="19892BD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3.3</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最大有效扫描视野,长度×宽度： ≥195cm×60cm；</w:t>
            </w:r>
          </w:p>
          <w:p w14:paraId="136BBA6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最大病人承重：≥155kg；</w:t>
            </w:r>
          </w:p>
          <w:p w14:paraId="0355C8D0">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扫描时间：</w:t>
            </w:r>
          </w:p>
          <w:p w14:paraId="0F47B02F">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3.5.1  标准扫描时间，腰椎：≤30秒钟，股骨：≤30秒钟，全身：≤5 分钟；</w:t>
            </w:r>
          </w:p>
          <w:p w14:paraId="663F9A8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3.6</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精确激光定位灯；</w:t>
            </w:r>
          </w:p>
          <w:p w14:paraId="38FA57DF">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▲3.7 全配套扫描定位器（包括腰椎髋关节、双股骨、腿部、前臂、侧向、膝关节等）；</w:t>
            </w:r>
          </w:p>
          <w:p w14:paraId="04B7D00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3.8 多视角影像重建技术；</w:t>
            </w:r>
          </w:p>
          <w:p w14:paraId="718C432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3.9</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提供高清晰度骨骼影像；</w:t>
            </w:r>
          </w:p>
          <w:p w14:paraId="080B3A9E">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▲3.10</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在扫描之后，系统能够自动检测脊柱、髋关节、前臂等部位是否存在摆位异常或是分析异常，并能给出提示和纠正建议；</w:t>
            </w:r>
          </w:p>
          <w:p w14:paraId="4BCAFDD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4.扫描部位及临床应用功能：</w:t>
            </w:r>
          </w:p>
          <w:p w14:paraId="7E40A2B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正位腰椎扫描、评估；</w:t>
            </w:r>
          </w:p>
          <w:p w14:paraId="30F335C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单侧股骨扫描、评估；</w:t>
            </w:r>
          </w:p>
          <w:p w14:paraId="7E4B33D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4.3  双侧股骨自动扫描、评估；</w:t>
            </w:r>
          </w:p>
          <w:p w14:paraId="697A65EB">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4.3.1  一次定位， 自动扫描完成，同屏显示双侧髋关节影像；</w:t>
            </w:r>
          </w:p>
          <w:p w14:paraId="75067AEE">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4.3.2 自动提供双侧股骨平均骨密度值以及差异分析功能并提供检测联合结果；</w:t>
            </w:r>
          </w:p>
          <w:p w14:paraId="1AB6AE2E">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前臂测量和分析；</w:t>
            </w:r>
          </w:p>
          <w:p w14:paraId="31E10C44">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全身骨密度扫描，并可进行四肢、躯干等部位的单独分析测量；</w:t>
            </w:r>
          </w:p>
          <w:p w14:paraId="4CBD8825">
            <w:pPr>
              <w:autoSpaceDE w:val="0"/>
              <w:autoSpaceDN w:val="0"/>
              <w:adjustRightInd w:val="0"/>
              <w:spacing w:line="360" w:lineRule="auto"/>
              <w:jc w:val="left"/>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▲4.6 可进行全身肌肉/脂肪成分分析，具备中国人体成分参考数据库，并在《医疗器械注册证》或产品说明书</w:t>
            </w:r>
            <w:r>
              <w:rPr>
                <w:rFonts w:hint="eastAsia" w:ascii="宋体" w:hAnsi="宋体" w:eastAsia="宋体" w:cs="宋体"/>
                <w:bCs/>
                <w:snapToGrid w:val="0"/>
                <w:color w:val="auto"/>
                <w:spacing w:val="-11"/>
                <w:kern w:val="0"/>
                <w:sz w:val="22"/>
                <w:szCs w:val="22"/>
                <w:highlight w:val="none"/>
                <w:lang w:val="en-US" w:eastAsia="zh-CN"/>
              </w:rPr>
              <w:t>中</w:t>
            </w:r>
            <w:r>
              <w:rPr>
                <w:rFonts w:hint="eastAsia" w:ascii="宋体" w:hAnsi="宋体" w:eastAsia="宋体" w:cs="宋体"/>
                <w:color w:val="auto"/>
                <w:kern w:val="0"/>
                <w:sz w:val="22"/>
                <w:szCs w:val="22"/>
                <w:highlight w:val="none"/>
              </w:rPr>
              <w:t>体现该产品可适用于脂肪肌肉组织测量和分析</w:t>
            </w:r>
            <w:r>
              <w:rPr>
                <w:rFonts w:hint="eastAsia" w:ascii="宋体" w:hAnsi="宋体" w:eastAsia="宋体" w:cs="宋体"/>
                <w:bCs/>
                <w:snapToGrid w:val="0"/>
                <w:color w:val="auto"/>
                <w:spacing w:val="-11"/>
                <w:kern w:val="0"/>
                <w:sz w:val="22"/>
                <w:szCs w:val="22"/>
                <w:highlight w:val="none"/>
              </w:rPr>
              <w:t>。</w:t>
            </w:r>
          </w:p>
          <w:p w14:paraId="476E22D3">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4.7</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体重指数评估；</w:t>
            </w:r>
          </w:p>
          <w:p w14:paraId="24960BED">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4.8</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自动腹臀区域脂肪分析，腹臀脂肪比；</w:t>
            </w:r>
          </w:p>
          <w:p w14:paraId="6D2CF312">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4.9</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双能脊柱评估功能；</w:t>
            </w:r>
          </w:p>
          <w:p w14:paraId="6111F5D2">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4.10 人工髋关节置换后的自动扫描、评估；</w:t>
            </w:r>
          </w:p>
          <w:p w14:paraId="3048D204">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4.10.1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增强型骨科专用软件（髋关节），用于人工髋关节置换术后假体周围骨量测量及变化评估；</w:t>
            </w:r>
          </w:p>
          <w:p w14:paraId="05155570">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4.10.2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人工髋关节周围划分的评估区个数：≥19个；</w:t>
            </w:r>
          </w:p>
          <w:p w14:paraId="048FC595">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一次定位，自动完成腰椎、双侧股骨扫描检测功能；</w:t>
            </w:r>
          </w:p>
          <w:p w14:paraId="59638C2F">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4.12 骨折风险评估软件；</w:t>
            </w:r>
          </w:p>
          <w:p w14:paraId="2FE54A4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4.13  计算机自动辅助诊断分析软件；</w:t>
            </w:r>
          </w:p>
          <w:p w14:paraId="3B6601E5">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4.14  具备流程管理工具，提供患者数据检索功能，可按照 BMD、BMC、T 值、Z值、肌肉含量、脂肪含量等字段进行数据筛选并导出报表。可将患者数据导出 txt 文档或者 excel 文件。</w:t>
            </w:r>
          </w:p>
          <w:p w14:paraId="65A4FB0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5.临床应用软件包：</w:t>
            </w:r>
          </w:p>
          <w:p w14:paraId="13A7F397">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运行环境：预装中文 WINDOWS 操作系统；</w:t>
            </w:r>
          </w:p>
          <w:p w14:paraId="20BB01C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骨密度仪中文操作软件及骨密度结果中文影像数据检测报告；</w:t>
            </w:r>
          </w:p>
          <w:p w14:paraId="7EB3971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5.3  骨密度计算软件包；</w:t>
            </w:r>
          </w:p>
          <w:p w14:paraId="674A5B3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中国大陆人数据库：数据库，全国多点采集，样本量≥10000。</w:t>
            </w:r>
          </w:p>
          <w:p w14:paraId="7EFFD421">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智能自动确定骨边缘软件；</w:t>
            </w:r>
          </w:p>
          <w:p w14:paraId="36AD898E">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5.6</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与前一次扫描结果对比分析；</w:t>
            </w:r>
          </w:p>
          <w:p w14:paraId="76E74BD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5.7</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异常骨密度区域或金属自动排除软件；</w:t>
            </w:r>
          </w:p>
          <w:p w14:paraId="2C55295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5.8</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屏幕上扫描部位调整（可以通过软件，在屏幕上对扫描部位做精细调整）；</w:t>
            </w:r>
          </w:p>
          <w:p w14:paraId="3AE8FEF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5.9 体重/种族差异校正软件；</w:t>
            </w:r>
          </w:p>
          <w:p w14:paraId="00DFCD4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5.10 T 值和Z值分析软件；</w:t>
            </w:r>
          </w:p>
          <w:p w14:paraId="3395237F">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5.11 检测质量控制系统（含质量检测程序，QA 态势分析）；</w:t>
            </w:r>
          </w:p>
          <w:p w14:paraId="2EE0B970">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5.12 双能椎体评估软件</w:t>
            </w:r>
          </w:p>
          <w:p w14:paraId="245A21A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5.13 矫形髋关节软件</w:t>
            </w:r>
          </w:p>
          <w:p w14:paraId="5666FF3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5.14 矫形膝关节软件</w:t>
            </w:r>
          </w:p>
          <w:p w14:paraId="312FCAE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5.15 内脏脂肪分析软件</w:t>
            </w:r>
          </w:p>
          <w:p w14:paraId="01BDB0C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5.16 非典型性股骨骨折模型</w:t>
            </w:r>
          </w:p>
          <w:p w14:paraId="25E379C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5.17 科研专用模式分析功能，可分析人体、动物体任意部位的活体及组织的骨密度及成分</w:t>
            </w:r>
          </w:p>
          <w:p w14:paraId="719A07E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5.18 检测结果趋势分析功能；</w:t>
            </w:r>
          </w:p>
          <w:p w14:paraId="35872FC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5.19 具备多部位集成报告系统，将所有检测结果打印在一张报告上进行联合评估；</w:t>
            </w:r>
          </w:p>
          <w:p w14:paraId="7CB03515">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5.20 自动化报告编辑书写软件；</w:t>
            </w:r>
          </w:p>
          <w:p w14:paraId="73C4D311">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5.21  DICOM 协议接口（存储、传输、检索/查询、Worklist、打印）；</w:t>
            </w:r>
          </w:p>
          <w:p w14:paraId="62919931">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 xml:space="preserve">5.22 </w:t>
            </w:r>
            <w:r>
              <w:rPr>
                <w:rFonts w:hint="eastAsia" w:ascii="宋体" w:hAnsi="宋体" w:eastAsia="宋体" w:cs="宋体"/>
                <w:color w:val="auto"/>
                <w:sz w:val="22"/>
                <w:szCs w:val="22"/>
                <w:highlight w:val="none"/>
              </w:rPr>
              <w:t>实现数据与采购人院内HIS,PACS信息系统的对接</w:t>
            </w:r>
            <w:r>
              <w:rPr>
                <w:rFonts w:hint="eastAsia" w:ascii="宋体" w:hAnsi="宋体" w:eastAsia="宋体" w:cs="宋体"/>
                <w:bCs/>
                <w:snapToGrid w:val="0"/>
                <w:color w:val="auto"/>
                <w:spacing w:val="-11"/>
                <w:kern w:val="0"/>
                <w:sz w:val="22"/>
                <w:szCs w:val="22"/>
                <w:highlight w:val="none"/>
              </w:rPr>
              <w:t>；</w:t>
            </w:r>
          </w:p>
          <w:p w14:paraId="0143CF36">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6.放射剂量：</w:t>
            </w:r>
          </w:p>
          <w:p w14:paraId="7433D7C8">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6.1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空气入射比释动能（脊柱扫描）：≤37</w:t>
            </w:r>
            <w:r>
              <w:rPr>
                <w:rFonts w:hint="eastAsia" w:ascii="宋体" w:hAnsi="宋体" w:eastAsia="宋体" w:cs="宋体"/>
                <w:bCs/>
                <w:snapToGrid w:val="0"/>
                <w:color w:val="auto"/>
                <w:spacing w:val="-11"/>
                <w:kern w:val="0"/>
                <w:sz w:val="22"/>
                <w:szCs w:val="22"/>
                <w:highlight w:val="none"/>
                <w:lang w:eastAsia="en-US"/>
              </w:rPr>
              <w:t>μ</w:t>
            </w:r>
            <w:r>
              <w:rPr>
                <w:rFonts w:hint="eastAsia" w:ascii="宋体" w:hAnsi="宋体" w:eastAsia="宋体" w:cs="宋体"/>
                <w:bCs/>
                <w:snapToGrid w:val="0"/>
                <w:color w:val="auto"/>
                <w:spacing w:val="-11"/>
                <w:kern w:val="0"/>
                <w:sz w:val="22"/>
                <w:szCs w:val="22"/>
                <w:highlight w:val="none"/>
              </w:rPr>
              <w:t>Gy；</w:t>
            </w:r>
          </w:p>
          <w:p w14:paraId="6E477EEA">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spacing w:val="-11"/>
                <w:kern w:val="0"/>
                <w:sz w:val="22"/>
                <w:szCs w:val="22"/>
                <w:highlight w:val="none"/>
              </w:rPr>
              <w:t>6.2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全身扫描放射剂量：≤0.4</w:t>
            </w:r>
            <w:r>
              <w:rPr>
                <w:rFonts w:hint="eastAsia" w:ascii="宋体" w:hAnsi="宋体" w:eastAsia="宋体" w:cs="宋体"/>
                <w:bCs/>
                <w:snapToGrid w:val="0"/>
                <w:color w:val="auto"/>
                <w:spacing w:val="-11"/>
                <w:kern w:val="0"/>
                <w:sz w:val="22"/>
                <w:szCs w:val="22"/>
                <w:highlight w:val="none"/>
                <w:lang w:eastAsia="en-US"/>
              </w:rPr>
              <w:t>μ</w:t>
            </w:r>
            <w:r>
              <w:rPr>
                <w:rFonts w:hint="eastAsia" w:ascii="宋体" w:hAnsi="宋体" w:eastAsia="宋体" w:cs="宋体"/>
                <w:bCs/>
                <w:snapToGrid w:val="0"/>
                <w:color w:val="auto"/>
                <w:spacing w:val="-11"/>
                <w:kern w:val="0"/>
                <w:sz w:val="22"/>
                <w:szCs w:val="22"/>
                <w:highlight w:val="none"/>
              </w:rPr>
              <w:t>Gy；</w:t>
            </w:r>
          </w:p>
          <w:p w14:paraId="28CA91A8">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spacing w:val="-11"/>
                <w:kern w:val="0"/>
                <w:sz w:val="22"/>
                <w:szCs w:val="22"/>
                <w:highlight w:val="none"/>
              </w:rPr>
              <w:t>7.</w:t>
            </w:r>
            <w:r>
              <w:rPr>
                <w:rFonts w:hint="eastAsia" w:ascii="宋体" w:hAnsi="宋体" w:eastAsia="宋体" w:cs="宋体"/>
                <w:bCs/>
                <w:snapToGrid w:val="0"/>
                <w:color w:val="auto"/>
                <w:kern w:val="0"/>
                <w:sz w:val="22"/>
                <w:szCs w:val="22"/>
                <w:highlight w:val="none"/>
              </w:rPr>
              <w:t>防护用品2套；</w:t>
            </w:r>
          </w:p>
          <w:p w14:paraId="74931781">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8.配置清单：</w:t>
            </w:r>
          </w:p>
          <w:p w14:paraId="234CC3D3">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（1）双能X线骨密度仪主机系统；</w:t>
            </w:r>
          </w:p>
          <w:p w14:paraId="159CFAEC">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（2）全配套扫描定位器套件；</w:t>
            </w:r>
          </w:p>
          <w:p w14:paraId="77D43689">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（3）电源线；</w:t>
            </w:r>
          </w:p>
          <w:p w14:paraId="35C3334C">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（4）用户操作手册；</w:t>
            </w:r>
          </w:p>
          <w:p w14:paraId="0860F74E">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（5）工作站及输出设备</w:t>
            </w:r>
          </w:p>
          <w:p w14:paraId="729B77EF">
            <w:pPr>
              <w:widowControl w:val="0"/>
              <w:overflowPunct w:val="0"/>
              <w:autoSpaceDE w:val="0"/>
              <w:autoSpaceDN w:val="0"/>
              <w:adjustRightInd w:val="0"/>
              <w:spacing w:line="360" w:lineRule="auto"/>
              <w:jc w:val="both"/>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▲9.本采购标的属于第二类医疗器械产品，须在首次响应文件中提供</w:t>
            </w:r>
            <w:bookmarkStart w:id="5" w:name="OLE_LINK7"/>
            <w:r>
              <w:rPr>
                <w:rFonts w:hint="eastAsia" w:ascii="宋体" w:hAnsi="宋体" w:eastAsia="宋体" w:cs="宋体"/>
                <w:color w:val="auto"/>
                <w:kern w:val="2"/>
                <w:sz w:val="22"/>
                <w:szCs w:val="22"/>
                <w:highlight w:val="none"/>
                <w:lang w:val="en-US" w:eastAsia="zh-CN" w:bidi="ar-SA"/>
              </w:rPr>
              <w:t>竞标产品（第二类医疗器械产品）</w:t>
            </w:r>
            <w:bookmarkEnd w:id="5"/>
            <w:r>
              <w:rPr>
                <w:rFonts w:hint="eastAsia" w:ascii="宋体" w:hAnsi="宋体" w:eastAsia="宋体" w:cs="宋体"/>
                <w:color w:val="auto"/>
                <w:kern w:val="2"/>
                <w:sz w:val="22"/>
                <w:szCs w:val="22"/>
                <w:highlight w:val="none"/>
                <w:lang w:val="en-US" w:eastAsia="zh-CN" w:bidi="ar-SA"/>
              </w:rPr>
              <w:t>的有效的医疗器械注册证复印件。</w:t>
            </w:r>
          </w:p>
          <w:p w14:paraId="126505A0">
            <w:pPr>
              <w:widowControl w:val="0"/>
              <w:overflowPunct w:val="0"/>
              <w:autoSpaceDE w:val="0"/>
              <w:autoSpaceDN w:val="0"/>
              <w:adjustRightInd w:val="0"/>
              <w:spacing w:line="360" w:lineRule="auto"/>
              <w:jc w:val="both"/>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▲10.成交供应商须按照国家放射防护标准要求，对机房及电源进行改造，改造后达到国家放射防护标准要求，设备正常使用。</w:t>
            </w:r>
          </w:p>
          <w:p w14:paraId="4A18464D">
            <w:pPr>
              <w:widowControl w:val="0"/>
              <w:overflowPunct w:val="0"/>
              <w:autoSpaceDE w:val="0"/>
              <w:autoSpaceDN w:val="0"/>
              <w:adjustRightInd w:val="0"/>
              <w:spacing w:line="360" w:lineRule="auto"/>
              <w:jc w:val="both"/>
              <w:textAlignment w:val="baseline"/>
              <w:rPr>
                <w:rFonts w:hint="eastAsia" w:ascii="宋体" w:hAnsi="宋体" w:eastAsia="宋体" w:cs="宋体"/>
                <w:b/>
                <w:bCs/>
                <w:snapToGrid w:val="0"/>
                <w:color w:val="auto"/>
                <w:spacing w:val="-11"/>
                <w:kern w:val="0"/>
                <w:sz w:val="22"/>
                <w:szCs w:val="22"/>
                <w:highlight w:val="none"/>
                <w:lang w:val="en-US" w:eastAsia="zh-CN" w:bidi="ar-SA"/>
              </w:rPr>
            </w:pPr>
            <w:r>
              <w:rPr>
                <w:rFonts w:hint="eastAsia" w:ascii="宋体" w:hAnsi="宋体" w:eastAsia="宋体" w:cs="宋体"/>
                <w:b/>
                <w:bCs/>
                <w:snapToGrid w:val="0"/>
                <w:color w:val="auto"/>
                <w:spacing w:val="-11"/>
                <w:kern w:val="2"/>
                <w:sz w:val="22"/>
                <w:szCs w:val="22"/>
                <w:highlight w:val="none"/>
                <w:lang w:val="en-US" w:eastAsia="zh-CN" w:bidi="ar-SA"/>
              </w:rPr>
              <w:t>▲11.</w:t>
            </w:r>
            <w:bookmarkStart w:id="6" w:name="OLE_LINK6"/>
            <w:r>
              <w:rPr>
                <w:rFonts w:hint="eastAsia" w:ascii="宋体" w:hAnsi="宋体" w:eastAsia="宋体" w:cs="宋体"/>
                <w:b/>
                <w:bCs/>
                <w:snapToGrid w:val="0"/>
                <w:color w:val="auto"/>
                <w:spacing w:val="-11"/>
                <w:kern w:val="2"/>
                <w:sz w:val="22"/>
                <w:szCs w:val="22"/>
                <w:highlight w:val="none"/>
                <w:lang w:val="en-US" w:eastAsia="zh-CN" w:bidi="ar-SA"/>
              </w:rPr>
              <w:t>成交供应商须</w:t>
            </w:r>
            <w:bookmarkEnd w:id="6"/>
            <w:r>
              <w:rPr>
                <w:rFonts w:hint="eastAsia" w:ascii="宋体" w:hAnsi="宋体" w:eastAsia="宋体" w:cs="宋体"/>
                <w:b/>
                <w:bCs/>
                <w:snapToGrid w:val="0"/>
                <w:color w:val="auto"/>
                <w:spacing w:val="-11"/>
                <w:kern w:val="2"/>
                <w:sz w:val="22"/>
                <w:szCs w:val="22"/>
                <w:highlight w:val="none"/>
                <w:lang w:val="en-US" w:eastAsia="zh-CN" w:bidi="ar-SA"/>
              </w:rPr>
              <w:t>负责本项目的建设项目职业病危害放射防护预评价及控制效果放射防护评价，评价应符合有关的国家、地方、行业标准，并在项目验收时将评价报告结果提供给采购人。</w:t>
            </w:r>
          </w:p>
        </w:tc>
        <w:tc>
          <w:tcPr>
            <w:tcW w:w="912" w:type="dxa"/>
            <w:tcBorders>
              <w:top w:val="single" w:color="auto" w:sz="4" w:space="0"/>
              <w:left w:val="single" w:color="auto" w:sz="4" w:space="0"/>
              <w:bottom w:val="single" w:color="auto" w:sz="4" w:space="0"/>
              <w:right w:val="single" w:color="auto" w:sz="4" w:space="0"/>
            </w:tcBorders>
            <w:vAlign w:val="center"/>
          </w:tcPr>
          <w:p w14:paraId="4C85B603">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1325000.00</w:t>
            </w:r>
          </w:p>
        </w:tc>
        <w:tc>
          <w:tcPr>
            <w:tcW w:w="1165" w:type="dxa"/>
            <w:tcBorders>
              <w:top w:val="single" w:color="auto" w:sz="4" w:space="0"/>
              <w:left w:val="single" w:color="auto" w:sz="4" w:space="0"/>
              <w:bottom w:val="single" w:color="auto" w:sz="4" w:space="0"/>
              <w:right w:val="single" w:color="auto" w:sz="4" w:space="0"/>
            </w:tcBorders>
            <w:vAlign w:val="center"/>
          </w:tcPr>
          <w:p w14:paraId="60013D4D">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工业</w:t>
            </w:r>
          </w:p>
        </w:tc>
      </w:tr>
      <w:tr w14:paraId="076FE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CFCAAAE">
            <w:pPr>
              <w:spacing w:line="240" w:lineRule="auto"/>
              <w:jc w:val="center"/>
              <w:rPr>
                <w:rFonts w:ascii="宋体" w:hAnsi="宋体" w:eastAsia="宋体" w:cs="宋体"/>
                <w:color w:val="auto"/>
                <w:sz w:val="21"/>
                <w:szCs w:val="22"/>
                <w:highlight w:val="none"/>
              </w:rPr>
            </w:pPr>
          </w:p>
          <w:p w14:paraId="6CC0BA77">
            <w:pPr>
              <w:spacing w:line="240" w:lineRule="auto"/>
              <w:jc w:val="center"/>
              <w:rPr>
                <w:rFonts w:ascii="宋体" w:hAnsi="宋体" w:eastAsia="宋体" w:cs="宋体"/>
                <w:color w:val="auto"/>
                <w:sz w:val="21"/>
                <w:szCs w:val="22"/>
                <w:highlight w:val="none"/>
              </w:rPr>
            </w:pPr>
          </w:p>
          <w:p w14:paraId="1D14FF69">
            <w:pPr>
              <w:spacing w:line="240" w:lineRule="auto"/>
              <w:jc w:val="center"/>
              <w:rPr>
                <w:rFonts w:ascii="宋体" w:hAnsi="宋体" w:eastAsia="宋体" w:cs="宋体"/>
                <w:color w:val="auto"/>
                <w:sz w:val="21"/>
                <w:szCs w:val="22"/>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2"/>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tcPr>
          <w:p w14:paraId="3B8A222E">
            <w:pPr>
              <w:widowControl/>
              <w:shd w:val="clear" w:color="auto" w:fill="FFFFFF"/>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一、合同签订期：自成交通知书发出之日起</w:t>
            </w:r>
            <w:r>
              <w:rPr>
                <w:rFonts w:hint="eastAsia" w:ascii="宋体" w:hAnsi="宋体" w:eastAsia="宋体" w:cs="宋体"/>
                <w:color w:val="auto"/>
                <w:sz w:val="22"/>
                <w:szCs w:val="22"/>
                <w:highlight w:val="none"/>
                <w:u w:val="single"/>
              </w:rPr>
              <w:t>25</w:t>
            </w:r>
            <w:r>
              <w:rPr>
                <w:rFonts w:hint="eastAsia" w:ascii="宋体" w:hAnsi="宋体" w:eastAsia="宋体" w:cs="宋体"/>
                <w:color w:val="auto"/>
                <w:sz w:val="22"/>
                <w:szCs w:val="22"/>
                <w:highlight w:val="none"/>
              </w:rPr>
              <w:t>日内。</w:t>
            </w:r>
          </w:p>
          <w:p w14:paraId="1DB4A12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二、交付</w:t>
            </w:r>
            <w:r>
              <w:rPr>
                <w:rFonts w:hint="eastAsia" w:ascii="宋体" w:hAnsi="宋体" w:eastAsia="宋体" w:cs="宋体"/>
                <w:bCs/>
                <w:color w:val="auto"/>
                <w:sz w:val="22"/>
                <w:szCs w:val="22"/>
                <w:highlight w:val="none"/>
              </w:rPr>
              <w:t>时间：</w:t>
            </w:r>
            <w:r>
              <w:rPr>
                <w:rFonts w:hint="eastAsia" w:ascii="宋体" w:hAnsi="宋体" w:eastAsia="宋体" w:cs="宋体"/>
                <w:color w:val="auto"/>
                <w:sz w:val="22"/>
                <w:szCs w:val="22"/>
                <w:highlight w:val="none"/>
              </w:rPr>
              <w:t>自合同签订之日起60天（日历日）内交货并安装调试完毕，并通过验收合格、交付正常使用。</w:t>
            </w:r>
          </w:p>
          <w:p w14:paraId="34EBB5B3">
            <w:pPr>
              <w:widowControl/>
              <w:shd w:val="clear" w:color="auto" w:fill="FFFFFF"/>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color w:val="auto"/>
                <w:sz w:val="22"/>
                <w:szCs w:val="22"/>
                <w:highlight w:val="none"/>
              </w:rPr>
              <w:t>三、交付地点：广西防城港市采购人指定地点</w:t>
            </w:r>
          </w:p>
          <w:p w14:paraId="4724A5D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四、</w:t>
            </w:r>
            <w:r>
              <w:rPr>
                <w:rFonts w:hint="eastAsia" w:ascii="宋体" w:hAnsi="宋体" w:eastAsia="宋体" w:cs="宋体"/>
                <w:color w:val="auto"/>
                <w:sz w:val="22"/>
                <w:szCs w:val="22"/>
                <w:highlight w:val="none"/>
              </w:rPr>
              <w:t>验收标准、规范：</w:t>
            </w:r>
          </w:p>
          <w:p w14:paraId="6CCDBF9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rPr>
              <w:t>除国家药监局公布《免于经营备案的第二类医疗器械产品目录》内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14:paraId="725904D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货物必须是全新产品。交货前不允许提前开箱、调试；货物备齐后通知采购人对货物进行清点、核实，由采购人、成交供应商双方派代表当场开箱验货，并按合同条款逐条检验签收后，双方代表签字，否则不予验收。如供货时出现有设备停产的情况，须提供具备与原设备技术参数要求相同或优于原设备技术参数要求的替代产品，并经采购人确认后方可更换。</w:t>
            </w:r>
          </w:p>
          <w:p w14:paraId="490EF98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货时，所有产品均严格按采购文件上的技术规格要求、成交供应商响应和承诺的技术参数及性能和国家有关标准进行验收，达不到实质性要求的视为产品验收不合格，采购单位可解除双方的供货合同，并按相关规定处理、处罚。</w:t>
            </w:r>
          </w:p>
          <w:p w14:paraId="07338A3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55C0EE1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（4）安装后达到验收标准应符合中国有关的国家、地方、行业标准，</w:t>
            </w:r>
            <w:r>
              <w:rPr>
                <w:rFonts w:hint="eastAsia" w:ascii="宋体" w:hAnsi="宋体" w:eastAsia="宋体" w:cs="宋体"/>
                <w:bCs/>
                <w:snapToGrid w:val="0"/>
                <w:color w:val="auto"/>
                <w:kern w:val="0"/>
                <w:sz w:val="22"/>
                <w:szCs w:val="22"/>
                <w:highlight w:val="none"/>
              </w:rPr>
              <w:t>符合放射防护标准要求，达到正常使用标准</w:t>
            </w:r>
            <w:r>
              <w:rPr>
                <w:rFonts w:hint="eastAsia" w:ascii="宋体" w:hAnsi="宋体" w:eastAsia="宋体" w:cs="宋体"/>
                <w:color w:val="auto"/>
                <w:sz w:val="22"/>
                <w:szCs w:val="22"/>
                <w:highlight w:val="none"/>
              </w:rPr>
              <w:t>。成交供应商提供产品的有效检验文件，经采购人认可后，与合同的性能指标一起作为验收标准，采购人可组成验收小组对产品进行复检与性能测试，成交供应商派出技术人员协助此项工作。项目验收合格后，签署验收合格书。</w:t>
            </w:r>
          </w:p>
          <w:p w14:paraId="648E6895">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4.实施和安装要求：</w:t>
            </w:r>
          </w:p>
          <w:p w14:paraId="616DD513">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（1）成交供应商必须服从采购人现场负责人的指挥，按指定地点进行安装；</w:t>
            </w:r>
          </w:p>
          <w:p w14:paraId="25DE6DA2">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（2）安装过程中的所有安全保障、安全责任由成交供应商自行负责；</w:t>
            </w:r>
          </w:p>
          <w:p w14:paraId="429CC9AE">
            <w:pPr>
              <w:widowControl/>
              <w:shd w:val="clear" w:color="auto" w:fill="FFFFFF"/>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color w:val="auto"/>
                <w:sz w:val="22"/>
                <w:szCs w:val="22"/>
                <w:highlight w:val="none"/>
              </w:rPr>
              <w:t>（3）严格按产品的安装规范要求进行安装，确保安全。</w:t>
            </w:r>
          </w:p>
          <w:p w14:paraId="3F6D6C61">
            <w:pPr>
              <w:widowControl/>
              <w:shd w:val="clear" w:color="auto" w:fill="FFFFFF"/>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五、售后服务要求：</w:t>
            </w:r>
          </w:p>
          <w:p w14:paraId="75353F2E">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质保期：整机保修至少3年，质保期从验收合格之日起计算，质保期期内产品实行三包，免费更换全新零配件。在质保期内因货物质量、安装而造成货物损坏，其全部费用由成交供应商负责；货物必须是全新产品。交货前不允许提前开箱、调试；货物备齐后通知采购人对货物进行清点、核实，由采购人、成交人双方派代表当场开箱验货，并按合同条款逐条检验签收后，双方代表签字，否则不予验收。</w:t>
            </w:r>
          </w:p>
          <w:p w14:paraId="7CA1EC23">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产品按国家规定实行“三包”，保修期内一切因生产厂制造质量原因造成的损坏，由成交供应商免费负责维修；保修期满后若设备出现故障，需更换配件的，只收取配件费，免收其余费用；若不需更换配件，则提供维修，并承担有关全部的维修费用。</w:t>
            </w:r>
          </w:p>
          <w:p w14:paraId="2F048F42">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3.成交供应商提供的产品必须是全新和未使用过的产品，随机技术资料要齐全（用户手册、保修手册、有关资料及配件、随机工具等），产品符合国家质量检测标准，</w:t>
            </w:r>
            <w:r>
              <w:rPr>
                <w:rFonts w:hint="eastAsia" w:ascii="宋体" w:hAnsi="宋体" w:eastAsia="宋体" w:cs="宋体"/>
                <w:color w:val="auto"/>
                <w:sz w:val="22"/>
                <w:szCs w:val="22"/>
                <w:highlight w:val="none"/>
              </w:rPr>
              <w:t>成交供应商负责将产品</w:t>
            </w:r>
            <w:r>
              <w:rPr>
                <w:rFonts w:hint="eastAsia" w:ascii="宋体" w:hAnsi="宋体" w:eastAsia="宋体" w:cs="宋体"/>
                <w:bCs/>
                <w:color w:val="auto"/>
                <w:sz w:val="22"/>
                <w:szCs w:val="22"/>
                <w:highlight w:val="none"/>
              </w:rPr>
              <w:t>送货上门（包括全程运输、装卸、搬运以及货物运送到采购人后的接货、装卸、搬运），</w:t>
            </w:r>
            <w:r>
              <w:rPr>
                <w:rFonts w:hint="eastAsia" w:ascii="宋体" w:hAnsi="宋体" w:eastAsia="宋体" w:cs="宋体"/>
                <w:color w:val="auto"/>
                <w:sz w:val="22"/>
                <w:szCs w:val="22"/>
                <w:highlight w:val="none"/>
              </w:rPr>
              <w:t>并负责</w:t>
            </w:r>
            <w:r>
              <w:rPr>
                <w:rFonts w:hint="eastAsia" w:ascii="宋体" w:hAnsi="宋体" w:eastAsia="宋体" w:cs="宋体"/>
                <w:bCs/>
                <w:color w:val="auto"/>
                <w:sz w:val="22"/>
                <w:szCs w:val="22"/>
                <w:highlight w:val="none"/>
              </w:rPr>
              <w:t>安装调试合格。</w:t>
            </w:r>
          </w:p>
          <w:p w14:paraId="2F5848DF">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4.故障或技术支持应急维修响应时间：接到</w:t>
            </w:r>
            <w:r>
              <w:rPr>
                <w:rFonts w:hint="eastAsia" w:ascii="宋体" w:hAnsi="宋体" w:eastAsia="宋体" w:cs="宋体"/>
                <w:color w:val="auto"/>
                <w:sz w:val="22"/>
                <w:szCs w:val="22"/>
                <w:highlight w:val="none"/>
              </w:rPr>
              <w:t>采购人</w:t>
            </w:r>
            <w:r>
              <w:rPr>
                <w:rFonts w:hint="eastAsia" w:ascii="宋体" w:hAnsi="宋体" w:eastAsia="宋体" w:cs="宋体"/>
                <w:bCs/>
                <w:color w:val="auto"/>
                <w:sz w:val="22"/>
                <w:szCs w:val="22"/>
                <w:highlight w:val="none"/>
              </w:rPr>
              <w:t>故障通知后，在2小时内响应，一般故障在2 小时内可通过远程方式解决，遇到大的故障24 小时内派技术人员到达现场维修，48小时维修完毕；如故障72小时不能解决，提供同等功能的备用机器替换顶用直至故障设备修复。</w:t>
            </w:r>
          </w:p>
          <w:p w14:paraId="1E56193E">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5.维修保养：成交供应商定期派技术人员对设备进行常规检查维护及跟踪服务，提供每年不少于2次不定期巡回检测服务，提供终生维修服务、保养服务，保证设备始终处于最佳的运行状态。</w:t>
            </w:r>
          </w:p>
          <w:p w14:paraId="613E2B92">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6.热线技术支持服务：保持24小时电话及电子邮件技术支持。</w:t>
            </w:r>
          </w:p>
          <w:p w14:paraId="48E7EA50">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7.培训要求：</w:t>
            </w:r>
            <w:r>
              <w:rPr>
                <w:rFonts w:hint="eastAsia" w:ascii="宋体" w:hAnsi="宋体" w:eastAsia="宋体" w:cs="宋体"/>
                <w:color w:val="auto"/>
                <w:sz w:val="22"/>
                <w:szCs w:val="22"/>
                <w:highlight w:val="none"/>
              </w:rPr>
              <w:t>成交</w:t>
            </w:r>
            <w:r>
              <w:rPr>
                <w:rFonts w:hint="eastAsia" w:ascii="宋体" w:hAnsi="宋体" w:eastAsia="宋体" w:cs="宋体"/>
                <w:bCs/>
                <w:color w:val="auto"/>
                <w:sz w:val="22"/>
                <w:szCs w:val="22"/>
                <w:highlight w:val="none"/>
              </w:rPr>
              <w:t>供应商应配置专业技术人员对采购人的使用设备人员提供现场技术培训，并承担有关全部的培训费用，保证使用人员正常操作设备的各种功能及维护。使用培训为验收要件之一，没有经过培训，视为没能完成验收。</w:t>
            </w:r>
          </w:p>
          <w:p w14:paraId="516AA2E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8.备件要求：成交供应商应存入所有必需的备件，保证必要时可以及时供应。</w:t>
            </w:r>
          </w:p>
          <w:p w14:paraId="2006967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六、其他要求：</w:t>
            </w:r>
          </w:p>
          <w:p w14:paraId="146164A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1.分包约定</w:t>
            </w:r>
          </w:p>
          <w:p w14:paraId="46014B24">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（1）采购人允许成交人将本项目非主体、非关键性工作中的设备安装及机房建设依法分包履行。</w:t>
            </w:r>
          </w:p>
          <w:p w14:paraId="3606E72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（2）供应商拟在成交后分包的，须在响应文件中载明分包内容、分包承担主体及资质条件，未载明的，成交后不得擅自分包。</w:t>
            </w:r>
          </w:p>
          <w:p w14:paraId="2E1DD96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（3）分包承担主体须具备分包内容相应资质条件，不得再次分包。</w:t>
            </w:r>
          </w:p>
          <w:p w14:paraId="4D89DC17">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（4）成交供应商就采购项目整体及分包项目向采购人负责，分包供应商就分包项目承担相应责任。</w:t>
            </w:r>
          </w:p>
          <w:p w14:paraId="7666112C">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（5）成交供应商不得将本项目整体转包，不得将主体、关键性工作分包。</w:t>
            </w:r>
          </w:p>
          <w:p w14:paraId="3EB5F8F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2.本项目为</w:t>
            </w:r>
            <w:r>
              <w:rPr>
                <w:rFonts w:hint="eastAsia" w:ascii="宋体" w:hAnsi="宋体" w:eastAsia="宋体" w:cs="宋体"/>
                <w:bCs/>
                <w:snapToGrid w:val="0"/>
                <w:color w:val="auto"/>
                <w:kern w:val="0"/>
                <w:sz w:val="22"/>
                <w:szCs w:val="22"/>
                <w:highlight w:val="none"/>
              </w:rPr>
              <w:t>交钥匙工程，</w:t>
            </w:r>
            <w:r>
              <w:rPr>
                <w:rFonts w:hint="eastAsia" w:ascii="宋体" w:hAnsi="宋体" w:eastAsia="宋体" w:cs="宋体"/>
                <w:color w:val="auto"/>
                <w:sz w:val="22"/>
                <w:szCs w:val="22"/>
                <w:highlight w:val="none"/>
              </w:rPr>
              <w:t>报价必须含以下部分，包括：</w:t>
            </w:r>
          </w:p>
          <w:p w14:paraId="040B9C32">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（1）货物、支架及标准附件、备品备件、专用工具的价格；</w:t>
            </w:r>
          </w:p>
          <w:p w14:paraId="30FA2167">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（2）运输、装卸、安装调试、培训、技术支持、售后服务等费用；</w:t>
            </w:r>
          </w:p>
          <w:p w14:paraId="21F4D1D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（3）必要的保险费用和各项税费；</w:t>
            </w:r>
          </w:p>
          <w:p w14:paraId="4756645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包括现场安装场地改造费用、机房建设费用、安装费用、安装后的现场垃圾清理</w:t>
            </w:r>
            <w:r>
              <w:rPr>
                <w:rFonts w:hint="eastAsia" w:ascii="宋体" w:hAnsi="宋体" w:eastAsia="宋体" w:cs="宋体"/>
                <w:color w:val="auto"/>
                <w:sz w:val="22"/>
                <w:szCs w:val="22"/>
                <w:highlight w:val="none"/>
              </w:rPr>
              <w:t>；</w:t>
            </w:r>
          </w:p>
          <w:p w14:paraId="52BFBFC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（5）设备安装、培训（含教材费、场地租用费）、送货上门的费用；</w:t>
            </w:r>
          </w:p>
          <w:p w14:paraId="58BA908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（6）接入HIS系统的费用（如有）；</w:t>
            </w:r>
          </w:p>
          <w:p w14:paraId="18C18AC2">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（7）建设项目职业病危害放射防护预评价及控制效果放射防护评价及其他所有成本、费用；</w:t>
            </w:r>
          </w:p>
          <w:p w14:paraId="582189B4">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（8）验收的费用。</w:t>
            </w:r>
          </w:p>
          <w:p w14:paraId="0EABD9C4">
            <w:pPr>
              <w:spacing w:line="360" w:lineRule="auto"/>
              <w:ind w:firstLine="440" w:firstLineChars="200"/>
              <w:rPr>
                <w:rFonts w:hint="eastAsia" w:ascii="宋体" w:hAnsi="宋体" w:eastAsia="宋体" w:cs="宋体"/>
                <w:i/>
                <w:iCs/>
                <w:color w:val="auto"/>
                <w:sz w:val="22"/>
                <w:szCs w:val="22"/>
                <w:highlight w:val="none"/>
              </w:rPr>
            </w:pPr>
            <w:r>
              <w:rPr>
                <w:rFonts w:hint="eastAsia" w:ascii="宋体" w:hAnsi="宋体" w:eastAsia="宋体" w:cs="宋体"/>
                <w:color w:val="auto"/>
                <w:sz w:val="22"/>
                <w:szCs w:val="22"/>
                <w:highlight w:val="none"/>
              </w:rPr>
              <w:t>3.付款方式：采用分期付款方式，采购人自合同签订起10个工作日内预付合同款的30%给成交供应商，自设备安装验收合格正常使用后成交供应商开具有效的合同款全额发票给采购人，采购人在收到发票并具备支付条件后10工作日内一次性支付剩余的合同金额给成交供应商（不计利息）。</w:t>
            </w:r>
          </w:p>
          <w:p w14:paraId="067E62FC">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4.对合同条款的调整：无。</w:t>
            </w:r>
          </w:p>
        </w:tc>
      </w:tr>
      <w:tr w14:paraId="77265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854E622">
            <w:pPr>
              <w:spacing w:line="240" w:lineRule="auto"/>
              <w:jc w:val="center"/>
              <w:rPr>
                <w:rFonts w:ascii="宋体" w:hAnsi="宋体" w:eastAsia="宋体" w:cs="宋体"/>
                <w:color w:val="auto"/>
                <w:sz w:val="21"/>
                <w:szCs w:val="22"/>
                <w:highlight w:val="none"/>
              </w:rPr>
            </w:pPr>
            <w:r>
              <w:rPr>
                <w:rFonts w:hint="eastAsia" w:ascii="宋体" w:hAnsi="宋体" w:eastAsia="宋体" w:cs="宋体"/>
                <w:color w:val="auto"/>
                <w:sz w:val="21"/>
                <w:szCs w:val="22"/>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tcPr>
          <w:p w14:paraId="2E39ADE9">
            <w:pPr>
              <w:widowControl/>
              <w:tabs>
                <w:tab w:val="left" w:pos="180"/>
                <w:tab w:val="left" w:pos="1620"/>
              </w:tabs>
              <w:spacing w:line="360" w:lineRule="auto"/>
              <w:rPr>
                <w:rFonts w:ascii="宋体" w:hAnsi="宋体" w:eastAsia="宋体" w:cs="宋体"/>
                <w:color w:val="auto"/>
                <w:sz w:val="21"/>
                <w:szCs w:val="22"/>
                <w:highlight w:val="none"/>
              </w:rPr>
            </w:pPr>
            <w:r>
              <w:rPr>
                <w:rFonts w:hint="eastAsia" w:ascii="宋体" w:hAnsi="宋体" w:eastAsia="宋体" w:cs="宋体"/>
                <w:color w:val="auto"/>
                <w:sz w:val="21"/>
                <w:szCs w:val="22"/>
                <w:highlight w:val="none"/>
              </w:rPr>
              <w:t>一、进口产品说明：</w:t>
            </w:r>
          </w:p>
          <w:p w14:paraId="5578908E">
            <w:pPr>
              <w:tabs>
                <w:tab w:val="left" w:pos="180"/>
                <w:tab w:val="left" w:pos="1620"/>
              </w:tabs>
              <w:spacing w:line="360" w:lineRule="auto"/>
              <w:rPr>
                <w:rFonts w:ascii="宋体" w:hAnsi="宋体" w:eastAsia="宋体" w:cs="宋体"/>
                <w:color w:val="auto"/>
                <w:sz w:val="21"/>
                <w:szCs w:val="22"/>
                <w:highlight w:val="none"/>
              </w:rPr>
            </w:pPr>
            <w:r>
              <w:rPr>
                <w:rFonts w:hint="eastAsia" w:ascii="宋体" w:hAnsi="宋体" w:eastAsia="宋体" w:cs="宋体"/>
                <w:color w:val="auto"/>
                <w:sz w:val="21"/>
                <w:szCs w:val="21"/>
                <w:highlight w:val="none"/>
              </w:rPr>
              <w:t>本项目货物所涉及的货物不接受进口产品（即通过中国海关报关验放进入中国境内且产自关境外的产品）参与竞标，</w:t>
            </w:r>
            <w:r>
              <w:rPr>
                <w:rFonts w:hint="eastAsia" w:ascii="宋体" w:hAnsi="宋体" w:eastAsia="宋体" w:cs="宋体"/>
                <w:b/>
                <w:color w:val="auto"/>
                <w:sz w:val="21"/>
                <w:szCs w:val="21"/>
                <w:highlight w:val="none"/>
              </w:rPr>
              <w:t>如有进口产品参与竞标的作无效竞标处理</w:t>
            </w:r>
            <w:r>
              <w:rPr>
                <w:rFonts w:hint="eastAsia" w:ascii="宋体" w:hAnsi="宋体" w:eastAsia="宋体" w:cs="宋体"/>
                <w:color w:val="auto"/>
                <w:sz w:val="21"/>
                <w:szCs w:val="21"/>
                <w:highlight w:val="none"/>
              </w:rPr>
              <w:t>。</w:t>
            </w:r>
          </w:p>
          <w:p w14:paraId="6058140C">
            <w:pPr>
              <w:tabs>
                <w:tab w:val="left" w:pos="180"/>
                <w:tab w:val="left" w:pos="1620"/>
              </w:tabs>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二、根据 《国务院办公厅关于在政府采购中实施本国产品标准及相关政策的通知》（国办发〔2025〕34号）的规定，</w:t>
            </w:r>
            <w:r>
              <w:rPr>
                <w:rFonts w:hint="eastAsia" w:ascii="宋体" w:hAnsi="宋体" w:eastAsia="宋体" w:cs="宋体"/>
                <w:color w:val="auto"/>
                <w:sz w:val="21"/>
                <w:szCs w:val="21"/>
                <w:highlight w:val="none"/>
                <w:shd w:val="clear" w:color="auto" w:fill="FFFFFF"/>
              </w:rPr>
              <w:t>政府采购活动中既有本国产品又有非本国产品参与竞争的，依法对符合政策要求的本国产品给予价格评审优惠，</w:t>
            </w:r>
            <w:r>
              <w:rPr>
                <w:rFonts w:hint="eastAsia" w:ascii="宋体" w:hAnsi="宋体" w:eastAsia="宋体" w:cs="宋体"/>
                <w:b/>
                <w:bCs/>
                <w:color w:val="auto"/>
                <w:sz w:val="21"/>
                <w:szCs w:val="21"/>
                <w:highlight w:val="none"/>
              </w:rPr>
              <w:t>具体详见“第四章 评审程序、评审方法和成交标准”</w:t>
            </w:r>
            <w:r>
              <w:rPr>
                <w:rFonts w:hint="eastAsia" w:ascii="宋体" w:hAnsi="宋体" w:eastAsia="宋体" w:cs="宋体"/>
                <w:color w:val="auto"/>
                <w:sz w:val="21"/>
                <w:szCs w:val="21"/>
                <w:highlight w:val="none"/>
              </w:rPr>
              <w:t>。产品在中国境内生产的组件成本，按照《中国境内生产的组件成本核算基本规则》（见附件3）计算。</w:t>
            </w:r>
          </w:p>
          <w:p w14:paraId="1C7B4619">
            <w:pPr>
              <w:tabs>
                <w:tab w:val="left" w:pos="180"/>
                <w:tab w:val="left" w:pos="1620"/>
              </w:tabs>
              <w:spacing w:line="360" w:lineRule="auto"/>
              <w:rPr>
                <w:rFonts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四、与本项目有关的设计图纸、技术规范、文件等附件资料及其获取方式</w:t>
            </w:r>
            <w:r>
              <w:rPr>
                <w:rFonts w:hint="eastAsia" w:ascii="宋体" w:hAnsi="宋体" w:eastAsia="宋体" w:cs="宋体"/>
                <w:b/>
                <w:i/>
                <w:iCs/>
                <w:color w:val="auto"/>
                <w:sz w:val="21"/>
                <w:szCs w:val="21"/>
                <w:highlight w:val="none"/>
              </w:rPr>
              <w:t>（如有）</w:t>
            </w:r>
            <w:r>
              <w:rPr>
                <w:rFonts w:hint="eastAsia" w:ascii="宋体" w:hAnsi="宋体" w:eastAsia="宋体" w:cs="宋体"/>
                <w:b/>
                <w:color w:val="auto"/>
                <w:sz w:val="21"/>
                <w:szCs w:val="21"/>
                <w:highlight w:val="none"/>
              </w:rPr>
              <w:t>：</w:t>
            </w:r>
          </w:p>
          <w:p w14:paraId="1E1FF8C8">
            <w:pPr>
              <w:tabs>
                <w:tab w:val="left" w:pos="180"/>
                <w:tab w:val="left" w:pos="1620"/>
              </w:tabs>
              <w:spacing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文件或者资料名称：</w:t>
            </w:r>
            <w:r>
              <w:rPr>
                <w:rFonts w:hint="eastAsia" w:ascii="宋体" w:hAnsi="宋体" w:eastAsia="宋体" w:cs="宋体"/>
                <w:color w:val="auto"/>
                <w:sz w:val="21"/>
                <w:szCs w:val="21"/>
                <w:highlight w:val="none"/>
                <w:u w:val="single"/>
              </w:rPr>
              <w:t xml:space="preserve">    无                             </w:t>
            </w:r>
          </w:p>
          <w:p w14:paraId="7F47C799">
            <w:pPr>
              <w:widowControl/>
              <w:tabs>
                <w:tab w:val="left" w:pos="180"/>
                <w:tab w:val="left" w:pos="1620"/>
              </w:tabs>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公布渠道或者获取方式：</w:t>
            </w:r>
            <w:r>
              <w:rPr>
                <w:rFonts w:hint="eastAsia" w:ascii="宋体" w:hAnsi="宋体" w:eastAsia="宋体" w:cs="宋体"/>
                <w:color w:val="auto"/>
                <w:sz w:val="21"/>
                <w:szCs w:val="21"/>
                <w:highlight w:val="none"/>
                <w:u w:val="single"/>
              </w:rPr>
              <w:t xml:space="preserve">    无                         </w:t>
            </w:r>
          </w:p>
        </w:tc>
      </w:tr>
      <w:bookmarkEnd w:id="1"/>
    </w:tbl>
    <w:p w14:paraId="4F808E3F">
      <w:pPr>
        <w:spacing w:line="428" w:lineRule="exact"/>
        <w:rPr>
          <w:rFonts w:ascii="宋体" w:hAnsi="宋体" w:eastAsia="宋体" w:cs="Times New Roman"/>
          <w:color w:val="auto"/>
          <w:sz w:val="21"/>
          <w:szCs w:val="24"/>
        </w:rPr>
      </w:pPr>
    </w:p>
    <w:p w14:paraId="668708A0">
      <w:pPr>
        <w:spacing w:line="240" w:lineRule="auto"/>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0DE3829A">
      <w:pPr>
        <w:spacing w:line="528" w:lineRule="exact"/>
        <w:jc w:val="left"/>
        <w:rPr>
          <w:rFonts w:ascii="宋体" w:hAnsi="宋体" w:eastAsia="宋体" w:cs="宋体"/>
          <w:color w:val="auto"/>
          <w:sz w:val="21"/>
          <w:szCs w:val="22"/>
        </w:rPr>
      </w:pPr>
      <w:r>
        <w:rPr>
          <w:rFonts w:hint="eastAsia" w:ascii="宋体" w:hAnsi="宋体" w:eastAsia="宋体" w:cs="宋体"/>
          <w:color w:val="auto"/>
          <w:sz w:val="32"/>
          <w:szCs w:val="32"/>
        </w:rPr>
        <w:t>附件1</w:t>
      </w:r>
    </w:p>
    <w:p w14:paraId="73CB372E">
      <w:pPr>
        <w:spacing w:line="528" w:lineRule="exact"/>
        <w:jc w:val="center"/>
        <w:rPr>
          <w:rFonts w:ascii="宋体" w:hAnsi="宋体" w:eastAsia="宋体" w:cs="宋体"/>
          <w:color w:val="auto"/>
          <w:sz w:val="40"/>
          <w:szCs w:val="40"/>
        </w:rPr>
      </w:pPr>
      <w:r>
        <w:rPr>
          <w:rFonts w:hint="eastAsia" w:ascii="宋体" w:hAnsi="宋体" w:eastAsia="宋体" w:cs="宋体"/>
          <w:color w:val="auto"/>
          <w:sz w:val="40"/>
          <w:szCs w:val="40"/>
        </w:rPr>
        <w:t>节能产品政府采购品目清单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14:paraId="285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tcPr>
          <w:p w14:paraId="484C966B">
            <w:pPr>
              <w:widowControl/>
              <w:spacing w:line="240" w:lineRule="auto"/>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品目序号</w:t>
            </w:r>
          </w:p>
        </w:tc>
        <w:tc>
          <w:tcPr>
            <w:tcW w:w="4244" w:type="dxa"/>
            <w:gridSpan w:val="3"/>
            <w:vAlign w:val="center"/>
          </w:tcPr>
          <w:p w14:paraId="73AD35BD">
            <w:pPr>
              <w:widowControl/>
              <w:spacing w:line="240" w:lineRule="auto"/>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名称</w:t>
            </w:r>
          </w:p>
        </w:tc>
        <w:tc>
          <w:tcPr>
            <w:tcW w:w="4335" w:type="dxa"/>
            <w:vAlign w:val="center"/>
          </w:tcPr>
          <w:p w14:paraId="0534F8F4">
            <w:pPr>
              <w:widowControl/>
              <w:spacing w:line="240" w:lineRule="auto"/>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依据的标准</w:t>
            </w:r>
          </w:p>
        </w:tc>
      </w:tr>
      <w:tr w14:paraId="7BE7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7DB77423">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116" w:type="dxa"/>
            <w:vMerge w:val="restart"/>
            <w:vAlign w:val="center"/>
          </w:tcPr>
          <w:p w14:paraId="352B80D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A020101计算机设备</w:t>
            </w:r>
          </w:p>
        </w:tc>
        <w:tc>
          <w:tcPr>
            <w:tcW w:w="1516" w:type="dxa"/>
            <w:vAlign w:val="center"/>
          </w:tcPr>
          <w:p w14:paraId="1F87636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★A02010104台式计算机</w:t>
            </w:r>
          </w:p>
        </w:tc>
        <w:tc>
          <w:tcPr>
            <w:tcW w:w="1612" w:type="dxa"/>
            <w:vAlign w:val="center"/>
          </w:tcPr>
          <w:p w14:paraId="207F4B80">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3FE49FC4">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《微型计算机能效限定值及能效等级》（GB28380）</w:t>
            </w:r>
          </w:p>
        </w:tc>
      </w:tr>
      <w:tr w14:paraId="0B7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AEA31A8">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151E79A8">
            <w:pPr>
              <w:widowControl/>
              <w:spacing w:line="240" w:lineRule="auto"/>
              <w:jc w:val="left"/>
              <w:rPr>
                <w:rFonts w:ascii="宋体" w:hAnsi="宋体" w:eastAsia="宋体" w:cs="宋体"/>
                <w:color w:val="auto"/>
                <w:kern w:val="0"/>
                <w:sz w:val="20"/>
                <w:szCs w:val="20"/>
              </w:rPr>
            </w:pPr>
          </w:p>
        </w:tc>
        <w:tc>
          <w:tcPr>
            <w:tcW w:w="1516" w:type="dxa"/>
            <w:vAlign w:val="center"/>
          </w:tcPr>
          <w:p w14:paraId="5643AD9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★A02010105便携式计算机</w:t>
            </w:r>
          </w:p>
        </w:tc>
        <w:tc>
          <w:tcPr>
            <w:tcW w:w="1612" w:type="dxa"/>
            <w:vAlign w:val="center"/>
          </w:tcPr>
          <w:p w14:paraId="0E62EB01">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23B421C6">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《微型计算机能效限定值及能效等级》（GB28380）</w:t>
            </w:r>
          </w:p>
        </w:tc>
      </w:tr>
      <w:tr w14:paraId="6B64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AC9596A">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38765B60">
            <w:pPr>
              <w:widowControl/>
              <w:spacing w:line="240" w:lineRule="auto"/>
              <w:jc w:val="left"/>
              <w:rPr>
                <w:rFonts w:ascii="宋体" w:hAnsi="宋体" w:eastAsia="宋体" w:cs="宋体"/>
                <w:color w:val="auto"/>
                <w:kern w:val="0"/>
                <w:sz w:val="20"/>
                <w:szCs w:val="20"/>
              </w:rPr>
            </w:pPr>
          </w:p>
        </w:tc>
        <w:tc>
          <w:tcPr>
            <w:tcW w:w="1516" w:type="dxa"/>
            <w:vAlign w:val="center"/>
          </w:tcPr>
          <w:p w14:paraId="19DECA9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★A02010107平板式微型计算机</w:t>
            </w:r>
          </w:p>
        </w:tc>
        <w:tc>
          <w:tcPr>
            <w:tcW w:w="1612" w:type="dxa"/>
            <w:vAlign w:val="center"/>
          </w:tcPr>
          <w:p w14:paraId="3215FAD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4502AF3F">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《微型计算机能效限定值及能效等级》（GB28380）</w:t>
            </w:r>
          </w:p>
        </w:tc>
      </w:tr>
      <w:tr w14:paraId="0B4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289CC5E4">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116" w:type="dxa"/>
            <w:vMerge w:val="restart"/>
            <w:vAlign w:val="center"/>
          </w:tcPr>
          <w:p w14:paraId="68094AF1">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A020106输入输出设备</w:t>
            </w:r>
          </w:p>
        </w:tc>
        <w:tc>
          <w:tcPr>
            <w:tcW w:w="1516" w:type="dxa"/>
            <w:vMerge w:val="restart"/>
            <w:vAlign w:val="center"/>
          </w:tcPr>
          <w:p w14:paraId="5D5B5B63">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A02010601打印设备</w:t>
            </w:r>
          </w:p>
        </w:tc>
        <w:tc>
          <w:tcPr>
            <w:tcW w:w="1612" w:type="dxa"/>
            <w:vAlign w:val="center"/>
          </w:tcPr>
          <w:p w14:paraId="515FD1E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A0201060101喷墨打印机</w:t>
            </w:r>
          </w:p>
        </w:tc>
        <w:tc>
          <w:tcPr>
            <w:tcW w:w="4335" w:type="dxa"/>
            <w:vAlign w:val="center"/>
          </w:tcPr>
          <w:p w14:paraId="041AB472">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5D7D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5678D805">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44C6219A">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0073CA06">
            <w:pPr>
              <w:widowControl/>
              <w:spacing w:line="240" w:lineRule="auto"/>
              <w:jc w:val="left"/>
              <w:rPr>
                <w:rFonts w:ascii="宋体" w:hAnsi="宋体" w:eastAsia="宋体" w:cs="宋体"/>
                <w:color w:val="auto"/>
                <w:kern w:val="0"/>
                <w:sz w:val="20"/>
                <w:szCs w:val="20"/>
              </w:rPr>
            </w:pPr>
          </w:p>
        </w:tc>
        <w:tc>
          <w:tcPr>
            <w:tcW w:w="1612" w:type="dxa"/>
            <w:vAlign w:val="center"/>
          </w:tcPr>
          <w:p w14:paraId="38F07E0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★A0201060102激光打印机</w:t>
            </w:r>
          </w:p>
        </w:tc>
        <w:tc>
          <w:tcPr>
            <w:tcW w:w="4335" w:type="dxa"/>
            <w:vAlign w:val="center"/>
          </w:tcPr>
          <w:p w14:paraId="3B5B8D2B">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1F4C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747982E">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19693486">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1F1402E7">
            <w:pPr>
              <w:widowControl/>
              <w:spacing w:line="240" w:lineRule="auto"/>
              <w:jc w:val="left"/>
              <w:rPr>
                <w:rFonts w:ascii="宋体" w:hAnsi="宋体" w:eastAsia="宋体" w:cs="宋体"/>
                <w:color w:val="auto"/>
                <w:kern w:val="0"/>
                <w:sz w:val="20"/>
                <w:szCs w:val="20"/>
              </w:rPr>
            </w:pPr>
          </w:p>
        </w:tc>
        <w:tc>
          <w:tcPr>
            <w:tcW w:w="1612" w:type="dxa"/>
            <w:vAlign w:val="center"/>
          </w:tcPr>
          <w:p w14:paraId="21DE10D6">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★A0201060104针式打印机</w:t>
            </w:r>
          </w:p>
        </w:tc>
        <w:tc>
          <w:tcPr>
            <w:tcW w:w="4335" w:type="dxa"/>
            <w:vAlign w:val="center"/>
          </w:tcPr>
          <w:p w14:paraId="58A0F534">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2785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6BB7D36">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33126DCE">
            <w:pPr>
              <w:widowControl/>
              <w:spacing w:line="240" w:lineRule="auto"/>
              <w:jc w:val="left"/>
              <w:rPr>
                <w:rFonts w:ascii="宋体" w:hAnsi="宋体" w:eastAsia="宋体" w:cs="宋体"/>
                <w:color w:val="auto"/>
                <w:kern w:val="0"/>
                <w:sz w:val="20"/>
                <w:szCs w:val="20"/>
              </w:rPr>
            </w:pPr>
          </w:p>
        </w:tc>
        <w:tc>
          <w:tcPr>
            <w:tcW w:w="1516" w:type="dxa"/>
            <w:vAlign w:val="center"/>
          </w:tcPr>
          <w:p w14:paraId="012EC561">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A02010604显示设备</w:t>
            </w:r>
          </w:p>
        </w:tc>
        <w:tc>
          <w:tcPr>
            <w:tcW w:w="1612" w:type="dxa"/>
            <w:vAlign w:val="center"/>
          </w:tcPr>
          <w:p w14:paraId="65901ED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★A0201060401液晶显示器</w:t>
            </w:r>
          </w:p>
        </w:tc>
        <w:tc>
          <w:tcPr>
            <w:tcW w:w="4335" w:type="dxa"/>
            <w:vAlign w:val="center"/>
          </w:tcPr>
          <w:p w14:paraId="3DDE1F62">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《计算机显示器能效限定值及能效等级》（GB21520）</w:t>
            </w:r>
          </w:p>
        </w:tc>
      </w:tr>
      <w:tr w14:paraId="569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vAlign w:val="center"/>
          </w:tcPr>
          <w:p w14:paraId="1B641C6C">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1A3BCD2C">
            <w:pPr>
              <w:widowControl/>
              <w:spacing w:line="240" w:lineRule="auto"/>
              <w:jc w:val="left"/>
              <w:rPr>
                <w:rFonts w:ascii="宋体" w:hAnsi="宋体" w:eastAsia="宋体" w:cs="宋体"/>
                <w:color w:val="auto"/>
                <w:kern w:val="0"/>
                <w:sz w:val="20"/>
                <w:szCs w:val="20"/>
              </w:rPr>
            </w:pPr>
          </w:p>
        </w:tc>
        <w:tc>
          <w:tcPr>
            <w:tcW w:w="1516" w:type="dxa"/>
            <w:vAlign w:val="center"/>
          </w:tcPr>
          <w:p w14:paraId="7809243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A02010609图形图像输入设备</w:t>
            </w:r>
          </w:p>
        </w:tc>
        <w:tc>
          <w:tcPr>
            <w:tcW w:w="1612" w:type="dxa"/>
            <w:vAlign w:val="center"/>
          </w:tcPr>
          <w:p w14:paraId="58D62FF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A0201060901扫描仪</w:t>
            </w:r>
          </w:p>
        </w:tc>
        <w:tc>
          <w:tcPr>
            <w:tcW w:w="4335" w:type="dxa"/>
            <w:vAlign w:val="center"/>
          </w:tcPr>
          <w:p w14:paraId="2A9F9AEB">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参照《复印机、打印机和传真机能效限定值及能效等级》（GB21521）中打印速度为15页/分的针式打印机相关要求</w:t>
            </w:r>
          </w:p>
        </w:tc>
      </w:tr>
      <w:tr w14:paraId="28A3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50A11A64">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116" w:type="dxa"/>
            <w:vAlign w:val="center"/>
          </w:tcPr>
          <w:p w14:paraId="4936E3B4">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A020202投影仪</w:t>
            </w:r>
          </w:p>
        </w:tc>
        <w:tc>
          <w:tcPr>
            <w:tcW w:w="1516" w:type="dxa"/>
            <w:vAlign w:val="center"/>
          </w:tcPr>
          <w:p w14:paraId="6CD74AA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3EB92F33">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1CCE0CF3">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《投影机能效限定值及能效等级》（GB32028）</w:t>
            </w:r>
          </w:p>
        </w:tc>
      </w:tr>
      <w:tr w14:paraId="707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641" w:type="dxa"/>
            <w:vAlign w:val="center"/>
          </w:tcPr>
          <w:p w14:paraId="5BCD510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116" w:type="dxa"/>
            <w:vAlign w:val="center"/>
          </w:tcPr>
          <w:p w14:paraId="2077B27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A020204多功能一体机</w:t>
            </w:r>
          </w:p>
        </w:tc>
        <w:tc>
          <w:tcPr>
            <w:tcW w:w="1516" w:type="dxa"/>
            <w:vAlign w:val="center"/>
          </w:tcPr>
          <w:p w14:paraId="792C584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606C4D5E">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CD8D2BE">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7AE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08C0DF01">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116" w:type="dxa"/>
            <w:vAlign w:val="center"/>
          </w:tcPr>
          <w:p w14:paraId="54F8F85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A020519泵</w:t>
            </w:r>
          </w:p>
        </w:tc>
        <w:tc>
          <w:tcPr>
            <w:tcW w:w="1516" w:type="dxa"/>
            <w:vAlign w:val="center"/>
          </w:tcPr>
          <w:p w14:paraId="32F5E94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A02051901离心泵</w:t>
            </w:r>
          </w:p>
        </w:tc>
        <w:tc>
          <w:tcPr>
            <w:tcW w:w="1612" w:type="dxa"/>
            <w:vAlign w:val="center"/>
          </w:tcPr>
          <w:p w14:paraId="15B816BE">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01186210">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《清水离心泵能效限定值及节能评价值》（GB19762）</w:t>
            </w:r>
          </w:p>
        </w:tc>
      </w:tr>
      <w:tr w14:paraId="54E7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vAlign w:val="center"/>
          </w:tcPr>
          <w:p w14:paraId="45B354A4">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116" w:type="dxa"/>
            <w:vMerge w:val="restart"/>
            <w:vAlign w:val="center"/>
          </w:tcPr>
          <w:p w14:paraId="1E14750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A020523制冷空调设备</w:t>
            </w:r>
          </w:p>
        </w:tc>
        <w:tc>
          <w:tcPr>
            <w:tcW w:w="1516" w:type="dxa"/>
            <w:vMerge w:val="restart"/>
            <w:vAlign w:val="center"/>
          </w:tcPr>
          <w:p w14:paraId="5CD36FE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★A02052301制冷压缩机</w:t>
            </w:r>
          </w:p>
        </w:tc>
        <w:tc>
          <w:tcPr>
            <w:tcW w:w="1612" w:type="dxa"/>
            <w:vAlign w:val="center"/>
          </w:tcPr>
          <w:p w14:paraId="0C224CA4">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冷水机组</w:t>
            </w:r>
          </w:p>
        </w:tc>
        <w:tc>
          <w:tcPr>
            <w:tcW w:w="4335" w:type="dxa"/>
            <w:vAlign w:val="center"/>
          </w:tcPr>
          <w:p w14:paraId="52FEBA52">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《冷水机组能效限定值及能效等级》（GB19577），《低环境温度空气源热泵（冷水）机组能效限定值及能效等级》（GB37480）</w:t>
            </w:r>
          </w:p>
        </w:tc>
      </w:tr>
      <w:tr w14:paraId="3037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329C8519">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5EFF026C">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352660BD">
            <w:pPr>
              <w:widowControl/>
              <w:spacing w:line="240" w:lineRule="auto"/>
              <w:jc w:val="left"/>
              <w:rPr>
                <w:rFonts w:ascii="宋体" w:hAnsi="宋体" w:eastAsia="宋体" w:cs="宋体"/>
                <w:color w:val="auto"/>
                <w:kern w:val="0"/>
                <w:sz w:val="20"/>
                <w:szCs w:val="20"/>
              </w:rPr>
            </w:pPr>
          </w:p>
        </w:tc>
        <w:tc>
          <w:tcPr>
            <w:tcW w:w="1612" w:type="dxa"/>
            <w:vAlign w:val="center"/>
          </w:tcPr>
          <w:p w14:paraId="061D458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水源热泵机组</w:t>
            </w:r>
          </w:p>
        </w:tc>
        <w:tc>
          <w:tcPr>
            <w:tcW w:w="4335" w:type="dxa"/>
            <w:vAlign w:val="center"/>
          </w:tcPr>
          <w:p w14:paraId="02FB7AEC">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《水（地）源热泵机组能效限定值及能效等级》（GB30721）</w:t>
            </w:r>
          </w:p>
        </w:tc>
      </w:tr>
      <w:tr w14:paraId="328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BA63616">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1A4F9FD2">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20280A8A">
            <w:pPr>
              <w:widowControl/>
              <w:spacing w:line="240" w:lineRule="auto"/>
              <w:jc w:val="left"/>
              <w:rPr>
                <w:rFonts w:ascii="宋体" w:hAnsi="宋体" w:eastAsia="宋体" w:cs="宋体"/>
                <w:color w:val="auto"/>
                <w:kern w:val="0"/>
                <w:sz w:val="20"/>
                <w:szCs w:val="20"/>
              </w:rPr>
            </w:pPr>
          </w:p>
        </w:tc>
        <w:tc>
          <w:tcPr>
            <w:tcW w:w="1612" w:type="dxa"/>
            <w:vAlign w:val="center"/>
          </w:tcPr>
          <w:p w14:paraId="7C2593FE">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溴化锂吸收式冷水机组</w:t>
            </w:r>
          </w:p>
        </w:tc>
        <w:tc>
          <w:tcPr>
            <w:tcW w:w="4335" w:type="dxa"/>
            <w:vAlign w:val="center"/>
          </w:tcPr>
          <w:p w14:paraId="71469597">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《溴化锂吸收式冷水机组能效限定值及能效等级》（GB29540）</w:t>
            </w:r>
          </w:p>
        </w:tc>
      </w:tr>
      <w:tr w14:paraId="7704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383824B">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5D734E1C">
            <w:pPr>
              <w:widowControl/>
              <w:spacing w:line="240" w:lineRule="auto"/>
              <w:jc w:val="left"/>
              <w:rPr>
                <w:rFonts w:ascii="宋体" w:hAnsi="宋体" w:eastAsia="宋体" w:cs="宋体"/>
                <w:color w:val="auto"/>
                <w:kern w:val="0"/>
                <w:sz w:val="20"/>
                <w:szCs w:val="20"/>
              </w:rPr>
            </w:pPr>
          </w:p>
        </w:tc>
        <w:tc>
          <w:tcPr>
            <w:tcW w:w="1516" w:type="dxa"/>
            <w:vMerge w:val="restart"/>
            <w:vAlign w:val="center"/>
          </w:tcPr>
          <w:p w14:paraId="68FE9E30">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★A02052305空调机组</w:t>
            </w:r>
          </w:p>
        </w:tc>
        <w:tc>
          <w:tcPr>
            <w:tcW w:w="1612" w:type="dxa"/>
            <w:vAlign w:val="center"/>
          </w:tcPr>
          <w:p w14:paraId="258E2F56">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多联式空调（热泵）机组(制冷量&gt;14000W)</w:t>
            </w:r>
          </w:p>
        </w:tc>
        <w:tc>
          <w:tcPr>
            <w:tcW w:w="4335" w:type="dxa"/>
            <w:vAlign w:val="center"/>
          </w:tcPr>
          <w:p w14:paraId="0C1A052C">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《多联式空调（热泵）机组能效限定值及能源效率等级》（GB21454）</w:t>
            </w:r>
          </w:p>
        </w:tc>
      </w:tr>
      <w:tr w14:paraId="1378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228A64C">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281EE164">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40B4D102">
            <w:pPr>
              <w:widowControl/>
              <w:spacing w:line="240" w:lineRule="auto"/>
              <w:jc w:val="left"/>
              <w:rPr>
                <w:rFonts w:ascii="宋体" w:hAnsi="宋体" w:eastAsia="宋体" w:cs="宋体"/>
                <w:color w:val="auto"/>
                <w:kern w:val="0"/>
                <w:sz w:val="20"/>
                <w:szCs w:val="20"/>
              </w:rPr>
            </w:pPr>
          </w:p>
        </w:tc>
        <w:tc>
          <w:tcPr>
            <w:tcW w:w="1612" w:type="dxa"/>
            <w:vAlign w:val="center"/>
          </w:tcPr>
          <w:p w14:paraId="212C964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单元式空气调节机(制冷量&gt;14000W</w:t>
            </w:r>
          </w:p>
        </w:tc>
        <w:tc>
          <w:tcPr>
            <w:tcW w:w="4335" w:type="dxa"/>
            <w:vAlign w:val="center"/>
          </w:tcPr>
          <w:p w14:paraId="5F51CE53">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《单元式空气调节机能效限定值及能效等级》（GB19576）《风管送风式空调机组能效限定值及能效等级》（GB37479）</w:t>
            </w:r>
          </w:p>
        </w:tc>
      </w:tr>
      <w:tr w14:paraId="607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4C935ED6">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5A1A3AA0">
            <w:pPr>
              <w:widowControl/>
              <w:spacing w:line="240" w:lineRule="auto"/>
              <w:jc w:val="left"/>
              <w:rPr>
                <w:rFonts w:ascii="宋体" w:hAnsi="宋体" w:eastAsia="宋体" w:cs="宋体"/>
                <w:color w:val="auto"/>
                <w:kern w:val="0"/>
                <w:sz w:val="20"/>
                <w:szCs w:val="20"/>
              </w:rPr>
            </w:pPr>
          </w:p>
        </w:tc>
        <w:tc>
          <w:tcPr>
            <w:tcW w:w="1516" w:type="dxa"/>
            <w:vAlign w:val="center"/>
          </w:tcPr>
          <w:p w14:paraId="3C663CEA">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★A02052309专用制冷、空调设备</w:t>
            </w:r>
          </w:p>
        </w:tc>
        <w:tc>
          <w:tcPr>
            <w:tcW w:w="1612" w:type="dxa"/>
            <w:vAlign w:val="center"/>
          </w:tcPr>
          <w:p w14:paraId="5B99F7C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机房空调</w:t>
            </w:r>
          </w:p>
        </w:tc>
        <w:tc>
          <w:tcPr>
            <w:tcW w:w="4335" w:type="dxa"/>
            <w:vAlign w:val="center"/>
          </w:tcPr>
          <w:p w14:paraId="7285B2B7">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《单元式空气调节机能效限定值及能效等级》（GB19576）</w:t>
            </w:r>
          </w:p>
        </w:tc>
      </w:tr>
      <w:tr w14:paraId="4B40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A1E7611">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64E5A81C">
            <w:pPr>
              <w:widowControl/>
              <w:spacing w:line="240" w:lineRule="auto"/>
              <w:jc w:val="left"/>
              <w:rPr>
                <w:rFonts w:ascii="宋体" w:hAnsi="宋体" w:eastAsia="宋体" w:cs="宋体"/>
                <w:color w:val="auto"/>
                <w:kern w:val="0"/>
                <w:sz w:val="20"/>
                <w:szCs w:val="20"/>
              </w:rPr>
            </w:pPr>
          </w:p>
        </w:tc>
        <w:tc>
          <w:tcPr>
            <w:tcW w:w="1516" w:type="dxa"/>
            <w:vAlign w:val="center"/>
          </w:tcPr>
          <w:p w14:paraId="6598D56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A02052399其他制冷空调设备</w:t>
            </w:r>
          </w:p>
        </w:tc>
        <w:tc>
          <w:tcPr>
            <w:tcW w:w="1612" w:type="dxa"/>
            <w:vAlign w:val="center"/>
          </w:tcPr>
          <w:p w14:paraId="7B7A8F9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冷却塔</w:t>
            </w:r>
          </w:p>
        </w:tc>
        <w:tc>
          <w:tcPr>
            <w:tcW w:w="4335" w:type="dxa"/>
            <w:vAlign w:val="center"/>
          </w:tcPr>
          <w:p w14:paraId="5797E8F7">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《机械通风冷却塔第1部分：中小型开式冷却塔》（GB/T7190.1）；《机械通风冷却塔第2部分：大型开式冷却塔》（GB/T7190.2）</w:t>
            </w:r>
          </w:p>
        </w:tc>
      </w:tr>
      <w:tr w14:paraId="3F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1BFABA6C">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116" w:type="dxa"/>
            <w:vAlign w:val="center"/>
          </w:tcPr>
          <w:p w14:paraId="016D5ADA">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A020601电机</w:t>
            </w:r>
          </w:p>
        </w:tc>
        <w:tc>
          <w:tcPr>
            <w:tcW w:w="1516" w:type="dxa"/>
            <w:vAlign w:val="center"/>
          </w:tcPr>
          <w:p w14:paraId="3CAA179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6453A046">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158EBD77">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《中小型三相异步电动机能效限定值及能效等级》（GB18613）</w:t>
            </w:r>
          </w:p>
        </w:tc>
      </w:tr>
      <w:tr w14:paraId="1B81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3921109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116" w:type="dxa"/>
            <w:vAlign w:val="center"/>
          </w:tcPr>
          <w:p w14:paraId="45609C0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A020602变压器</w:t>
            </w:r>
          </w:p>
        </w:tc>
        <w:tc>
          <w:tcPr>
            <w:tcW w:w="1516" w:type="dxa"/>
            <w:vAlign w:val="center"/>
          </w:tcPr>
          <w:p w14:paraId="535D1BB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配电变压器</w:t>
            </w:r>
          </w:p>
        </w:tc>
        <w:tc>
          <w:tcPr>
            <w:tcW w:w="1612" w:type="dxa"/>
            <w:vAlign w:val="center"/>
          </w:tcPr>
          <w:p w14:paraId="1AC54FF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2596AF88">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《三相配电变压器能效限定值及能效等级》（GB20052）</w:t>
            </w:r>
          </w:p>
        </w:tc>
      </w:tr>
      <w:tr w14:paraId="422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6EFD4B1C">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116" w:type="dxa"/>
            <w:vAlign w:val="center"/>
          </w:tcPr>
          <w:p w14:paraId="51DD40DE">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★A020609镇流器</w:t>
            </w:r>
          </w:p>
        </w:tc>
        <w:tc>
          <w:tcPr>
            <w:tcW w:w="1516" w:type="dxa"/>
            <w:vAlign w:val="center"/>
          </w:tcPr>
          <w:p w14:paraId="56D5DEA4">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管型荧光灯镇流器</w:t>
            </w:r>
          </w:p>
        </w:tc>
        <w:tc>
          <w:tcPr>
            <w:tcW w:w="1612" w:type="dxa"/>
            <w:vAlign w:val="center"/>
          </w:tcPr>
          <w:p w14:paraId="34CFD57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D5ABA59">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《管形荧光灯镇流器能效限定值及能效等级》（GB17896）</w:t>
            </w:r>
          </w:p>
        </w:tc>
      </w:tr>
      <w:tr w14:paraId="172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7D3E9516">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116" w:type="dxa"/>
            <w:vMerge w:val="restart"/>
            <w:vAlign w:val="center"/>
          </w:tcPr>
          <w:p w14:paraId="41AAB95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A020618生活用电器</w:t>
            </w:r>
          </w:p>
        </w:tc>
        <w:tc>
          <w:tcPr>
            <w:tcW w:w="1516" w:type="dxa"/>
            <w:vAlign w:val="center"/>
          </w:tcPr>
          <w:p w14:paraId="0F92D42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A0206180101电冰箱</w:t>
            </w:r>
          </w:p>
        </w:tc>
        <w:tc>
          <w:tcPr>
            <w:tcW w:w="1612" w:type="dxa"/>
            <w:vAlign w:val="center"/>
          </w:tcPr>
          <w:p w14:paraId="3B36391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2142F96B">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《家用电冰箱耗电量限定值及能效等级》（GB 12021.2）</w:t>
            </w:r>
          </w:p>
        </w:tc>
      </w:tr>
      <w:tr w14:paraId="06BA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vAlign w:val="center"/>
          </w:tcPr>
          <w:p w14:paraId="1A3BEA61">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395F7900">
            <w:pPr>
              <w:widowControl/>
              <w:spacing w:line="240" w:lineRule="auto"/>
              <w:jc w:val="left"/>
              <w:rPr>
                <w:rFonts w:ascii="宋体" w:hAnsi="宋体" w:eastAsia="宋体" w:cs="宋体"/>
                <w:color w:val="auto"/>
                <w:kern w:val="0"/>
                <w:sz w:val="20"/>
                <w:szCs w:val="20"/>
              </w:rPr>
            </w:pPr>
          </w:p>
        </w:tc>
        <w:tc>
          <w:tcPr>
            <w:tcW w:w="1516" w:type="dxa"/>
            <w:vMerge w:val="restart"/>
            <w:vAlign w:val="center"/>
          </w:tcPr>
          <w:p w14:paraId="5CF3EE1E">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★A0206180203空调机</w:t>
            </w:r>
          </w:p>
        </w:tc>
        <w:tc>
          <w:tcPr>
            <w:tcW w:w="1612" w:type="dxa"/>
            <w:vAlign w:val="center"/>
          </w:tcPr>
          <w:p w14:paraId="6366629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房间空气调节器</w:t>
            </w:r>
          </w:p>
        </w:tc>
        <w:tc>
          <w:tcPr>
            <w:tcW w:w="4335" w:type="dxa"/>
            <w:vAlign w:val="center"/>
          </w:tcPr>
          <w:p w14:paraId="36CF513F">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AD7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5B174D30">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257D343B">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69F53D0B">
            <w:pPr>
              <w:widowControl/>
              <w:spacing w:line="240" w:lineRule="auto"/>
              <w:jc w:val="left"/>
              <w:rPr>
                <w:rFonts w:ascii="宋体" w:hAnsi="宋体" w:eastAsia="宋体" w:cs="宋体"/>
                <w:color w:val="auto"/>
                <w:kern w:val="0"/>
                <w:sz w:val="20"/>
                <w:szCs w:val="20"/>
              </w:rPr>
            </w:pPr>
          </w:p>
        </w:tc>
        <w:tc>
          <w:tcPr>
            <w:tcW w:w="1612" w:type="dxa"/>
            <w:vAlign w:val="center"/>
          </w:tcPr>
          <w:p w14:paraId="1D8F244A">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多联式空调（热泵）机组（制冷量≤ 14000W）</w:t>
            </w:r>
          </w:p>
        </w:tc>
        <w:tc>
          <w:tcPr>
            <w:tcW w:w="4335" w:type="dxa"/>
            <w:vAlign w:val="center"/>
          </w:tcPr>
          <w:p w14:paraId="2236C6EA">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《多联式空调（热泵）机组能效限定值及能源效率等级》（GB21454）</w:t>
            </w:r>
          </w:p>
        </w:tc>
      </w:tr>
      <w:tr w14:paraId="2E94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7C564EB6">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13ED9D2B">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11E34AB4">
            <w:pPr>
              <w:widowControl/>
              <w:spacing w:line="240" w:lineRule="auto"/>
              <w:jc w:val="left"/>
              <w:rPr>
                <w:rFonts w:ascii="宋体" w:hAnsi="宋体" w:eastAsia="宋体" w:cs="宋体"/>
                <w:color w:val="auto"/>
                <w:kern w:val="0"/>
                <w:sz w:val="20"/>
                <w:szCs w:val="20"/>
              </w:rPr>
            </w:pPr>
          </w:p>
        </w:tc>
        <w:tc>
          <w:tcPr>
            <w:tcW w:w="1612" w:type="dxa"/>
            <w:vAlign w:val="center"/>
          </w:tcPr>
          <w:p w14:paraId="030DEF7C">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单元式空气调节机(制冷量≤14000W)</w:t>
            </w:r>
          </w:p>
        </w:tc>
        <w:tc>
          <w:tcPr>
            <w:tcW w:w="4335" w:type="dxa"/>
            <w:vAlign w:val="center"/>
          </w:tcPr>
          <w:p w14:paraId="7A68D173">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《单元式空气调节机能效限定值及能源效率等级》（GB19576）《风管送风式空调机组能效限定值及能效等级》（GB37479）</w:t>
            </w:r>
          </w:p>
        </w:tc>
      </w:tr>
      <w:tr w14:paraId="4CE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3BB4AF22">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2F7DECCD">
            <w:pPr>
              <w:widowControl/>
              <w:spacing w:line="240" w:lineRule="auto"/>
              <w:jc w:val="left"/>
              <w:rPr>
                <w:rFonts w:ascii="宋体" w:hAnsi="宋体" w:eastAsia="宋体" w:cs="宋体"/>
                <w:color w:val="auto"/>
                <w:kern w:val="0"/>
                <w:sz w:val="20"/>
                <w:szCs w:val="20"/>
              </w:rPr>
            </w:pPr>
          </w:p>
        </w:tc>
        <w:tc>
          <w:tcPr>
            <w:tcW w:w="1516" w:type="dxa"/>
            <w:vAlign w:val="center"/>
          </w:tcPr>
          <w:p w14:paraId="3765E13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A0206180301洗衣机</w:t>
            </w:r>
          </w:p>
        </w:tc>
        <w:tc>
          <w:tcPr>
            <w:tcW w:w="1612" w:type="dxa"/>
            <w:vAlign w:val="center"/>
          </w:tcPr>
          <w:p w14:paraId="0A943BC0">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D585A2A">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《电动洗衣机能效水效限定值及等级》（GB12021.4）</w:t>
            </w:r>
          </w:p>
        </w:tc>
      </w:tr>
      <w:tr w14:paraId="21F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CF57396">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25CB2507">
            <w:pPr>
              <w:widowControl/>
              <w:spacing w:line="240" w:lineRule="auto"/>
              <w:jc w:val="left"/>
              <w:rPr>
                <w:rFonts w:ascii="宋体" w:hAnsi="宋体" w:eastAsia="宋体" w:cs="宋体"/>
                <w:color w:val="auto"/>
                <w:kern w:val="0"/>
                <w:sz w:val="20"/>
                <w:szCs w:val="20"/>
              </w:rPr>
            </w:pPr>
          </w:p>
        </w:tc>
        <w:tc>
          <w:tcPr>
            <w:tcW w:w="1516" w:type="dxa"/>
            <w:vMerge w:val="restart"/>
            <w:vAlign w:val="center"/>
          </w:tcPr>
          <w:p w14:paraId="6C064900">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A02061808热水器</w:t>
            </w:r>
          </w:p>
        </w:tc>
        <w:tc>
          <w:tcPr>
            <w:tcW w:w="1612" w:type="dxa"/>
            <w:vAlign w:val="center"/>
          </w:tcPr>
          <w:p w14:paraId="4DC84B53">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★电热水器</w:t>
            </w:r>
          </w:p>
        </w:tc>
        <w:tc>
          <w:tcPr>
            <w:tcW w:w="4335" w:type="dxa"/>
            <w:vAlign w:val="center"/>
          </w:tcPr>
          <w:p w14:paraId="52463476">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《储水式电热水器能效限定值及能效等级》（GB21519）</w:t>
            </w:r>
          </w:p>
        </w:tc>
      </w:tr>
      <w:tr w14:paraId="766D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28B2CE9">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63F3D6AA">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3C1B7695">
            <w:pPr>
              <w:widowControl/>
              <w:spacing w:line="240" w:lineRule="auto"/>
              <w:jc w:val="left"/>
              <w:rPr>
                <w:rFonts w:ascii="宋体" w:hAnsi="宋体" w:eastAsia="宋体" w:cs="宋体"/>
                <w:color w:val="auto"/>
                <w:kern w:val="0"/>
                <w:sz w:val="20"/>
                <w:szCs w:val="20"/>
              </w:rPr>
            </w:pPr>
          </w:p>
        </w:tc>
        <w:tc>
          <w:tcPr>
            <w:tcW w:w="1612" w:type="dxa"/>
            <w:vAlign w:val="center"/>
          </w:tcPr>
          <w:p w14:paraId="3A99A266">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燃气热水器</w:t>
            </w:r>
          </w:p>
        </w:tc>
        <w:tc>
          <w:tcPr>
            <w:tcW w:w="4335" w:type="dxa"/>
            <w:vAlign w:val="center"/>
          </w:tcPr>
          <w:p w14:paraId="4405A3F7">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《家用燃气快速热水器和燃气采暖热水炉能效限定值及能效等级》（GB20665）</w:t>
            </w:r>
          </w:p>
        </w:tc>
      </w:tr>
      <w:tr w14:paraId="3E4F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74F406B4">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7BA67E16">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67F4B9DE">
            <w:pPr>
              <w:widowControl/>
              <w:spacing w:line="240" w:lineRule="auto"/>
              <w:jc w:val="left"/>
              <w:rPr>
                <w:rFonts w:ascii="宋体" w:hAnsi="宋体" w:eastAsia="宋体" w:cs="宋体"/>
                <w:color w:val="auto"/>
                <w:kern w:val="0"/>
                <w:sz w:val="20"/>
                <w:szCs w:val="20"/>
              </w:rPr>
            </w:pPr>
          </w:p>
        </w:tc>
        <w:tc>
          <w:tcPr>
            <w:tcW w:w="1612" w:type="dxa"/>
            <w:vAlign w:val="center"/>
          </w:tcPr>
          <w:p w14:paraId="7839DC9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热泵热水器</w:t>
            </w:r>
          </w:p>
        </w:tc>
        <w:tc>
          <w:tcPr>
            <w:tcW w:w="4335" w:type="dxa"/>
            <w:vAlign w:val="center"/>
          </w:tcPr>
          <w:p w14:paraId="6FF8E98D">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《热泵热水机（器）能效限定值及能效等级》（GB29541）</w:t>
            </w:r>
          </w:p>
        </w:tc>
      </w:tr>
      <w:tr w14:paraId="1CD5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641" w:type="dxa"/>
            <w:vMerge w:val="continue"/>
            <w:vAlign w:val="center"/>
          </w:tcPr>
          <w:p w14:paraId="230CFCA0">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510246C9">
            <w:pPr>
              <w:widowControl/>
              <w:spacing w:line="240" w:lineRule="auto"/>
              <w:jc w:val="left"/>
              <w:rPr>
                <w:rFonts w:ascii="宋体" w:hAnsi="宋体" w:eastAsia="宋体" w:cs="宋体"/>
                <w:color w:val="auto"/>
                <w:kern w:val="0"/>
                <w:sz w:val="20"/>
                <w:szCs w:val="20"/>
              </w:rPr>
            </w:pPr>
          </w:p>
        </w:tc>
        <w:tc>
          <w:tcPr>
            <w:tcW w:w="1516" w:type="dxa"/>
            <w:vMerge w:val="continue"/>
            <w:vAlign w:val="center"/>
          </w:tcPr>
          <w:p w14:paraId="07A62CAE">
            <w:pPr>
              <w:widowControl/>
              <w:spacing w:line="240" w:lineRule="auto"/>
              <w:jc w:val="left"/>
              <w:rPr>
                <w:rFonts w:ascii="宋体" w:hAnsi="宋体" w:eastAsia="宋体" w:cs="宋体"/>
                <w:color w:val="auto"/>
                <w:kern w:val="0"/>
                <w:sz w:val="20"/>
                <w:szCs w:val="20"/>
              </w:rPr>
            </w:pPr>
          </w:p>
        </w:tc>
        <w:tc>
          <w:tcPr>
            <w:tcW w:w="1612" w:type="dxa"/>
            <w:vAlign w:val="center"/>
          </w:tcPr>
          <w:p w14:paraId="32DA23AC">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太阳能热水系统</w:t>
            </w:r>
          </w:p>
        </w:tc>
        <w:tc>
          <w:tcPr>
            <w:tcW w:w="4335" w:type="dxa"/>
            <w:vAlign w:val="center"/>
          </w:tcPr>
          <w:p w14:paraId="746D8E07">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《家用太阳能热水系统能效限定值及能效等级》（GB26969）</w:t>
            </w:r>
          </w:p>
        </w:tc>
      </w:tr>
      <w:tr w14:paraId="6DB6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00436C7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116" w:type="dxa"/>
            <w:vMerge w:val="restart"/>
            <w:vAlign w:val="center"/>
          </w:tcPr>
          <w:p w14:paraId="284C516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A020619照明设备</w:t>
            </w:r>
          </w:p>
        </w:tc>
        <w:tc>
          <w:tcPr>
            <w:tcW w:w="1516" w:type="dxa"/>
            <w:vAlign w:val="center"/>
          </w:tcPr>
          <w:p w14:paraId="6AA1995E">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★普通照明用双端荧光灯</w:t>
            </w:r>
          </w:p>
        </w:tc>
        <w:tc>
          <w:tcPr>
            <w:tcW w:w="1612" w:type="dxa"/>
            <w:vAlign w:val="center"/>
          </w:tcPr>
          <w:p w14:paraId="772859F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8AC2729">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《普通照明用双端荧光灯能效限定值及能效等级》（GB19043）</w:t>
            </w:r>
          </w:p>
        </w:tc>
      </w:tr>
      <w:tr w14:paraId="5D67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4F743FB">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4838633A">
            <w:pPr>
              <w:widowControl/>
              <w:spacing w:line="240" w:lineRule="auto"/>
              <w:jc w:val="left"/>
              <w:rPr>
                <w:rFonts w:ascii="宋体" w:hAnsi="宋体" w:eastAsia="宋体" w:cs="宋体"/>
                <w:color w:val="auto"/>
                <w:kern w:val="0"/>
                <w:sz w:val="20"/>
                <w:szCs w:val="20"/>
              </w:rPr>
            </w:pPr>
          </w:p>
        </w:tc>
        <w:tc>
          <w:tcPr>
            <w:tcW w:w="1516" w:type="dxa"/>
            <w:vAlign w:val="center"/>
          </w:tcPr>
          <w:p w14:paraId="2B61C78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LED道路/隧道照明产品</w:t>
            </w:r>
          </w:p>
        </w:tc>
        <w:tc>
          <w:tcPr>
            <w:tcW w:w="1612" w:type="dxa"/>
            <w:vAlign w:val="center"/>
          </w:tcPr>
          <w:p w14:paraId="385A0FC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E366D1A">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《道路和隧道照明用LED灯具能效限定值及能效等级》（GB37478）</w:t>
            </w:r>
          </w:p>
        </w:tc>
      </w:tr>
      <w:tr w14:paraId="26B8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26AF8E89">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26063BFF">
            <w:pPr>
              <w:widowControl/>
              <w:spacing w:line="240" w:lineRule="auto"/>
              <w:jc w:val="left"/>
              <w:rPr>
                <w:rFonts w:ascii="宋体" w:hAnsi="宋体" w:eastAsia="宋体" w:cs="宋体"/>
                <w:color w:val="auto"/>
                <w:kern w:val="0"/>
                <w:sz w:val="20"/>
                <w:szCs w:val="20"/>
              </w:rPr>
            </w:pPr>
          </w:p>
        </w:tc>
        <w:tc>
          <w:tcPr>
            <w:tcW w:w="1516" w:type="dxa"/>
            <w:vAlign w:val="center"/>
          </w:tcPr>
          <w:p w14:paraId="393B26E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LED筒灯</w:t>
            </w:r>
          </w:p>
        </w:tc>
        <w:tc>
          <w:tcPr>
            <w:tcW w:w="1612" w:type="dxa"/>
            <w:vAlign w:val="center"/>
          </w:tcPr>
          <w:p w14:paraId="50776DF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A44E380">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《室内照明用LED产品能效限定值及能效等级》（GB30255）</w:t>
            </w:r>
          </w:p>
        </w:tc>
      </w:tr>
      <w:tr w14:paraId="6063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2DF283F0">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3DE73466">
            <w:pPr>
              <w:widowControl/>
              <w:spacing w:line="240" w:lineRule="auto"/>
              <w:jc w:val="left"/>
              <w:rPr>
                <w:rFonts w:ascii="宋体" w:hAnsi="宋体" w:eastAsia="宋体" w:cs="宋体"/>
                <w:color w:val="auto"/>
                <w:kern w:val="0"/>
                <w:sz w:val="20"/>
                <w:szCs w:val="20"/>
              </w:rPr>
            </w:pPr>
          </w:p>
        </w:tc>
        <w:tc>
          <w:tcPr>
            <w:tcW w:w="1516" w:type="dxa"/>
            <w:vAlign w:val="center"/>
          </w:tcPr>
          <w:p w14:paraId="1FDF976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普通照明用非定向自镇流LED灯</w:t>
            </w:r>
          </w:p>
        </w:tc>
        <w:tc>
          <w:tcPr>
            <w:tcW w:w="1612" w:type="dxa"/>
            <w:vAlign w:val="center"/>
          </w:tcPr>
          <w:p w14:paraId="7BA892B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39E5E017">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《室内照明用LED产品能效限定值及能效等级》（GB30255）</w:t>
            </w:r>
          </w:p>
        </w:tc>
      </w:tr>
      <w:tr w14:paraId="7A00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Align w:val="center"/>
          </w:tcPr>
          <w:p w14:paraId="3057EBC4">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116" w:type="dxa"/>
            <w:vAlign w:val="center"/>
          </w:tcPr>
          <w:p w14:paraId="0A5A6F8E">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★A020910电视设备</w:t>
            </w:r>
          </w:p>
        </w:tc>
        <w:tc>
          <w:tcPr>
            <w:tcW w:w="1516" w:type="dxa"/>
            <w:vAlign w:val="center"/>
          </w:tcPr>
          <w:p w14:paraId="58D6007A">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A02091001普通电视设备（电视机）</w:t>
            </w:r>
          </w:p>
        </w:tc>
        <w:tc>
          <w:tcPr>
            <w:tcW w:w="1612" w:type="dxa"/>
            <w:vAlign w:val="center"/>
          </w:tcPr>
          <w:p w14:paraId="0C7247E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5A61557A">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《平板电视能效限定值及能效等级》（GB24850）</w:t>
            </w:r>
          </w:p>
        </w:tc>
      </w:tr>
      <w:tr w14:paraId="21A6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jc w:val="center"/>
        </w:trPr>
        <w:tc>
          <w:tcPr>
            <w:tcW w:w="641" w:type="dxa"/>
            <w:vAlign w:val="center"/>
          </w:tcPr>
          <w:p w14:paraId="3D8835D1">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116" w:type="dxa"/>
            <w:vAlign w:val="center"/>
          </w:tcPr>
          <w:p w14:paraId="6B0D28A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★A020911视频设备</w:t>
            </w:r>
          </w:p>
        </w:tc>
        <w:tc>
          <w:tcPr>
            <w:tcW w:w="1516" w:type="dxa"/>
            <w:vAlign w:val="center"/>
          </w:tcPr>
          <w:p w14:paraId="21EFEC6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A02091107视频监控设备</w:t>
            </w:r>
          </w:p>
        </w:tc>
        <w:tc>
          <w:tcPr>
            <w:tcW w:w="1612" w:type="dxa"/>
            <w:vAlign w:val="center"/>
          </w:tcPr>
          <w:p w14:paraId="464604C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监视器</w:t>
            </w:r>
          </w:p>
        </w:tc>
        <w:tc>
          <w:tcPr>
            <w:tcW w:w="4335" w:type="dxa"/>
            <w:vAlign w:val="center"/>
          </w:tcPr>
          <w:p w14:paraId="5AF51919">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43DC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0C1634A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116" w:type="dxa"/>
            <w:vAlign w:val="center"/>
          </w:tcPr>
          <w:p w14:paraId="2FF04492">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A031210饮食炊事机械</w:t>
            </w:r>
          </w:p>
        </w:tc>
        <w:tc>
          <w:tcPr>
            <w:tcW w:w="1516" w:type="dxa"/>
            <w:vAlign w:val="center"/>
          </w:tcPr>
          <w:p w14:paraId="4E9F006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商用燃气灶具</w:t>
            </w:r>
          </w:p>
        </w:tc>
        <w:tc>
          <w:tcPr>
            <w:tcW w:w="1612" w:type="dxa"/>
            <w:vAlign w:val="center"/>
          </w:tcPr>
          <w:p w14:paraId="1AC10DEC">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73C4FF8">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《商用燃气灶具能效限定值及能效等级》（GB30531）</w:t>
            </w:r>
          </w:p>
        </w:tc>
      </w:tr>
      <w:tr w14:paraId="318B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vAlign w:val="center"/>
          </w:tcPr>
          <w:p w14:paraId="6F5243D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116" w:type="dxa"/>
            <w:vMerge w:val="restart"/>
            <w:vAlign w:val="center"/>
          </w:tcPr>
          <w:p w14:paraId="3DB08986">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★A060805便器</w:t>
            </w:r>
          </w:p>
        </w:tc>
        <w:tc>
          <w:tcPr>
            <w:tcW w:w="1516" w:type="dxa"/>
            <w:vAlign w:val="center"/>
          </w:tcPr>
          <w:p w14:paraId="1C5708D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坐便器</w:t>
            </w:r>
          </w:p>
        </w:tc>
        <w:tc>
          <w:tcPr>
            <w:tcW w:w="1612" w:type="dxa"/>
            <w:vAlign w:val="center"/>
          </w:tcPr>
          <w:p w14:paraId="7564623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16EB44F">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《坐便器水效限定值及水效等级》（GB25502）</w:t>
            </w:r>
          </w:p>
        </w:tc>
      </w:tr>
      <w:tr w14:paraId="3084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0EB655EE">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74F60D33">
            <w:pPr>
              <w:widowControl/>
              <w:spacing w:line="240" w:lineRule="auto"/>
              <w:jc w:val="left"/>
              <w:rPr>
                <w:rFonts w:ascii="宋体" w:hAnsi="宋体" w:eastAsia="宋体" w:cs="宋体"/>
                <w:color w:val="auto"/>
                <w:kern w:val="0"/>
                <w:sz w:val="20"/>
                <w:szCs w:val="20"/>
              </w:rPr>
            </w:pPr>
          </w:p>
        </w:tc>
        <w:tc>
          <w:tcPr>
            <w:tcW w:w="1516" w:type="dxa"/>
            <w:vAlign w:val="center"/>
          </w:tcPr>
          <w:p w14:paraId="26554CB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蹲便器</w:t>
            </w:r>
          </w:p>
        </w:tc>
        <w:tc>
          <w:tcPr>
            <w:tcW w:w="1612" w:type="dxa"/>
            <w:vAlign w:val="center"/>
          </w:tcPr>
          <w:p w14:paraId="6C7C378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B259855">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《蹲便器用水效率限定值及用水效率等级》（GB30717）</w:t>
            </w:r>
          </w:p>
        </w:tc>
      </w:tr>
      <w:tr w14:paraId="62A9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106ED34">
            <w:pPr>
              <w:widowControl/>
              <w:spacing w:line="240" w:lineRule="auto"/>
              <w:jc w:val="left"/>
              <w:rPr>
                <w:rFonts w:ascii="宋体" w:hAnsi="宋体" w:eastAsia="宋体" w:cs="宋体"/>
                <w:color w:val="auto"/>
                <w:kern w:val="0"/>
                <w:sz w:val="20"/>
                <w:szCs w:val="20"/>
              </w:rPr>
            </w:pPr>
          </w:p>
        </w:tc>
        <w:tc>
          <w:tcPr>
            <w:tcW w:w="1116" w:type="dxa"/>
            <w:vMerge w:val="continue"/>
            <w:vAlign w:val="center"/>
          </w:tcPr>
          <w:p w14:paraId="1FAD81C0">
            <w:pPr>
              <w:widowControl/>
              <w:spacing w:line="240" w:lineRule="auto"/>
              <w:jc w:val="left"/>
              <w:rPr>
                <w:rFonts w:ascii="宋体" w:hAnsi="宋体" w:eastAsia="宋体" w:cs="宋体"/>
                <w:color w:val="auto"/>
                <w:kern w:val="0"/>
                <w:sz w:val="20"/>
                <w:szCs w:val="20"/>
              </w:rPr>
            </w:pPr>
          </w:p>
        </w:tc>
        <w:tc>
          <w:tcPr>
            <w:tcW w:w="1516" w:type="dxa"/>
            <w:vAlign w:val="center"/>
          </w:tcPr>
          <w:p w14:paraId="4D85067C">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小便器</w:t>
            </w:r>
          </w:p>
        </w:tc>
        <w:tc>
          <w:tcPr>
            <w:tcW w:w="1612" w:type="dxa"/>
            <w:vAlign w:val="center"/>
          </w:tcPr>
          <w:p w14:paraId="0A9F604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30ACF28">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《小便器用水效率限定值及用水效率等级》（GB28377）</w:t>
            </w:r>
          </w:p>
        </w:tc>
      </w:tr>
      <w:tr w14:paraId="5E9A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36E65E3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116" w:type="dxa"/>
            <w:vAlign w:val="center"/>
          </w:tcPr>
          <w:p w14:paraId="023150CF">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★A060806水嘴</w:t>
            </w:r>
          </w:p>
        </w:tc>
        <w:tc>
          <w:tcPr>
            <w:tcW w:w="1516" w:type="dxa"/>
            <w:vAlign w:val="center"/>
          </w:tcPr>
          <w:p w14:paraId="7435D3FA">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5492C81B">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4307820">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《水嘴用水效率限定值及用水效率等级》（GB 25501）</w:t>
            </w:r>
          </w:p>
        </w:tc>
      </w:tr>
      <w:tr w14:paraId="538B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7EAF5E85">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116" w:type="dxa"/>
            <w:vAlign w:val="center"/>
          </w:tcPr>
          <w:p w14:paraId="4B038BED">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A060807便器冲洗阀</w:t>
            </w:r>
          </w:p>
        </w:tc>
        <w:tc>
          <w:tcPr>
            <w:tcW w:w="1516" w:type="dxa"/>
            <w:vAlign w:val="center"/>
          </w:tcPr>
          <w:p w14:paraId="5E83E417">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0974781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0AFCF1F">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《便器冲洗阀用水效率限定值及用水效率等级》（GB28379）</w:t>
            </w:r>
          </w:p>
        </w:tc>
      </w:tr>
      <w:tr w14:paraId="4655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64C28F08">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1116" w:type="dxa"/>
            <w:vAlign w:val="center"/>
          </w:tcPr>
          <w:p w14:paraId="4E57EB29">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A060810淋浴器</w:t>
            </w:r>
          </w:p>
        </w:tc>
        <w:tc>
          <w:tcPr>
            <w:tcW w:w="1516" w:type="dxa"/>
            <w:vAlign w:val="center"/>
          </w:tcPr>
          <w:p w14:paraId="063FB893">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6F346E06">
            <w:pPr>
              <w:widowControl/>
              <w:spacing w:line="24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59809306">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《淋浴器用水效率限定值及用水效率等级》（GB28378）</w:t>
            </w:r>
          </w:p>
        </w:tc>
      </w:tr>
    </w:tbl>
    <w:p w14:paraId="1262563E">
      <w:pPr>
        <w:spacing w:after="120" w:line="360" w:lineRule="auto"/>
        <w:rPr>
          <w:rFonts w:ascii="宋体" w:hAnsi="宋体" w:eastAsia="宋体" w:cs="宋体"/>
          <w:color w:val="auto"/>
          <w:spacing w:val="-3"/>
          <w:sz w:val="21"/>
          <w:szCs w:val="21"/>
        </w:rPr>
      </w:pPr>
    </w:p>
    <w:p w14:paraId="0E19346C">
      <w:pPr>
        <w:spacing w:after="120" w:line="360" w:lineRule="auto"/>
        <w:rPr>
          <w:rFonts w:ascii="宋体" w:hAnsi="宋体" w:eastAsia="宋体" w:cs="宋体"/>
          <w:color w:val="auto"/>
          <w:sz w:val="21"/>
          <w:szCs w:val="21"/>
        </w:rPr>
      </w:pPr>
      <w:r>
        <w:rPr>
          <w:rFonts w:hint="eastAsia" w:ascii="宋体" w:hAnsi="宋体" w:eastAsia="宋体" w:cs="宋体"/>
          <w:color w:val="auto"/>
          <w:spacing w:val="-3"/>
          <w:sz w:val="21"/>
          <w:szCs w:val="21"/>
        </w:rPr>
        <w:t>注：1.节能产品认证应依据相关国家标准的最新版本，依据国家标准中二级能效（水效）</w:t>
      </w:r>
      <w:r>
        <w:rPr>
          <w:rFonts w:hint="eastAsia" w:ascii="宋体" w:hAnsi="宋体" w:eastAsia="宋体" w:cs="宋体"/>
          <w:color w:val="auto"/>
          <w:sz w:val="21"/>
          <w:szCs w:val="21"/>
        </w:rPr>
        <w:t>指标。</w:t>
      </w:r>
    </w:p>
    <w:p w14:paraId="1A9837DA">
      <w:pPr>
        <w:spacing w:after="120" w:line="360" w:lineRule="auto"/>
        <w:rPr>
          <w:rFonts w:ascii="宋体" w:hAnsi="宋体" w:eastAsia="宋体" w:cs="宋体"/>
          <w:b/>
          <w:bCs/>
          <w:color w:val="auto"/>
          <w:sz w:val="21"/>
          <w:szCs w:val="21"/>
        </w:rPr>
      </w:pPr>
      <w:r>
        <w:rPr>
          <w:rFonts w:hint="eastAsia" w:ascii="宋体" w:hAnsi="宋体" w:eastAsia="宋体" w:cs="宋体"/>
          <w:color w:val="auto"/>
          <w:sz w:val="21"/>
          <w:szCs w:val="21"/>
        </w:rPr>
        <w:t xml:space="preserve">    2</w:t>
      </w:r>
      <w:r>
        <w:rPr>
          <w:rFonts w:hint="eastAsia" w:ascii="宋体" w:hAnsi="宋体" w:eastAsia="宋体" w:cs="宋体"/>
          <w:b/>
          <w:bCs/>
          <w:color w:val="auto"/>
          <w:sz w:val="21"/>
          <w:szCs w:val="21"/>
        </w:rPr>
        <w:t>.以“★”标注的为政府强制采购产品。</w:t>
      </w:r>
    </w:p>
    <w:p w14:paraId="35C96702">
      <w:pPr>
        <w:spacing w:line="428" w:lineRule="exact"/>
        <w:rPr>
          <w:rFonts w:ascii="Arial Unicode MS" w:hAnsi="Arial Unicode MS" w:eastAsia="Arial Unicode MS" w:cs="Arial Unicode MS"/>
          <w:color w:val="auto"/>
          <w:sz w:val="32"/>
          <w:szCs w:val="32"/>
        </w:rPr>
      </w:pPr>
    </w:p>
    <w:p w14:paraId="76C15BD9">
      <w:pPr>
        <w:spacing w:line="428" w:lineRule="exact"/>
        <w:rPr>
          <w:rFonts w:ascii="Arial Unicode MS" w:hAnsi="Arial Unicode MS" w:eastAsia="Arial Unicode MS" w:cs="Arial Unicode MS"/>
          <w:color w:val="auto"/>
          <w:sz w:val="32"/>
          <w:szCs w:val="32"/>
        </w:rPr>
      </w:pPr>
    </w:p>
    <w:p w14:paraId="1E401AC3">
      <w:pPr>
        <w:spacing w:line="428" w:lineRule="exact"/>
        <w:rPr>
          <w:rFonts w:ascii="Arial Unicode MS" w:hAnsi="Arial Unicode MS" w:eastAsia="Arial Unicode MS" w:cs="Arial Unicode MS"/>
          <w:color w:val="auto"/>
          <w:sz w:val="32"/>
          <w:szCs w:val="32"/>
        </w:rPr>
      </w:pPr>
    </w:p>
    <w:p w14:paraId="2E8C2C83">
      <w:pPr>
        <w:spacing w:line="428" w:lineRule="exact"/>
        <w:rPr>
          <w:rFonts w:ascii="Arial Unicode MS" w:hAnsi="Arial Unicode MS" w:eastAsia="Arial Unicode MS" w:cs="Arial Unicode MS"/>
          <w:color w:val="auto"/>
          <w:sz w:val="32"/>
          <w:szCs w:val="32"/>
        </w:rPr>
      </w:pPr>
    </w:p>
    <w:p w14:paraId="73E2393F">
      <w:pPr>
        <w:spacing w:line="428" w:lineRule="exact"/>
        <w:rPr>
          <w:rFonts w:ascii="Arial Unicode MS" w:hAnsi="Arial Unicode MS" w:eastAsia="Arial Unicode MS" w:cs="Arial Unicode MS"/>
          <w:color w:val="auto"/>
          <w:sz w:val="32"/>
          <w:szCs w:val="32"/>
        </w:rPr>
      </w:pPr>
    </w:p>
    <w:p w14:paraId="73547646">
      <w:pPr>
        <w:spacing w:line="428" w:lineRule="exact"/>
        <w:rPr>
          <w:rFonts w:ascii="Arial Unicode MS" w:hAnsi="Arial Unicode MS" w:eastAsia="Arial Unicode MS" w:cs="Arial Unicode MS"/>
          <w:color w:val="auto"/>
          <w:sz w:val="32"/>
          <w:szCs w:val="32"/>
        </w:rPr>
      </w:pPr>
    </w:p>
    <w:p w14:paraId="58DD8E0C">
      <w:pPr>
        <w:spacing w:line="428" w:lineRule="exact"/>
        <w:rPr>
          <w:rFonts w:ascii="Arial Unicode MS" w:hAnsi="Arial Unicode MS" w:eastAsia="Arial Unicode MS" w:cs="Arial Unicode MS"/>
          <w:color w:val="auto"/>
          <w:sz w:val="32"/>
          <w:szCs w:val="32"/>
        </w:rPr>
      </w:pPr>
    </w:p>
    <w:p w14:paraId="430E9227">
      <w:pPr>
        <w:spacing w:line="428" w:lineRule="exact"/>
        <w:rPr>
          <w:rFonts w:ascii="Arial Unicode MS" w:hAnsi="Arial Unicode MS" w:eastAsia="Arial Unicode MS" w:cs="Arial Unicode MS"/>
          <w:color w:val="auto"/>
          <w:sz w:val="32"/>
          <w:szCs w:val="32"/>
        </w:rPr>
      </w:pPr>
    </w:p>
    <w:p w14:paraId="3C11E77A">
      <w:pPr>
        <w:spacing w:line="428" w:lineRule="exact"/>
        <w:rPr>
          <w:rFonts w:ascii="Arial Unicode MS" w:hAnsi="Arial Unicode MS" w:eastAsia="Arial Unicode MS" w:cs="Arial Unicode MS"/>
          <w:color w:val="auto"/>
          <w:sz w:val="32"/>
          <w:szCs w:val="32"/>
        </w:rPr>
      </w:pPr>
    </w:p>
    <w:p w14:paraId="3CA9EB4C">
      <w:pPr>
        <w:spacing w:line="428" w:lineRule="exact"/>
        <w:rPr>
          <w:rFonts w:ascii="Arial Unicode MS" w:hAnsi="Arial Unicode MS" w:eastAsia="Arial Unicode MS" w:cs="Arial Unicode MS"/>
          <w:color w:val="auto"/>
          <w:sz w:val="32"/>
          <w:szCs w:val="32"/>
        </w:rPr>
      </w:pPr>
    </w:p>
    <w:p w14:paraId="256E3379">
      <w:pPr>
        <w:spacing w:line="428" w:lineRule="exact"/>
        <w:rPr>
          <w:rFonts w:ascii="Arial Unicode MS" w:hAnsi="Arial Unicode MS" w:eastAsia="Arial Unicode MS" w:cs="Arial Unicode MS"/>
          <w:color w:val="auto"/>
          <w:sz w:val="32"/>
          <w:szCs w:val="32"/>
        </w:rPr>
      </w:pPr>
    </w:p>
    <w:p w14:paraId="283631FA">
      <w:pPr>
        <w:spacing w:line="428" w:lineRule="exact"/>
        <w:rPr>
          <w:rFonts w:ascii="Arial Unicode MS" w:hAnsi="Arial Unicode MS" w:eastAsia="Arial Unicode MS" w:cs="Arial Unicode MS"/>
          <w:color w:val="auto"/>
          <w:sz w:val="32"/>
          <w:szCs w:val="32"/>
        </w:rPr>
      </w:pPr>
    </w:p>
    <w:p w14:paraId="1746D9AC">
      <w:pPr>
        <w:spacing w:line="428" w:lineRule="exact"/>
        <w:rPr>
          <w:rFonts w:ascii="Arial Unicode MS" w:hAnsi="Arial Unicode MS" w:eastAsia="Arial Unicode MS" w:cs="Arial Unicode MS"/>
          <w:color w:val="auto"/>
          <w:sz w:val="32"/>
          <w:szCs w:val="32"/>
        </w:rPr>
      </w:pPr>
    </w:p>
    <w:p w14:paraId="43A1029E">
      <w:pPr>
        <w:spacing w:line="428" w:lineRule="exact"/>
        <w:rPr>
          <w:rFonts w:ascii="Arial Unicode MS" w:hAnsi="Arial Unicode MS" w:eastAsia="Arial Unicode MS" w:cs="Arial Unicode MS"/>
          <w:color w:val="auto"/>
          <w:sz w:val="32"/>
          <w:szCs w:val="32"/>
        </w:rPr>
      </w:pPr>
    </w:p>
    <w:p w14:paraId="6E0708F0">
      <w:pPr>
        <w:spacing w:line="428" w:lineRule="exact"/>
        <w:rPr>
          <w:rFonts w:ascii="Arial Unicode MS" w:hAnsi="Arial Unicode MS" w:eastAsia="Arial Unicode MS" w:cs="Arial Unicode MS"/>
          <w:color w:val="auto"/>
          <w:sz w:val="32"/>
          <w:szCs w:val="32"/>
        </w:rPr>
      </w:pPr>
    </w:p>
    <w:p w14:paraId="5DE17405">
      <w:pPr>
        <w:spacing w:line="428" w:lineRule="exact"/>
        <w:rPr>
          <w:rFonts w:ascii="Arial Unicode MS" w:hAnsi="Arial Unicode MS" w:eastAsia="Arial Unicode MS" w:cs="Arial Unicode MS"/>
          <w:color w:val="auto"/>
          <w:sz w:val="32"/>
          <w:szCs w:val="32"/>
        </w:rPr>
      </w:pPr>
    </w:p>
    <w:p w14:paraId="3BC5ACB0">
      <w:pPr>
        <w:spacing w:line="428" w:lineRule="exact"/>
        <w:rPr>
          <w:rFonts w:ascii="Arial Unicode MS" w:hAnsi="Arial Unicode MS" w:eastAsia="Arial Unicode MS" w:cs="Arial Unicode MS"/>
          <w:color w:val="auto"/>
          <w:sz w:val="32"/>
          <w:szCs w:val="32"/>
        </w:rPr>
      </w:pPr>
    </w:p>
    <w:p w14:paraId="635DDE48">
      <w:pPr>
        <w:spacing w:line="428" w:lineRule="exact"/>
        <w:rPr>
          <w:rFonts w:ascii="Arial Unicode MS" w:hAnsi="Arial Unicode MS" w:eastAsia="Arial Unicode MS" w:cs="Arial Unicode MS"/>
          <w:color w:val="auto"/>
          <w:sz w:val="32"/>
          <w:szCs w:val="32"/>
        </w:rPr>
      </w:pPr>
    </w:p>
    <w:p w14:paraId="72D35528">
      <w:pPr>
        <w:spacing w:line="428" w:lineRule="exact"/>
        <w:rPr>
          <w:rFonts w:ascii="Arial Unicode MS" w:hAnsi="Arial Unicode MS" w:eastAsia="Arial Unicode MS" w:cs="Arial Unicode MS"/>
          <w:color w:val="auto"/>
          <w:sz w:val="32"/>
          <w:szCs w:val="32"/>
        </w:rPr>
      </w:pPr>
    </w:p>
    <w:p w14:paraId="558C2936">
      <w:pPr>
        <w:spacing w:line="428" w:lineRule="exact"/>
        <w:rPr>
          <w:rFonts w:ascii="Arial Unicode MS" w:hAnsi="Arial Unicode MS" w:eastAsia="Arial Unicode MS" w:cs="Arial Unicode MS"/>
          <w:color w:val="auto"/>
          <w:sz w:val="32"/>
          <w:szCs w:val="32"/>
        </w:rPr>
      </w:pPr>
    </w:p>
    <w:p w14:paraId="5F4BB45F">
      <w:pPr>
        <w:spacing w:line="428" w:lineRule="exact"/>
        <w:rPr>
          <w:rFonts w:ascii="Arial Unicode MS" w:hAnsi="Arial Unicode MS" w:eastAsia="Arial Unicode MS" w:cs="Arial Unicode MS"/>
          <w:color w:val="auto"/>
          <w:sz w:val="32"/>
          <w:szCs w:val="32"/>
        </w:rPr>
      </w:pPr>
    </w:p>
    <w:p w14:paraId="365643E3">
      <w:pPr>
        <w:spacing w:line="428" w:lineRule="exact"/>
        <w:rPr>
          <w:rFonts w:ascii="Arial Unicode MS" w:hAnsi="Arial Unicode MS" w:eastAsia="Arial Unicode MS" w:cs="Arial Unicode MS"/>
          <w:color w:val="auto"/>
          <w:sz w:val="32"/>
          <w:szCs w:val="32"/>
        </w:rPr>
      </w:pPr>
    </w:p>
    <w:p w14:paraId="244C33F8">
      <w:pPr>
        <w:spacing w:line="428" w:lineRule="exact"/>
        <w:rPr>
          <w:rFonts w:ascii="Arial Unicode MS" w:hAnsi="Arial Unicode MS" w:eastAsia="Arial Unicode MS" w:cs="Arial Unicode MS"/>
          <w:color w:val="auto"/>
          <w:sz w:val="32"/>
          <w:szCs w:val="32"/>
        </w:rPr>
      </w:pPr>
    </w:p>
    <w:p w14:paraId="419CCB80">
      <w:pPr>
        <w:spacing w:line="428" w:lineRule="exact"/>
        <w:rPr>
          <w:rFonts w:ascii="Arial Unicode MS" w:hAnsi="Arial Unicode MS" w:eastAsia="Arial Unicode MS" w:cs="Arial Unicode MS"/>
          <w:color w:val="auto"/>
          <w:sz w:val="32"/>
          <w:szCs w:val="32"/>
        </w:rPr>
      </w:pPr>
    </w:p>
    <w:p w14:paraId="66A0A07A">
      <w:pPr>
        <w:spacing w:line="428" w:lineRule="exact"/>
        <w:rPr>
          <w:rFonts w:ascii="Arial Unicode MS" w:hAnsi="Arial Unicode MS" w:eastAsia="Arial Unicode MS" w:cs="Arial Unicode MS"/>
          <w:color w:val="auto"/>
          <w:sz w:val="32"/>
          <w:szCs w:val="32"/>
        </w:rPr>
      </w:pPr>
    </w:p>
    <w:p w14:paraId="6AD3D1F7">
      <w:pPr>
        <w:spacing w:line="428" w:lineRule="exact"/>
        <w:rPr>
          <w:rFonts w:ascii="Arial Unicode MS" w:hAnsi="Arial Unicode MS" w:eastAsia="Arial Unicode MS" w:cs="Arial Unicode MS"/>
          <w:color w:val="auto"/>
          <w:sz w:val="32"/>
          <w:szCs w:val="32"/>
        </w:rPr>
      </w:pPr>
    </w:p>
    <w:p w14:paraId="1E0D3BDC">
      <w:pPr>
        <w:spacing w:line="428" w:lineRule="exact"/>
        <w:rPr>
          <w:rFonts w:ascii="Arial Unicode MS" w:hAnsi="Arial Unicode MS" w:eastAsia="Arial Unicode MS" w:cs="Arial Unicode MS"/>
          <w:color w:val="auto"/>
          <w:sz w:val="32"/>
          <w:szCs w:val="32"/>
        </w:rPr>
      </w:pPr>
    </w:p>
    <w:p w14:paraId="6BA5CE04">
      <w:pPr>
        <w:spacing w:line="428" w:lineRule="exact"/>
        <w:rPr>
          <w:rFonts w:ascii="Arial Unicode MS" w:hAnsi="Arial Unicode MS" w:eastAsia="Arial Unicode MS" w:cs="Arial Unicode MS"/>
          <w:color w:val="auto"/>
          <w:sz w:val="32"/>
          <w:szCs w:val="32"/>
        </w:rPr>
      </w:pPr>
    </w:p>
    <w:p w14:paraId="435FBD01">
      <w:pPr>
        <w:spacing w:line="428" w:lineRule="exact"/>
        <w:rPr>
          <w:rFonts w:ascii="Arial Unicode MS" w:hAnsi="Arial Unicode MS" w:eastAsia="Arial Unicode MS" w:cs="Arial Unicode MS"/>
          <w:color w:val="auto"/>
          <w:sz w:val="32"/>
          <w:szCs w:val="32"/>
        </w:rPr>
      </w:pPr>
    </w:p>
    <w:p w14:paraId="277F6FC6">
      <w:pPr>
        <w:spacing w:line="428" w:lineRule="exact"/>
        <w:rPr>
          <w:rFonts w:ascii="Arial Unicode MS" w:hAnsi="Arial Unicode MS" w:eastAsia="Arial Unicode MS" w:cs="Arial Unicode MS"/>
          <w:color w:val="auto"/>
          <w:sz w:val="17"/>
          <w:szCs w:val="17"/>
        </w:rPr>
      </w:pPr>
      <w:r>
        <w:rPr>
          <w:rFonts w:hint="eastAsia" w:ascii="Arial Unicode MS" w:hAnsi="Arial Unicode MS" w:eastAsia="Arial Unicode MS" w:cs="Arial Unicode MS"/>
          <w:color w:val="auto"/>
          <w:sz w:val="32"/>
          <w:szCs w:val="32"/>
        </w:rPr>
        <w:t>附件2</w:t>
      </w:r>
    </w:p>
    <w:p w14:paraId="3A61FDD2">
      <w:pPr>
        <w:widowControl/>
        <w:spacing w:before="120" w:beforeLines="50" w:after="120" w:afterLines="50" w:line="280" w:lineRule="exact"/>
        <w:jc w:val="center"/>
        <w:rPr>
          <w:rFonts w:ascii="宋体" w:hAnsi="宋体" w:eastAsia="宋体" w:cs="宋体"/>
          <w:b/>
          <w:bCs/>
          <w:color w:val="auto"/>
          <w:kern w:val="0"/>
          <w:sz w:val="30"/>
          <w:szCs w:val="30"/>
        </w:rPr>
      </w:pPr>
      <w:bookmarkStart w:id="7" w:name="_Toc28361_WPSOffice_Level2"/>
      <w:r>
        <w:rPr>
          <w:rFonts w:hint="eastAsia" w:ascii="宋体" w:hAnsi="宋体" w:eastAsia="宋体" w:cs="宋体"/>
          <w:b/>
          <w:bCs/>
          <w:color w:val="auto"/>
          <w:kern w:val="0"/>
          <w:sz w:val="30"/>
          <w:szCs w:val="30"/>
        </w:rPr>
        <w:t>统计上大中小微型企业划分标准</w:t>
      </w:r>
      <w:bookmarkEnd w:id="7"/>
    </w:p>
    <w:tbl>
      <w:tblPr>
        <w:tblStyle w:val="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17C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4F807177">
            <w:pPr>
              <w:widowControl/>
              <w:spacing w:line="280" w:lineRule="exact"/>
              <w:jc w:val="center"/>
              <w:rPr>
                <w:rFonts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shd w:val="clear" w:color="auto" w:fill="8DB3E2"/>
            <w:vAlign w:val="center"/>
          </w:tcPr>
          <w:p w14:paraId="0240B0E6">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shd w:val="clear" w:color="auto" w:fill="8DB3E2"/>
            <w:vAlign w:val="center"/>
          </w:tcPr>
          <w:p w14:paraId="346CF9E5">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计量</w:t>
            </w:r>
          </w:p>
          <w:p w14:paraId="3CFA744E">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shd w:val="clear" w:color="auto" w:fill="8DB3E2"/>
            <w:vAlign w:val="center"/>
          </w:tcPr>
          <w:p w14:paraId="2CD81844">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shd w:val="clear" w:color="auto" w:fill="8DB3E2"/>
            <w:vAlign w:val="center"/>
          </w:tcPr>
          <w:p w14:paraId="1B2CF129">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shd w:val="clear" w:color="auto" w:fill="8DB3E2"/>
            <w:vAlign w:val="center"/>
          </w:tcPr>
          <w:p w14:paraId="2A03C9A6">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shd w:val="clear" w:color="auto" w:fill="8DB3E2"/>
            <w:vAlign w:val="center"/>
          </w:tcPr>
          <w:p w14:paraId="2250CCBF">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4B1E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6691575">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vAlign w:val="center"/>
          </w:tcPr>
          <w:p w14:paraId="0DB4BEC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737C65C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54BBD90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vAlign w:val="center"/>
          </w:tcPr>
          <w:p w14:paraId="1FB8EFB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vAlign w:val="center"/>
          </w:tcPr>
          <w:p w14:paraId="049FFB9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92" w:type="dxa"/>
            <w:vAlign w:val="center"/>
          </w:tcPr>
          <w:p w14:paraId="1427DC4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4331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6A1217">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工业*</w:t>
            </w:r>
          </w:p>
        </w:tc>
        <w:tc>
          <w:tcPr>
            <w:tcW w:w="1369" w:type="dxa"/>
            <w:vAlign w:val="center"/>
          </w:tcPr>
          <w:p w14:paraId="1594B4B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182D9DD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7D8416E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vAlign w:val="center"/>
          </w:tcPr>
          <w:p w14:paraId="316DFCD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vAlign w:val="center"/>
          </w:tcPr>
          <w:p w14:paraId="40C9B8F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vAlign w:val="center"/>
          </w:tcPr>
          <w:p w14:paraId="1E148A3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514A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C2E0E3">
            <w:pPr>
              <w:widowControl/>
              <w:spacing w:line="280" w:lineRule="exact"/>
              <w:jc w:val="left"/>
              <w:rPr>
                <w:rFonts w:ascii="宋体" w:hAnsi="宋体" w:eastAsia="宋体" w:cs="宋体"/>
                <w:color w:val="auto"/>
                <w:kern w:val="0"/>
                <w:sz w:val="18"/>
                <w:szCs w:val="18"/>
              </w:rPr>
            </w:pPr>
          </w:p>
        </w:tc>
        <w:tc>
          <w:tcPr>
            <w:tcW w:w="1369" w:type="dxa"/>
            <w:vAlign w:val="center"/>
          </w:tcPr>
          <w:p w14:paraId="504FE30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56130CE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3C22659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vAlign w:val="center"/>
          </w:tcPr>
          <w:p w14:paraId="641AB10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vAlign w:val="center"/>
          </w:tcPr>
          <w:p w14:paraId="0AB6B26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92" w:type="dxa"/>
            <w:vAlign w:val="center"/>
          </w:tcPr>
          <w:p w14:paraId="55D544F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0150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797041">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vAlign w:val="center"/>
          </w:tcPr>
          <w:p w14:paraId="2B132C6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7B2EA98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231A848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vAlign w:val="center"/>
          </w:tcPr>
          <w:p w14:paraId="225BCAD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vAlign w:val="center"/>
          </w:tcPr>
          <w:p w14:paraId="6165254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92" w:type="dxa"/>
            <w:vAlign w:val="center"/>
          </w:tcPr>
          <w:p w14:paraId="02DCA2B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6CF7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AD9238F">
            <w:pPr>
              <w:widowControl/>
              <w:spacing w:line="280" w:lineRule="exact"/>
              <w:jc w:val="left"/>
              <w:rPr>
                <w:rFonts w:ascii="宋体" w:hAnsi="宋体" w:eastAsia="宋体" w:cs="宋体"/>
                <w:color w:val="auto"/>
                <w:kern w:val="0"/>
                <w:sz w:val="18"/>
                <w:szCs w:val="18"/>
              </w:rPr>
            </w:pPr>
          </w:p>
        </w:tc>
        <w:tc>
          <w:tcPr>
            <w:tcW w:w="1369" w:type="dxa"/>
            <w:vAlign w:val="center"/>
          </w:tcPr>
          <w:p w14:paraId="24BFE34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vAlign w:val="center"/>
          </w:tcPr>
          <w:p w14:paraId="0E3FFEC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6803307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vAlign w:val="center"/>
          </w:tcPr>
          <w:p w14:paraId="6293466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vAlign w:val="center"/>
          </w:tcPr>
          <w:p w14:paraId="57BB6C4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92" w:type="dxa"/>
            <w:vAlign w:val="center"/>
          </w:tcPr>
          <w:p w14:paraId="3EECFF4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3A1F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1250E7">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vAlign w:val="center"/>
          </w:tcPr>
          <w:p w14:paraId="144632E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78DCA38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76700BD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vAlign w:val="center"/>
          </w:tcPr>
          <w:p w14:paraId="5C5BF87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vAlign w:val="center"/>
          </w:tcPr>
          <w:p w14:paraId="7978531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92" w:type="dxa"/>
            <w:vAlign w:val="center"/>
          </w:tcPr>
          <w:p w14:paraId="06E4F2B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55F4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EE78853">
            <w:pPr>
              <w:widowControl/>
              <w:spacing w:line="280" w:lineRule="exact"/>
              <w:jc w:val="left"/>
              <w:rPr>
                <w:rFonts w:ascii="宋体" w:hAnsi="宋体" w:eastAsia="宋体" w:cs="宋体"/>
                <w:color w:val="auto"/>
                <w:kern w:val="0"/>
                <w:sz w:val="18"/>
                <w:szCs w:val="18"/>
              </w:rPr>
            </w:pPr>
          </w:p>
        </w:tc>
        <w:tc>
          <w:tcPr>
            <w:tcW w:w="1369" w:type="dxa"/>
            <w:vAlign w:val="center"/>
          </w:tcPr>
          <w:p w14:paraId="5E0EE75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0EDB563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1EE1981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vAlign w:val="center"/>
          </w:tcPr>
          <w:p w14:paraId="0439214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vAlign w:val="center"/>
          </w:tcPr>
          <w:p w14:paraId="0693AFFF">
            <w:pPr>
              <w:widowControl/>
              <w:spacing w:line="280" w:lineRule="exact"/>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vAlign w:val="center"/>
          </w:tcPr>
          <w:p w14:paraId="7E00733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5063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A4DB1F">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vAlign w:val="center"/>
          </w:tcPr>
          <w:p w14:paraId="51729D3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2BD1437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2E52A28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vAlign w:val="center"/>
          </w:tcPr>
          <w:p w14:paraId="4592695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vAlign w:val="center"/>
          </w:tcPr>
          <w:p w14:paraId="1CE65267">
            <w:pPr>
              <w:widowControl/>
              <w:spacing w:line="280" w:lineRule="exact"/>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vAlign w:val="center"/>
          </w:tcPr>
          <w:p w14:paraId="5FA94DE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2F4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DCFBB0">
            <w:pPr>
              <w:widowControl/>
              <w:spacing w:line="280" w:lineRule="exact"/>
              <w:jc w:val="left"/>
              <w:rPr>
                <w:rFonts w:ascii="宋体" w:hAnsi="宋体" w:eastAsia="宋体" w:cs="宋体"/>
                <w:color w:val="auto"/>
                <w:kern w:val="0"/>
                <w:sz w:val="18"/>
                <w:szCs w:val="18"/>
              </w:rPr>
            </w:pPr>
          </w:p>
        </w:tc>
        <w:tc>
          <w:tcPr>
            <w:tcW w:w="1369" w:type="dxa"/>
            <w:vAlign w:val="center"/>
          </w:tcPr>
          <w:p w14:paraId="1E0EBD2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0C96E10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05BB332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vAlign w:val="center"/>
          </w:tcPr>
          <w:p w14:paraId="5004084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vAlign w:val="center"/>
          </w:tcPr>
          <w:p w14:paraId="7C988830">
            <w:pPr>
              <w:widowControl/>
              <w:spacing w:line="280" w:lineRule="exact"/>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92" w:type="dxa"/>
            <w:vAlign w:val="center"/>
          </w:tcPr>
          <w:p w14:paraId="485FD11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BE8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BE3D557">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vAlign w:val="center"/>
          </w:tcPr>
          <w:p w14:paraId="6310BBC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1D16DF0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3307DFE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vAlign w:val="center"/>
          </w:tcPr>
          <w:p w14:paraId="7341C07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vAlign w:val="center"/>
          </w:tcPr>
          <w:p w14:paraId="26D1172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vAlign w:val="center"/>
          </w:tcPr>
          <w:p w14:paraId="7CD9F20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AE3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1C99EC">
            <w:pPr>
              <w:widowControl/>
              <w:spacing w:line="280" w:lineRule="exact"/>
              <w:jc w:val="left"/>
              <w:rPr>
                <w:rFonts w:ascii="宋体" w:hAnsi="宋体" w:eastAsia="宋体" w:cs="宋体"/>
                <w:color w:val="auto"/>
                <w:kern w:val="0"/>
                <w:sz w:val="18"/>
                <w:szCs w:val="18"/>
              </w:rPr>
            </w:pPr>
          </w:p>
        </w:tc>
        <w:tc>
          <w:tcPr>
            <w:tcW w:w="1369" w:type="dxa"/>
            <w:vAlign w:val="center"/>
          </w:tcPr>
          <w:p w14:paraId="18B3173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0A57712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155FD63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vAlign w:val="center"/>
          </w:tcPr>
          <w:p w14:paraId="7ADA3AF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vAlign w:val="center"/>
          </w:tcPr>
          <w:p w14:paraId="7BADEFB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92" w:type="dxa"/>
            <w:vAlign w:val="center"/>
          </w:tcPr>
          <w:p w14:paraId="30BC8B1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4F92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FEE1F0F">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vAlign w:val="center"/>
          </w:tcPr>
          <w:p w14:paraId="6950BB5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6B92CEB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4C318B6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vAlign w:val="center"/>
          </w:tcPr>
          <w:p w14:paraId="01A6375C">
            <w:pPr>
              <w:widowControl/>
              <w:spacing w:line="280" w:lineRule="exact"/>
              <w:ind w:left="-14"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vAlign w:val="center"/>
          </w:tcPr>
          <w:p w14:paraId="5580714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92" w:type="dxa"/>
            <w:vAlign w:val="center"/>
          </w:tcPr>
          <w:p w14:paraId="25926A0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38B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FA4F33">
            <w:pPr>
              <w:widowControl/>
              <w:spacing w:line="280" w:lineRule="exact"/>
              <w:jc w:val="left"/>
              <w:rPr>
                <w:rFonts w:ascii="宋体" w:hAnsi="宋体" w:eastAsia="宋体" w:cs="宋体"/>
                <w:color w:val="auto"/>
                <w:kern w:val="0"/>
                <w:sz w:val="18"/>
                <w:szCs w:val="18"/>
              </w:rPr>
            </w:pPr>
          </w:p>
        </w:tc>
        <w:tc>
          <w:tcPr>
            <w:tcW w:w="1369" w:type="dxa"/>
            <w:vAlign w:val="center"/>
          </w:tcPr>
          <w:p w14:paraId="221835F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730A03C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49C35FC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vAlign w:val="center"/>
          </w:tcPr>
          <w:p w14:paraId="1AF6DA9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vAlign w:val="center"/>
          </w:tcPr>
          <w:p w14:paraId="55D5AD4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vAlign w:val="center"/>
          </w:tcPr>
          <w:p w14:paraId="50EC8EC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D47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247157">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vAlign w:val="center"/>
          </w:tcPr>
          <w:p w14:paraId="5842968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09C7546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148762D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vAlign w:val="center"/>
          </w:tcPr>
          <w:p w14:paraId="48317D8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vAlign w:val="center"/>
          </w:tcPr>
          <w:p w14:paraId="3E9210F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vAlign w:val="center"/>
          </w:tcPr>
          <w:p w14:paraId="52F4D71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22F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BE2618">
            <w:pPr>
              <w:widowControl/>
              <w:spacing w:line="280" w:lineRule="exact"/>
              <w:jc w:val="left"/>
              <w:rPr>
                <w:rFonts w:ascii="宋体" w:hAnsi="宋体" w:eastAsia="宋体" w:cs="宋体"/>
                <w:color w:val="auto"/>
                <w:kern w:val="0"/>
                <w:sz w:val="18"/>
                <w:szCs w:val="18"/>
              </w:rPr>
            </w:pPr>
          </w:p>
        </w:tc>
        <w:tc>
          <w:tcPr>
            <w:tcW w:w="1369" w:type="dxa"/>
            <w:vAlign w:val="center"/>
          </w:tcPr>
          <w:p w14:paraId="6D30F16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2954686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3EF27CC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vAlign w:val="center"/>
          </w:tcPr>
          <w:p w14:paraId="7B42B47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vAlign w:val="center"/>
          </w:tcPr>
          <w:p w14:paraId="3E8275B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vAlign w:val="center"/>
          </w:tcPr>
          <w:p w14:paraId="24C0B03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9C7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49C6BE3">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vAlign w:val="center"/>
          </w:tcPr>
          <w:p w14:paraId="4EA8C19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1D4764F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3B9BFE3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vAlign w:val="center"/>
          </w:tcPr>
          <w:p w14:paraId="13097777">
            <w:pPr>
              <w:widowControl/>
              <w:spacing w:line="280" w:lineRule="exact"/>
              <w:ind w:left="-14"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vAlign w:val="center"/>
          </w:tcPr>
          <w:p w14:paraId="389F12D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vAlign w:val="center"/>
          </w:tcPr>
          <w:p w14:paraId="21E745E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3E4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4F88CE">
            <w:pPr>
              <w:widowControl/>
              <w:spacing w:line="280" w:lineRule="exact"/>
              <w:jc w:val="left"/>
              <w:rPr>
                <w:rFonts w:ascii="宋体" w:hAnsi="宋体" w:eastAsia="宋体" w:cs="宋体"/>
                <w:color w:val="auto"/>
                <w:kern w:val="0"/>
                <w:sz w:val="18"/>
                <w:szCs w:val="18"/>
              </w:rPr>
            </w:pPr>
          </w:p>
        </w:tc>
        <w:tc>
          <w:tcPr>
            <w:tcW w:w="1369" w:type="dxa"/>
            <w:vAlign w:val="center"/>
          </w:tcPr>
          <w:p w14:paraId="137E05C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7DCF421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0A57EE8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vAlign w:val="center"/>
          </w:tcPr>
          <w:p w14:paraId="2B9DA1B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vAlign w:val="center"/>
          </w:tcPr>
          <w:p w14:paraId="679ACAC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vAlign w:val="center"/>
          </w:tcPr>
          <w:p w14:paraId="45F50CA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BD0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7CC3E8">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vAlign w:val="center"/>
          </w:tcPr>
          <w:p w14:paraId="430B61F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7A5EA32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4912359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vAlign w:val="center"/>
          </w:tcPr>
          <w:p w14:paraId="6E5573BF">
            <w:pPr>
              <w:widowControl/>
              <w:spacing w:line="280" w:lineRule="exact"/>
              <w:ind w:left="-14"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vAlign w:val="center"/>
          </w:tcPr>
          <w:p w14:paraId="0F78428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vAlign w:val="center"/>
          </w:tcPr>
          <w:p w14:paraId="65B336A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D3D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64A9199">
            <w:pPr>
              <w:widowControl/>
              <w:spacing w:line="280" w:lineRule="exact"/>
              <w:jc w:val="left"/>
              <w:rPr>
                <w:rFonts w:ascii="宋体" w:hAnsi="宋体" w:eastAsia="宋体" w:cs="宋体"/>
                <w:color w:val="auto"/>
                <w:kern w:val="0"/>
                <w:sz w:val="18"/>
                <w:szCs w:val="18"/>
              </w:rPr>
            </w:pPr>
          </w:p>
        </w:tc>
        <w:tc>
          <w:tcPr>
            <w:tcW w:w="1369" w:type="dxa"/>
            <w:vAlign w:val="center"/>
          </w:tcPr>
          <w:p w14:paraId="4FAFFDB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76D1DA5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69AC49D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vAlign w:val="center"/>
          </w:tcPr>
          <w:p w14:paraId="1B2A336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vAlign w:val="center"/>
          </w:tcPr>
          <w:p w14:paraId="3896875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vAlign w:val="center"/>
          </w:tcPr>
          <w:p w14:paraId="3185096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03C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796A9B">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信息传输业*</w:t>
            </w:r>
          </w:p>
        </w:tc>
        <w:tc>
          <w:tcPr>
            <w:tcW w:w="1369" w:type="dxa"/>
            <w:vAlign w:val="center"/>
          </w:tcPr>
          <w:p w14:paraId="4DC5A7D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12A755B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2BC1C79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vAlign w:val="center"/>
          </w:tcPr>
          <w:p w14:paraId="2FD3846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vAlign w:val="center"/>
          </w:tcPr>
          <w:p w14:paraId="49D19BA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vAlign w:val="center"/>
          </w:tcPr>
          <w:p w14:paraId="5DAE4B7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08F6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B8B10C2">
            <w:pPr>
              <w:widowControl/>
              <w:spacing w:line="280" w:lineRule="exact"/>
              <w:jc w:val="left"/>
              <w:rPr>
                <w:rFonts w:ascii="宋体" w:hAnsi="宋体" w:eastAsia="宋体" w:cs="宋体"/>
                <w:color w:val="auto"/>
                <w:kern w:val="0"/>
                <w:sz w:val="18"/>
                <w:szCs w:val="18"/>
              </w:rPr>
            </w:pPr>
          </w:p>
        </w:tc>
        <w:tc>
          <w:tcPr>
            <w:tcW w:w="1369" w:type="dxa"/>
            <w:vAlign w:val="center"/>
          </w:tcPr>
          <w:p w14:paraId="532B10C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74B1DBA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7111159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vAlign w:val="center"/>
          </w:tcPr>
          <w:p w14:paraId="410B95B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26" w:type="dxa"/>
            <w:vAlign w:val="center"/>
          </w:tcPr>
          <w:p w14:paraId="34DBDE4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vAlign w:val="center"/>
          </w:tcPr>
          <w:p w14:paraId="4644C5E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899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B502C75">
            <w:pPr>
              <w:widowControl/>
              <w:spacing w:line="280" w:lineRule="exact"/>
              <w:jc w:val="left"/>
              <w:rPr>
                <w:rFonts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vAlign w:val="center"/>
          </w:tcPr>
          <w:p w14:paraId="369DCDA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2DDFCDF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2E05F30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vAlign w:val="center"/>
          </w:tcPr>
          <w:p w14:paraId="09F20055">
            <w:pPr>
              <w:widowControl/>
              <w:spacing w:line="280" w:lineRule="exact"/>
              <w:ind w:left="-14"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vAlign w:val="center"/>
          </w:tcPr>
          <w:p w14:paraId="2C8B9CC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vAlign w:val="center"/>
          </w:tcPr>
          <w:p w14:paraId="0E430C2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6E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CB52A54">
            <w:pPr>
              <w:widowControl/>
              <w:spacing w:line="280" w:lineRule="exact"/>
              <w:jc w:val="left"/>
              <w:rPr>
                <w:rFonts w:ascii="宋体" w:hAnsi="宋体" w:eastAsia="宋体" w:cs="宋体"/>
                <w:color w:val="auto"/>
                <w:spacing w:val="-12"/>
                <w:kern w:val="0"/>
                <w:sz w:val="18"/>
                <w:szCs w:val="18"/>
              </w:rPr>
            </w:pPr>
          </w:p>
        </w:tc>
        <w:tc>
          <w:tcPr>
            <w:tcW w:w="1369" w:type="dxa"/>
            <w:vAlign w:val="center"/>
          </w:tcPr>
          <w:p w14:paraId="357DCD4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11BA9A4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65CC2F6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vAlign w:val="center"/>
          </w:tcPr>
          <w:p w14:paraId="646904E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vAlign w:val="center"/>
          </w:tcPr>
          <w:p w14:paraId="6A1A732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92" w:type="dxa"/>
            <w:vAlign w:val="center"/>
          </w:tcPr>
          <w:p w14:paraId="4C4B386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0255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02E8633">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vAlign w:val="center"/>
          </w:tcPr>
          <w:p w14:paraId="00BCC52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40F125B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28353E8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vAlign w:val="center"/>
          </w:tcPr>
          <w:p w14:paraId="65A1756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26" w:type="dxa"/>
            <w:vAlign w:val="center"/>
          </w:tcPr>
          <w:p w14:paraId="5A01423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vAlign w:val="center"/>
          </w:tcPr>
          <w:p w14:paraId="3B0CD81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97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320104E">
            <w:pPr>
              <w:widowControl/>
              <w:spacing w:line="280" w:lineRule="exact"/>
              <w:jc w:val="left"/>
              <w:rPr>
                <w:rFonts w:ascii="宋体" w:hAnsi="宋体" w:eastAsia="宋体" w:cs="宋体"/>
                <w:color w:val="auto"/>
                <w:kern w:val="0"/>
                <w:sz w:val="18"/>
                <w:szCs w:val="18"/>
              </w:rPr>
            </w:pPr>
          </w:p>
        </w:tc>
        <w:tc>
          <w:tcPr>
            <w:tcW w:w="1369" w:type="dxa"/>
            <w:vAlign w:val="center"/>
          </w:tcPr>
          <w:p w14:paraId="119972E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vAlign w:val="center"/>
          </w:tcPr>
          <w:p w14:paraId="279BBA1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60D9EF4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vAlign w:val="center"/>
          </w:tcPr>
          <w:p w14:paraId="6838A85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vAlign w:val="center"/>
          </w:tcPr>
          <w:p w14:paraId="3A430F4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992" w:type="dxa"/>
            <w:vAlign w:val="center"/>
          </w:tcPr>
          <w:p w14:paraId="66A6991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776A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7BE2CC8">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vAlign w:val="center"/>
          </w:tcPr>
          <w:p w14:paraId="589786A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1D95162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2FADD27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vAlign w:val="center"/>
          </w:tcPr>
          <w:p w14:paraId="6A80140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vAlign w:val="center"/>
          </w:tcPr>
          <w:p w14:paraId="16190F3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92" w:type="dxa"/>
            <w:vAlign w:val="center"/>
          </w:tcPr>
          <w:p w14:paraId="4701AF3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2A15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D822F7F">
            <w:pPr>
              <w:widowControl/>
              <w:spacing w:line="280" w:lineRule="exact"/>
              <w:jc w:val="left"/>
              <w:rPr>
                <w:rFonts w:ascii="宋体" w:hAnsi="宋体" w:eastAsia="宋体" w:cs="宋体"/>
                <w:color w:val="auto"/>
                <w:kern w:val="0"/>
                <w:sz w:val="18"/>
                <w:szCs w:val="18"/>
              </w:rPr>
            </w:pPr>
          </w:p>
        </w:tc>
        <w:tc>
          <w:tcPr>
            <w:tcW w:w="1369" w:type="dxa"/>
            <w:vAlign w:val="center"/>
          </w:tcPr>
          <w:p w14:paraId="0CBE2EF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vAlign w:val="center"/>
          </w:tcPr>
          <w:p w14:paraId="7C4A5B4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61D0060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vAlign w:val="center"/>
          </w:tcPr>
          <w:p w14:paraId="6E2D2E27">
            <w:pPr>
              <w:widowControl/>
              <w:spacing w:line="280" w:lineRule="exact"/>
              <w:ind w:left="-14"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26" w:type="dxa"/>
            <w:vAlign w:val="center"/>
          </w:tcPr>
          <w:p w14:paraId="32224FF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92" w:type="dxa"/>
            <w:vAlign w:val="center"/>
          </w:tcPr>
          <w:p w14:paraId="57FDAF7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2D10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61CE15C">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vAlign w:val="center"/>
          </w:tcPr>
          <w:p w14:paraId="1528442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09D8227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4A00B2C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vAlign w:val="center"/>
          </w:tcPr>
          <w:p w14:paraId="370EC5D0">
            <w:pPr>
              <w:widowControl/>
              <w:spacing w:line="280" w:lineRule="exact"/>
              <w:ind w:left="-14"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vAlign w:val="center"/>
          </w:tcPr>
          <w:p w14:paraId="7CE4D66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vAlign w:val="center"/>
          </w:tcPr>
          <w:p w14:paraId="4A9B46C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415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38BF73">
            <w:pPr>
              <w:widowControl/>
              <w:spacing w:line="280" w:lineRule="exact"/>
              <w:jc w:val="left"/>
              <w:rPr>
                <w:rFonts w:ascii="宋体" w:hAnsi="宋体" w:eastAsia="宋体" w:cs="宋体"/>
                <w:color w:val="auto"/>
                <w:kern w:val="0"/>
                <w:sz w:val="18"/>
                <w:szCs w:val="18"/>
              </w:rPr>
            </w:pPr>
          </w:p>
        </w:tc>
        <w:tc>
          <w:tcPr>
            <w:tcW w:w="1369" w:type="dxa"/>
            <w:vAlign w:val="center"/>
          </w:tcPr>
          <w:p w14:paraId="2B5BBCC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vAlign w:val="center"/>
          </w:tcPr>
          <w:p w14:paraId="7A8F190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vAlign w:val="center"/>
          </w:tcPr>
          <w:p w14:paraId="4E99B25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vAlign w:val="center"/>
          </w:tcPr>
          <w:p w14:paraId="60DF740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26" w:type="dxa"/>
            <w:vAlign w:val="center"/>
          </w:tcPr>
          <w:p w14:paraId="4FE0A70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92" w:type="dxa"/>
            <w:vAlign w:val="center"/>
          </w:tcPr>
          <w:p w14:paraId="7CBDCCA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0C55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0630EDB">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其他未列明行业*</w:t>
            </w:r>
          </w:p>
        </w:tc>
        <w:tc>
          <w:tcPr>
            <w:tcW w:w="1369" w:type="dxa"/>
            <w:vAlign w:val="center"/>
          </w:tcPr>
          <w:p w14:paraId="052F248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vAlign w:val="center"/>
          </w:tcPr>
          <w:p w14:paraId="6F7A722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vAlign w:val="center"/>
          </w:tcPr>
          <w:p w14:paraId="3A7DC64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vAlign w:val="center"/>
          </w:tcPr>
          <w:p w14:paraId="11EC6DF5">
            <w:pPr>
              <w:widowControl/>
              <w:spacing w:line="280" w:lineRule="exact"/>
              <w:ind w:left="-14"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vAlign w:val="center"/>
          </w:tcPr>
          <w:p w14:paraId="33DFBAA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vAlign w:val="center"/>
          </w:tcPr>
          <w:p w14:paraId="0D020CB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6107D8BB">
      <w:pPr>
        <w:widowControl/>
        <w:spacing w:line="280" w:lineRule="exact"/>
        <w:rPr>
          <w:rFonts w:ascii="宋体" w:hAnsi="宋体" w:eastAsia="宋体" w:cs="宋体"/>
          <w:color w:val="auto"/>
          <w:spacing w:val="8"/>
          <w:kern w:val="0"/>
          <w:sz w:val="24"/>
          <w:szCs w:val="22"/>
        </w:rPr>
      </w:pPr>
    </w:p>
    <w:p w14:paraId="58989965">
      <w:pPr>
        <w:widowControl/>
        <w:spacing w:line="360" w:lineRule="auto"/>
        <w:rPr>
          <w:rFonts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说明：</w:t>
      </w:r>
    </w:p>
    <w:p w14:paraId="747884AF">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lang w:val="zh-CN" w:eastAsia="zh-CN" w:bidi="ar-SA"/>
        </w:rPr>
      </w:pPr>
      <w:r>
        <w:rPr>
          <w:rFonts w:hint="eastAsia" w:ascii="宋体" w:hAnsi="宋体" w:eastAsia="宋体" w:cs="宋体"/>
          <w:color w:val="auto"/>
          <w:spacing w:val="8"/>
          <w:kern w:val="0"/>
          <w:sz w:val="21"/>
          <w:szCs w:val="21"/>
          <w:lang w:val="zh-CN" w:eastAsia="zh-CN" w:bidi="ar-SA"/>
        </w:rPr>
        <w:t>1.大型、中型和小型企业须同时满足所列指标的下限，否则下划一档；微型企业只须满足所列指标中的一项即可。</w:t>
      </w:r>
    </w:p>
    <w:p w14:paraId="2EB754B1">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lang w:val="zh-CN" w:eastAsia="zh-CN" w:bidi="ar-SA"/>
        </w:rPr>
      </w:pPr>
      <w:r>
        <w:rPr>
          <w:rFonts w:hint="eastAsia" w:ascii="宋体" w:hAnsi="宋体" w:eastAsia="宋体" w:cs="宋体"/>
          <w:color w:val="auto"/>
          <w:spacing w:val="8"/>
          <w:kern w:val="0"/>
          <w:sz w:val="21"/>
          <w:szCs w:val="21"/>
          <w:lang w:val="zh-CN"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34953EA">
      <w:pPr>
        <w:widowControl w:val="0"/>
        <w:spacing w:line="360" w:lineRule="auto"/>
        <w:ind w:firstLine="452" w:firstLineChars="200"/>
        <w:jc w:val="both"/>
        <w:rPr>
          <w:rFonts w:ascii="宋体" w:hAnsi="宋体" w:eastAsia="宋体" w:cs="宋体"/>
          <w:color w:val="auto"/>
          <w:spacing w:val="8"/>
          <w:kern w:val="0"/>
          <w:sz w:val="21"/>
          <w:szCs w:val="21"/>
          <w:lang w:val="zh-CN" w:eastAsia="zh-CN" w:bidi="ar-SA"/>
        </w:rPr>
      </w:pPr>
      <w:r>
        <w:rPr>
          <w:rFonts w:hint="eastAsia" w:ascii="宋体" w:hAnsi="宋体" w:eastAsia="宋体" w:cs="宋体"/>
          <w:color w:val="auto"/>
          <w:spacing w:val="8"/>
          <w:kern w:val="0"/>
          <w:sz w:val="21"/>
          <w:szCs w:val="21"/>
          <w:lang w:val="zh-CN"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8FE2BC8">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67A6B5F9">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0D11225C">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3C40EB33">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7051857B">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24D9F6E1">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7A5934B8">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650A5C91">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5329ECAE">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5524BDC8">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0D63CB8B">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0F2FD6BB">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64E41125">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6415ED4E">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5E6196C6">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45608D76">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2AE5D4B8">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75BA6D8F">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42F7C2E7">
      <w:pPr>
        <w:widowControl/>
        <w:shd w:val="clear" w:color="auto" w:fill="FFFFFF"/>
        <w:spacing w:before="30" w:after="30"/>
        <w:jc w:val="left"/>
        <w:rPr>
          <w:rFonts w:ascii="宋体" w:hAnsi="宋体" w:eastAsia="宋体" w:cs="宋体"/>
          <w:color w:val="auto"/>
          <w:kern w:val="0"/>
          <w:sz w:val="32"/>
          <w:szCs w:val="32"/>
          <w:lang w:val="en-US" w:eastAsia="zh-CN" w:bidi="ar-SA"/>
        </w:rPr>
      </w:pPr>
    </w:p>
    <w:p w14:paraId="079F3AF4">
      <w:pPr>
        <w:widowControl/>
        <w:shd w:val="clear" w:color="auto" w:fill="FFFFFF"/>
        <w:spacing w:before="30" w:after="30"/>
        <w:jc w:val="left"/>
        <w:rPr>
          <w:rFonts w:ascii="Calibri" w:hAnsi="Calibri" w:eastAsia="宋体" w:cs="Times New Roman"/>
          <w:color w:val="auto"/>
          <w:kern w:val="0"/>
          <w:sz w:val="24"/>
          <w:szCs w:val="24"/>
          <w:lang w:val="en-US" w:eastAsia="zh-CN" w:bidi="ar-SA"/>
        </w:rPr>
      </w:pPr>
      <w:r>
        <w:rPr>
          <w:rFonts w:hint="eastAsia" w:ascii="宋体" w:hAnsi="宋体" w:eastAsia="宋体" w:cs="宋体"/>
          <w:color w:val="auto"/>
          <w:kern w:val="0"/>
          <w:sz w:val="32"/>
          <w:szCs w:val="32"/>
          <w:lang w:val="en-US" w:eastAsia="zh-CN" w:bidi="ar-SA"/>
        </w:rPr>
        <w:t>附件3</w:t>
      </w:r>
    </w:p>
    <w:p w14:paraId="585CD9F8">
      <w:pPr>
        <w:widowControl/>
        <w:shd w:val="clear" w:color="auto" w:fill="FFFFFF"/>
        <w:spacing w:before="30" w:after="30" w:line="360" w:lineRule="auto"/>
        <w:jc w:val="center"/>
        <w:rPr>
          <w:rFonts w:ascii="宋体" w:hAnsi="宋体" w:eastAsia="宋体" w:cs="宋体"/>
          <w:b/>
          <w:color w:val="auto"/>
          <w:kern w:val="2"/>
          <w:sz w:val="30"/>
          <w:szCs w:val="30"/>
          <w:lang w:val="en-US" w:eastAsia="zh-CN" w:bidi="ar-SA"/>
        </w:rPr>
      </w:pPr>
    </w:p>
    <w:p w14:paraId="5CFE716C">
      <w:pPr>
        <w:widowControl/>
        <w:shd w:val="clear" w:color="auto" w:fill="FFFFFF"/>
        <w:spacing w:before="30" w:after="30" w:line="360" w:lineRule="auto"/>
        <w:jc w:val="center"/>
        <w:rPr>
          <w:rFonts w:ascii="宋体" w:hAnsi="宋体" w:eastAsia="宋体" w:cs="宋体"/>
          <w:color w:val="auto"/>
          <w:kern w:val="2"/>
          <w:sz w:val="24"/>
          <w:szCs w:val="24"/>
          <w:lang w:val="en-US" w:eastAsia="zh-CN" w:bidi="ar-SA"/>
        </w:rPr>
      </w:pPr>
      <w:r>
        <w:rPr>
          <w:rFonts w:hint="eastAsia" w:ascii="宋体" w:hAnsi="宋体" w:eastAsia="宋体" w:cs="宋体"/>
          <w:b/>
          <w:color w:val="auto"/>
          <w:kern w:val="2"/>
          <w:sz w:val="30"/>
          <w:szCs w:val="30"/>
          <w:lang w:val="en-US" w:eastAsia="zh-CN" w:bidi="ar-SA"/>
        </w:rPr>
        <w:t>中国境内生产的组件成本核算基本规则</w:t>
      </w:r>
    </w:p>
    <w:p w14:paraId="7F15FF44">
      <w:pPr>
        <w:widowControl/>
        <w:shd w:val="clear" w:color="auto" w:fill="FFFFFF"/>
        <w:spacing w:before="30" w:after="30" w:line="360" w:lineRule="auto"/>
        <w:ind w:firstLine="42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12082F">
      <w:pPr>
        <w:widowControl/>
        <w:shd w:val="clear" w:color="auto" w:fill="FFFFFF"/>
        <w:spacing w:before="30" w:after="30" w:line="360" w:lineRule="auto"/>
        <w:ind w:firstLine="42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一、产品的一级组件是指直接组成产品的组件。产品的二级组件是指直接组成产品一级组件的组件。一级组件不可分解的，视同二级组件。</w:t>
      </w:r>
    </w:p>
    <w:p w14:paraId="0DA68471">
      <w:pPr>
        <w:widowControl/>
        <w:shd w:val="clear" w:color="auto" w:fill="FFFFFF"/>
        <w:spacing w:before="30" w:after="30" w:line="360" w:lineRule="auto"/>
        <w:ind w:firstLine="42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二、二级组件在中国境内生产的，其全部成本计入中国境内生产的组件成本；二级组件不在中国境内生产的，其成本不计入中国境内生产的组件成本。</w:t>
      </w:r>
    </w:p>
    <w:p w14:paraId="79B93270">
      <w:pPr>
        <w:widowControl/>
        <w:shd w:val="clear" w:color="auto" w:fill="FFFFFF"/>
        <w:spacing w:before="30" w:after="30" w:line="360" w:lineRule="auto"/>
        <w:ind w:firstLine="42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三、产品总成本和组件成本以相关会计核算数据、采购合同、进货记录等为基础进行计算。</w:t>
      </w:r>
    </w:p>
    <w:p w14:paraId="15AADC13">
      <w:r>
        <w:rPr>
          <w:rFonts w:hint="eastAsia" w:ascii="宋体" w:hAnsi="宋体" w:eastAsia="宋体" w:cs="宋体"/>
          <w:color w:val="auto"/>
          <w:sz w:val="21"/>
          <w:szCs w:val="21"/>
        </w:rPr>
        <w:t>四、需要对成本核算规则予以进一步明确的其他有关事项，由财政部会同有关部门另行规定。</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73E5"/>
    <w:rsid w:val="05B97831"/>
    <w:rsid w:val="1C4C6724"/>
    <w:rsid w:val="383D0C57"/>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2026-03-16T07:24:12Z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