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89482">
      <w:pPr>
        <w:pStyle w:val="4"/>
        <w:jc w:val="center"/>
        <w:outlineLvl w:val="0"/>
        <w:rPr>
          <w:rFonts w:hint="eastAsia" w:ascii="宋体" w:hAnsi="宋体" w:cs="宋体"/>
          <w:b/>
          <w:color w:val="auto"/>
          <w:sz w:val="36"/>
          <w:highlight w:val="none"/>
        </w:rPr>
      </w:pPr>
      <w:r>
        <w:rPr>
          <w:rFonts w:hint="eastAsia" w:ascii="宋体" w:hAnsi="宋体" w:cs="宋体"/>
          <w:b/>
          <w:color w:val="auto"/>
          <w:sz w:val="36"/>
          <w:highlight w:val="none"/>
        </w:rPr>
        <w:t>采购需求</w:t>
      </w:r>
    </w:p>
    <w:p w14:paraId="71C04B79">
      <w:pPr>
        <w:adjustRightInd w:val="0"/>
        <w:spacing w:line="340" w:lineRule="exact"/>
        <w:ind w:firstLine="3373" w:firstLineChars="1600"/>
        <w:rPr>
          <w:rFonts w:hint="eastAsia" w:ascii="宋体" w:hAnsi="宋体" w:cs="宋体"/>
          <w:b/>
          <w:bCs/>
          <w:color w:val="auto"/>
          <w:szCs w:val="21"/>
          <w:highlight w:val="none"/>
        </w:rPr>
      </w:pPr>
    </w:p>
    <w:p w14:paraId="67E340FE">
      <w:pPr>
        <w:adjustRightInd w:val="0"/>
        <w:spacing w:line="400" w:lineRule="exact"/>
        <w:rPr>
          <w:rFonts w:ascii="宋体" w:cs="宋体"/>
          <w:b/>
          <w:color w:val="auto"/>
          <w:szCs w:val="21"/>
          <w:highlight w:val="none"/>
        </w:rPr>
      </w:pPr>
      <w:r>
        <w:rPr>
          <w:rFonts w:hint="eastAsia" w:ascii="宋体" w:cs="宋体"/>
          <w:b/>
          <w:color w:val="auto"/>
          <w:szCs w:val="21"/>
          <w:highlight w:val="none"/>
        </w:rPr>
        <w:t>说明：</w:t>
      </w:r>
    </w:p>
    <w:p w14:paraId="1F66DAA4">
      <w:pPr>
        <w:spacing w:line="400" w:lineRule="exact"/>
        <w:ind w:firstLine="420" w:firstLineChars="200"/>
        <w:jc w:val="left"/>
        <w:rPr>
          <w:rFonts w:ascii="宋体" w:cs="宋体"/>
          <w:i/>
          <w:iCs/>
          <w:color w:val="auto"/>
          <w:szCs w:val="21"/>
          <w:highlight w:val="none"/>
        </w:rPr>
      </w:pPr>
      <w:r>
        <w:rPr>
          <w:rFonts w:hint="eastAsia" w:ascii="宋体" w:cs="宋体"/>
          <w:color w:val="auto"/>
          <w:highlight w:val="none"/>
        </w:rPr>
        <w:t>1</w:t>
      </w:r>
      <w:r>
        <w:rPr>
          <w:rFonts w:hint="eastAsia" w:ascii="宋体" w:cs="宋体"/>
          <w:color w:val="auto"/>
          <w:highlight w:val="none"/>
          <w:lang w:val="en-US" w:eastAsia="zh-CN"/>
        </w:rPr>
        <w:t>.</w:t>
      </w:r>
      <w:r>
        <w:rPr>
          <w:rFonts w:hint="eastAsia" w:ascii="宋体" w:cs="宋体"/>
          <w:color w:val="auto"/>
          <w:highlight w:val="none"/>
        </w:rPr>
        <w:t>为落实政府采购政策需满足的要求</w:t>
      </w:r>
    </w:p>
    <w:p w14:paraId="5F566BD9">
      <w:pPr>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（1）本招标文件所称中小企业必须符合《政府采购促进中小企业发展管理办法》（财库〔2020〕46号）的规定。</w:t>
      </w:r>
    </w:p>
    <w:p w14:paraId="57735C4F">
      <w:pPr>
        <w:spacing w:line="400" w:lineRule="exact"/>
        <w:ind w:firstLine="424" w:firstLineChars="202"/>
        <w:jc w:val="left"/>
        <w:rPr>
          <w:rFonts w:ascii="宋体" w:cs="宋体"/>
          <w:color w:val="auto"/>
          <w:szCs w:val="21"/>
          <w:highlight w:val="none"/>
        </w:rPr>
      </w:pPr>
      <w:r>
        <w:rPr>
          <w:rFonts w:hint="eastAsia" w:asci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eastAsia="宋体" w:cs="宋体"/>
          <w:color w:val="auto"/>
          <w:szCs w:val="21"/>
          <w:highlight w:val="none"/>
        </w:rPr>
        <w:t>★</w:t>
      </w:r>
      <w:r>
        <w:rPr>
          <w:rFonts w:hint="eastAsia" w:ascii="宋体" w:cs="宋体"/>
          <w:color w:val="auto"/>
          <w:szCs w:val="21"/>
          <w:highlight w:val="none"/>
        </w:rPr>
        <w:t>”的（详见本章附件1），</w:t>
      </w:r>
      <w:r>
        <w:rPr>
          <w:rFonts w:hint="eastAsia" w:ascii="宋体" w:cs="宋体"/>
          <w:b/>
          <w:bCs/>
          <w:color w:val="auto"/>
          <w:szCs w:val="21"/>
          <w:highlight w:val="none"/>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cs="宋体"/>
          <w:color w:val="auto"/>
          <w:szCs w:val="21"/>
          <w:highlight w:val="none"/>
        </w:rPr>
        <w:t>。如本项目包含的货物属于品目清单内非标注“</w:t>
      </w:r>
      <w:r>
        <w:rPr>
          <w:rFonts w:hint="eastAsia" w:ascii="宋体" w:hAnsi="宋体" w:eastAsia="宋体" w:cs="宋体"/>
          <w:color w:val="auto"/>
          <w:szCs w:val="21"/>
          <w:highlight w:val="none"/>
        </w:rPr>
        <w:t>★</w:t>
      </w:r>
      <w:r>
        <w:rPr>
          <w:rFonts w:hint="eastAsia" w:ascii="宋体" w:cs="宋体"/>
          <w:color w:val="auto"/>
          <w:szCs w:val="21"/>
          <w:highlight w:val="none"/>
        </w:rPr>
        <w:t>”的产品时，应优先采购，具体详见“第四章 评标方法和评标标准”。</w:t>
      </w:r>
    </w:p>
    <w:p w14:paraId="7C046B65">
      <w:pPr>
        <w:spacing w:line="400" w:lineRule="exact"/>
        <w:ind w:firstLine="424" w:firstLineChars="202"/>
        <w:jc w:val="left"/>
        <w:rPr>
          <w:rFonts w:hint="eastAsia" w:ascii="宋体" w:cs="宋体"/>
          <w:color w:val="auto"/>
          <w:szCs w:val="21"/>
          <w:highlight w:val="none"/>
          <w:lang w:val="en-US" w:eastAsia="zh-CN"/>
        </w:rPr>
      </w:pPr>
      <w:r>
        <w:rPr>
          <w:rFonts w:hint="eastAsia" w:ascii="宋体" w:cs="宋体"/>
          <w:color w:val="auto"/>
          <w:szCs w:val="21"/>
          <w:highlight w:val="none"/>
        </w:rPr>
        <w:t>2</w:t>
      </w:r>
      <w:r>
        <w:rPr>
          <w:rFonts w:hint="eastAsia" w:ascii="宋体" w:cs="宋体"/>
          <w:color w:val="auto"/>
          <w:szCs w:val="21"/>
          <w:highlight w:val="none"/>
          <w:lang w:val="en-US" w:eastAsia="zh-CN"/>
        </w:rPr>
        <w:t>.采购需求中带“▲”的条款为实质性条款，若不满足，作无效响应处理。</w:t>
      </w:r>
    </w:p>
    <w:p w14:paraId="7A91E85E">
      <w:pPr>
        <w:spacing w:line="400" w:lineRule="exact"/>
        <w:ind w:firstLine="424" w:firstLineChars="202"/>
        <w:jc w:val="left"/>
        <w:rPr>
          <w:rFonts w:hint="eastAsia" w:ascii="宋体" w:cs="宋体"/>
          <w:color w:val="auto"/>
          <w:szCs w:val="21"/>
          <w:highlight w:val="none"/>
          <w:lang w:val="en-US" w:eastAsia="zh-CN"/>
        </w:rPr>
      </w:pPr>
      <w:r>
        <w:rPr>
          <w:rFonts w:hint="eastAsia" w:ascii="宋体" w:cs="宋体"/>
          <w:color w:val="auto"/>
          <w:szCs w:val="21"/>
          <w:highlight w:val="none"/>
          <w:lang w:val="en-US" w:eastAsia="zh-CN"/>
        </w:rPr>
        <w:t>3.采购需求中，技术参数及配置中标注“●”条款可做为评分项，标注“</w:t>
      </w:r>
      <w:r>
        <w:rPr>
          <w:rFonts w:hint="eastAsia" w:ascii="宋体" w:hAnsi="宋体" w:eastAsia="宋体" w:cs="宋体"/>
          <w:color w:val="auto"/>
          <w:kern w:val="0"/>
          <w:sz w:val="21"/>
          <w:szCs w:val="21"/>
          <w:highlight w:val="none"/>
        </w:rPr>
        <w:t>■</w:t>
      </w:r>
      <w:r>
        <w:rPr>
          <w:rFonts w:hint="eastAsia" w:ascii="宋体" w:cs="宋体"/>
          <w:color w:val="auto"/>
          <w:szCs w:val="21"/>
          <w:highlight w:val="none"/>
          <w:lang w:val="en-US" w:eastAsia="zh-CN"/>
        </w:rPr>
        <w:t>”条款为演示项，详见“第四章 评标方法和评标标准”。</w:t>
      </w:r>
    </w:p>
    <w:p w14:paraId="7DAF8BD2">
      <w:pPr>
        <w:spacing w:line="400" w:lineRule="exact"/>
        <w:ind w:firstLine="424" w:firstLineChars="202"/>
        <w:jc w:val="left"/>
        <w:rPr>
          <w:rFonts w:hint="eastAsia" w:ascii="宋体" w:eastAsia="宋体" w:cs="宋体"/>
          <w:color w:val="auto"/>
          <w:szCs w:val="21"/>
          <w:highlight w:val="none"/>
          <w:lang w:eastAsia="zh-CN"/>
        </w:rPr>
      </w:pPr>
      <w:r>
        <w:rPr>
          <w:rFonts w:hint="eastAsia" w:ascii="宋体" w:cs="宋体"/>
          <w:color w:val="auto"/>
          <w:szCs w:val="21"/>
          <w:highlight w:val="none"/>
          <w:lang w:val="en-US" w:eastAsia="zh-CN"/>
        </w:rPr>
        <w:t>（1）</w:t>
      </w:r>
      <w:r>
        <w:rPr>
          <w:rFonts w:hint="eastAsia" w:ascii="宋体" w:cs="宋体"/>
          <w:color w:val="auto"/>
          <w:szCs w:val="21"/>
          <w:highlight w:val="none"/>
        </w:rPr>
        <w:t>演示内容：详见</w:t>
      </w:r>
      <w:r>
        <w:rPr>
          <w:rFonts w:hint="eastAsia" w:ascii="宋体" w:cs="宋体"/>
          <w:color w:val="auto"/>
          <w:szCs w:val="21"/>
          <w:highlight w:val="none"/>
          <w:lang w:eastAsia="zh-CN"/>
        </w:rPr>
        <w:t>“”</w:t>
      </w:r>
      <w:r>
        <w:rPr>
          <w:rFonts w:hint="eastAsia" w:ascii="宋体" w:cs="宋体"/>
          <w:color w:val="auto"/>
          <w:szCs w:val="21"/>
          <w:highlight w:val="none"/>
        </w:rPr>
        <w:t>第四章评审方法及标准</w:t>
      </w:r>
      <w:r>
        <w:rPr>
          <w:rFonts w:hint="eastAsia" w:ascii="宋体" w:cs="宋体"/>
          <w:color w:val="auto"/>
          <w:szCs w:val="21"/>
          <w:highlight w:val="none"/>
          <w:lang w:eastAsia="zh-CN"/>
        </w:rPr>
        <w:t>”；</w:t>
      </w:r>
    </w:p>
    <w:p w14:paraId="0F69B6A1">
      <w:pPr>
        <w:spacing w:line="400" w:lineRule="exact"/>
        <w:ind w:firstLine="424" w:firstLineChars="202"/>
        <w:jc w:val="left"/>
        <w:rPr>
          <w:rFonts w:hint="eastAsia" w:ascii="宋体" w:cs="宋体"/>
          <w:color w:val="auto"/>
          <w:szCs w:val="21"/>
          <w:highlight w:val="none"/>
        </w:rPr>
      </w:pPr>
      <w:r>
        <w:rPr>
          <w:rFonts w:hint="eastAsia" w:ascii="宋体" w:cs="宋体"/>
          <w:color w:val="auto"/>
          <w:szCs w:val="21"/>
          <w:highlight w:val="none"/>
          <w:lang w:eastAsia="zh-CN"/>
        </w:rPr>
        <w:t>（</w:t>
      </w:r>
      <w:r>
        <w:rPr>
          <w:rFonts w:hint="eastAsia" w:ascii="宋体" w:cs="宋体"/>
          <w:color w:val="auto"/>
          <w:szCs w:val="21"/>
          <w:highlight w:val="none"/>
          <w:lang w:val="en-US" w:eastAsia="zh-CN"/>
        </w:rPr>
        <w:t>2</w:t>
      </w:r>
      <w:r>
        <w:rPr>
          <w:rFonts w:hint="eastAsia" w:ascii="宋体" w:cs="宋体"/>
          <w:color w:val="auto"/>
          <w:szCs w:val="21"/>
          <w:highlight w:val="none"/>
          <w:lang w:eastAsia="zh-CN"/>
        </w:rPr>
        <w:t>）</w:t>
      </w:r>
      <w:r>
        <w:rPr>
          <w:rFonts w:hint="eastAsia" w:ascii="宋体" w:cs="宋体"/>
          <w:color w:val="auto"/>
          <w:szCs w:val="21"/>
          <w:highlight w:val="none"/>
        </w:rPr>
        <w:t>演示</w:t>
      </w:r>
      <w:r>
        <w:rPr>
          <w:rFonts w:hint="eastAsia" w:ascii="宋体" w:cs="宋体"/>
          <w:color w:val="auto"/>
          <w:szCs w:val="21"/>
          <w:highlight w:val="none"/>
          <w:lang w:eastAsia="zh-CN"/>
        </w:rPr>
        <w:t>确认</w:t>
      </w:r>
      <w:r>
        <w:rPr>
          <w:rFonts w:hint="eastAsia" w:ascii="宋体" w:cs="宋体"/>
          <w:color w:val="auto"/>
          <w:szCs w:val="21"/>
          <w:highlight w:val="none"/>
        </w:rPr>
        <w:t>要求：</w:t>
      </w:r>
      <w:r>
        <w:rPr>
          <w:rFonts w:hint="eastAsia" w:ascii="宋体" w:cs="宋体"/>
          <w:color w:val="auto"/>
          <w:szCs w:val="21"/>
          <w:highlight w:val="none"/>
          <w:lang w:eastAsia="zh-CN"/>
        </w:rPr>
        <w:t>投标人</w:t>
      </w:r>
      <w:r>
        <w:rPr>
          <w:rFonts w:hint="eastAsia" w:ascii="宋体" w:cs="宋体"/>
          <w:color w:val="auto"/>
          <w:szCs w:val="21"/>
          <w:highlight w:val="none"/>
        </w:rPr>
        <w:t>在投标文件</w:t>
      </w:r>
      <w:r>
        <w:rPr>
          <w:rFonts w:hint="eastAsia" w:ascii="宋体" w:cs="宋体"/>
          <w:color w:val="auto"/>
          <w:szCs w:val="21"/>
          <w:highlight w:val="none"/>
          <w:lang w:eastAsia="zh-CN"/>
        </w:rPr>
        <w:t>（技术文件）</w:t>
      </w:r>
      <w:r>
        <w:rPr>
          <w:rFonts w:hint="eastAsia" w:ascii="宋体" w:cs="宋体"/>
          <w:color w:val="auto"/>
          <w:szCs w:val="21"/>
          <w:highlight w:val="none"/>
        </w:rPr>
        <w:t>中提交“演示确认函”，</w:t>
      </w:r>
      <w:r>
        <w:rPr>
          <w:rFonts w:hint="eastAsia" w:ascii="宋体" w:cs="宋体"/>
          <w:color w:val="auto"/>
          <w:szCs w:val="21"/>
          <w:highlight w:val="none"/>
          <w:lang w:eastAsia="zh-CN"/>
        </w:rPr>
        <w:t>详见“投标人须知前附表”，演示确认函</w:t>
      </w:r>
      <w:r>
        <w:rPr>
          <w:rFonts w:hint="eastAsia" w:ascii="宋体" w:cs="宋体"/>
          <w:color w:val="auto"/>
          <w:szCs w:val="21"/>
          <w:highlight w:val="none"/>
        </w:rPr>
        <w:t>格式详见</w:t>
      </w:r>
      <w:r>
        <w:rPr>
          <w:rFonts w:hint="eastAsia" w:ascii="宋体" w:cs="宋体"/>
          <w:color w:val="auto"/>
          <w:szCs w:val="21"/>
          <w:highlight w:val="none"/>
          <w:lang w:eastAsia="zh-CN"/>
        </w:rPr>
        <w:t>“</w:t>
      </w:r>
      <w:r>
        <w:rPr>
          <w:rFonts w:hint="eastAsia" w:ascii="宋体" w:cs="宋体"/>
          <w:color w:val="auto"/>
          <w:szCs w:val="21"/>
          <w:highlight w:val="none"/>
        </w:rPr>
        <w:t>第六章</w:t>
      </w:r>
      <w:r>
        <w:rPr>
          <w:rFonts w:hint="eastAsia" w:ascii="宋体" w:cs="宋体"/>
          <w:color w:val="auto"/>
          <w:szCs w:val="21"/>
          <w:highlight w:val="none"/>
          <w:lang w:val="en-US" w:eastAsia="zh-CN"/>
        </w:rPr>
        <w:t xml:space="preserve"> </w:t>
      </w:r>
      <w:r>
        <w:rPr>
          <w:rFonts w:hint="eastAsia" w:ascii="宋体" w:cs="宋体"/>
          <w:color w:val="auto"/>
          <w:szCs w:val="21"/>
          <w:highlight w:val="none"/>
        </w:rPr>
        <w:t>投标文件格式</w:t>
      </w:r>
      <w:r>
        <w:rPr>
          <w:rFonts w:hint="eastAsia" w:ascii="宋体" w:cs="宋体"/>
          <w:color w:val="auto"/>
          <w:szCs w:val="21"/>
          <w:highlight w:val="none"/>
          <w:lang w:eastAsia="zh-CN"/>
        </w:rPr>
        <w:t>”；</w:t>
      </w:r>
    </w:p>
    <w:p w14:paraId="04D282EF">
      <w:pPr>
        <w:spacing w:line="400" w:lineRule="exact"/>
        <w:ind w:firstLine="424" w:firstLineChars="202"/>
        <w:jc w:val="left"/>
        <w:rPr>
          <w:rFonts w:ascii="宋体" w:cs="宋体"/>
          <w:color w:val="auto"/>
          <w:szCs w:val="21"/>
          <w:highlight w:val="none"/>
        </w:rPr>
      </w:pPr>
      <w:r>
        <w:rPr>
          <w:rFonts w:hint="eastAsia" w:ascii="宋体" w:cs="宋体"/>
          <w:color w:val="auto"/>
          <w:szCs w:val="21"/>
          <w:highlight w:val="none"/>
        </w:rPr>
        <w:t>（3）演示时间</w:t>
      </w:r>
      <w:r>
        <w:rPr>
          <w:rFonts w:hint="eastAsia" w:ascii="宋体" w:cs="宋体"/>
          <w:color w:val="auto"/>
          <w:szCs w:val="21"/>
          <w:highlight w:val="none"/>
          <w:lang w:eastAsia="zh-CN"/>
        </w:rPr>
        <w:t>及地点：</w:t>
      </w:r>
      <w:r>
        <w:rPr>
          <w:rFonts w:hint="eastAsia" w:ascii="宋体" w:cs="宋体"/>
          <w:color w:val="auto"/>
          <w:szCs w:val="21"/>
          <w:highlight w:val="none"/>
        </w:rPr>
        <w:t>在提交投标文件截止时间后，</w:t>
      </w:r>
      <w:r>
        <w:rPr>
          <w:rFonts w:hint="eastAsia" w:ascii="宋体" w:cs="宋体"/>
          <w:color w:val="auto"/>
          <w:szCs w:val="21"/>
          <w:highlight w:val="none"/>
          <w:lang w:eastAsia="zh-CN"/>
        </w:rPr>
        <w:t>投标人</w:t>
      </w:r>
      <w:r>
        <w:rPr>
          <w:rFonts w:hint="eastAsia" w:ascii="宋体" w:cs="宋体"/>
          <w:color w:val="auto"/>
          <w:szCs w:val="21"/>
          <w:highlight w:val="none"/>
        </w:rPr>
        <w:t>通过</w:t>
      </w:r>
      <w:r>
        <w:rPr>
          <w:rFonts w:hint="eastAsia" w:ascii="宋体" w:cs="宋体"/>
          <w:color w:val="auto"/>
          <w:szCs w:val="21"/>
          <w:highlight w:val="none"/>
          <w:lang w:eastAsia="zh-CN"/>
        </w:rPr>
        <w:t>登录</w:t>
      </w:r>
      <w:r>
        <w:rPr>
          <w:rFonts w:hint="eastAsia" w:ascii="宋体" w:cs="宋体"/>
          <w:color w:val="auto"/>
          <w:szCs w:val="21"/>
          <w:highlight w:val="none"/>
        </w:rPr>
        <w:t>广西政府采购云平台（https：//www.gcy.zfcg.gxzf.gov.cn/）</w:t>
      </w:r>
      <w:r>
        <w:rPr>
          <w:rFonts w:hint="eastAsia" w:ascii="宋体" w:cs="宋体"/>
          <w:b/>
          <w:bCs/>
          <w:color w:val="auto"/>
          <w:szCs w:val="21"/>
          <w:highlight w:val="none"/>
        </w:rPr>
        <w:t>在线进行</w:t>
      </w:r>
      <w:r>
        <w:rPr>
          <w:rFonts w:hint="eastAsia" w:ascii="宋体" w:cs="宋体"/>
          <w:b/>
          <w:bCs/>
          <w:color w:val="auto"/>
          <w:szCs w:val="21"/>
          <w:highlight w:val="none"/>
          <w:lang w:eastAsia="zh-CN"/>
        </w:rPr>
        <w:t>平台功能现场演示</w:t>
      </w:r>
      <w:r>
        <w:rPr>
          <w:rFonts w:hint="eastAsia" w:ascii="宋体" w:cs="宋体"/>
          <w:color w:val="auto"/>
          <w:szCs w:val="21"/>
          <w:highlight w:val="none"/>
          <w:lang w:eastAsia="zh-CN"/>
        </w:rPr>
        <w:t>，</w:t>
      </w:r>
      <w:r>
        <w:rPr>
          <w:rFonts w:hint="eastAsia" w:ascii="宋体" w:cs="宋体"/>
          <w:color w:val="auto"/>
          <w:szCs w:val="21"/>
          <w:highlight w:val="none"/>
        </w:rPr>
        <w:t>演示具体开始时间由采购代理机构在广西政府采购云平台在线发起</w:t>
      </w:r>
      <w:r>
        <w:rPr>
          <w:rFonts w:hint="eastAsia" w:ascii="宋体" w:cs="宋体"/>
          <w:color w:val="auto"/>
          <w:szCs w:val="21"/>
          <w:highlight w:val="none"/>
          <w:lang w:eastAsia="zh-CN"/>
        </w:rPr>
        <w:t>，投标人在接到演示邀请后响应并进行现场演示。投标人在提交投标文件截止时间后</w:t>
      </w:r>
      <w:r>
        <w:rPr>
          <w:rFonts w:hint="eastAsia" w:ascii="宋体" w:cs="宋体"/>
          <w:color w:val="auto"/>
          <w:szCs w:val="21"/>
          <w:highlight w:val="none"/>
        </w:rPr>
        <w:t>应保持广西政府采购云平台在线及演示联系人手机畅通</w:t>
      </w:r>
      <w:r>
        <w:rPr>
          <w:rFonts w:hint="eastAsia" w:ascii="宋体" w:cs="宋体"/>
          <w:color w:val="auto"/>
          <w:szCs w:val="21"/>
          <w:highlight w:val="none"/>
          <w:lang w:eastAsia="zh-CN"/>
        </w:rPr>
        <w:t>，</w:t>
      </w:r>
      <w:r>
        <w:rPr>
          <w:rFonts w:hint="eastAsia" w:ascii="宋体" w:cs="宋体"/>
          <w:color w:val="auto"/>
          <w:szCs w:val="21"/>
          <w:highlight w:val="none"/>
        </w:rPr>
        <w:t>如因</w:t>
      </w:r>
      <w:r>
        <w:rPr>
          <w:rFonts w:hint="eastAsia" w:ascii="宋体" w:cs="宋体"/>
          <w:color w:val="auto"/>
          <w:szCs w:val="21"/>
          <w:highlight w:val="none"/>
          <w:lang w:eastAsia="zh-CN"/>
        </w:rPr>
        <w:t>投标人</w:t>
      </w:r>
      <w:r>
        <w:rPr>
          <w:rFonts w:hint="eastAsia" w:ascii="宋体" w:cs="宋体"/>
          <w:color w:val="auto"/>
          <w:szCs w:val="21"/>
          <w:highlight w:val="none"/>
        </w:rPr>
        <w:t>无法联系</w:t>
      </w:r>
      <w:r>
        <w:rPr>
          <w:rFonts w:hint="eastAsia" w:ascii="宋体" w:cs="宋体"/>
          <w:color w:val="auto"/>
          <w:szCs w:val="21"/>
          <w:highlight w:val="none"/>
          <w:lang w:eastAsia="zh-CN"/>
        </w:rPr>
        <w:t>或投标人原因无法在广西政府采购云平台系统中进行演示的，</w:t>
      </w:r>
      <w:r>
        <w:rPr>
          <w:rFonts w:hint="eastAsia" w:ascii="宋体" w:cs="宋体"/>
          <w:color w:val="auto"/>
          <w:szCs w:val="21"/>
          <w:highlight w:val="none"/>
        </w:rPr>
        <w:t>导致的后果由</w:t>
      </w:r>
      <w:r>
        <w:rPr>
          <w:rFonts w:hint="eastAsia" w:ascii="宋体" w:cs="宋体"/>
          <w:color w:val="auto"/>
          <w:szCs w:val="21"/>
          <w:highlight w:val="none"/>
          <w:lang w:eastAsia="zh-CN"/>
        </w:rPr>
        <w:t>投标人</w:t>
      </w:r>
      <w:r>
        <w:rPr>
          <w:rFonts w:hint="eastAsia" w:ascii="宋体" w:cs="宋体"/>
          <w:color w:val="auto"/>
          <w:szCs w:val="21"/>
          <w:highlight w:val="none"/>
        </w:rPr>
        <w:t>自行承担。</w:t>
      </w:r>
    </w:p>
    <w:p w14:paraId="4160CA79">
      <w:pPr>
        <w:spacing w:line="400" w:lineRule="exact"/>
        <w:ind w:firstLine="424" w:firstLineChars="202"/>
        <w:jc w:val="left"/>
        <w:rPr>
          <w:rFonts w:ascii="宋体" w:cs="宋体"/>
          <w:color w:val="auto"/>
          <w:szCs w:val="21"/>
          <w:highlight w:val="none"/>
        </w:rPr>
      </w:pPr>
      <w:r>
        <w:rPr>
          <w:rFonts w:hint="eastAsia" w:ascii="宋体" w:cs="宋体"/>
          <w:color w:val="auto"/>
          <w:szCs w:val="21"/>
          <w:highlight w:val="none"/>
          <w:lang w:val="en-US" w:eastAsia="zh-CN"/>
        </w:rPr>
        <w:t>4.</w:t>
      </w:r>
      <w:r>
        <w:rPr>
          <w:rFonts w:hint="eastAsia" w:ascii="宋体" w:hAnsi="宋体" w:cs="宋体"/>
          <w:color w:val="auto"/>
          <w:szCs w:val="21"/>
          <w:highlight w:val="none"/>
          <w:lang w:eastAsia="zh-CN"/>
        </w:rPr>
        <w:t>本</w:t>
      </w:r>
      <w:r>
        <w:rPr>
          <w:rFonts w:hint="eastAsia" w:ascii="宋体" w:hAnsi="宋体" w:eastAsia="宋体" w:cs="宋体"/>
          <w:color w:val="auto"/>
          <w:szCs w:val="21"/>
          <w:highlight w:val="none"/>
        </w:rPr>
        <w:t>服务项目中伴随货物的，</w:t>
      </w:r>
      <w:r>
        <w:rPr>
          <w:rFonts w:hint="eastAsia" w:ascii="宋体" w:cs="宋体"/>
          <w:color w:val="auto"/>
          <w:szCs w:val="21"/>
          <w:highlight w:val="none"/>
        </w:rPr>
        <w:t>采购需求中出现的品牌、型号或者</w:t>
      </w:r>
      <w:r>
        <w:rPr>
          <w:rFonts w:hint="eastAsia" w:ascii="宋体" w:cs="宋体"/>
          <w:color w:val="auto"/>
          <w:szCs w:val="21"/>
          <w:highlight w:val="none"/>
          <w:lang w:val="en-US" w:eastAsia="zh-CN"/>
        </w:rPr>
        <w:t>制造商</w:t>
      </w:r>
      <w:r>
        <w:rPr>
          <w:rFonts w:hint="eastAsia" w:ascii="宋体" w:cs="宋体"/>
          <w:color w:val="auto"/>
          <w:szCs w:val="21"/>
          <w:highlight w:val="none"/>
        </w:rPr>
        <w:t>仅起参考作用，不属于指定品牌、型号或者</w:t>
      </w:r>
      <w:r>
        <w:rPr>
          <w:rFonts w:hint="eastAsia" w:ascii="宋体" w:cs="宋体"/>
          <w:color w:val="auto"/>
          <w:szCs w:val="21"/>
          <w:highlight w:val="none"/>
          <w:lang w:val="en-US" w:eastAsia="zh-CN"/>
        </w:rPr>
        <w:t>制造商</w:t>
      </w:r>
      <w:r>
        <w:rPr>
          <w:rFonts w:hint="eastAsia" w:ascii="宋体" w:cs="宋体"/>
          <w:color w:val="auto"/>
          <w:szCs w:val="21"/>
          <w:highlight w:val="none"/>
        </w:rPr>
        <w:t>的情形。投标人可参照或者选用其他相当的品牌、型号或者</w:t>
      </w:r>
      <w:r>
        <w:rPr>
          <w:rFonts w:hint="eastAsia" w:ascii="宋体" w:cs="宋体"/>
          <w:color w:val="auto"/>
          <w:szCs w:val="21"/>
          <w:highlight w:val="none"/>
          <w:lang w:val="en-US" w:eastAsia="zh-CN"/>
        </w:rPr>
        <w:t>制造商</w:t>
      </w:r>
      <w:r>
        <w:rPr>
          <w:rFonts w:hint="eastAsia" w:ascii="宋体" w:cs="宋体"/>
          <w:color w:val="auto"/>
          <w:szCs w:val="21"/>
          <w:highlight w:val="none"/>
        </w:rPr>
        <w:t>替代，但选用的投标产品技术参数及配置必须满足采购要求。</w:t>
      </w:r>
    </w:p>
    <w:p w14:paraId="77BDDC3A">
      <w:pPr>
        <w:spacing w:line="400" w:lineRule="exact"/>
        <w:ind w:firstLine="424" w:firstLineChars="202"/>
        <w:jc w:val="left"/>
        <w:rPr>
          <w:rFonts w:ascii="宋体" w:cs="宋体"/>
          <w:color w:val="auto"/>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6125CBA1">
      <w:pPr>
        <w:spacing w:line="400" w:lineRule="exact"/>
        <w:ind w:firstLine="424" w:firstLineChars="202"/>
        <w:jc w:val="left"/>
        <w:rPr>
          <w:rFonts w:ascii="宋体" w:cs="宋体"/>
          <w:color w:val="auto"/>
          <w:highlight w:val="none"/>
        </w:rPr>
      </w:pPr>
      <w:r>
        <w:rPr>
          <w:rFonts w:hint="eastAsia" w:ascii="宋体" w:cs="宋体"/>
          <w:color w:val="auto"/>
          <w:highlight w:val="none"/>
          <w:lang w:val="en-US" w:eastAsia="zh-CN"/>
        </w:rPr>
        <w:t>6.</w:t>
      </w:r>
      <w:r>
        <w:rPr>
          <w:rFonts w:hint="eastAsia" w:ascii="宋体" w:cs="宋体"/>
          <w:color w:val="auto"/>
          <w:highlight w:val="none"/>
        </w:rPr>
        <w:t>投标人应对投标内容所涉及的专利承担法律责任，并负责保护采购人的利益不受任何损害。一切由于文字、商标、技术和软件专利授权引起的法律裁决、诉讼和赔偿费用均由中标人负责。</w:t>
      </w:r>
    </w:p>
    <w:p w14:paraId="61A08F44">
      <w:pPr>
        <w:tabs>
          <w:tab w:val="left" w:pos="180"/>
          <w:tab w:val="left" w:pos="1620"/>
        </w:tabs>
        <w:spacing w:line="400" w:lineRule="exact"/>
        <w:ind w:firstLine="420" w:firstLineChars="200"/>
        <w:jc w:val="left"/>
        <w:rPr>
          <w:rFonts w:hint="eastAsia" w:ascii="宋体" w:cs="宋体"/>
          <w:color w:val="auto"/>
          <w:highlight w:val="none"/>
          <w:u w:val="single"/>
        </w:rPr>
        <w:sectPr>
          <w:footerReference r:id="rId3" w:type="default"/>
          <w:pgSz w:w="11906" w:h="16838"/>
          <w:pgMar w:top="1134" w:right="1134" w:bottom="1134" w:left="1134" w:header="720" w:footer="720" w:gutter="0"/>
          <w:pgNumType w:fmt="decimal" w:start="1"/>
          <w:cols w:space="720" w:num="1"/>
          <w:docGrid w:type="lines" w:linePitch="331" w:charSpace="0"/>
        </w:sectPr>
      </w:pPr>
      <w:r>
        <w:rPr>
          <w:rFonts w:hint="eastAsia" w:ascii="宋体" w:cs="宋体"/>
          <w:color w:val="auto"/>
          <w:highlight w:val="none"/>
          <w:lang w:val="en-US" w:eastAsia="zh-CN"/>
        </w:rPr>
        <w:t>7.</w:t>
      </w:r>
      <w:r>
        <w:rPr>
          <w:rFonts w:hint="eastAsia" w:ascii="宋体" w:cs="宋体"/>
          <w:color w:val="auto"/>
          <w:highlight w:val="none"/>
        </w:rPr>
        <w:t>采购内容所属行业：</w:t>
      </w:r>
      <w:r>
        <w:rPr>
          <w:rFonts w:hint="eastAsia" w:ascii="宋体" w:cs="宋体"/>
          <w:b/>
          <w:bCs/>
          <w:color w:val="auto"/>
          <w:highlight w:val="none"/>
          <w:u w:val="single"/>
        </w:rPr>
        <w:t>详见采购需求一览表</w:t>
      </w:r>
      <w:r>
        <w:rPr>
          <w:rFonts w:hint="eastAsia" w:ascii="宋体" w:cs="宋体"/>
          <w:color w:val="auto"/>
          <w:highlight w:val="none"/>
          <w:u w:val="single"/>
        </w:rPr>
        <w:t>。</w:t>
      </w:r>
    </w:p>
    <w:p w14:paraId="7EFB823A">
      <w:pPr>
        <w:rPr>
          <w:color w:val="auto"/>
          <w:highlight w:val="none"/>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7"/>
        <w:gridCol w:w="530"/>
        <w:gridCol w:w="515"/>
        <w:gridCol w:w="5577"/>
        <w:gridCol w:w="466"/>
        <w:gridCol w:w="453"/>
        <w:gridCol w:w="631"/>
      </w:tblGrid>
      <w:tr w14:paraId="74B0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gridSpan w:val="7"/>
            <w:tcMar>
              <w:top w:w="13" w:type="dxa"/>
              <w:left w:w="57" w:type="dxa"/>
              <w:bottom w:w="0" w:type="dxa"/>
              <w:right w:w="57" w:type="dxa"/>
            </w:tcMar>
            <w:vAlign w:val="center"/>
          </w:tcPr>
          <w:p w14:paraId="4E1576DE">
            <w:pPr>
              <w:numPr>
                <w:ilvl w:val="0"/>
                <w:numId w:val="0"/>
              </w:numPr>
              <w:ind w:left="0" w:firstLine="0"/>
              <w:rPr>
                <w:rFonts w:hint="eastAsia" w:ascii="宋体" w:hAnsi="宋体" w:eastAsia="宋体" w:cs="Times New Roman"/>
                <w:b/>
                <w:bCs/>
                <w:color w:val="auto"/>
                <w:kern w:val="2"/>
                <w:sz w:val="21"/>
                <w:szCs w:val="21"/>
                <w:highlight w:val="none"/>
                <w:lang w:val="en-US" w:eastAsia="zh-CN" w:bidi="ar-SA"/>
              </w:rPr>
            </w:pPr>
            <w:r>
              <w:rPr>
                <w:rFonts w:hint="eastAsia" w:ascii="宋体" w:hAnsi="宋体" w:cs="Times New Roman"/>
                <w:b/>
                <w:bCs/>
                <w:color w:val="auto"/>
                <w:kern w:val="2"/>
                <w:sz w:val="21"/>
                <w:szCs w:val="21"/>
                <w:highlight w:val="none"/>
                <w:lang w:val="en-US" w:eastAsia="zh-CN" w:bidi="ar-SA"/>
              </w:rPr>
              <w:t>采购需求一览表</w:t>
            </w:r>
          </w:p>
        </w:tc>
      </w:tr>
      <w:tr w14:paraId="635B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gridSpan w:val="7"/>
            <w:tcMar>
              <w:top w:w="13" w:type="dxa"/>
              <w:left w:w="57" w:type="dxa"/>
              <w:bottom w:w="0" w:type="dxa"/>
              <w:right w:w="57" w:type="dxa"/>
            </w:tcMar>
            <w:vAlign w:val="center"/>
          </w:tcPr>
          <w:p w14:paraId="4FABEC35">
            <w:pPr>
              <w:numPr>
                <w:ilvl w:val="0"/>
                <w:numId w:val="0"/>
              </w:numPr>
              <w:ind w:left="0" w:firstLine="0"/>
              <w:rPr>
                <w:rFonts w:ascii="宋体" w:hAnsi="宋体" w:eastAsia="宋体"/>
                <w:b/>
                <w:bCs/>
                <w:color w:val="auto"/>
                <w:sz w:val="21"/>
                <w:szCs w:val="21"/>
                <w:highlight w:val="none"/>
              </w:rPr>
            </w:pPr>
            <w:r>
              <w:rPr>
                <w:rFonts w:hint="eastAsia" w:ascii="宋体" w:hAnsi="宋体" w:eastAsia="宋体" w:cs="Times New Roman"/>
                <w:b/>
                <w:bCs/>
                <w:color w:val="auto"/>
                <w:kern w:val="2"/>
                <w:sz w:val="21"/>
                <w:szCs w:val="21"/>
                <w:highlight w:val="none"/>
                <w:lang w:val="en-US" w:eastAsia="zh-CN" w:bidi="ar-SA"/>
              </w:rPr>
              <w:t>一、</w:t>
            </w:r>
            <w:r>
              <w:rPr>
                <w:rFonts w:hint="eastAsia" w:ascii="宋体" w:hAnsi="宋体" w:eastAsia="宋体"/>
                <w:b/>
                <w:bCs/>
                <w:color w:val="auto"/>
                <w:sz w:val="21"/>
                <w:szCs w:val="21"/>
                <w:highlight w:val="none"/>
              </w:rPr>
              <w:t>技术要求</w:t>
            </w:r>
          </w:p>
        </w:tc>
      </w:tr>
      <w:tr w14:paraId="2CC3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429D8F83">
            <w:pPr>
              <w:jc w:val="center"/>
              <w:rPr>
                <w:rFonts w:ascii="宋体" w:hAnsi="宋体" w:eastAsia="宋体"/>
                <w:b/>
                <w:bCs/>
                <w:color w:val="auto"/>
                <w:kern w:val="0"/>
                <w:sz w:val="21"/>
                <w:szCs w:val="21"/>
                <w:highlight w:val="none"/>
              </w:rPr>
            </w:pPr>
            <w:r>
              <w:rPr>
                <w:rFonts w:hint="eastAsia" w:ascii="宋体" w:hAnsi="宋体" w:eastAsia="宋体"/>
                <w:b/>
                <w:bCs/>
                <w:color w:val="auto"/>
                <w:kern w:val="0"/>
                <w:sz w:val="21"/>
                <w:szCs w:val="21"/>
                <w:highlight w:val="none"/>
              </w:rPr>
              <w:t>序号</w:t>
            </w:r>
          </w:p>
        </w:tc>
        <w:tc>
          <w:tcPr>
            <w:tcW w:w="314" w:type="pct"/>
            <w:tcMar>
              <w:top w:w="13" w:type="dxa"/>
              <w:left w:w="57" w:type="dxa"/>
              <w:bottom w:w="0" w:type="dxa"/>
              <w:right w:w="57" w:type="dxa"/>
            </w:tcMar>
            <w:vAlign w:val="center"/>
          </w:tcPr>
          <w:p w14:paraId="5FDACDF8">
            <w:pPr>
              <w:snapToGrid w:val="0"/>
              <w:jc w:val="center"/>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标的名称</w:t>
            </w:r>
          </w:p>
        </w:tc>
        <w:tc>
          <w:tcPr>
            <w:tcW w:w="3617" w:type="pct"/>
            <w:gridSpan w:val="2"/>
            <w:tcMar>
              <w:top w:w="13" w:type="dxa"/>
              <w:left w:w="57" w:type="dxa"/>
              <w:bottom w:w="0" w:type="dxa"/>
              <w:right w:w="57" w:type="dxa"/>
            </w:tcMar>
            <w:vAlign w:val="center"/>
          </w:tcPr>
          <w:p w14:paraId="3A91B260">
            <w:pPr>
              <w:jc w:val="center"/>
              <w:rPr>
                <w:rFonts w:hint="eastAsia" w:ascii="宋体" w:hAnsi="宋体" w:eastAsia="宋体"/>
                <w:b/>
                <w:bCs/>
                <w:color w:val="auto"/>
                <w:sz w:val="21"/>
                <w:szCs w:val="21"/>
                <w:highlight w:val="none"/>
                <w:lang w:eastAsia="zh-CN"/>
              </w:rPr>
            </w:pPr>
            <w:r>
              <w:rPr>
                <w:rFonts w:hint="eastAsia" w:ascii="宋体" w:hAnsi="宋体" w:eastAsia="宋体" w:cs="仿宋_GB2312"/>
                <w:b/>
                <w:bCs/>
                <w:color w:val="auto"/>
                <w:kern w:val="0"/>
                <w:sz w:val="21"/>
                <w:szCs w:val="21"/>
                <w:highlight w:val="none"/>
              </w:rPr>
              <w:t>技术参数</w:t>
            </w:r>
            <w:r>
              <w:rPr>
                <w:rFonts w:hint="eastAsia" w:ascii="宋体" w:hAnsi="宋体" w:eastAsia="宋体" w:cs="仿宋_GB2312"/>
                <w:b/>
                <w:bCs/>
                <w:color w:val="auto"/>
                <w:kern w:val="0"/>
                <w:sz w:val="21"/>
                <w:szCs w:val="21"/>
                <w:highlight w:val="none"/>
                <w:lang w:eastAsia="zh-CN"/>
              </w:rPr>
              <w:t>及配置</w:t>
            </w:r>
          </w:p>
        </w:tc>
        <w:tc>
          <w:tcPr>
            <w:tcW w:w="276" w:type="pct"/>
            <w:vAlign w:val="center"/>
          </w:tcPr>
          <w:p w14:paraId="3087285B">
            <w:pPr>
              <w:jc w:val="center"/>
              <w:rPr>
                <w:rFonts w:ascii="宋体" w:hAnsi="宋体" w:eastAsia="宋体" w:cs="仿宋_GB2312"/>
                <w:b/>
                <w:bCs/>
                <w:color w:val="auto"/>
                <w:kern w:val="0"/>
                <w:sz w:val="21"/>
                <w:szCs w:val="21"/>
                <w:highlight w:val="none"/>
              </w:rPr>
            </w:pPr>
            <w:r>
              <w:rPr>
                <w:rFonts w:hint="eastAsia" w:ascii="宋体" w:hAnsi="宋体" w:eastAsia="宋体" w:cs="仿宋_GB2312"/>
                <w:b/>
                <w:bCs/>
                <w:color w:val="auto"/>
                <w:kern w:val="0"/>
                <w:sz w:val="21"/>
                <w:szCs w:val="21"/>
                <w:highlight w:val="none"/>
              </w:rPr>
              <w:t>计量</w:t>
            </w:r>
          </w:p>
          <w:p w14:paraId="23CF3DB0">
            <w:pPr>
              <w:jc w:val="center"/>
              <w:rPr>
                <w:rFonts w:ascii="宋体" w:hAnsi="宋体" w:eastAsia="宋体"/>
                <w:b/>
                <w:bCs/>
                <w:color w:val="auto"/>
                <w:sz w:val="21"/>
                <w:szCs w:val="21"/>
                <w:highlight w:val="none"/>
              </w:rPr>
            </w:pPr>
            <w:r>
              <w:rPr>
                <w:rFonts w:hint="eastAsia" w:ascii="宋体" w:hAnsi="宋体" w:eastAsia="宋体" w:cs="仿宋_GB2312"/>
                <w:b/>
                <w:bCs/>
                <w:color w:val="auto"/>
                <w:kern w:val="0"/>
                <w:sz w:val="21"/>
                <w:szCs w:val="21"/>
                <w:highlight w:val="none"/>
              </w:rPr>
              <w:t>单位</w:t>
            </w:r>
          </w:p>
        </w:tc>
        <w:tc>
          <w:tcPr>
            <w:tcW w:w="269" w:type="pct"/>
            <w:vAlign w:val="center"/>
          </w:tcPr>
          <w:p w14:paraId="78DBECA7">
            <w:pPr>
              <w:jc w:val="center"/>
              <w:rPr>
                <w:rFonts w:ascii="宋体" w:hAnsi="宋体" w:eastAsia="宋体"/>
                <w:b/>
                <w:bCs/>
                <w:color w:val="auto"/>
                <w:sz w:val="21"/>
                <w:szCs w:val="21"/>
                <w:highlight w:val="none"/>
              </w:rPr>
            </w:pPr>
            <w:r>
              <w:rPr>
                <w:rFonts w:hint="eastAsia" w:ascii="宋体" w:hAnsi="宋体" w:eastAsia="宋体" w:cs="仿宋_GB2312"/>
                <w:b/>
                <w:bCs/>
                <w:color w:val="auto"/>
                <w:kern w:val="0"/>
                <w:sz w:val="21"/>
                <w:szCs w:val="21"/>
                <w:highlight w:val="none"/>
              </w:rPr>
              <w:t>数量</w:t>
            </w:r>
          </w:p>
        </w:tc>
        <w:tc>
          <w:tcPr>
            <w:tcW w:w="374" w:type="pct"/>
            <w:vAlign w:val="center"/>
          </w:tcPr>
          <w:p w14:paraId="46928A11">
            <w:pPr>
              <w:jc w:val="center"/>
              <w:rPr>
                <w:rFonts w:ascii="宋体" w:hAnsi="宋体" w:eastAsia="宋体"/>
                <w:b/>
                <w:bCs/>
                <w:color w:val="auto"/>
                <w:sz w:val="21"/>
                <w:szCs w:val="21"/>
                <w:highlight w:val="none"/>
              </w:rPr>
            </w:pPr>
          </w:p>
          <w:p w14:paraId="6C89242E">
            <w:pPr>
              <w:jc w:val="center"/>
              <w:rPr>
                <w:rFonts w:ascii="宋体" w:hAnsi="宋体" w:eastAsia="宋体"/>
                <w:b/>
                <w:bCs/>
                <w:color w:val="auto"/>
                <w:sz w:val="21"/>
                <w:szCs w:val="21"/>
                <w:highlight w:val="none"/>
              </w:rPr>
            </w:pPr>
            <w:r>
              <w:rPr>
                <w:rFonts w:hint="eastAsia" w:ascii="宋体" w:hAnsi="宋体" w:eastAsia="宋体"/>
                <w:b/>
                <w:bCs/>
                <w:color w:val="auto"/>
                <w:szCs w:val="21"/>
                <w:highlight w:val="none"/>
              </w:rPr>
              <w:t>中小企业划分标准所属行业名称</w:t>
            </w:r>
          </w:p>
        </w:tc>
      </w:tr>
      <w:tr w14:paraId="219D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12A92E7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4" w:type="pct"/>
            <w:shd w:val="clear" w:color="auto" w:fill="auto"/>
            <w:tcMar>
              <w:top w:w="13" w:type="dxa"/>
              <w:left w:w="57" w:type="dxa"/>
              <w:bottom w:w="0" w:type="dxa"/>
              <w:right w:w="57" w:type="dxa"/>
            </w:tcMar>
            <w:vAlign w:val="center"/>
          </w:tcPr>
          <w:p w14:paraId="64C9AD35">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现代农业自动化生产实训平台</w:t>
            </w:r>
          </w:p>
        </w:tc>
        <w:tc>
          <w:tcPr>
            <w:tcW w:w="3617" w:type="pct"/>
            <w:gridSpan w:val="2"/>
            <w:shd w:val="clear" w:color="auto" w:fill="auto"/>
            <w:tcMar>
              <w:top w:w="13" w:type="dxa"/>
              <w:left w:w="57" w:type="dxa"/>
              <w:bottom w:w="0" w:type="dxa"/>
              <w:right w:w="57" w:type="dxa"/>
            </w:tcMar>
            <w:vAlign w:val="center"/>
          </w:tcPr>
          <w:p w14:paraId="060C2FF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台需通过在种植床上安装可进行X、Y、Z三轴移动的龙门机械臂，配合软件系统，实现自主自由自动化控制机械臂进行翻地、播种、喷灌、除草、收获等农事操作。平台还为作物种植配套生长监测系统，在通过农业物联网传感设备采集空气温湿度、光照、土壤墒情等环境数据的同时，基于平台的AI农业模型及数据库，对作物病虫害进行监测识别，以及根据大数据模型进行生长周期预判，打造作物生长全生命周期智能化管控系统。现代农业自动化生产实训平台包含10套现代农业自动化生产实训套件，套件具体参数如下：</w:t>
            </w:r>
          </w:p>
          <w:p w14:paraId="66DDEE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硬件结构</w:t>
            </w:r>
          </w:p>
          <w:p w14:paraId="777C7CC6">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1.主体框架：采用铝合金结构，外形尺寸</w:t>
            </w:r>
            <w:r>
              <w:rPr>
                <w:rFonts w:hint="eastAsia" w:ascii="宋体" w:hAnsi="宋体" w:eastAsia="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rPr>
              <w:t>2000mm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长</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×1000mm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7820E0A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2.种植床：采用防腐木结构，外形尺寸：2000mm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长</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×1270mm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×270mm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；配备防水锡箔纸。</w:t>
            </w:r>
          </w:p>
          <w:p w14:paraId="6EAF940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3.动力系统：由四个步进电机、GT2皮带和滑轮以及精密不锈钢驱动螺杆提供动力。</w:t>
            </w:r>
          </w:p>
          <w:p w14:paraId="06524AD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执行机构与工具头：包括播种机、浇水喷嘴、旋转工具等，均可互换，以满足不同的耕作需求。配备模块化工具头，包括除草工具头、播种工具头、灌溉工具头等，支持快速更换；包含UTM工具头底座、连接头等配套结构。</w:t>
            </w:r>
          </w:p>
          <w:p w14:paraId="486126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.辅助结构件：包含多种3D打印安装件与支架，如步进电机安装盒（Y1.X3.Y2.Z4等多种型号）、各轴拖链底座、传感器支架、理线盒、控制盒结构件等；提供专用工具头支架，材料为铝合金。</w:t>
            </w:r>
          </w:p>
          <w:p w14:paraId="339F502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.现代农业电源通讯板：用于电源与RS485信号转接。</w:t>
            </w:r>
          </w:p>
          <w:p w14:paraId="6B30F2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.步进电机转接板：用于步进电机电源信号转接。</w:t>
            </w:r>
          </w:p>
          <w:p w14:paraId="0847050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.UTM控制板：用于UTM工具信号电源转接。</w:t>
            </w:r>
          </w:p>
          <w:p w14:paraId="3469B17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.工具信号接口板：用于UTM工具信号电源接口。</w:t>
            </w:r>
          </w:p>
          <w:p w14:paraId="2B10209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.人机交互：11.6英寸触控显示屏，分辨率1920×1080，支持HDMI及Type-C接口。配套万向旋转显示器挂架，支持14-27寸显示屏，承载重量5-10kg。</w:t>
            </w:r>
          </w:p>
          <w:p w14:paraId="01C159E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.电源系统：LED开关电源，输出：24V。</w:t>
            </w:r>
          </w:p>
          <w:p w14:paraId="387DA9C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.环境监测传感器（多合一传感器）：集成人体红外、PM2.5.温度、湿度、TVOC、大气压、二氧化碳、光敏、火焰共九种传感器。</w:t>
            </w:r>
          </w:p>
          <w:p w14:paraId="1542CE1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.超声波测距传感器：RS485接口，DC3.3-12V供电，防护等级IP67。</w:t>
            </w:r>
          </w:p>
          <w:p w14:paraId="619153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.土壤温湿度、电导率三合一传感器：配备土壤湿度传感器和土壤温度传感器，实时监测土壤环境。RS485接口，监测土壤电导率、温度、湿度、pH值。</w:t>
            </w:r>
          </w:p>
          <w:p w14:paraId="2AEEEBC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其中主要参数为：</w:t>
            </w:r>
          </w:p>
          <w:p w14:paraId="11C920C4">
            <w:pPr>
              <w:widowControl/>
              <w:spacing w:line="240" w:lineRule="auto"/>
              <w:jc w:val="left"/>
              <w:rPr>
                <w:rFonts w:hint="eastAsia" w:ascii="宋体" w:hAnsi="宋体" w:eastAsia="宋体" w:cs="宋体"/>
                <w:color w:val="auto"/>
                <w:kern w:val="0"/>
                <w:sz w:val="21"/>
                <w:szCs w:val="21"/>
                <w:highlight w:val="none"/>
              </w:rPr>
            </w:pPr>
            <w:r>
              <w:rPr>
                <w:rFonts w:hint="default" w:ascii="Calibri" w:hAnsi="Calibri" w:eastAsia="宋体" w:cs="Calibri"/>
                <w:color w:val="auto"/>
                <w:kern w:val="0"/>
                <w:sz w:val="21"/>
                <w:szCs w:val="21"/>
                <w:highlight w:val="none"/>
              </w:rPr>
              <w:t>①</w:t>
            </w:r>
            <w:r>
              <w:rPr>
                <w:rFonts w:hint="eastAsia" w:ascii="宋体" w:hAnsi="宋体" w:eastAsia="宋体" w:cs="宋体"/>
                <w:color w:val="auto"/>
                <w:kern w:val="0"/>
                <w:sz w:val="21"/>
                <w:szCs w:val="21"/>
                <w:highlight w:val="none"/>
              </w:rPr>
              <w:t>支持RS485信号输出（Modbus协议），最大功耗：0.7W（24VDC供电）；</w:t>
            </w:r>
          </w:p>
          <w:p w14:paraId="595A5B0A">
            <w:pPr>
              <w:widowControl/>
              <w:spacing w:line="240" w:lineRule="auto"/>
              <w:jc w:val="left"/>
              <w:rPr>
                <w:rFonts w:hint="eastAsia" w:ascii="宋体" w:hAnsi="宋体" w:eastAsia="宋体" w:cs="宋体"/>
                <w:color w:val="auto"/>
                <w:kern w:val="0"/>
                <w:sz w:val="21"/>
                <w:szCs w:val="21"/>
                <w:highlight w:val="none"/>
              </w:rPr>
            </w:pPr>
            <w:r>
              <w:rPr>
                <w:rFonts w:hint="default" w:ascii="Calibri" w:hAnsi="Calibri" w:eastAsia="宋体" w:cs="Calibri"/>
                <w:color w:val="auto"/>
                <w:kern w:val="0"/>
                <w:sz w:val="21"/>
                <w:szCs w:val="21"/>
                <w:highlight w:val="none"/>
              </w:rPr>
              <w:t>②</w:t>
            </w:r>
            <w:r>
              <w:rPr>
                <w:rFonts w:hint="eastAsia" w:ascii="宋体" w:hAnsi="宋体" w:eastAsia="宋体" w:cs="宋体"/>
                <w:color w:val="auto"/>
                <w:kern w:val="0"/>
                <w:sz w:val="21"/>
                <w:szCs w:val="21"/>
                <w:highlight w:val="none"/>
              </w:rPr>
              <w:t>土壤温度量程：-40-80℃，精度：±0.5℃，分辨率：土0.1℃；</w:t>
            </w:r>
          </w:p>
          <w:p w14:paraId="66BAF97B">
            <w:pPr>
              <w:widowControl/>
              <w:spacing w:line="240" w:lineRule="auto"/>
              <w:jc w:val="left"/>
              <w:rPr>
                <w:rFonts w:hint="eastAsia" w:ascii="宋体" w:hAnsi="宋体" w:eastAsia="宋体" w:cs="宋体"/>
                <w:color w:val="auto"/>
                <w:kern w:val="0"/>
                <w:sz w:val="21"/>
                <w:szCs w:val="21"/>
                <w:highlight w:val="none"/>
              </w:rPr>
            </w:pPr>
            <w:r>
              <w:rPr>
                <w:rFonts w:hint="default" w:ascii="Calibri" w:hAnsi="Calibri" w:eastAsia="宋体" w:cs="Calibri"/>
                <w:color w:val="auto"/>
                <w:kern w:val="0"/>
                <w:sz w:val="21"/>
                <w:szCs w:val="21"/>
                <w:highlight w:val="none"/>
              </w:rPr>
              <w:t>③</w:t>
            </w:r>
            <w:r>
              <w:rPr>
                <w:rFonts w:hint="eastAsia" w:ascii="宋体" w:hAnsi="宋体" w:eastAsia="宋体" w:cs="宋体"/>
                <w:color w:val="auto"/>
                <w:kern w:val="0"/>
                <w:sz w:val="21"/>
                <w:szCs w:val="21"/>
                <w:highlight w:val="none"/>
              </w:rPr>
              <w:t>土壤湿度量程：0-100%RH，精度：±2%RH，分辨率：0.1%RH；</w:t>
            </w:r>
          </w:p>
          <w:p w14:paraId="7803B82A">
            <w:pPr>
              <w:widowControl/>
              <w:spacing w:line="240" w:lineRule="auto"/>
              <w:jc w:val="left"/>
              <w:rPr>
                <w:rFonts w:hint="eastAsia" w:ascii="宋体" w:hAnsi="宋体" w:eastAsia="宋体" w:cs="宋体"/>
                <w:color w:val="auto"/>
                <w:kern w:val="0"/>
                <w:sz w:val="21"/>
                <w:szCs w:val="21"/>
                <w:highlight w:val="none"/>
              </w:rPr>
            </w:pPr>
            <w:r>
              <w:rPr>
                <w:rFonts w:hint="default" w:ascii="Calibri" w:hAnsi="Calibri" w:eastAsia="宋体" w:cs="Calibri"/>
                <w:color w:val="auto"/>
                <w:kern w:val="0"/>
                <w:sz w:val="21"/>
                <w:szCs w:val="21"/>
                <w:highlight w:val="none"/>
              </w:rPr>
              <w:t>④</w:t>
            </w:r>
            <w:r>
              <w:rPr>
                <w:rFonts w:hint="eastAsia" w:ascii="宋体" w:hAnsi="宋体" w:eastAsia="宋体" w:cs="宋体"/>
                <w:color w:val="auto"/>
                <w:kern w:val="0"/>
                <w:sz w:val="21"/>
                <w:szCs w:val="21"/>
                <w:highlight w:val="none"/>
              </w:rPr>
              <w:t>电导率量程：0-20000μS/cm，精度：0-10000μS/cm范围内为±3%FS；</w:t>
            </w:r>
          </w:p>
          <w:p w14:paraId="31E18C7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10000-20000μS/cm范围内为±5%FS，</w:t>
            </w:r>
            <w:r>
              <w:rPr>
                <w:rFonts w:hint="eastAsia" w:ascii="宋体" w:hAnsi="宋体" w:eastAsia="宋体"/>
                <w:color w:val="auto"/>
                <w:kern w:val="0"/>
                <w:szCs w:val="21"/>
                <w:highlight w:val="none"/>
              </w:rPr>
              <w:t>（上述精度为在标准缓冲液，25℃环境温度下的校准值）</w:t>
            </w:r>
            <w:r>
              <w:rPr>
                <w:rFonts w:hint="eastAsia" w:ascii="宋体" w:hAnsi="宋体" w:eastAsia="宋体" w:cs="宋体"/>
                <w:color w:val="auto"/>
                <w:kern w:val="0"/>
                <w:sz w:val="21"/>
                <w:szCs w:val="21"/>
                <w:highlight w:val="none"/>
              </w:rPr>
              <w:t>，分辨率：10μS/cm</w:t>
            </w:r>
          </w:p>
          <w:p w14:paraId="23A218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采用土壤温度湿度一体式金属探针封装设计；线缆长度为</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2m。</w:t>
            </w:r>
          </w:p>
          <w:p w14:paraId="6BCA62B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土壤pH传感器：</w:t>
            </w:r>
          </w:p>
          <w:p w14:paraId="00CCA4F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1.支持RS485信号输出（Modbus协议），最大功耗：0.5W（24VDC供电）；</w:t>
            </w:r>
          </w:p>
          <w:p w14:paraId="13BB51B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2.土壤pH值量程：3-9pH，精度：±0.5pH，分辨率：0.1pH；</w:t>
            </w:r>
          </w:p>
          <w:p w14:paraId="73D57B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3.采用金属探针封装设计；线缆长度为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2m。</w:t>
            </w:r>
          </w:p>
          <w:p w14:paraId="33B5C58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国产</w:t>
            </w:r>
            <w:r>
              <w:rPr>
                <w:rFonts w:hint="eastAsia" w:ascii="宋体" w:hAnsi="宋体" w:eastAsia="宋体" w:cs="宋体"/>
                <w:color w:val="auto"/>
                <w:kern w:val="0"/>
                <w:sz w:val="21"/>
                <w:szCs w:val="21"/>
                <w:highlight w:val="none"/>
              </w:rPr>
              <w:t>系统</w:t>
            </w:r>
          </w:p>
          <w:p w14:paraId="4E7E5DC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主控芯片核心处理器：</w:t>
            </w:r>
          </w:p>
          <w:p w14:paraId="45326BE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1.搭载</w:t>
            </w:r>
            <w:r>
              <w:rPr>
                <w:rFonts w:hint="eastAsia" w:ascii="宋体" w:hAnsi="宋体" w:eastAsia="宋体" w:cs="宋体"/>
                <w:color w:val="auto"/>
                <w:kern w:val="0"/>
                <w:sz w:val="21"/>
                <w:szCs w:val="21"/>
                <w:highlight w:val="none"/>
                <w:lang w:val="en-US" w:eastAsia="zh-CN"/>
              </w:rPr>
              <w:t>性能等于或优于</w:t>
            </w:r>
            <w:r>
              <w:rPr>
                <w:rFonts w:hint="eastAsia" w:ascii="宋体" w:hAnsi="宋体" w:eastAsia="宋体" w:cs="宋体"/>
                <w:color w:val="auto"/>
                <w:kern w:val="0"/>
                <w:sz w:val="21"/>
                <w:szCs w:val="21"/>
                <w:highlight w:val="none"/>
              </w:rPr>
              <w:t>八核（Cortex-A76x4+Cortex-A55x4）64位CPU，主频高达2.4GHz；集成四核GPU，内置AI加速器NPU，可提供</w:t>
            </w:r>
            <w:r>
              <w:rPr>
                <w:rFonts w:hint="eastAsia" w:ascii="宋体" w:hAnsi="宋体" w:eastAsia="宋体" w:cs="宋体"/>
                <w:color w:val="auto"/>
                <w:kern w:val="0"/>
                <w:sz w:val="21"/>
                <w:szCs w:val="21"/>
                <w:highlight w:val="none"/>
                <w:lang w:val="en-US" w:eastAsia="zh-CN"/>
              </w:rPr>
              <w:t>等于或优于</w:t>
            </w:r>
            <w:r>
              <w:rPr>
                <w:rFonts w:hint="eastAsia" w:ascii="宋体" w:hAnsi="宋体" w:eastAsia="宋体" w:cs="宋体"/>
                <w:color w:val="auto"/>
                <w:kern w:val="0"/>
                <w:sz w:val="21"/>
                <w:szCs w:val="21"/>
                <w:highlight w:val="none"/>
              </w:rPr>
              <w:t>6Tops算力，三核架构，支持int4/int8/int16/FP16/BF16/TF32，支持主流的深度学习框架；支持H.265/H.264/AV1/VP9/AVS2视频解码，最高8K60FPS，支持H.264/H.265视频编码，最高8K30FPS；默认8GBLPDDR内存；默认32GBeMMC存储；</w:t>
            </w:r>
          </w:p>
          <w:p w14:paraId="46E40A5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2.主板可以支持MIPILCD液晶屏、MIPI摄像头；带HDMI视频输出接口；</w:t>
            </w:r>
          </w:p>
          <w:p w14:paraId="6F62C71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3.可以支持M.2接口5G通讯模组；</w:t>
            </w:r>
          </w:p>
          <w:p w14:paraId="73D91D7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4.可以支持M.2接口硬盘；</w:t>
            </w:r>
          </w:p>
          <w:p w14:paraId="52FEADA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5.含2路USB2.0、2路USB3.0.1路Typc-CUSB带OTG下载接口、1路USB</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to</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TTL调试接口、1路RS485接口</w:t>
            </w:r>
          </w:p>
          <w:p w14:paraId="2A55BEC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6．不少于4个LED指示灯；</w:t>
            </w:r>
          </w:p>
          <w:p w14:paraId="630AEC4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7.复位按键、下载按键、电源按键等四个按键；</w:t>
            </w:r>
          </w:p>
          <w:p w14:paraId="4599897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8.支持Wi-Fi，BT，RS485，SPI，CAN，PCIe，双1000M以太网络通讯；</w:t>
            </w:r>
          </w:p>
          <w:p w14:paraId="3CF685F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9.设备供电电压为DC-12V。</w:t>
            </w:r>
          </w:p>
          <w:p w14:paraId="0B3B9B6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10.预装</w:t>
            </w:r>
            <w:r>
              <w:rPr>
                <w:rFonts w:hint="eastAsia" w:ascii="宋体" w:hAnsi="宋体" w:eastAsia="宋体" w:cs="宋体"/>
                <w:color w:val="auto"/>
                <w:kern w:val="0"/>
                <w:sz w:val="21"/>
                <w:szCs w:val="21"/>
                <w:highlight w:val="none"/>
                <w:lang w:val="en-US" w:eastAsia="zh-CN"/>
              </w:rPr>
              <w:t>开源系统</w:t>
            </w:r>
            <w:r>
              <w:rPr>
                <w:rFonts w:hint="eastAsia" w:ascii="宋体" w:hAnsi="宋体" w:eastAsia="宋体" w:cs="宋体"/>
                <w:color w:val="auto"/>
                <w:kern w:val="0"/>
                <w:sz w:val="21"/>
                <w:szCs w:val="21"/>
                <w:highlight w:val="none"/>
              </w:rPr>
              <w:t>正式版本，支持分布式软总线、设备虚拟化、安全子系统等核心能力，提供官方SDK及源码</w:t>
            </w:r>
          </w:p>
          <w:p w14:paraId="260076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国产</w:t>
            </w:r>
            <w:r>
              <w:rPr>
                <w:rFonts w:hint="eastAsia" w:ascii="宋体" w:hAnsi="宋体" w:eastAsia="宋体" w:cs="宋体"/>
                <w:color w:val="auto"/>
                <w:kern w:val="0"/>
                <w:sz w:val="21"/>
                <w:szCs w:val="21"/>
                <w:highlight w:val="none"/>
              </w:rPr>
              <w:t>应用：</w:t>
            </w:r>
          </w:p>
          <w:p w14:paraId="5989547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应用不低于</w:t>
            </w:r>
            <w:r>
              <w:rPr>
                <w:rFonts w:hint="eastAsia" w:ascii="宋体" w:hAnsi="宋体" w:eastAsia="宋体" w:cs="宋体"/>
                <w:color w:val="auto"/>
                <w:kern w:val="0"/>
                <w:sz w:val="21"/>
                <w:szCs w:val="21"/>
                <w:highlight w:val="none"/>
                <w:lang w:eastAsia="zh-CN"/>
              </w:rPr>
              <w:t>HUAWEI DevEco Studio 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 Release</w:t>
            </w:r>
            <w:r>
              <w:rPr>
                <w:rFonts w:hint="eastAsia" w:ascii="宋体" w:hAnsi="宋体" w:eastAsia="宋体" w:cs="宋体"/>
                <w:color w:val="auto"/>
                <w:kern w:val="0"/>
                <w:sz w:val="21"/>
                <w:szCs w:val="21"/>
                <w:highlight w:val="none"/>
              </w:rPr>
              <w:t>版本软件开发、采用OpenHarmony不低于4.0Release版本，OpenHarmonySDK不低于</w:t>
            </w:r>
            <w:r>
              <w:rPr>
                <w:rFonts w:hint="eastAsia" w:ascii="宋体" w:hAnsi="宋体" w:eastAsia="宋体" w:cs="宋体"/>
                <w:color w:val="auto"/>
                <w:kern w:val="0"/>
                <w:sz w:val="21"/>
                <w:szCs w:val="21"/>
                <w:highlight w:val="none"/>
                <w:lang w:eastAsia="zh-CN"/>
              </w:rPr>
              <w:t>API 10</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Full SDK</w:t>
            </w:r>
            <w:r>
              <w:rPr>
                <w:rFonts w:hint="eastAsia" w:ascii="宋体" w:hAnsi="宋体" w:eastAsia="宋体" w:cs="宋体"/>
                <w:color w:val="auto"/>
                <w:kern w:val="0"/>
                <w:sz w:val="21"/>
                <w:szCs w:val="21"/>
                <w:highlight w:val="none"/>
              </w:rPr>
              <w:t>包，采用ArkTS语言+Stage应用模型+系统能力进行应用开发，以项目式-组件模块式的编写方法，逐步展开应用项目的开发。</w:t>
            </w:r>
          </w:p>
          <w:p w14:paraId="5D4C556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软件平台</w:t>
            </w:r>
          </w:p>
          <w:p w14:paraId="12D4067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1.远程监控与管理：用户可以通过Web界面远程监控设备的状态，包括土壤湿度、光照强度等环境参数，以及作物的生长状况。同时，用户还可以对设备进行远程控制，如启动或停止灌溉、播种等操作。</w:t>
            </w:r>
          </w:p>
          <w:p w14:paraId="54E858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2.自动化任务设置：支持用户预设自动化任务，如定时浇水、施肥等，设备会根据预设的计划自动执行这些任务，提高农业生产效率。</w:t>
            </w:r>
          </w:p>
          <w:p w14:paraId="1998A51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3.数据记录与分析：自动记录和分析农业生产数据，用户可以通过Web界面查看历史数据，分析作物生长趋势，优化种植策略。</w:t>
            </w:r>
          </w:p>
          <w:p w14:paraId="6585413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4.应用平台须支持环境重置功能：每位用户在多次操作复杂案例后，能恢复到初始状态。确保每次实训不受之前配置过程的影响。</w:t>
            </w:r>
          </w:p>
          <w:p w14:paraId="3DE06AD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5.应用平台应允许用户通过SSH终端接入虚拟机：进行物联网中间件和docker微服务的配置与部署；</w:t>
            </w:r>
          </w:p>
          <w:p w14:paraId="5A7971B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6.应用平台应支持多种数据采集协议：包括HTTP、MQTT、COAP，用于设备数据采集；</w:t>
            </w:r>
          </w:p>
          <w:p w14:paraId="0B02E8D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7.应用平台应支持在内置的非关系型数据库存储：用于存储时序数据</w:t>
            </w:r>
          </w:p>
          <w:p w14:paraId="16C99DD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8.应用平台支持时序数据查询：包括最新时序数据值和特定时间段内的所有数据；</w:t>
            </w:r>
          </w:p>
          <w:p w14:paraId="475EDB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9.应用平台支持查询与更新订阅数据：通过API和WebSocket实现；</w:t>
            </w:r>
          </w:p>
          <w:p w14:paraId="0EDFEF2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10.应用平台应具备设备连接的状态监视和触发功能：监视并触发规则引擎处理推送到达的设备连接事件；</w:t>
            </w:r>
          </w:p>
          <w:p w14:paraId="5CF6840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11.应用平台支持远程RPC调用：允许服务端应用程序向设备发送调用；</w:t>
            </w:r>
          </w:p>
          <w:p w14:paraId="195EB8D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12.应用平台具备规则引擎：能够接收来自设备、设备生命周期事件、API事件、RPC请求等传入的数据，并创建规则节点和规则链对接收的数据进行过滤、转换和执行；</w:t>
            </w:r>
          </w:p>
          <w:p w14:paraId="2F790CE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13.应用平台支持自定义数据看板：通过添加数字量和模拟量仪表、地图组件、设备控件、图表、数据卡片等部件，创建自定义数据看板，完成数据可视化展示；</w:t>
            </w:r>
          </w:p>
          <w:p w14:paraId="4E55596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14.应用平台支持日志功能：记录用户对设备、规则引擎、数据看板的相关操作；</w:t>
            </w:r>
          </w:p>
          <w:p w14:paraId="3827A2D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平台支持ThingsBoard（物联网平台）、ChirpStack（LoRaWAN服务器）、HomeAssistant（物联网平台）、Node-RED（流式编程环境）、Grafana（数据可视化工具）、InfluxDB（时序数据库）、JEECG（低代码编程环境）、EdgeX（边缘计算框架）、Jupyter（AI多语言编程环境）、TensorFlow（机器学习框架）、WeBASE（区块链通用组件）、Kubernetes（运维平台）等常见的物联网、人工智能、区块链组件的部署应用。</w:t>
            </w:r>
          </w:p>
          <w:p w14:paraId="6512A7A7">
            <w:pPr>
              <w:widowControl/>
              <w:spacing w:line="240" w:lineRule="auto"/>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rPr>
              <w:t>▲16.须具备NLP处理能力：可通过自然语言处理技术，通过问答的形式解决学习难点。</w:t>
            </w:r>
            <w:r>
              <w:rPr>
                <w:rFonts w:hint="eastAsia" w:ascii="宋体" w:hAnsi="宋体" w:eastAsia="宋体" w:cs="宋体"/>
                <w:b/>
                <w:bCs/>
                <w:color w:val="auto"/>
                <w:kern w:val="0"/>
                <w:sz w:val="21"/>
                <w:szCs w:val="21"/>
                <w:highlight w:val="none"/>
              </w:rPr>
              <w:t>（投标文件中提供操作界面截图，并加盖投标人公章）</w:t>
            </w:r>
          </w:p>
          <w:p w14:paraId="21214B8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17.提供编码环境支持多种语言和文件格式的编写：C#、Java、Python、JavaScript等编程开发语言。</w:t>
            </w:r>
          </w:p>
          <w:p w14:paraId="254604C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▲18.须提供Jupyter交互环境：支持实时代码、机器学习、可视化。包括数据采集、模型训练、模型评估、模型加载与预测、图像标注、部署Web应用</w:t>
            </w:r>
            <w:r>
              <w:rPr>
                <w:rFonts w:hint="eastAsia" w:ascii="宋体" w:hAnsi="宋体" w:eastAsia="宋体" w:cs="宋体"/>
                <w:color w:val="auto"/>
                <w:kern w:val="0"/>
                <w:sz w:val="21"/>
                <w:szCs w:val="21"/>
                <w:highlight w:val="none"/>
                <w:lang w:eastAsia="zh-CN"/>
              </w:rPr>
              <w:t>等</w:t>
            </w:r>
            <w:r>
              <w:rPr>
                <w:rFonts w:hint="eastAsia" w:ascii="宋体" w:hAnsi="宋体" w:eastAsia="宋体" w:cs="宋体"/>
                <w:color w:val="auto"/>
                <w:kern w:val="0"/>
                <w:sz w:val="21"/>
                <w:szCs w:val="21"/>
                <w:highlight w:val="none"/>
              </w:rPr>
              <w:t>用途。</w:t>
            </w:r>
            <w:r>
              <w:rPr>
                <w:rFonts w:hint="eastAsia" w:ascii="宋体" w:hAnsi="宋体" w:eastAsia="宋体" w:cs="宋体"/>
                <w:b/>
                <w:bCs/>
                <w:color w:val="auto"/>
                <w:kern w:val="0"/>
                <w:sz w:val="21"/>
                <w:szCs w:val="21"/>
                <w:highlight w:val="none"/>
              </w:rPr>
              <w:t>（投标文件中提供操作界面截图，并加盖投标人公章）</w:t>
            </w:r>
          </w:p>
          <w:p w14:paraId="44CA29D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支持图形化编程零代码编程环境，提供直观的图形化编程界面，支持通过拖拽、拼接等方式进行编程操作，无需编写复杂代码；支持Scratch图形化编程语言，具备完整的编程功能模块，如变量、运算、控制结构、事件处理等；支持项目创建、保存、加载、导出等功能，方便用户管理和分享自己的编程项目；内置的教学资源，如编程教程、示例项目、人工智能算法、工业互联网及智能家居等学习资料，方便用户学习和参考；</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eastAsia="zh-CN"/>
              </w:rPr>
              <w:t>功能演示项</w:t>
            </w:r>
            <w:r>
              <w:rPr>
                <w:rFonts w:hint="eastAsia" w:ascii="宋体" w:hAnsi="宋体" w:eastAsia="宋体" w:cs="宋体"/>
                <w:b/>
                <w:bCs/>
                <w:color w:val="auto"/>
                <w:kern w:val="0"/>
                <w:sz w:val="21"/>
                <w:szCs w:val="21"/>
                <w:highlight w:val="none"/>
              </w:rPr>
              <w:t>）</w:t>
            </w:r>
          </w:p>
          <w:p w14:paraId="0D817572">
            <w:pPr>
              <w:widowControl/>
              <w:spacing w:line="240" w:lineRule="auto"/>
              <w:jc w:val="left"/>
              <w:rPr>
                <w:rFonts w:hint="eastAsia" w:ascii="宋体" w:hAnsi="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rPr>
              <w:t>■20.实验环境需支持在线方式部署模型预测应用，且需支持图像分类或目标检测等模型预测效果web页面展示；</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eastAsia="zh-CN"/>
              </w:rPr>
              <w:t>功能演示项）</w:t>
            </w:r>
          </w:p>
          <w:p w14:paraId="2280A3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▲21.支持用户针对编辑过的.ipynb格式文件一键还原至初始状态，方便学生实验过程中的回退修改；</w:t>
            </w:r>
            <w:r>
              <w:rPr>
                <w:rFonts w:hint="eastAsia" w:ascii="宋体" w:hAnsi="宋体" w:eastAsia="宋体" w:cs="宋体"/>
                <w:b/>
                <w:bCs/>
                <w:color w:val="auto"/>
                <w:kern w:val="0"/>
                <w:sz w:val="21"/>
                <w:szCs w:val="21"/>
                <w:highlight w:val="none"/>
              </w:rPr>
              <w:t>（投标文件中提供操作界面截图，并加盖投标人公章）</w:t>
            </w:r>
          </w:p>
          <w:p w14:paraId="0406567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▲22.平台支持实时显示当前内存和CPU占用情况，支持选手手动终止占用资源较大的应用程序；</w:t>
            </w:r>
            <w:r>
              <w:rPr>
                <w:rFonts w:hint="eastAsia" w:ascii="宋体" w:hAnsi="宋体" w:eastAsia="宋体" w:cs="宋体"/>
                <w:b/>
                <w:bCs/>
                <w:color w:val="auto"/>
                <w:kern w:val="0"/>
                <w:sz w:val="21"/>
                <w:szCs w:val="21"/>
                <w:highlight w:val="none"/>
              </w:rPr>
              <w:t>（投标文件中提供操作界面截图，并加盖投标人公章）</w:t>
            </w:r>
          </w:p>
          <w:p w14:paraId="346C67A4">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23.提供可视化模型训练工具，支持学生零代码构建高精度模型,支持分类/检测预训练模型，载入标注后的数据后，工具提供“数据预处理”、“数据生产”、“训练参数配置”、“模型训练”和“模型验证”功能。训练好的模型无需交叉编译可直接部署到边缘计算终端进行端侧推理验证。</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eastAsia="zh-CN"/>
              </w:rPr>
              <w:t>功能演示项</w:t>
            </w:r>
            <w:r>
              <w:rPr>
                <w:rFonts w:hint="eastAsia" w:ascii="宋体" w:hAnsi="宋体" w:eastAsia="宋体" w:cs="宋体"/>
                <w:b/>
                <w:bCs/>
                <w:color w:val="auto"/>
                <w:kern w:val="0"/>
                <w:sz w:val="21"/>
                <w:szCs w:val="21"/>
                <w:highlight w:val="none"/>
              </w:rPr>
              <w:t>）</w:t>
            </w:r>
          </w:p>
          <w:p w14:paraId="5700D3F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▲24.支持对CPU、GPU、内存的总资源、已分配资源、分配率进行展示，帮助管理员/教师掌控资源是否足够，方便决策是否需要升级更高版本或者增加物理资源；</w:t>
            </w:r>
            <w:r>
              <w:rPr>
                <w:rFonts w:hint="eastAsia" w:ascii="宋体" w:hAnsi="宋体" w:eastAsia="宋体" w:cs="宋体"/>
                <w:b/>
                <w:bCs/>
                <w:color w:val="auto"/>
                <w:kern w:val="0"/>
                <w:sz w:val="21"/>
                <w:szCs w:val="21"/>
                <w:highlight w:val="none"/>
              </w:rPr>
              <w:t>（投标文件中提供操作界面截图，并加盖投标人公章）</w:t>
            </w:r>
          </w:p>
          <w:p w14:paraId="50D1F6B9">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▲25.支持基于容器实现GPU虚拟化，虚拟化vGPU可配置算力大小，可配置显存大小，可根据实际教学需要配置vGPU，提高物理GPU利用率；</w:t>
            </w:r>
            <w:r>
              <w:rPr>
                <w:rFonts w:hint="eastAsia" w:ascii="宋体" w:hAnsi="宋体" w:eastAsia="宋体" w:cs="宋体"/>
                <w:b/>
                <w:bCs/>
                <w:color w:val="auto"/>
                <w:kern w:val="0"/>
                <w:sz w:val="21"/>
                <w:szCs w:val="21"/>
                <w:highlight w:val="none"/>
              </w:rPr>
              <w:t>（投标文件中提供操作界面截图，并加盖投标人公章）</w:t>
            </w:r>
          </w:p>
          <w:p w14:paraId="34127BF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26.支持实验环境资源与镜像配置，管理员可根据教学不同阶段需要灵活配置学生实验容器CPU、内存、GPU以及实验镜像参数；</w:t>
            </w:r>
          </w:p>
          <w:p w14:paraId="248A37D5">
            <w:pPr>
              <w:widowControl/>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▲27.支持任务学习过程中章节快速切换、任务进度跟踪、剩余时间倒计时，报告填写提交、上下节导航、当前节提交、任务提交、成绩查看、截屏、学习资料上传等子功能；</w:t>
            </w:r>
            <w:r>
              <w:rPr>
                <w:rFonts w:hint="eastAsia" w:ascii="宋体" w:hAnsi="宋体" w:eastAsia="宋体" w:cs="宋体"/>
                <w:b/>
                <w:bCs/>
                <w:color w:val="auto"/>
                <w:kern w:val="0"/>
                <w:sz w:val="21"/>
                <w:szCs w:val="21"/>
                <w:highlight w:val="none"/>
              </w:rPr>
              <w:t>（投标文件中提供操作界面截图，并加盖投标人公章）</w:t>
            </w:r>
          </w:p>
        </w:tc>
        <w:tc>
          <w:tcPr>
            <w:tcW w:w="276" w:type="pct"/>
            <w:shd w:val="clear" w:color="auto" w:fill="auto"/>
            <w:vAlign w:val="center"/>
          </w:tcPr>
          <w:p w14:paraId="563BAA0F">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55B6DC41">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2AFA4337">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工业</w:t>
            </w:r>
          </w:p>
        </w:tc>
      </w:tr>
      <w:tr w14:paraId="753C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1FDAB22C">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14" w:type="pct"/>
            <w:shd w:val="clear" w:color="auto" w:fill="auto"/>
            <w:tcMar>
              <w:top w:w="13" w:type="dxa"/>
              <w:left w:w="57" w:type="dxa"/>
              <w:bottom w:w="0" w:type="dxa"/>
              <w:right w:w="57" w:type="dxa"/>
            </w:tcMar>
            <w:vAlign w:val="center"/>
          </w:tcPr>
          <w:p w14:paraId="3A0FBD1F">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智慧农业采摘巡检机器人实验平台（履带版）</w:t>
            </w:r>
          </w:p>
        </w:tc>
        <w:tc>
          <w:tcPr>
            <w:tcW w:w="3617" w:type="pct"/>
            <w:gridSpan w:val="2"/>
            <w:shd w:val="clear" w:color="auto" w:fill="auto"/>
            <w:tcMar>
              <w:top w:w="13" w:type="dxa"/>
              <w:left w:w="57" w:type="dxa"/>
              <w:bottom w:w="0" w:type="dxa"/>
              <w:right w:w="57" w:type="dxa"/>
            </w:tcMar>
            <w:vAlign w:val="center"/>
          </w:tcPr>
          <w:p w14:paraId="2DBEEB5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复合移动抓取机器人</w:t>
            </w:r>
          </w:p>
          <w:p w14:paraId="3D1AEFE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（一）机械臂</w:t>
            </w:r>
          </w:p>
          <w:p w14:paraId="07FAE18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1.自由度：6；</w:t>
            </w:r>
          </w:p>
          <w:p w14:paraId="450E6F4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2.最大工作半径：不小于886mm；</w:t>
            </w:r>
          </w:p>
          <w:p w14:paraId="0F554AB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3.负载：不小于5Kg；</w:t>
            </w:r>
          </w:p>
          <w:p w14:paraId="24567DF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4.协同操作：根据ISO10218-1：2011进行协调操作，具备“安全适用的受监控停止”、“拖动示教”以及“功率与力限制”等协作机器人安全功能；</w:t>
            </w:r>
          </w:p>
          <w:p w14:paraId="641BF15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5.定位精度：±0.02mm；</w:t>
            </w:r>
          </w:p>
          <w:p w14:paraId="0DFB603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6.末端速度：≤2.8m/s；</w:t>
            </w:r>
          </w:p>
          <w:p w14:paraId="1825D6D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7.材料：铝合金；</w:t>
            </w:r>
          </w:p>
          <w:p w14:paraId="4F0E71D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8.防护等级：IP54；</w:t>
            </w:r>
          </w:p>
          <w:p w14:paraId="1A86518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9.供电电源：DC48V；</w:t>
            </w:r>
          </w:p>
          <w:p w14:paraId="5B8AEA3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10.运动轴运动范围最大速度</w:t>
            </w:r>
          </w:p>
          <w:p w14:paraId="0CDFB6A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关节1基座360°147°/s</w:t>
            </w:r>
          </w:p>
          <w:p w14:paraId="004A12B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关节2肩部±175°147°/s</w:t>
            </w:r>
          </w:p>
          <w:p w14:paraId="13D335F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关节3肘部±175°147°/s</w:t>
            </w:r>
          </w:p>
          <w:p w14:paraId="71DF63A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关节4腕部±175°180°/s</w:t>
            </w:r>
          </w:p>
          <w:p w14:paraId="55D2BA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关节5腕部±175°180°/s</w:t>
            </w:r>
          </w:p>
          <w:p w14:paraId="4037F78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关节6腕部360°180°/s</w:t>
            </w:r>
          </w:p>
          <w:p w14:paraId="177ED8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.机械臂I/O接口</w:t>
            </w:r>
          </w:p>
          <w:p w14:paraId="784EBE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1)电源输出：12V/24V；</w:t>
            </w:r>
          </w:p>
          <w:p w14:paraId="336F23A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2）电流输出：≥0.8A；</w:t>
            </w:r>
          </w:p>
          <w:p w14:paraId="2FFCB6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3)数字量I/O：≥4路（输入、输出）；</w:t>
            </w:r>
          </w:p>
          <w:p w14:paraId="4D09A02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4)模拟量输入：≥2路；</w:t>
            </w:r>
          </w:p>
          <w:p w14:paraId="554F1CF8">
            <w:pPr>
              <w:widowControl/>
              <w:spacing w:line="240" w:lineRule="auto"/>
              <w:jc w:val="left"/>
              <w:rPr>
                <w:rFonts w:hint="eastAsia" w:ascii="宋体" w:hAnsi="宋体" w:eastAsia="宋体" w:cs="宋体"/>
                <w:color w:val="auto"/>
                <w:kern w:val="0"/>
                <w:sz w:val="21"/>
                <w:szCs w:val="21"/>
                <w:highlight w:val="none"/>
              </w:rPr>
            </w:pPr>
            <w:r>
              <w:rPr>
                <w:rFonts w:hint="default" w:ascii="宋体" w:hAnsi="宋体" w:eastAsia="宋体"/>
                <w:color w:val="auto"/>
                <w:kern w:val="0"/>
                <w:szCs w:val="21"/>
                <w:highlight w:val="none"/>
                <w:woUserID w:val="1"/>
              </w:rPr>
              <w:t>12.</w:t>
            </w:r>
            <w:r>
              <w:rPr>
                <w:rFonts w:hint="eastAsia" w:ascii="宋体" w:hAnsi="宋体" w:eastAsia="宋体"/>
                <w:color w:val="auto"/>
                <w:kern w:val="0"/>
                <w:szCs w:val="21"/>
                <w:highlight w:val="none"/>
                <w:woUserID w:val="1"/>
              </w:rPr>
              <w:t>采摘速度：≤10 s/个；</w:t>
            </w:r>
          </w:p>
          <w:p w14:paraId="51CB743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（二）履带式底盘</w:t>
            </w:r>
          </w:p>
          <w:p w14:paraId="33EDFFB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1.履带式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导航</w:t>
            </w:r>
            <w:r>
              <w:rPr>
                <w:rFonts w:hint="eastAsia" w:ascii="宋体" w:hAnsi="宋体" w:eastAsia="宋体" w:cs="宋体"/>
                <w:color w:val="auto"/>
                <w:kern w:val="0"/>
                <w:sz w:val="21"/>
                <w:szCs w:val="21"/>
                <w:highlight w:val="none"/>
                <w:lang w:val="en-US" w:eastAsia="zh-CN"/>
              </w:rPr>
              <w:t>精度</w:t>
            </w:r>
            <w:r>
              <w:rPr>
                <w:rFonts w:hint="eastAsia" w:ascii="宋体" w:hAnsi="宋体" w:eastAsia="宋体" w:cs="宋体"/>
                <w:color w:val="auto"/>
                <w:kern w:val="0"/>
                <w:sz w:val="21"/>
                <w:szCs w:val="21"/>
                <w:highlight w:val="none"/>
              </w:rPr>
              <w:t>：±20 mm；</w:t>
            </w:r>
          </w:p>
          <w:p w14:paraId="308C7AA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2.最大</w:t>
            </w:r>
            <w:r>
              <w:rPr>
                <w:rFonts w:hint="eastAsia" w:ascii="宋体" w:hAnsi="宋体" w:eastAsia="宋体" w:cs="宋体"/>
                <w:color w:val="auto"/>
                <w:kern w:val="0"/>
                <w:sz w:val="21"/>
                <w:szCs w:val="21"/>
                <w:highlight w:val="none"/>
                <w:lang w:eastAsia="zh-CN"/>
              </w:rPr>
              <w:t>行驶</w:t>
            </w:r>
            <w:r>
              <w:rPr>
                <w:rFonts w:hint="eastAsia" w:ascii="宋体" w:hAnsi="宋体" w:eastAsia="宋体" w:cs="宋体"/>
                <w:color w:val="auto"/>
                <w:kern w:val="0"/>
                <w:sz w:val="21"/>
                <w:szCs w:val="21"/>
                <w:highlight w:val="none"/>
              </w:rPr>
              <w:t>速度：1 m/s、</w:t>
            </w:r>
            <w:r>
              <w:rPr>
                <w:rFonts w:hint="eastAsia" w:ascii="宋体" w:hAnsi="宋体" w:eastAsia="宋体" w:cs="宋体"/>
                <w:color w:val="auto"/>
                <w:kern w:val="0"/>
                <w:sz w:val="21"/>
                <w:szCs w:val="21"/>
                <w:highlight w:val="none"/>
                <w:lang w:val="en-US" w:eastAsia="zh-CN"/>
              </w:rPr>
              <w:t>可原地转向，</w:t>
            </w:r>
            <w:r>
              <w:rPr>
                <w:rFonts w:hint="eastAsia" w:ascii="宋体" w:hAnsi="宋体" w:eastAsia="宋体" w:cs="宋体"/>
                <w:color w:val="auto"/>
                <w:kern w:val="0"/>
                <w:sz w:val="21"/>
                <w:szCs w:val="21"/>
                <w:highlight w:val="none"/>
              </w:rPr>
              <w:t>最小转弯半径：1 m；</w:t>
            </w:r>
          </w:p>
          <w:p w14:paraId="214F76D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3.控制方式：</w:t>
            </w:r>
            <w:r>
              <w:rPr>
                <w:rFonts w:hint="eastAsia" w:ascii="宋体" w:hAnsi="宋体" w:eastAsia="宋体" w:cs="宋体"/>
                <w:color w:val="auto"/>
                <w:kern w:val="0"/>
                <w:sz w:val="21"/>
                <w:szCs w:val="21"/>
                <w:highlight w:val="none"/>
                <w:lang w:val="en-US" w:eastAsia="zh-CN"/>
              </w:rPr>
              <w:t>遥控</w:t>
            </w:r>
            <w:r>
              <w:rPr>
                <w:rFonts w:hint="eastAsia" w:ascii="宋体" w:hAnsi="宋体" w:eastAsia="宋体" w:cs="宋体"/>
                <w:color w:val="auto"/>
                <w:kern w:val="0"/>
                <w:sz w:val="21"/>
                <w:szCs w:val="21"/>
                <w:highlight w:val="none"/>
              </w:rPr>
              <w:t>/自动、</w:t>
            </w:r>
            <w:r>
              <w:rPr>
                <w:rFonts w:hint="eastAsia" w:ascii="宋体" w:hAnsi="宋体" w:eastAsia="宋体"/>
                <w:color w:val="auto"/>
                <w:kern w:val="0"/>
                <w:szCs w:val="21"/>
                <w:highlight w:val="none"/>
              </w:rPr>
              <w:t>避障范围：</w:t>
            </w:r>
            <w:r>
              <w:rPr>
                <w:rFonts w:hint="eastAsia" w:ascii="宋体" w:hAnsi="宋体" w:eastAsia="宋体"/>
                <w:color w:val="auto"/>
                <w:kern w:val="0"/>
                <w:szCs w:val="21"/>
                <w:highlight w:val="none"/>
                <w:lang w:val="en-US" w:eastAsia="zh-CN"/>
              </w:rPr>
              <w:t>支持</w:t>
            </w:r>
            <w:r>
              <w:rPr>
                <w:rFonts w:hint="eastAsia" w:ascii="宋体" w:hAnsi="宋体" w:eastAsia="宋体" w:cs="宋体"/>
                <w:i w:val="0"/>
                <w:iCs w:val="0"/>
                <w:caps w:val="0"/>
                <w:color w:val="auto"/>
                <w:spacing w:val="0"/>
                <w:sz w:val="21"/>
                <w:szCs w:val="21"/>
                <w:highlight w:val="none"/>
                <w:woUserID w:val="1"/>
              </w:rPr>
              <w:t>设置范围为0-3m</w:t>
            </w:r>
            <w:r>
              <w:rPr>
                <w:rFonts w:hint="eastAsia" w:ascii="宋体" w:hAnsi="宋体" w:eastAsia="宋体" w:cs="宋体"/>
                <w:color w:val="auto"/>
                <w:kern w:val="0"/>
                <w:sz w:val="21"/>
                <w:szCs w:val="21"/>
                <w:highlight w:val="none"/>
              </w:rPr>
              <w:t>、防撞功能：超声波；</w:t>
            </w:r>
          </w:p>
          <w:p w14:paraId="06610D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4.工作续航时间：≥3 h、充电时间：6 h。</w:t>
            </w:r>
          </w:p>
          <w:p w14:paraId="3948E47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5.双直流电机独立驱动，</w:t>
            </w:r>
            <w:r>
              <w:rPr>
                <w:rFonts w:hint="eastAsia" w:ascii="宋体" w:hAnsi="宋体" w:eastAsia="宋体" w:cs="宋体"/>
                <w:color w:val="auto"/>
                <w:kern w:val="0"/>
                <w:sz w:val="21"/>
                <w:szCs w:val="21"/>
                <w:highlight w:val="none"/>
                <w:lang w:val="en-US" w:eastAsia="zh-CN"/>
              </w:rPr>
              <w:t>单</w:t>
            </w:r>
            <w:r>
              <w:rPr>
                <w:rFonts w:hint="eastAsia" w:ascii="宋体" w:hAnsi="宋体" w:eastAsia="宋体" w:cs="宋体"/>
                <w:color w:val="auto"/>
                <w:kern w:val="0"/>
                <w:sz w:val="21"/>
                <w:szCs w:val="21"/>
                <w:highlight w:val="none"/>
              </w:rPr>
              <w:t>电机功率≥300W；行走速度：0-1m/s；最大爬坡角度：15°；负载≥200kg；</w:t>
            </w:r>
          </w:p>
          <w:p w14:paraId="73EB1FF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6.电压电流实时显示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多种电路接口输出，支持RS485和CAN2.0B总线通讯协议。</w:t>
            </w:r>
          </w:p>
          <w:p w14:paraId="7F54D05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7.遥控操作底盘行走系统：遥控距离：100m；遥控功能：底盘车启停、转向。</w:t>
            </w:r>
          </w:p>
          <w:p w14:paraId="7CCB5C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rPr>
              <w:t>）传感器</w:t>
            </w:r>
          </w:p>
          <w:p w14:paraId="295A517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要求：</w:t>
            </w:r>
          </w:p>
          <w:p w14:paraId="1A56100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1.采用16线3D激光雷达，水平视场角360°,垂直视场角30°,激光波长905nm，符合Class1人眼安全；</w:t>
            </w:r>
          </w:p>
          <w:p w14:paraId="654140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2.要求激光雷达测量距离≥150m（80</w:t>
            </w:r>
            <w:r>
              <w:rPr>
                <w:rFonts w:hint="eastAsia" w:ascii="宋体" w:hAnsi="宋体" w:eastAsia="宋体" w:cs="宋体"/>
                <w:color w:val="auto"/>
                <w:kern w:val="0"/>
                <w:sz w:val="21"/>
                <w:szCs w:val="21"/>
                <w:highlight w:val="none"/>
                <w:lang w:val="en-US" w:eastAsia="zh-CN"/>
              </w:rPr>
              <w:t>m</w:t>
            </w:r>
            <w:r>
              <w:rPr>
                <w:rFonts w:hint="eastAsia" w:ascii="宋体" w:hAnsi="宋体" w:eastAsia="宋体" w:cs="宋体"/>
                <w:color w:val="auto"/>
                <w:kern w:val="0"/>
                <w:sz w:val="21"/>
                <w:szCs w:val="21"/>
                <w:highlight w:val="none"/>
              </w:rPr>
              <w:t>@10%NIST），精度典型值±2cm，盲区≤0.4m；</w:t>
            </w:r>
          </w:p>
          <w:p w14:paraId="2B4691A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3.要求激光雷达具备单回波300000pts/s，双回波600000pts/s，UDP数据包具备三维空间坐标、反射强度、时间戳等；</w:t>
            </w:r>
          </w:p>
          <w:p w14:paraId="222D273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4.要求激光雷达安装于移动机器人底盘前部，不得干涉机械臂运动路径且保有最佳视场角；</w:t>
            </w:r>
          </w:p>
          <w:p w14:paraId="666C705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5.要求采用九轴姿态传感器，参考尺寸≤40*40*25mm（W*L*H），板载传感器具备三轴加速度计、三轴陀螺仪、三轴磁传感器；</w:t>
            </w:r>
          </w:p>
          <w:p w14:paraId="79E6C9A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6.要求九轴姿态传感器板载三轴陀螺仪最大量程±2000°/s，板载三轴加速度计最大量程±8G，板载三轴磁传感器最大量程±8G（Gauss）；</w:t>
            </w:r>
          </w:p>
          <w:p w14:paraId="61C7158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7.要求采用双目深度视觉传感器，具备全局快门，采用主动红外技术，最大范围10m，RGB传感器FOV69.4°*77°(±3°),深度FOV85.2°*58°*94°(±3°),最小深度距离0.1m，深度流输出分辨率1280*720；深度流输出帧率90fps；</w:t>
            </w:r>
          </w:p>
          <w:p w14:paraId="08E1340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8.要求采用2个双目深度视觉传感器，分别安装于多线激光雷达正下方及机械臂夹持器上方，并具备ROSPkg；</w:t>
            </w:r>
          </w:p>
          <w:p w14:paraId="1A0DF2C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整体化设计配套</w:t>
            </w:r>
            <w:r>
              <w:rPr>
                <w:rFonts w:hint="eastAsia" w:ascii="宋体" w:hAnsi="宋体" w:eastAsia="宋体" w:cs="宋体"/>
                <w:color w:val="auto"/>
                <w:kern w:val="0"/>
                <w:sz w:val="21"/>
                <w:szCs w:val="21"/>
                <w:highlight w:val="none"/>
              </w:rPr>
              <w:t>工控机</w:t>
            </w:r>
          </w:p>
          <w:p w14:paraId="24DF72A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最低配置</w:t>
            </w:r>
            <w:r>
              <w:rPr>
                <w:rFonts w:hint="eastAsia" w:ascii="宋体" w:hAnsi="宋体" w:eastAsia="宋体" w:cs="宋体"/>
                <w:color w:val="auto"/>
                <w:kern w:val="0"/>
                <w:sz w:val="21"/>
                <w:szCs w:val="21"/>
                <w:highlight w:val="none"/>
              </w:rPr>
              <w:t>要求：</w:t>
            </w:r>
          </w:p>
          <w:p w14:paraId="44C046C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1.i79700/16G/256GmSATA/2*LAN/4*USB3.1/2*USB2.0/4*RS232(COM1/2支持460800bps)/DP+HDMI/Audio/12V</w:t>
            </w:r>
            <w:r>
              <w:rPr>
                <w:rFonts w:hint="eastAsia"/>
                <w:color w:val="auto"/>
                <w:highlight w:val="none"/>
                <w:lang w:eastAsia="zh-CN"/>
              </w:rPr>
              <w:t>；</w:t>
            </w:r>
          </w:p>
          <w:p w14:paraId="3F23555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2.预装Ubuntu18.04系统，并配置ROS开发环境及常用开发工具。</w:t>
            </w:r>
          </w:p>
          <w:p w14:paraId="752DE90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rPr>
              <w:t>）通讯要求：</w:t>
            </w:r>
          </w:p>
          <w:p w14:paraId="2896344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1.USB转CAN模块采用CAN2.0B标准，通讯波特率为500K，报文格式采用MOTOROLA格式；</w:t>
            </w:r>
          </w:p>
          <w:p w14:paraId="5CB4CD3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2.要求采用4G无线路由器，具备2.4GHz/5GHz双频，最高传输速率150Mbps，支持机器人远程调试；</w:t>
            </w:r>
          </w:p>
          <w:p w14:paraId="4B051DE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3.要求采用键鼠一体操作工具；</w:t>
            </w:r>
          </w:p>
          <w:p w14:paraId="098F1D3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4.要求采用</w:t>
            </w:r>
            <w:r>
              <w:rPr>
                <w:rFonts w:hint="default" w:ascii="Arial" w:hAnsi="Arial" w:eastAsia="宋体" w:cs="Arial"/>
                <w:color w:val="auto"/>
                <w:kern w:val="0"/>
                <w:sz w:val="21"/>
                <w:szCs w:val="21"/>
                <w:highlight w:val="none"/>
              </w:rPr>
              <w:t>≥</w:t>
            </w:r>
            <w:r>
              <w:rPr>
                <w:rFonts w:hint="eastAsia" w:ascii="宋体" w:hAnsi="宋体" w:eastAsia="宋体" w:cs="宋体"/>
                <w:color w:val="auto"/>
                <w:kern w:val="0"/>
                <w:sz w:val="21"/>
                <w:szCs w:val="21"/>
                <w:highlight w:val="none"/>
              </w:rPr>
              <w:t>13英寸1080PIPS液晶显示屏；</w:t>
            </w:r>
          </w:p>
          <w:p w14:paraId="5FC54A1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）支架及电源、接口</w:t>
            </w:r>
          </w:p>
          <w:p w14:paraId="6557436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要求：</w:t>
            </w:r>
          </w:p>
          <w:p w14:paraId="713C50C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1.要求具备额外12V电源7个USB接口；</w:t>
            </w:r>
          </w:p>
          <w:p w14:paraId="0F9BF7B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2.要求具备定制支架，可容纳传感器设备安装、机械臂安装并且不干涉各部件正常工作需求；</w:t>
            </w:r>
          </w:p>
          <w:p w14:paraId="4C7FBB9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3.要求具备电气连接，机器人各模块均自移动机器人底盘取电，并且具备电源稳压模块，确保机械臂、传感器、工控机各部分均能稳定运行。</w:t>
            </w:r>
          </w:p>
          <w:p w14:paraId="5080F07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七</w:t>
            </w:r>
            <w:r>
              <w:rPr>
                <w:rFonts w:hint="eastAsia" w:ascii="宋体" w:hAnsi="宋体" w:eastAsia="宋体" w:cs="宋体"/>
                <w:color w:val="auto"/>
                <w:kern w:val="0"/>
                <w:sz w:val="21"/>
                <w:szCs w:val="21"/>
                <w:highlight w:val="none"/>
              </w:rPr>
              <w:t>）软件</w:t>
            </w:r>
          </w:p>
          <w:p w14:paraId="35B303D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要求：</w:t>
            </w:r>
          </w:p>
          <w:p w14:paraId="0ABF4DE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1.具备基于多线激光雷达的SLAM开源导航DEMO，可以实现机器人的定位、地图构建、路径规划、导航、避障等能力；</w:t>
            </w:r>
          </w:p>
          <w:p w14:paraId="70E2A16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2.具备基于6自由度机械臂的开源DEMO，可以实现机械臂ROSMoveit运动控制（含点控制及路径控制）、规划、障碍物规避（车身静态障碍物）等能力；</w:t>
            </w:r>
          </w:p>
          <w:p w14:paraId="0F8EFE5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3.具备基于ROS的机械臂两指夹持器控制DEMO；</w:t>
            </w:r>
          </w:p>
          <w:p w14:paraId="461AD82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4.具备基于双目深度传感器的二维码定位DEMO；</w:t>
            </w:r>
          </w:p>
          <w:p w14:paraId="1ACCE89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5.具备基于开源导航+机械臂系统的自主导航、识别、抓取物品DEMO（AB点导航抓取及放置物品）；</w:t>
            </w:r>
          </w:p>
          <w:p w14:paraId="1CEBE22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6.具备支持虚拟仿真系统。</w:t>
            </w:r>
          </w:p>
          <w:p w14:paraId="35E3E0E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7.具备根据目标物体的特性，定制识别定位算法与末端夹持器；</w:t>
            </w:r>
          </w:p>
          <w:p w14:paraId="13098E8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提供机械电气接口</w:t>
            </w:r>
          </w:p>
          <w:p w14:paraId="64DAB76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底盘可二次开发，进行其他类型机器人开发，提供底盘开源控制代码</w:t>
            </w:r>
          </w:p>
          <w:p w14:paraId="4447945E">
            <w:pPr>
              <w:widowControl/>
              <w:spacing w:line="240" w:lineRule="auto"/>
              <w:jc w:val="left"/>
              <w:rPr>
                <w:rFonts w:hint="eastAsia" w:ascii="宋体" w:hAnsi="宋体" w:eastAsia="宋体" w:cs="宋体"/>
                <w:color w:val="auto"/>
                <w:kern w:val="0"/>
                <w:sz w:val="21"/>
                <w:szCs w:val="21"/>
                <w:highlight w:val="none"/>
              </w:rPr>
            </w:pPr>
            <w:r>
              <w:rPr>
                <w:rFonts w:hint="default" w:ascii="宋体" w:hAnsi="宋体" w:eastAsia="宋体"/>
                <w:color w:val="auto"/>
                <w:kern w:val="0"/>
                <w:szCs w:val="21"/>
                <w:highlight w:val="none"/>
                <w:woUserID w:val="1"/>
              </w:rPr>
              <w:t>10.果实</w:t>
            </w:r>
            <w:r>
              <w:rPr>
                <w:rFonts w:hint="eastAsia" w:ascii="宋体" w:hAnsi="宋体" w:eastAsia="宋体"/>
                <w:color w:val="auto"/>
                <w:kern w:val="0"/>
                <w:szCs w:val="21"/>
                <w:highlight w:val="none"/>
                <w:woUserID w:val="1"/>
              </w:rPr>
              <w:t>别成功率：≥90%</w:t>
            </w:r>
          </w:p>
          <w:p w14:paraId="3655B32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八</w:t>
            </w:r>
            <w:r>
              <w:rPr>
                <w:rFonts w:hint="eastAsia" w:ascii="宋体" w:hAnsi="宋体" w:eastAsia="宋体" w:cs="宋体"/>
                <w:color w:val="auto"/>
                <w:kern w:val="0"/>
                <w:sz w:val="21"/>
                <w:szCs w:val="21"/>
                <w:highlight w:val="none"/>
              </w:rPr>
              <w:t>）配套教学需求</w:t>
            </w:r>
          </w:p>
          <w:p w14:paraId="74BEAFDB">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需承诺交付阶段提供教学视频以及相关实训指导书</w:t>
            </w:r>
            <w:r>
              <w:rPr>
                <w:rFonts w:hint="eastAsia" w:ascii="宋体" w:hAnsi="宋体" w:cs="宋体"/>
                <w:color w:val="auto"/>
                <w:kern w:val="0"/>
                <w:sz w:val="21"/>
                <w:szCs w:val="21"/>
                <w:highlight w:val="none"/>
                <w:lang w:eastAsia="zh-CN"/>
              </w:rPr>
              <w:t>；</w:t>
            </w:r>
          </w:p>
          <w:p w14:paraId="732A7B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需承诺交付阶段提供采摘水果模型以及场景搭建；</w:t>
            </w:r>
          </w:p>
          <w:p w14:paraId="307250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需承诺交付阶段提供电气控制原理图；</w:t>
            </w:r>
          </w:p>
          <w:p w14:paraId="556A561B">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4</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需承诺交付阶段提供机械3D模型</w:t>
            </w:r>
            <w:r>
              <w:rPr>
                <w:rFonts w:hint="eastAsia" w:ascii="宋体" w:hAnsi="宋体" w:cs="宋体"/>
                <w:color w:val="auto"/>
                <w:kern w:val="0"/>
                <w:sz w:val="21"/>
                <w:szCs w:val="21"/>
                <w:highlight w:val="none"/>
                <w:lang w:eastAsia="zh-CN"/>
              </w:rPr>
              <w:t>。</w:t>
            </w:r>
          </w:p>
        </w:tc>
        <w:tc>
          <w:tcPr>
            <w:tcW w:w="276" w:type="pct"/>
            <w:shd w:val="clear" w:color="auto" w:fill="auto"/>
            <w:vAlign w:val="center"/>
          </w:tcPr>
          <w:p w14:paraId="1ECB5E04">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06011222">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1A36E7AE">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Cs w:val="21"/>
                <w:highlight w:val="none"/>
                <w:lang w:bidi="zh-CN"/>
              </w:rPr>
              <w:t>工业</w:t>
            </w:r>
          </w:p>
        </w:tc>
      </w:tr>
      <w:tr w14:paraId="5FC5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303FAE3C">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14" w:type="pct"/>
            <w:shd w:val="clear" w:color="auto" w:fill="auto"/>
            <w:tcMar>
              <w:top w:w="13" w:type="dxa"/>
              <w:left w:w="57" w:type="dxa"/>
              <w:bottom w:w="0" w:type="dxa"/>
              <w:right w:w="57" w:type="dxa"/>
            </w:tcMar>
            <w:vAlign w:val="center"/>
          </w:tcPr>
          <w:p w14:paraId="16DB0B00">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智慧种植全人工调控拟态气候柜</w:t>
            </w:r>
          </w:p>
        </w:tc>
        <w:tc>
          <w:tcPr>
            <w:tcW w:w="3617" w:type="pct"/>
            <w:gridSpan w:val="2"/>
            <w:shd w:val="clear" w:color="auto" w:fill="auto"/>
            <w:tcMar>
              <w:top w:w="13" w:type="dxa"/>
              <w:left w:w="57" w:type="dxa"/>
              <w:bottom w:w="0" w:type="dxa"/>
              <w:right w:w="57" w:type="dxa"/>
            </w:tcMar>
            <w:vAlign w:val="center"/>
          </w:tcPr>
          <w:p w14:paraId="3C4BA1E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每套配备2台气候柜用于同步对比试验并互为备用</w:t>
            </w:r>
          </w:p>
          <w:p w14:paraId="140B5D4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1.控制柜参数：</w:t>
            </w:r>
          </w:p>
          <w:p w14:paraId="0E76C72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（1）支持6路摄像头直连；</w:t>
            </w:r>
          </w:p>
          <w:p w14:paraId="508762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（2）控制柜中部为CO2存储模块，支持存放2个最大8L的CO2钢瓶，支持控制CO2气阀的开启和关闭，支持CO2余量预警。每个CO2钢瓶对应一个种植柜内的CO2浓度调节。</w:t>
            </w:r>
          </w:p>
          <w:p w14:paraId="7C61801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PLC控制系统：具有历史数据储存功能和远程网络管理软件通讯接口，同时能够采集室内温度、室内湿度及开关设置、空调设备开关量状态等数据；可实现自动/手动双向无扰动切换，可随时进行参数的修正或设置，实时显示人工气候室各设备状态和测试的温、湿、光等数据，综合数据可实时列表显示和曲线显示；温湿度可设置为恒定模式或按时间段变化模式，程序以24h为周期设置循环，可设置≥16段时间段；保护和报警系统：具有非正常运行（过流保护、短路保护、缺相保护，参数异常等）硬件报警可由使用人手动设置超温报警温度，当超温时可自动报警并切断相应设备供电，并通知使用人进行检查判断，在液晶触摸屏上界面显示文字信息且有确认按钮解除报警，断电后恢复供电时，系统可以自动恢复运行；</w:t>
            </w:r>
            <w:r>
              <w:rPr>
                <w:rFonts w:hint="eastAsia" w:ascii="宋体" w:hAnsi="宋体" w:eastAsia="宋体" w:cs="宋体"/>
                <w:b/>
                <w:bCs/>
                <w:color w:val="auto"/>
                <w:kern w:val="0"/>
                <w:sz w:val="21"/>
                <w:szCs w:val="21"/>
                <w:highlight w:val="none"/>
              </w:rPr>
              <w:t>（为保证采购人软硬件信息数据安全，</w:t>
            </w:r>
            <w:r>
              <w:rPr>
                <w:rFonts w:hint="eastAsia" w:ascii="宋体" w:hAnsi="宋体" w:eastAsia="宋体" w:cs="宋体"/>
                <w:b/>
                <w:bCs/>
                <w:color w:val="auto"/>
                <w:kern w:val="0"/>
                <w:sz w:val="21"/>
                <w:szCs w:val="21"/>
                <w:highlight w:val="none"/>
                <w:lang w:val="en-US" w:eastAsia="zh-CN"/>
              </w:rPr>
              <w:t>验收时</w:t>
            </w:r>
            <w:r>
              <w:rPr>
                <w:rFonts w:hint="eastAsia" w:ascii="宋体" w:hAnsi="宋体" w:eastAsia="宋体" w:cs="宋体"/>
                <w:b/>
                <w:bCs/>
                <w:color w:val="auto"/>
                <w:kern w:val="0"/>
                <w:sz w:val="21"/>
                <w:szCs w:val="21"/>
                <w:highlight w:val="none"/>
              </w:rPr>
              <w:t>须出具设备制造厂商信息系统安全等级保护备案证明。）</w:t>
            </w:r>
          </w:p>
          <w:p w14:paraId="13BEB4D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（4）电控系统：智能控制柜采用防水设计，材质碳钢，钣金折弯焊接，表面磷化喷塑处理，采用≥10寸彩色显示</w:t>
            </w:r>
            <w:r>
              <w:rPr>
                <w:rFonts w:hint="eastAsia" w:ascii="宋体" w:hAnsi="宋体" w:eastAsia="宋体"/>
                <w:color w:val="auto"/>
                <w:kern w:val="0"/>
                <w:szCs w:val="21"/>
                <w:highlight w:val="none"/>
                <w:lang w:eastAsia="zh-CN"/>
              </w:rPr>
              <w:t>，</w:t>
            </w:r>
            <w:r>
              <w:rPr>
                <w:rFonts w:hint="eastAsia"/>
                <w:color w:val="auto"/>
                <w:highlight w:val="none"/>
              </w:rPr>
              <w:t>显示色彩≥1600万色，分辨率≥1920×1080，亮度≥350cd/㎡</w:t>
            </w:r>
            <w:r>
              <w:rPr>
                <w:rFonts w:hint="eastAsia" w:ascii="宋体" w:hAnsi="宋体" w:eastAsia="宋体" w:cs="宋体"/>
                <w:color w:val="auto"/>
                <w:kern w:val="0"/>
                <w:sz w:val="21"/>
                <w:szCs w:val="21"/>
                <w:highlight w:val="none"/>
              </w:rPr>
              <w:t>；</w:t>
            </w:r>
          </w:p>
          <w:p w14:paraId="577CEE6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远程监管系统：可在PC和安卓手机端通过输入用户密码实时查看运行情况；实现设备运行状态监管、数据查看、远程设置温度等远程控制功能，紧急情况下可远程关机，实现24小时不间断数据记录、存储，可按天、周、月查</w:t>
            </w:r>
            <w:r>
              <w:rPr>
                <w:rFonts w:hint="eastAsia" w:ascii="宋体" w:hAnsi="宋体" w:eastAsia="宋体" w:cs="宋体"/>
                <w:color w:val="auto"/>
                <w:kern w:val="0"/>
                <w:sz w:val="21"/>
                <w:szCs w:val="21"/>
                <w:highlight w:val="none"/>
                <w:lang w:eastAsia="zh-CN"/>
              </w:rPr>
              <w:t>看历</w:t>
            </w:r>
            <w:r>
              <w:rPr>
                <w:rFonts w:hint="eastAsia" w:ascii="宋体" w:hAnsi="宋体" w:eastAsia="宋体" w:cs="宋体"/>
                <w:color w:val="auto"/>
                <w:kern w:val="0"/>
                <w:sz w:val="21"/>
                <w:szCs w:val="21"/>
                <w:highlight w:val="none"/>
              </w:rPr>
              <w:t>史数据，温湿度数据；具有超温报警、异常报警功能，可设定温度报警上下限值，数据异常、突然断电时可自动发出报警信号；可远程传输功能，所测量数据实时发送至服务器，上网页查看数据，可显示每种传感器采集到的数据、检测时间信息；平台可以结合数据进行报表制作、报表打印、报表导出功能，提供曲线与表格等报表；</w:t>
            </w:r>
          </w:p>
          <w:p w14:paraId="09D7937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（6）配电柜1套：一级配电柜配有断路器、保护器、接触器、继电器、变频器</w:t>
            </w:r>
            <w:r>
              <w:rPr>
                <w:rFonts w:hint="eastAsia" w:ascii="宋体" w:hAnsi="宋体" w:eastAsia="宋体" w:cs="宋体"/>
                <w:color w:val="auto"/>
                <w:kern w:val="0"/>
                <w:sz w:val="21"/>
                <w:szCs w:val="21"/>
                <w:highlight w:val="none"/>
                <w:lang w:eastAsia="zh-CN"/>
              </w:rPr>
              <w:t>等</w:t>
            </w:r>
            <w:r>
              <w:rPr>
                <w:rFonts w:hint="eastAsia" w:ascii="宋体" w:hAnsi="宋体" w:eastAsia="宋体" w:cs="宋体"/>
                <w:color w:val="auto"/>
                <w:kern w:val="0"/>
                <w:sz w:val="21"/>
                <w:szCs w:val="21"/>
                <w:highlight w:val="none"/>
              </w:rPr>
              <w:t>电器件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二级配电柜配有485控制及供电一体化模块；</w:t>
            </w:r>
          </w:p>
          <w:p w14:paraId="3AC6F18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（7）展示屏幕：≥50英寸，电压220V～50HZ，工作温度0～40℃，工作湿度20％～80％，分辨率3840×2160，可视角度176°</w:t>
            </w:r>
          </w:p>
          <w:p w14:paraId="5A4FC41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2.种植柜参数（单台）：</w:t>
            </w:r>
          </w:p>
          <w:p w14:paraId="4FB0A0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（1）带有防雾化电磁门模块，支持整个玻璃加热防雾化，支持开关门检测，支持自动开关锁及手动开关锁；能够在软件端显示当前门的开关状态；</w:t>
            </w:r>
          </w:p>
          <w:p w14:paraId="4DCA5AC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（2）种植柜内每层种植架配置种植灯模块，带有专用植物照明灯、摄像头、光照传感器；植物灯支持红色、白色、UV（395-400nm）三种光源，光强连续无级可调；红光，白光，UV</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0%-100%范围可调；光源功率：≤380W；</w:t>
            </w:r>
            <w:r>
              <w:rPr>
                <w:rFonts w:hint="eastAsia"/>
                <w:color w:val="auto"/>
                <w:highlight w:val="none"/>
              </w:rPr>
              <w:t>灯下距离30cm</w:t>
            </w:r>
            <w:r>
              <w:rPr>
                <w:rFonts w:hint="eastAsia" w:ascii="宋体" w:hAnsi="宋体" w:eastAsia="宋体"/>
                <w:color w:val="auto"/>
                <w:kern w:val="0"/>
                <w:szCs w:val="21"/>
                <w:highlight w:val="none"/>
              </w:rPr>
              <w:t>处PPFD≥840μmol/㎡.s</w:t>
            </w:r>
            <w:r>
              <w:rPr>
                <w:rFonts w:hint="eastAsia" w:ascii="宋体" w:hAnsi="宋体" w:eastAsia="宋体" w:cs="宋体"/>
                <w:color w:val="auto"/>
                <w:kern w:val="0"/>
                <w:sz w:val="21"/>
                <w:szCs w:val="21"/>
                <w:highlight w:val="none"/>
              </w:rPr>
              <w:t>，效率≥2.0umol/J；补光灯产品使用小时数：</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25000小时，光通量维持在初始值的90%</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rPr>
              <w:t>投标</w:t>
            </w:r>
            <w:r>
              <w:rPr>
                <w:rFonts w:hint="eastAsia" w:ascii="宋体" w:hAnsi="宋体" w:cs="宋体"/>
                <w:b/>
                <w:bCs/>
                <w:color w:val="auto"/>
                <w:kern w:val="0"/>
                <w:sz w:val="21"/>
                <w:szCs w:val="21"/>
                <w:highlight w:val="none"/>
                <w:lang w:eastAsia="zh-CN"/>
              </w:rPr>
              <w:t>文件中</w:t>
            </w:r>
            <w:r>
              <w:rPr>
                <w:rFonts w:hint="eastAsia" w:ascii="宋体" w:hAnsi="宋体" w:eastAsia="宋体" w:cs="宋体"/>
                <w:b/>
                <w:bCs/>
                <w:color w:val="auto"/>
                <w:kern w:val="0"/>
                <w:sz w:val="21"/>
                <w:szCs w:val="21"/>
                <w:highlight w:val="none"/>
              </w:rPr>
              <w:t>提供光照布局点位图</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光谱图</w:t>
            </w:r>
            <w:r>
              <w:rPr>
                <w:rFonts w:hint="eastAsia" w:ascii="宋体" w:hAnsi="宋体" w:cs="宋体"/>
                <w:b/>
                <w:bCs/>
                <w:color w:val="auto"/>
                <w:kern w:val="0"/>
                <w:sz w:val="21"/>
                <w:szCs w:val="21"/>
                <w:highlight w:val="none"/>
                <w:lang w:eastAsia="zh-CN"/>
              </w:rPr>
              <w:t>，并加盖投标人公章</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；摄像头为</w:t>
            </w:r>
            <w:r>
              <w:rPr>
                <w:rFonts w:hint="eastAsia" w:ascii="宋体" w:hAnsi="宋体" w:eastAsia="宋体" w:cs="宋体"/>
                <w:color w:val="auto"/>
                <w:kern w:val="0"/>
                <w:sz w:val="21"/>
                <w:szCs w:val="21"/>
                <w:highlight w:val="none"/>
                <w:lang w:eastAsia="zh-CN"/>
              </w:rPr>
              <w:t>视角</w:t>
            </w:r>
            <w:r>
              <w:rPr>
                <w:rFonts w:hint="eastAsia" w:ascii="宋体" w:hAnsi="宋体" w:eastAsia="宋体" w:cs="宋体"/>
                <w:color w:val="auto"/>
                <w:kern w:val="0"/>
                <w:sz w:val="21"/>
                <w:szCs w:val="21"/>
                <w:highlight w:val="none"/>
              </w:rPr>
              <w:t>120°广角镜头；光照传感器能够监测顶层层级灯光的光照强度并上传控制中心；</w:t>
            </w:r>
          </w:p>
          <w:p w14:paraId="2D4F4BF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（3）可以支持水箱内的营养液温度控制（当前水温加热）。支持水温，pH，EC，水箱水位的实时监测。</w:t>
            </w:r>
          </w:p>
          <w:p w14:paraId="2165B77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（4）整体尺寸:≥长12000mm*宽2300mm*高2400mm ，内衬为双面彩钢材质，夹层为聚氨酯发泡保温材料厚度≥75mm（导热系数≤0.024W/m·K，高阻燃等级≥B2，抗压强度≥160kpa，闭孔率%：&gt;93，氧指数%：≥28）。</w:t>
            </w:r>
          </w:p>
          <w:p w14:paraId="78FE2F1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（5）种植架：碳钢喷塑，表面喷塑处理,单组尺寸≥5600mm(L)×600mm(W)×1800mm(H)，预开安装孔，共2组。</w:t>
            </w:r>
          </w:p>
          <w:p w14:paraId="700A192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（6）种植盘：ABS材质，尺寸≥1200mm(L)×550mm(W)×65mm(H)，壁厚≥1.8mm，配备64套。</w:t>
            </w:r>
          </w:p>
          <w:p w14:paraId="1D1A04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3.拟态种植实训系统环控系统：</w:t>
            </w:r>
          </w:p>
          <w:p w14:paraId="0E866DC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（1）待机预览页面支持展示日期、网络状态、预警信息、温度、湿度、CO2浓度、光照强度、EC、pH、水温等信息；</w:t>
            </w:r>
            <w:r>
              <w:rPr>
                <w:rFonts w:hint="eastAsia" w:ascii="宋体" w:hAnsi="宋体" w:eastAsia="宋体"/>
                <w:color w:val="auto"/>
                <w:kern w:val="0"/>
                <w:szCs w:val="21"/>
                <w:highlight w:val="none"/>
                <w:lang w:val="en-US" w:eastAsia="zh-CN"/>
              </w:rPr>
              <w:t>软件端</w:t>
            </w:r>
            <w:r>
              <w:rPr>
                <w:rFonts w:hint="eastAsia" w:ascii="宋体" w:hAnsi="宋体" w:eastAsia="宋体" w:cs="宋体"/>
                <w:color w:val="auto"/>
                <w:kern w:val="0"/>
                <w:sz w:val="21"/>
                <w:szCs w:val="21"/>
                <w:highlight w:val="none"/>
              </w:rPr>
              <w:t>展示种植柜层数、灯光、水位、营养液耗材以及运行状态等信息；</w:t>
            </w:r>
          </w:p>
          <w:p w14:paraId="5212A44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（2）支持整体灯光统一调控以及分层单独调控；</w:t>
            </w:r>
          </w:p>
          <w:p w14:paraId="5C16A6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（3）温度控制范围：10-40℃ ,湿度控制范围：45%-80%RH 。</w:t>
            </w:r>
          </w:p>
          <w:p w14:paraId="0031BFF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（4）温湿度传感器：</w:t>
            </w:r>
          </w:p>
          <w:p w14:paraId="2013EDB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①记录种植柜内部环境的温湿度</w:t>
            </w:r>
          </w:p>
          <w:p w14:paraId="716E041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②温度范围：-40℃~120℃；精度：±0.3℃；分辨率：0.1℃</w:t>
            </w:r>
          </w:p>
          <w:p w14:paraId="2997CBA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③湿度范围：0~100%RH；精度：±3%；分辨率：0.1%</w:t>
            </w:r>
          </w:p>
          <w:p w14:paraId="4602B36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④应能够对环境数据进行历史数据曲线查看，可以选择天、周、月、生长季、半小时平均、24 小时平均进行历史数据曲线查询，可以自定义设置查询时间段可环比、同比统计该时段最大、最小及平均值；</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验收时</w:t>
            </w:r>
            <w:r>
              <w:rPr>
                <w:rFonts w:hint="eastAsia" w:ascii="宋体" w:hAnsi="宋体" w:eastAsia="宋体" w:cs="宋体"/>
                <w:b/>
                <w:bCs/>
                <w:color w:val="auto"/>
                <w:kern w:val="0"/>
                <w:sz w:val="21"/>
                <w:szCs w:val="21"/>
                <w:highlight w:val="none"/>
              </w:rPr>
              <w:t>提供具有检测资质的机构出具的带CMA标识的检测报告备查）</w:t>
            </w:r>
          </w:p>
          <w:p w14:paraId="39DC5AC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⑤应能够使用同一账户支持 web端、PC 网页端、手机 APP 端及第三方微信小程序端进行系统访问及数据查看、分析。</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验收时</w:t>
            </w:r>
            <w:r>
              <w:rPr>
                <w:rFonts w:hint="eastAsia" w:ascii="宋体" w:hAnsi="宋体" w:eastAsia="宋体" w:cs="宋体"/>
                <w:b/>
                <w:bCs/>
                <w:color w:val="auto"/>
                <w:kern w:val="0"/>
                <w:sz w:val="21"/>
                <w:szCs w:val="21"/>
                <w:highlight w:val="none"/>
              </w:rPr>
              <w:t>提供具有检测资质的机构出具的带CMA标识的检测报告备查）</w:t>
            </w:r>
          </w:p>
          <w:p w14:paraId="1D8B9CA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（5）控温工业机组：涡旋双风冷低噪音冷凝机组，选用高性能涡旋机组。换热器：防腐蚀型壳管式换热器。制冷量≥11.8KW，机组COP≥2.41，1米处机组噪声≤</w:t>
            </w:r>
            <w:r>
              <w:rPr>
                <w:rFonts w:hint="eastAsia" w:ascii="宋体" w:hAnsi="宋体" w:eastAsia="宋体" w:cs="宋体"/>
                <w:color w:val="auto"/>
                <w:kern w:val="0"/>
                <w:sz w:val="21"/>
                <w:szCs w:val="21"/>
                <w:highlight w:val="none"/>
                <w:lang w:eastAsia="zh-CN"/>
              </w:rPr>
              <w:t>60dB</w:t>
            </w:r>
            <w:r>
              <w:rPr>
                <w:rFonts w:hint="eastAsia" w:ascii="宋体" w:hAnsi="宋体" w:eastAsia="宋体" w:cs="宋体"/>
                <w:color w:val="auto"/>
                <w:kern w:val="0"/>
                <w:sz w:val="21"/>
                <w:szCs w:val="21"/>
                <w:highlight w:val="none"/>
              </w:rPr>
              <w:t>，压缩机额定电流≤9.6A，制冷剂采用R404A，风扇2个，电源电压380V/50Hz。</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验收时</w:t>
            </w:r>
            <w:r>
              <w:rPr>
                <w:rFonts w:hint="eastAsia" w:ascii="宋体" w:hAnsi="宋体" w:eastAsia="宋体" w:cs="宋体"/>
                <w:b/>
                <w:bCs/>
                <w:color w:val="auto"/>
                <w:kern w:val="0"/>
                <w:sz w:val="21"/>
                <w:szCs w:val="21"/>
                <w:highlight w:val="none"/>
              </w:rPr>
              <w:t>提供具有检测资质的机构出具的带CMA标识的检测报告备查）</w:t>
            </w:r>
          </w:p>
          <w:p w14:paraId="1A4AB30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（6）高效冷风机：制冷量≥12.6KW，风扇4个，风量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4118m³/h，射程≥12m，装机功率≤1kW。铜管：内螺纹管的使用增加了内部盘管面积并产生低的油膜系数，最大限度提高换热效率及换热量。外壳：符合相关国家标准的优质铝材。翅片：优质铝材，双正弦波翅片，波纹边缘，确保高热传递效率。风扇：符合安全标准的高品质的电机，并带有电机过热保护装置，电机寿命长，耐用。换热量：符合相关标准。</w:t>
            </w:r>
          </w:p>
          <w:p w14:paraId="42F870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（7）新风机组:风量≥200m³/h，全热交换机组，至少配备1套。</w:t>
            </w:r>
          </w:p>
          <w:p w14:paraId="7143484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（8）除湿机：除湿量≥138L/Day（工况：30℃, 80%RH），电压：380V三相电，功率：约3.5kW，额定电流：约6A，外接排水：支持连续排水（标配软管接口），带万向轮方便移动，自动湿度控制（可设定目标湿度），自动除霜（低温环境防结冰），故障报警（水箱满、滤网堵塞提醒），多档风速调节。</w:t>
            </w:r>
          </w:p>
          <w:p w14:paraId="43C08E1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（9）双侧风机：变频调速，包含通风风机，喷塑主风管，可根据作物生长周期调节</w:t>
            </w:r>
            <w:r>
              <w:rPr>
                <w:rFonts w:hint="eastAsia" w:ascii="宋体" w:hAnsi="宋体" w:eastAsia="宋体" w:cs="宋体"/>
                <w:color w:val="auto"/>
                <w:kern w:val="0"/>
                <w:sz w:val="21"/>
                <w:szCs w:val="21"/>
                <w:highlight w:val="none"/>
                <w:lang w:eastAsia="zh-CN"/>
              </w:rPr>
              <w:t>通风</w:t>
            </w:r>
            <w:r>
              <w:rPr>
                <w:rFonts w:hint="eastAsia" w:ascii="宋体" w:hAnsi="宋体" w:eastAsia="宋体" w:cs="宋体"/>
                <w:color w:val="auto"/>
                <w:kern w:val="0"/>
                <w:sz w:val="21"/>
                <w:szCs w:val="21"/>
                <w:highlight w:val="none"/>
              </w:rPr>
              <w:t>风速及风量。</w:t>
            </w:r>
          </w:p>
          <w:p w14:paraId="0B5E25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（10）风幕机系统：两档风速可调，风速可选9m/s，11m/s，风量≥1690m³/h，噪音≤57dB。</w:t>
            </w:r>
          </w:p>
          <w:p w14:paraId="62AAFFB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4.精准水肥一体化系统：</w:t>
            </w:r>
          </w:p>
          <w:p w14:paraId="1E8A354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（1）施肥首部:吸肥单元:四通道蠕动泵，电磁隔膜泵;检测单元:EC传感器检测精度0.03m</w:t>
            </w:r>
            <w:r>
              <w:rPr>
                <w:rFonts w:hint="default" w:ascii="宋体" w:hAnsi="宋体" w:eastAsia="宋体" w:cs="宋体"/>
                <w:color w:val="auto"/>
                <w:kern w:val="0"/>
                <w:sz w:val="21"/>
                <w:szCs w:val="21"/>
                <w:highlight w:val="none"/>
                <w:lang w:val="en-US"/>
              </w:rPr>
              <w:t>S</w:t>
            </w:r>
            <w:r>
              <w:rPr>
                <w:rFonts w:hint="eastAsia" w:ascii="宋体" w:hAnsi="宋体" w:eastAsia="宋体" w:cs="宋体"/>
                <w:color w:val="auto"/>
                <w:kern w:val="0"/>
                <w:sz w:val="21"/>
                <w:szCs w:val="21"/>
                <w:highlight w:val="none"/>
              </w:rPr>
              <w:t>/cm，ph传感器测量范围 0-14Ph;检测泵:流量≥4方，扬程≥20米;至少配备1套；</w:t>
            </w:r>
          </w:p>
          <w:p w14:paraId="53DB974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（2）RO反渗透系统:处理量≥800G/h，PP棉、UDF 颗粒活性炭、CTO 压缩碳棒、R</w:t>
            </w:r>
            <w:r>
              <w:rPr>
                <w:rFonts w:hint="default" w:ascii="宋体" w:hAnsi="宋体" w:eastAsia="宋体" w:cs="宋体"/>
                <w:color w:val="auto"/>
                <w:kern w:val="0"/>
                <w:sz w:val="21"/>
                <w:szCs w:val="21"/>
                <w:highlight w:val="none"/>
                <w:lang w:val="en-US"/>
              </w:rPr>
              <w:t>O</w:t>
            </w:r>
            <w:r>
              <w:rPr>
                <w:rFonts w:hint="eastAsia" w:ascii="宋体" w:hAnsi="宋体" w:eastAsia="宋体" w:cs="宋体"/>
                <w:color w:val="auto"/>
                <w:kern w:val="0"/>
                <w:sz w:val="21"/>
                <w:szCs w:val="21"/>
                <w:highlight w:val="none"/>
              </w:rPr>
              <w:t xml:space="preserve"> 膜、T33 膜五级过滤，国标自来水过滤后ec值 20us/cm(士2)，至少配备1套；</w:t>
            </w:r>
          </w:p>
          <w:p w14:paraId="1733B9E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（3）纯净水箱:食品</w:t>
            </w:r>
            <w:r>
              <w:rPr>
                <w:rFonts w:hint="eastAsia" w:ascii="宋体" w:hAnsi="宋体" w:eastAsia="宋体" w:cs="宋体"/>
                <w:color w:val="auto"/>
                <w:kern w:val="0"/>
                <w:sz w:val="21"/>
                <w:szCs w:val="21"/>
                <w:highlight w:val="none"/>
                <w:lang w:eastAsia="zh-CN"/>
              </w:rPr>
              <w:t>级</w:t>
            </w:r>
            <w:r>
              <w:rPr>
                <w:rFonts w:hint="eastAsia" w:ascii="宋体" w:hAnsi="宋体" w:eastAsia="宋体" w:cs="宋体"/>
                <w:color w:val="auto"/>
                <w:kern w:val="0"/>
                <w:sz w:val="21"/>
                <w:szCs w:val="21"/>
                <w:highlight w:val="none"/>
              </w:rPr>
              <w:t>PP</w:t>
            </w:r>
            <w:r>
              <w:rPr>
                <w:rFonts w:hint="eastAsia" w:ascii="宋体" w:hAnsi="宋体" w:eastAsia="宋体" w:cs="宋体"/>
                <w:color w:val="auto"/>
                <w:kern w:val="0"/>
                <w:sz w:val="21"/>
                <w:szCs w:val="21"/>
                <w:highlight w:val="none"/>
                <w:lang w:eastAsia="zh-CN"/>
              </w:rPr>
              <w:t>材质，</w:t>
            </w:r>
            <w:r>
              <w:rPr>
                <w:rFonts w:hint="eastAsia" w:ascii="宋体" w:hAnsi="宋体" w:eastAsia="宋体" w:cs="宋体"/>
                <w:color w:val="auto"/>
                <w:kern w:val="0"/>
                <w:sz w:val="21"/>
                <w:szCs w:val="21"/>
                <w:highlight w:val="none"/>
              </w:rPr>
              <w:t>壁厚1.2-1.5cm.尺寸≥1000mm*宽650mm*高80mm.用于纯净水的储存，至少配备1套；</w:t>
            </w:r>
          </w:p>
          <w:p w14:paraId="6F88898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（4）循环水箱:食品级PP材质,壁厚1.2-1.5cm,尺寸≥长1200mm*宽550mm*高380mm,至少配备2套；</w:t>
            </w:r>
          </w:p>
          <w:p w14:paraId="6214301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（5）UV消毒灯:功率≥</w:t>
            </w:r>
            <w:r>
              <w:rPr>
                <w:rFonts w:hint="eastAsia" w:ascii="宋体" w:hAnsi="宋体" w:eastAsia="宋体" w:cs="宋体"/>
                <w:color w:val="auto"/>
                <w:kern w:val="0"/>
                <w:sz w:val="21"/>
                <w:szCs w:val="21"/>
                <w:highlight w:val="none"/>
                <w:lang w:eastAsia="zh-CN"/>
              </w:rPr>
              <w:t>20W</w:t>
            </w:r>
            <w:r>
              <w:rPr>
                <w:rFonts w:hint="eastAsia" w:ascii="宋体" w:hAnsi="宋体" w:eastAsia="宋体" w:cs="宋体"/>
                <w:color w:val="auto"/>
                <w:kern w:val="0"/>
                <w:sz w:val="21"/>
                <w:szCs w:val="21"/>
                <w:highlight w:val="none"/>
              </w:rPr>
              <w:t>，通过</w:t>
            </w:r>
            <w:r>
              <w:rPr>
                <w:rFonts w:hint="eastAsia" w:ascii="宋体" w:hAnsi="宋体" w:eastAsia="宋体" w:cs="宋体"/>
                <w:color w:val="auto"/>
                <w:kern w:val="0"/>
                <w:sz w:val="21"/>
                <w:szCs w:val="21"/>
                <w:highlight w:val="none"/>
                <w:lang w:eastAsia="zh-CN"/>
              </w:rPr>
              <w:t>紫外线</w:t>
            </w:r>
            <w:r>
              <w:rPr>
                <w:rFonts w:hint="eastAsia" w:ascii="宋体" w:hAnsi="宋体" w:eastAsia="宋体" w:cs="宋体"/>
                <w:color w:val="auto"/>
                <w:kern w:val="0"/>
                <w:sz w:val="21"/>
                <w:szCs w:val="21"/>
                <w:highlight w:val="none"/>
              </w:rPr>
              <w:t>照射，破坏水中病菌和水细胞分子结构，达到除藻杀菌、恢复健康水体的效果，至少配备2套；</w:t>
            </w:r>
          </w:p>
          <w:p w14:paraId="4B49E19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（6）循环系统:循环泵:流量≥5方，扬程≥10m，至少配备2套;</w:t>
            </w:r>
          </w:p>
          <w:p w14:paraId="5D048A5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（7）循环管路:PVC给水管，专用供水接头。</w:t>
            </w:r>
          </w:p>
          <w:p w14:paraId="0AE063C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5.AR教学系统</w:t>
            </w:r>
          </w:p>
          <w:p w14:paraId="0256D9C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硬件参数</w:t>
            </w:r>
          </w:p>
          <w:p w14:paraId="692A666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1.显示：双目光波导，1920×1080分辨率，40°视场角，亮度≥500cd/㎡</w:t>
            </w:r>
          </w:p>
          <w:p w14:paraId="51DA225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2.配置：MTK720同级处理器，6G+128G内存，5000mAh电池（续航≥6h），整机≤350g</w:t>
            </w:r>
          </w:p>
          <w:p w14:paraId="06CBCE2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3.感知：4800万像素摄像头，双MIC，北斗，支持WIFI/蓝牙/5G全网通</w:t>
            </w:r>
          </w:p>
          <w:p w14:paraId="62DA211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4.环境适应性：</w:t>
            </w:r>
            <w:r>
              <w:rPr>
                <w:rFonts w:hint="eastAsia" w:ascii="宋体" w:hAnsi="宋体" w:eastAsia="宋体" w:cs="宋体"/>
                <w:color w:val="auto"/>
                <w:kern w:val="0"/>
                <w:sz w:val="21"/>
                <w:szCs w:val="21"/>
                <w:highlight w:val="none"/>
                <w:lang w:eastAsia="zh-CN"/>
              </w:rPr>
              <w:t>工作温度</w:t>
            </w:r>
            <w:r>
              <w:rPr>
                <w:rFonts w:hint="eastAsia" w:ascii="宋体" w:hAnsi="宋体" w:eastAsia="宋体" w:cs="宋体"/>
                <w:color w:val="auto"/>
                <w:kern w:val="0"/>
                <w:sz w:val="21"/>
                <w:szCs w:val="21"/>
                <w:highlight w:val="none"/>
              </w:rPr>
              <w:t>-10℃～+50℃，存储</w:t>
            </w:r>
            <w:r>
              <w:rPr>
                <w:rFonts w:hint="eastAsia" w:ascii="宋体" w:hAnsi="宋体" w:eastAsia="宋体" w:cs="宋体"/>
                <w:color w:val="auto"/>
                <w:kern w:val="0"/>
                <w:sz w:val="21"/>
                <w:szCs w:val="21"/>
                <w:highlight w:val="none"/>
                <w:lang w:eastAsia="zh-CN"/>
              </w:rPr>
              <w:t>温度-</w:t>
            </w:r>
            <w:r>
              <w:rPr>
                <w:rFonts w:hint="eastAsia" w:ascii="宋体" w:hAnsi="宋体" w:eastAsia="宋体" w:cs="宋体"/>
                <w:color w:val="auto"/>
                <w:kern w:val="0"/>
                <w:sz w:val="21"/>
                <w:szCs w:val="21"/>
                <w:highlight w:val="none"/>
              </w:rPr>
              <w:t>20℃～+60℃，IP54防护</w:t>
            </w:r>
          </w:p>
          <w:p w14:paraId="4514B2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教学功能</w:t>
            </w:r>
          </w:p>
          <w:p w14:paraId="48ED816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1.作物识别：支持20+种教学常见作物及模型植物</w:t>
            </w:r>
          </w:p>
          <w:p w14:paraId="6B07DC9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2.病虫害识别：识别10+种病害、23种害虫，提供防治建议</w:t>
            </w:r>
          </w:p>
          <w:p w14:paraId="607F661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3.生长评估：支持生育期、叶片形态、长势识别，数据可存可传</w:t>
            </w:r>
          </w:p>
          <w:p w14:paraId="1D3139D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4.设备交互：语音控制灌溉、补光、通风设备</w:t>
            </w:r>
          </w:p>
          <w:p w14:paraId="7316239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5.教学助手：内置农业AI大模型，支持语音问答、操作指引查询</w:t>
            </w:r>
          </w:p>
          <w:p w14:paraId="48FD7F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6.表型监测系统</w:t>
            </w:r>
          </w:p>
          <w:p w14:paraId="3186FC6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RGB硬件参数</w:t>
            </w:r>
          </w:p>
          <w:p w14:paraId="2F63464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（1）传感器类型：CMOS，全局快门</w:t>
            </w:r>
          </w:p>
          <w:p w14:paraId="3F3577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（2）传感器型号 ：</w:t>
            </w:r>
            <w:r>
              <w:rPr>
                <w:rFonts w:hint="eastAsia" w:ascii="宋体" w:hAnsi="宋体" w:cs="宋体"/>
                <w:color w:val="auto"/>
                <w:kern w:val="0"/>
                <w:sz w:val="21"/>
                <w:szCs w:val="21"/>
                <w:highlight w:val="none"/>
                <w:lang w:val="en-US" w:eastAsia="zh-CN"/>
              </w:rPr>
              <w:t>相当于或优于</w:t>
            </w:r>
            <w:r>
              <w:rPr>
                <w:rFonts w:hint="eastAsia" w:ascii="宋体" w:hAnsi="宋体" w:eastAsia="宋体" w:cs="宋体"/>
                <w:color w:val="auto"/>
                <w:kern w:val="0"/>
                <w:sz w:val="21"/>
                <w:szCs w:val="21"/>
                <w:highlight w:val="none"/>
              </w:rPr>
              <w:t>Gpixel GMAX0505</w:t>
            </w:r>
          </w:p>
          <w:p w14:paraId="692B2F2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（3）像元尺寸：</w:t>
            </w:r>
            <w:r>
              <w:rPr>
                <w:rFonts w:hint="eastAsia" w:ascii="宋体" w:hAnsi="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2.5 µ m × 2.5 µm</w:t>
            </w:r>
          </w:p>
          <w:p w14:paraId="6027A04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（4）靶面尺寸 ：1.1”</w:t>
            </w:r>
          </w:p>
          <w:p w14:paraId="21DD943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（5）分辨率：</w:t>
            </w:r>
            <w:r>
              <w:rPr>
                <w:rFonts w:hint="eastAsia" w:ascii="宋体" w:hAnsi="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5120 × 5120</w:t>
            </w:r>
          </w:p>
          <w:p w14:paraId="009B22C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（6）动态范围：</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63 dB</w:t>
            </w:r>
          </w:p>
          <w:p w14:paraId="61AC8A4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软件算法</w:t>
            </w:r>
          </w:p>
          <w:p w14:paraId="78DB3A3F">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可解析通用表型指标：株高、茎粗、冠长、冠宽、冠幅、冠高比、植株紧实度、卷叶程度、植株偏心率、植株圆度等不少于16个形态参数，R/G/B颜色分量、RHS比色等不少于18个颜色参数，平滑度、均匀性等不少于6个纹理参数。</w:t>
            </w:r>
          </w:p>
        </w:tc>
        <w:tc>
          <w:tcPr>
            <w:tcW w:w="276" w:type="pct"/>
            <w:shd w:val="clear" w:color="auto" w:fill="auto"/>
            <w:vAlign w:val="center"/>
          </w:tcPr>
          <w:p w14:paraId="36EAA926">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4EDCAECB">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692F5B0A">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Cs w:val="21"/>
                <w:highlight w:val="none"/>
                <w:lang w:bidi="zh-CN"/>
              </w:rPr>
              <w:t>工业</w:t>
            </w:r>
          </w:p>
        </w:tc>
      </w:tr>
      <w:tr w14:paraId="46AC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448FEA99">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14" w:type="pct"/>
            <w:shd w:val="clear" w:color="auto" w:fill="auto"/>
            <w:tcMar>
              <w:top w:w="13" w:type="dxa"/>
              <w:left w:w="57" w:type="dxa"/>
              <w:bottom w:w="0" w:type="dxa"/>
              <w:right w:w="57" w:type="dxa"/>
            </w:tcMar>
            <w:vAlign w:val="center"/>
          </w:tcPr>
          <w:p w14:paraId="053C69A3">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智慧农业一体化综合实验套件</w:t>
            </w:r>
          </w:p>
        </w:tc>
        <w:tc>
          <w:tcPr>
            <w:tcW w:w="3617" w:type="pct"/>
            <w:gridSpan w:val="2"/>
            <w:shd w:val="clear" w:color="auto" w:fill="auto"/>
            <w:tcMar>
              <w:top w:w="13" w:type="dxa"/>
              <w:left w:w="57" w:type="dxa"/>
              <w:bottom w:w="0" w:type="dxa"/>
              <w:right w:w="57" w:type="dxa"/>
            </w:tcMar>
            <w:vAlign w:val="center"/>
          </w:tcPr>
          <w:p w14:paraId="7FD1D65D">
            <w:pPr>
              <w:widowControl/>
              <w:numPr>
                <w:ilvl w:val="0"/>
                <w:numId w:val="1"/>
              </w:num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智慧农业综合实训平台</w:t>
            </w:r>
          </w:p>
          <w:p w14:paraId="4CA01829">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慧农业实训沙盘系统是一个综合性的教学与实践平台，其核心组成部分包括仿真沙盘、传感设备、执行设备以及网关控制设备。该系统旨在全面模拟智慧农业的各个关键环节，包括但不限于智慧大田种植、水肥一体化管理、智慧温室运营、农业大数据处理、智慧加工流程、自动化采摘以及物流运输等。具备教学与实践功能‌，满足</w:t>
            </w:r>
            <w:r>
              <w:rPr>
                <w:rFonts w:hint="eastAsia" w:ascii="宋体" w:hAnsi="宋体" w:eastAsia="宋体" w:cs="宋体"/>
                <w:color w:val="auto"/>
                <w:kern w:val="0"/>
                <w:sz w:val="21"/>
                <w:szCs w:val="21"/>
                <w:highlight w:val="none"/>
                <w:lang w:eastAsia="zh-CN"/>
              </w:rPr>
              <w:t>正常</w:t>
            </w:r>
            <w:r>
              <w:rPr>
                <w:rFonts w:hint="eastAsia" w:ascii="宋体" w:hAnsi="宋体" w:eastAsia="宋体" w:cs="宋体"/>
                <w:color w:val="auto"/>
                <w:kern w:val="0"/>
                <w:sz w:val="21"/>
                <w:szCs w:val="21"/>
                <w:highlight w:val="none"/>
              </w:rPr>
              <w:t>教学和实训操作。</w:t>
            </w:r>
          </w:p>
          <w:p w14:paraId="4A2C3314">
            <w:pPr>
              <w:tabs>
                <w:tab w:val="left" w:pos="720"/>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1.‌仿真沙盘</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highlight w:val="none"/>
                <w:lang w:val="en-US" w:eastAsia="zh-CN"/>
              </w:rPr>
              <w:t>1套</w:t>
            </w:r>
            <w:r>
              <w:rPr>
                <w:rFonts w:hint="eastAsia" w:ascii="宋体" w:hAnsi="宋体" w:eastAsia="宋体" w:cs="宋体"/>
                <w:color w:val="auto"/>
                <w:kern w:val="0"/>
                <w:sz w:val="21"/>
                <w:szCs w:val="21"/>
                <w:highlight w:val="none"/>
              </w:rPr>
              <w:t>‌</w:t>
            </w:r>
          </w:p>
          <w:p w14:paraId="3FEE3CD3">
            <w:pPr>
              <w:numPr>
                <w:ilvl w:val="1"/>
                <w:numId w:val="2"/>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尺寸：至少15</w:t>
            </w:r>
            <w:r>
              <w:rPr>
                <w:rFonts w:hint="eastAsia" w:ascii="宋体" w:hAnsi="宋体" w:eastAsia="宋体" w:cs="宋体"/>
                <w:color w:val="auto"/>
                <w:kern w:val="0"/>
                <w:sz w:val="21"/>
                <w:szCs w:val="21"/>
                <w:highlight w:val="none"/>
                <w:lang w:eastAsia="zh-CN"/>
              </w:rPr>
              <w:t>平方米</w:t>
            </w:r>
            <w:r>
              <w:rPr>
                <w:rFonts w:hint="eastAsia" w:ascii="宋体" w:hAnsi="宋体" w:eastAsia="宋体" w:cs="宋体"/>
                <w:color w:val="auto"/>
                <w:kern w:val="0"/>
                <w:sz w:val="21"/>
                <w:szCs w:val="21"/>
                <w:highlight w:val="none"/>
              </w:rPr>
              <w:t>，确保足够的空间来模拟各种农业场景。</w:t>
            </w:r>
          </w:p>
          <w:p w14:paraId="41D475A5">
            <w:pPr>
              <w:numPr>
                <w:ilvl w:val="1"/>
                <w:numId w:val="2"/>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布局：合理规划智慧大田种植区、智慧温室、水肥一体化演示区、智慧加工厂、物流运输通道等关键区域。</w:t>
            </w:r>
          </w:p>
          <w:p w14:paraId="1F5CC43C">
            <w:pPr>
              <w:numPr>
                <w:ilvl w:val="1"/>
                <w:numId w:val="2"/>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材质与耐久性：选用高质量、耐用且易于维护的材料制作，确保沙盘能够长期稳定运行。</w:t>
            </w:r>
          </w:p>
          <w:p w14:paraId="10590B0C">
            <w:pPr>
              <w:tabs>
                <w:tab w:val="left" w:pos="720"/>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2.‌传感设备</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highlight w:val="none"/>
                <w:lang w:val="en-US" w:eastAsia="zh-CN"/>
              </w:rPr>
              <w:t>1套</w:t>
            </w:r>
            <w:r>
              <w:rPr>
                <w:rFonts w:hint="eastAsia" w:ascii="宋体" w:hAnsi="宋体" w:eastAsia="宋体" w:cs="宋体"/>
                <w:color w:val="auto"/>
                <w:kern w:val="0"/>
                <w:sz w:val="21"/>
                <w:szCs w:val="21"/>
                <w:highlight w:val="none"/>
              </w:rPr>
              <w:t>‌</w:t>
            </w:r>
          </w:p>
          <w:p w14:paraId="7B2BD57C">
            <w:pPr>
              <w:numPr>
                <w:ilvl w:val="1"/>
                <w:numId w:val="3"/>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‌环境监测‌：在大田及温室内安装空气温湿度传感器、土壤温湿度传感器、光照传感器以及CO</w:t>
            </w:r>
            <w:r>
              <w:rPr>
                <w:rFonts w:hint="eastAsia" w:ascii="宋体" w:hAnsi="宋体" w:eastAsia="宋体" w:cs="宋体"/>
                <w:color w:val="auto"/>
                <w:kern w:val="0"/>
                <w:sz w:val="21"/>
                <w:szCs w:val="21"/>
                <w:highlight w:val="none"/>
                <w:vertAlign w:val="subscript"/>
              </w:rPr>
              <w:t>2</w:t>
            </w:r>
            <w:r>
              <w:rPr>
                <w:rFonts w:hint="eastAsia" w:ascii="宋体" w:hAnsi="宋体" w:eastAsia="宋体" w:cs="宋体"/>
                <w:color w:val="auto"/>
                <w:kern w:val="0"/>
                <w:sz w:val="21"/>
                <w:szCs w:val="21"/>
                <w:highlight w:val="none"/>
              </w:rPr>
              <w:t>浓度传感器，实时监测环境参数。</w:t>
            </w:r>
          </w:p>
          <w:p w14:paraId="56079464">
            <w:pPr>
              <w:numPr>
                <w:ilvl w:val="1"/>
                <w:numId w:val="3"/>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‌传感器性能‌：确保传感器具有高精度、高稳定性，能够准确反映环境状况。 </w:t>
            </w:r>
          </w:p>
          <w:p w14:paraId="4CF6DAEC">
            <w:pPr>
              <w:tabs>
                <w:tab w:val="left" w:pos="720"/>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3.‌执行设备</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highlight w:val="none"/>
                <w:lang w:val="en-US" w:eastAsia="zh-CN"/>
              </w:rPr>
              <w:t>1套</w:t>
            </w:r>
            <w:r>
              <w:rPr>
                <w:rFonts w:hint="eastAsia" w:ascii="宋体" w:hAnsi="宋体" w:eastAsia="宋体" w:cs="宋体"/>
                <w:color w:val="auto"/>
                <w:kern w:val="0"/>
                <w:sz w:val="21"/>
                <w:szCs w:val="21"/>
                <w:highlight w:val="none"/>
              </w:rPr>
              <w:t>‌</w:t>
            </w:r>
          </w:p>
          <w:p w14:paraId="6A611E9E">
            <w:pPr>
              <w:numPr>
                <w:ilvl w:val="1"/>
                <w:numId w:val="4"/>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‌灌溉系统‌：根据传感器数据自动或手动控制喷淋装置，实现精准灌溉。</w:t>
            </w:r>
          </w:p>
          <w:p w14:paraId="226DA6AB">
            <w:pPr>
              <w:numPr>
                <w:ilvl w:val="1"/>
                <w:numId w:val="4"/>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‌水肥一体化‌：模拟灌溉与施肥功能，根据作物需求自动调整水肥比例。</w:t>
            </w:r>
          </w:p>
          <w:p w14:paraId="4813CF53">
            <w:pPr>
              <w:numPr>
                <w:ilvl w:val="1"/>
                <w:numId w:val="4"/>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‌自动化设备‌：包括采摘机器人和物流运输车，能够自主完成采摘和运输任务。</w:t>
            </w:r>
          </w:p>
          <w:p w14:paraId="22E810FF">
            <w:pPr>
              <w:tabs>
                <w:tab w:val="left" w:pos="720"/>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4.‌网关控制设备</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highlight w:val="none"/>
                <w:lang w:val="en-US" w:eastAsia="zh-CN"/>
              </w:rPr>
              <w:t>1套</w:t>
            </w:r>
            <w:r>
              <w:rPr>
                <w:rFonts w:hint="eastAsia" w:ascii="宋体" w:hAnsi="宋体" w:eastAsia="宋体" w:cs="宋体"/>
                <w:color w:val="auto"/>
                <w:kern w:val="0"/>
                <w:sz w:val="21"/>
                <w:szCs w:val="21"/>
                <w:highlight w:val="none"/>
              </w:rPr>
              <w:t>‌</w:t>
            </w:r>
          </w:p>
          <w:p w14:paraId="298F2183">
            <w:pPr>
              <w:numPr>
                <w:ilvl w:val="0"/>
                <w:numId w:val="5"/>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‌核心技术‌：采用无线传感器网络技术（如ZigBee）、ARM嵌入式技术以及传感器技术，实现数据的精准采集与处理。 </w:t>
            </w:r>
          </w:p>
          <w:p w14:paraId="7FEBC80E">
            <w:pPr>
              <w:numPr>
                <w:ilvl w:val="0"/>
                <w:numId w:val="5"/>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‌自动控制逻辑‌：根据预设值或算法，自动启动或调整执行设备，实现智慧农业的无人化管理。</w:t>
            </w:r>
          </w:p>
          <w:p w14:paraId="1EC7ADA0">
            <w:pPr>
              <w:tabs>
                <w:tab w:val="left" w:pos="720"/>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5.‌农业大数据中心</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highlight w:val="none"/>
                <w:lang w:val="en-US" w:eastAsia="zh-CN"/>
              </w:rPr>
              <w:t>1项</w:t>
            </w:r>
            <w:r>
              <w:rPr>
                <w:rFonts w:hint="eastAsia" w:ascii="宋体" w:hAnsi="宋体" w:eastAsia="宋体" w:cs="宋体"/>
                <w:color w:val="auto"/>
                <w:kern w:val="0"/>
                <w:sz w:val="21"/>
                <w:szCs w:val="21"/>
                <w:highlight w:val="none"/>
              </w:rPr>
              <w:t>‌</w:t>
            </w:r>
          </w:p>
          <w:p w14:paraId="3EC93186">
            <w:pPr>
              <w:numPr>
                <w:ilvl w:val="1"/>
                <w:numId w:val="6"/>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‌数据收集与存储‌：集中收集并存储来自各传感器的数据，为数据分析提供基础。</w:t>
            </w:r>
          </w:p>
          <w:p w14:paraId="03A2F5CF">
            <w:pPr>
              <w:numPr>
                <w:ilvl w:val="1"/>
                <w:numId w:val="6"/>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‌数据分析与展示‌：提供数据分析工具，将复杂数据转化为直观图表，帮助学生理解农业数据的应用价值。</w:t>
            </w:r>
          </w:p>
          <w:p w14:paraId="23912B49">
            <w:pPr>
              <w:tabs>
                <w:tab w:val="left" w:pos="720"/>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6.‌其他辅助设施</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highlight w:val="none"/>
                <w:lang w:val="en-US" w:eastAsia="zh-CN"/>
              </w:rPr>
              <w:t>1套</w:t>
            </w:r>
            <w:r>
              <w:rPr>
                <w:rFonts w:hint="eastAsia" w:ascii="宋体" w:hAnsi="宋体" w:eastAsia="宋体" w:cs="宋体"/>
                <w:color w:val="auto"/>
                <w:kern w:val="0"/>
                <w:sz w:val="21"/>
                <w:szCs w:val="21"/>
                <w:highlight w:val="none"/>
              </w:rPr>
              <w:t>‌</w:t>
            </w:r>
          </w:p>
          <w:p w14:paraId="4B52DE36">
            <w:pPr>
              <w:numPr>
                <w:ilvl w:val="1"/>
                <w:numId w:val="7"/>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‌回水系统‌：沙盘地面设计回水沟，引导水流进入储水池，实现水资源的循环利用。</w:t>
            </w:r>
          </w:p>
          <w:p w14:paraId="05ED6B66">
            <w:pPr>
              <w:numPr>
                <w:ilvl w:val="1"/>
                <w:numId w:val="7"/>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‌蔬菜模型‌：在大田及温室内放置各种蔬菜模型，增强模拟的真实感。</w:t>
            </w:r>
          </w:p>
          <w:p w14:paraId="37A581B3">
            <w:p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（一）温室、大田设备</w:t>
            </w:r>
          </w:p>
          <w:p w14:paraId="6E87B683">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1.智慧大田、温室常规设备</w:t>
            </w:r>
          </w:p>
          <w:p w14:paraId="6D9BE890">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（1）定制空气加湿设备1套：当传感节点检测到温室大棚空气湿度值未达设定值，系统会启动加湿器。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（2）定制喷淋设备5套：喷淋设备由一套微型水泵与喷头组成，当传感节点检测到温室大棚土壤湿度值未达规定值，则由喷淋设备启动从储水池中抽水喷淋，喷淋水从回流到储水池中去。</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（3）定制通风加热设备1套：通风加热设备由风机、加热与控制执行机构组成。当传感节点检测到温室大棚气温达到或超过规定值， 则启动通风设备进行降温处理，温度低于规定值时，则进行加热处理；当传感节点检测到温室大棚二氧化碳浓度达到或超过规定值，则启动通风设备加强通风，为植物提供充足的二氧化碳。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（4）电动遮阳设备1套：当检测到光照强度超过了预设值，电动遮阳帘会自动开合，以达到合适光照强度。</w:t>
            </w:r>
          </w:p>
          <w:p w14:paraId="5C4F3E9F">
            <w:pPr>
              <w:pStyle w:val="6"/>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（5）大田滴灌系统，使用电磁阀、滴灌带、回水箱等设备。</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（6）灯光设备1套：大棚内可以安装灯光设备，</w:t>
            </w:r>
            <w:r>
              <w:rPr>
                <w:rFonts w:hint="eastAsia" w:ascii="宋体" w:hAnsi="宋体" w:eastAsia="宋体" w:cs="宋体"/>
                <w:color w:val="auto"/>
                <w:kern w:val="0"/>
                <w:sz w:val="21"/>
                <w:szCs w:val="21"/>
                <w:highlight w:val="none"/>
                <w:lang w:eastAsia="zh-CN"/>
              </w:rPr>
              <w:t>以便在</w:t>
            </w:r>
            <w:r>
              <w:rPr>
                <w:rFonts w:hint="eastAsia" w:ascii="宋体" w:hAnsi="宋体" w:eastAsia="宋体" w:cs="宋体"/>
                <w:color w:val="auto"/>
                <w:kern w:val="0"/>
                <w:sz w:val="21"/>
                <w:szCs w:val="21"/>
                <w:highlight w:val="none"/>
              </w:rPr>
              <w:t>光线达不到要求</w:t>
            </w:r>
            <w:r>
              <w:rPr>
                <w:rFonts w:hint="eastAsia" w:ascii="宋体" w:hAnsi="宋体" w:eastAsia="宋体" w:cs="宋体"/>
                <w:color w:val="auto"/>
                <w:kern w:val="0"/>
                <w:sz w:val="21"/>
                <w:szCs w:val="21"/>
                <w:highlight w:val="none"/>
                <w:lang w:eastAsia="zh-CN"/>
              </w:rPr>
              <w:t>时</w:t>
            </w:r>
            <w:r>
              <w:rPr>
                <w:rFonts w:hint="eastAsia" w:ascii="宋体" w:hAnsi="宋体" w:eastAsia="宋体" w:cs="宋体"/>
                <w:color w:val="auto"/>
                <w:kern w:val="0"/>
                <w:sz w:val="21"/>
                <w:szCs w:val="21"/>
                <w:highlight w:val="none"/>
              </w:rPr>
              <w:t>进行光线补充。</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（7）网络摄像头6 个：实现远程访问、转动控制、本地图片抓拍、视频存储等</w:t>
            </w:r>
            <w:r>
              <w:rPr>
                <w:rFonts w:hint="eastAsia" w:ascii="宋体" w:hAnsi="宋体" w:eastAsia="宋体" w:cs="宋体"/>
                <w:color w:val="auto"/>
                <w:kern w:val="0"/>
                <w:sz w:val="21"/>
                <w:szCs w:val="21"/>
                <w:highlight w:val="none"/>
                <w:lang w:eastAsia="zh-CN"/>
              </w:rPr>
              <w:t>功能</w:t>
            </w:r>
            <w:r>
              <w:rPr>
                <w:rFonts w:hint="eastAsia" w:ascii="宋体" w:hAnsi="宋体" w:eastAsia="宋体" w:cs="宋体"/>
                <w:color w:val="auto"/>
                <w:kern w:val="0"/>
                <w:sz w:val="21"/>
                <w:szCs w:val="21"/>
                <w:highlight w:val="none"/>
              </w:rPr>
              <w:t>。</w:t>
            </w:r>
          </w:p>
          <w:p w14:paraId="76F46774">
            <w:p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（二）水肥一体设备模型</w:t>
            </w:r>
          </w:p>
          <w:p w14:paraId="56D3E709">
            <w:pPr>
              <w:pStyle w:val="6"/>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定制水肥一体化灌溉系统1套，设备配套模型需包括：</w:t>
            </w:r>
          </w:p>
          <w:p w14:paraId="76EBD42E">
            <w:pPr>
              <w:pStyle w:val="6"/>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1.智能水肥一体机：实现水肥供应的自动管理和分配；</w:t>
            </w:r>
          </w:p>
          <w:p w14:paraId="2FE0BDDD">
            <w:pPr>
              <w:pStyle w:val="6"/>
              <w:numPr>
                <w:ilvl w:val="0"/>
                <w:numId w:val="8"/>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肥料桶：用于存放肥料；</w:t>
            </w:r>
          </w:p>
          <w:p w14:paraId="31B891E3">
            <w:pPr>
              <w:pStyle w:val="6"/>
              <w:numPr>
                <w:ilvl w:val="0"/>
                <w:numId w:val="8"/>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过滤器系统（包括砂石过滤器、碟片过滤器、离心过滤器等）。</w:t>
            </w:r>
          </w:p>
          <w:p w14:paraId="399B8FCA">
            <w:pPr>
              <w:pStyle w:val="6"/>
              <w:numPr>
                <w:ilvl w:val="0"/>
                <w:numId w:val="8"/>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电磁阀、流量计、压力表。</w:t>
            </w:r>
          </w:p>
          <w:p w14:paraId="0D11434E">
            <w:pPr>
              <w:pStyle w:val="6"/>
              <w:numPr>
                <w:ilvl w:val="0"/>
                <w:numId w:val="8"/>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注肥管路：将肥料注入到灌溉水中。</w:t>
            </w:r>
          </w:p>
          <w:p w14:paraId="56FFE62C">
            <w:pPr>
              <w:pStyle w:val="6"/>
              <w:numPr>
                <w:ilvl w:val="0"/>
                <w:numId w:val="8"/>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田间管网部分：输水管网：由干管、支管、毛管（滴灌管或微喷头）组成，用于将水肥输送到作物根部。</w:t>
            </w:r>
          </w:p>
          <w:p w14:paraId="64C9071A">
            <w:pPr>
              <w:pStyle w:val="6"/>
              <w:numPr>
                <w:ilvl w:val="0"/>
                <w:numId w:val="8"/>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灌水器（如喷头、滴箭等）：根据具体的灌溉方式选择，用于精确灌溉。</w:t>
            </w:r>
          </w:p>
          <w:p w14:paraId="0C1483D3">
            <w:p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（三）加工厂、仓储场景</w:t>
            </w:r>
          </w:p>
          <w:p w14:paraId="5B8EF391">
            <w:pPr>
              <w:pStyle w:val="9"/>
              <w:numPr>
                <w:ilvl w:val="0"/>
                <w:numId w:val="9"/>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加工厂场景1套：须包括分拣线、清洗线、包装线、装箱线、贴码机、成品库等场景、装卸货区域、检测区域，包装车间。</w:t>
            </w:r>
          </w:p>
          <w:p w14:paraId="10378CCF">
            <w:pPr>
              <w:pStyle w:val="9"/>
              <w:numPr>
                <w:ilvl w:val="0"/>
                <w:numId w:val="9"/>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立体仓储场景1套：需包括立体货架、叉车、安检线、办公桌配套电脑设备、仓储库分为4个区域分别为常温区、冷藏区、冷冻区、库外成品堆放区。</w:t>
            </w:r>
          </w:p>
          <w:p w14:paraId="1C551D3B">
            <w:pPr>
              <w:pStyle w:val="9"/>
              <w:numPr>
                <w:ilvl w:val="0"/>
                <w:numId w:val="9"/>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智能视觉机械臂：基于JETSON NANO控制系统的开源AI机器人，搭载高清广角摄像头，拥有第一视觉。采用ROS机器人操作系统，支持Python编程，通过深度学习和AI视觉，可以实现物品分拣、人脸识别、图像识别、人体特征识别、目标追踪等AI相关功能。机械臂末端支持多种夹持器工具，不仅可以更好的满足用户对于机器视觉、机器人运动学和深度学习算法的学习和验证，还为手眼协作、视觉抓取等二次开发提供快速便捷的集成方案。可以实现深度学习、模型训练、视觉分拣、搬运、码垛、颜色识别、定位、人脸识别、目标追踪、图像识别、路径规划等功能。</w:t>
            </w:r>
          </w:p>
          <w:p w14:paraId="513CD0FC">
            <w:p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（四）物流车ZIGBEE通信模块</w:t>
            </w:r>
          </w:p>
          <w:p w14:paraId="73695182">
            <w:pPr>
              <w:pStyle w:val="9"/>
              <w:numPr>
                <w:ilvl w:val="0"/>
                <w:numId w:val="1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传感器</w:t>
            </w:r>
            <w:r>
              <w:rPr>
                <w:rFonts w:hint="eastAsia" w:ascii="宋体" w:hAnsi="宋体" w:cs="宋体"/>
                <w:color w:val="auto"/>
                <w:kern w:val="0"/>
                <w:sz w:val="21"/>
                <w:szCs w:val="21"/>
                <w:highlight w:val="none"/>
                <w:lang w:eastAsia="zh-CN"/>
              </w:rPr>
              <w:t>通信</w:t>
            </w:r>
            <w:r>
              <w:rPr>
                <w:rFonts w:hint="eastAsia" w:ascii="宋体" w:hAnsi="宋体" w:eastAsia="宋体" w:cs="宋体"/>
                <w:color w:val="auto"/>
                <w:kern w:val="0"/>
                <w:sz w:val="21"/>
                <w:szCs w:val="21"/>
                <w:highlight w:val="none"/>
              </w:rPr>
              <w:t>模块射频芯片（CC2530），工作频率：2.4GHz，加载Z-STACK协议栈。</w:t>
            </w:r>
          </w:p>
          <w:p w14:paraId="7AD04662">
            <w:pPr>
              <w:pStyle w:val="9"/>
              <w:numPr>
                <w:ilvl w:val="0"/>
                <w:numId w:val="1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ZigBee传感节点：由ZigBee无线通信模块、传感器调理板、接口底板组成，封装在亚克力外壳内。</w:t>
            </w:r>
          </w:p>
          <w:p w14:paraId="320EDE24">
            <w:pPr>
              <w:pStyle w:val="9"/>
              <w:numPr>
                <w:ilvl w:val="0"/>
                <w:numId w:val="1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ZigBee通信模块：主要用来驱动各种传感器和控制器进行信息采集、设备控制，同时与ZigBee协调器进行组网和无线数据通信。</w:t>
            </w:r>
          </w:p>
          <w:p w14:paraId="79DA394F">
            <w:pPr>
              <w:pStyle w:val="9"/>
              <w:numPr>
                <w:ilvl w:val="0"/>
                <w:numId w:val="1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技术参数：无线传输频率：2.4GHz；无线传输距离：20-100米；</w:t>
            </w:r>
          </w:p>
          <w:p w14:paraId="533D6747">
            <w:pPr>
              <w:pStyle w:val="9"/>
              <w:numPr>
                <w:ilvl w:val="0"/>
                <w:numId w:val="1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发射功率：约-22dBm，可根据环境增加发射功率；接收灵敏度：&gt;-85dBm；</w:t>
            </w:r>
          </w:p>
          <w:p w14:paraId="3C98F22A">
            <w:pPr>
              <w:pStyle w:val="9"/>
              <w:numPr>
                <w:ilvl w:val="0"/>
                <w:numId w:val="1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协议栈：默认采用TI Z-Stack2007协议栈，兼容Z-Stack2006协议栈，支持TinyOS；</w:t>
            </w:r>
          </w:p>
          <w:p w14:paraId="3874BB83">
            <w:pPr>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（五）智能小车</w:t>
            </w:r>
          </w:p>
          <w:p w14:paraId="6E0533C2">
            <w:pPr>
              <w:pStyle w:val="9"/>
              <w:numPr>
                <w:ilvl w:val="0"/>
                <w:numId w:val="1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智能小车负载不低于0.3KG，含车辆控制模块。</w:t>
            </w:r>
          </w:p>
          <w:p w14:paraId="637A1035">
            <w:pPr>
              <w:pStyle w:val="9"/>
              <w:numPr>
                <w:ilvl w:val="0"/>
                <w:numId w:val="1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障碍物检测模块、寻迹模块。</w:t>
            </w:r>
          </w:p>
          <w:p w14:paraId="50395F3C">
            <w:pPr>
              <w:pStyle w:val="9"/>
              <w:numPr>
                <w:ilvl w:val="0"/>
                <w:numId w:val="1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具有自动通信、车辆可根据交通信号灯变化情况，实现红灯停车、绿灯行驶。</w:t>
            </w:r>
          </w:p>
          <w:p w14:paraId="7E5CA2D8">
            <w:pPr>
              <w:pStyle w:val="9"/>
              <w:numPr>
                <w:ilvl w:val="0"/>
                <w:numId w:val="1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智能小车有6档变速，可调整档位变化。</w:t>
            </w:r>
          </w:p>
          <w:p w14:paraId="228B9CD8">
            <w:pPr>
              <w:pStyle w:val="6"/>
              <w:numPr>
                <w:ilvl w:val="0"/>
                <w:numId w:val="11"/>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车载电池2000毫安，</w:t>
            </w:r>
            <w:r>
              <w:rPr>
                <w:rFonts w:hint="eastAsia" w:ascii="宋体" w:hAnsi="宋体" w:eastAsia="宋体" w:cs="宋体"/>
                <w:color w:val="auto"/>
                <w:kern w:val="0"/>
                <w:sz w:val="21"/>
                <w:szCs w:val="21"/>
                <w:highlight w:val="none"/>
                <w:lang w:eastAsia="zh-CN"/>
              </w:rPr>
              <w:t>供</w:t>
            </w:r>
            <w:r>
              <w:rPr>
                <w:rFonts w:hint="eastAsia" w:ascii="宋体" w:hAnsi="宋体" w:eastAsia="宋体" w:cs="宋体"/>
                <w:color w:val="auto"/>
                <w:kern w:val="0"/>
                <w:sz w:val="21"/>
                <w:szCs w:val="21"/>
                <w:highlight w:val="none"/>
              </w:rPr>
              <w:t>车辆正常行驶4-5小时。</w:t>
            </w:r>
          </w:p>
          <w:p w14:paraId="655BCF82">
            <w:pPr>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（六）物联网设备</w:t>
            </w:r>
          </w:p>
          <w:p w14:paraId="06F78369">
            <w:pPr>
              <w:pStyle w:val="6"/>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1.空气温湿度传感器</w:t>
            </w:r>
          </w:p>
          <w:p w14:paraId="71DDF9F0">
            <w:pPr>
              <w:pStyle w:val="6"/>
              <w:numPr>
                <w:ilvl w:val="0"/>
                <w:numId w:val="12"/>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量程：湿度:0%RH~100%RH；温度:-40℃-120℃；</w:t>
            </w:r>
          </w:p>
          <w:p w14:paraId="100DB13A">
            <w:pPr>
              <w:pStyle w:val="6"/>
              <w:numPr>
                <w:ilvl w:val="0"/>
                <w:numId w:val="12"/>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输出信号：电流输出型:三线4mA~20mA</w:t>
            </w:r>
          </w:p>
          <w:p w14:paraId="4DE2A040">
            <w:pPr>
              <w:pStyle w:val="6"/>
              <w:numPr>
                <w:ilvl w:val="0"/>
                <w:numId w:val="1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通信协议:RS485（MODBUS</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RTU协议：</w:t>
            </w:r>
          </w:p>
          <w:p w14:paraId="355322CE">
            <w:pPr>
              <w:pStyle w:val="6"/>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2.光照传感器</w:t>
            </w:r>
          </w:p>
          <w:p w14:paraId="5CE6AE51">
            <w:pPr>
              <w:pStyle w:val="6"/>
              <w:numPr>
                <w:ilvl w:val="0"/>
                <w:numId w:val="13"/>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波长测量范围：380nm~730nm；</w:t>
            </w:r>
          </w:p>
          <w:p w14:paraId="4059B075">
            <w:pPr>
              <w:pStyle w:val="6"/>
              <w:numPr>
                <w:ilvl w:val="0"/>
                <w:numId w:val="13"/>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.输出方式:三线制4- 20mA：</w:t>
            </w:r>
          </w:p>
          <w:p w14:paraId="23772AAD">
            <w:pPr>
              <w:pStyle w:val="6"/>
              <w:numPr>
                <w:ilvl w:val="0"/>
                <w:numId w:val="13"/>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通信协议（MODBUS RTU协议）：RS485</w:t>
            </w:r>
          </w:p>
          <w:p w14:paraId="52CF585C">
            <w:pPr>
              <w:pStyle w:val="6"/>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3.风速传感器</w:t>
            </w:r>
          </w:p>
          <w:p w14:paraId="0D310591">
            <w:pPr>
              <w:pStyle w:val="9"/>
              <w:numPr>
                <w:ilvl w:val="0"/>
                <w:numId w:val="1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通信协议：RS485； </w:t>
            </w:r>
          </w:p>
          <w:p w14:paraId="5B048436">
            <w:pPr>
              <w:pStyle w:val="9"/>
              <w:numPr>
                <w:ilvl w:val="0"/>
                <w:numId w:val="1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电流输出型：4-20Ma</w:t>
            </w:r>
          </w:p>
          <w:p w14:paraId="6003F4A7">
            <w:pPr>
              <w:pStyle w:val="9"/>
              <w:numPr>
                <w:ilvl w:val="0"/>
                <w:numId w:val="1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量  程：0-30m/s</w:t>
            </w:r>
          </w:p>
          <w:p w14:paraId="6E1B6BA7">
            <w:pPr>
              <w:pStyle w:val="9"/>
              <w:numPr>
                <w:ilvl w:val="0"/>
                <w:numId w:val="1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风速分辨精度： 0.2 m/s </w:t>
            </w:r>
          </w:p>
          <w:p w14:paraId="2C6F77A1">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4.风向传感器</w:t>
            </w:r>
          </w:p>
          <w:p w14:paraId="45F89BCD">
            <w:pPr>
              <w:pStyle w:val="9"/>
              <w:numPr>
                <w:ilvl w:val="0"/>
                <w:numId w:val="1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通信协议：RS485；</w:t>
            </w:r>
          </w:p>
          <w:p w14:paraId="3C66B5D8">
            <w:pPr>
              <w:pStyle w:val="9"/>
              <w:numPr>
                <w:ilvl w:val="0"/>
                <w:numId w:val="1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启动风力:≥0.8m/s</w:t>
            </w:r>
          </w:p>
          <w:p w14:paraId="2D696DD5">
            <w:pPr>
              <w:pStyle w:val="9"/>
              <w:numPr>
                <w:ilvl w:val="0"/>
                <w:numId w:val="15"/>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测量精度高，量程范围宽，稳定性好； 功耗低，较强的抗干扰能力，能长期稳定工作；</w:t>
            </w:r>
            <w:r>
              <w:rPr>
                <w:rFonts w:hint="eastAsia" w:ascii="宋体" w:hAnsi="宋体" w:eastAsia="宋体" w:cs="宋体"/>
                <w:color w:val="auto"/>
                <w:kern w:val="0"/>
                <w:sz w:val="21"/>
                <w:szCs w:val="21"/>
                <w:highlight w:val="none"/>
              </w:rPr>
              <w:t xml:space="preserve">                                              </w:t>
            </w:r>
          </w:p>
          <w:p w14:paraId="4DA3AF5F">
            <w:pPr>
              <w:pStyle w:val="6"/>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5.Pm2.5传感器</w:t>
            </w:r>
          </w:p>
          <w:p w14:paraId="4FA01194">
            <w:pPr>
              <w:pStyle w:val="9"/>
              <w:widowControl/>
              <w:numPr>
                <w:ilvl w:val="0"/>
                <w:numId w:val="16"/>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测量范围 PM2.5:0-1000μg/</w:t>
            </w:r>
            <w:r>
              <w:rPr>
                <w:rFonts w:hint="eastAsia" w:ascii="宋体" w:hAnsi="宋体" w:cs="宋体"/>
                <w:color w:val="auto"/>
                <w:kern w:val="0"/>
                <w:sz w:val="22"/>
                <w:szCs w:val="22"/>
                <w:highlight w:val="none"/>
                <w:lang w:val="en-US" w:eastAsia="zh-CN"/>
              </w:rPr>
              <w:t>m</w:t>
            </w:r>
            <w:r>
              <w:rPr>
                <w:rFonts w:hint="eastAsia" w:ascii="仿宋_GB2312" w:hAnsi="仿宋_GB2312" w:eastAsia="仿宋_GB2312" w:cs="仿宋_GB2312"/>
                <w:color w:val="auto"/>
                <w:kern w:val="0"/>
                <w:sz w:val="28"/>
                <w:szCs w:val="28"/>
                <w:highlight w:val="none"/>
                <w:lang w:val="en-US" w:eastAsia="zh-CN"/>
              </w:rPr>
              <w:t>³</w:t>
            </w:r>
            <w:r>
              <w:rPr>
                <w:rFonts w:hint="eastAsia" w:ascii="宋体" w:hAnsi="宋体" w:eastAsia="宋体" w:cs="宋体"/>
                <w:color w:val="auto"/>
                <w:kern w:val="0"/>
                <w:sz w:val="21"/>
                <w:szCs w:val="21"/>
                <w:highlight w:val="none"/>
              </w:rPr>
              <w:t xml:space="preserve"> ；PM10:0-1500μg/</w:t>
            </w:r>
            <w:r>
              <w:rPr>
                <w:rFonts w:hint="eastAsia" w:ascii="宋体" w:hAnsi="宋体" w:cs="宋体"/>
                <w:color w:val="auto"/>
                <w:kern w:val="0"/>
                <w:sz w:val="21"/>
                <w:szCs w:val="21"/>
                <w:highlight w:val="none"/>
                <w:lang w:val="en-US" w:eastAsia="zh-CN"/>
              </w:rPr>
              <w:t>m</w:t>
            </w:r>
            <w:r>
              <w:rPr>
                <w:rFonts w:hint="eastAsia" w:ascii="仿宋_GB2312" w:hAnsi="仿宋_GB2312" w:eastAsia="仿宋_GB2312" w:cs="仿宋_GB2312"/>
                <w:color w:val="auto"/>
                <w:kern w:val="0"/>
                <w:sz w:val="28"/>
                <w:szCs w:val="28"/>
                <w:highlight w:val="none"/>
                <w:lang w:val="en-US" w:eastAsia="zh-CN"/>
              </w:rPr>
              <w:t>³</w:t>
            </w:r>
          </w:p>
          <w:p w14:paraId="2B3BCFFC">
            <w:pPr>
              <w:pStyle w:val="9"/>
              <w:widowControl/>
              <w:numPr>
                <w:ilvl w:val="0"/>
                <w:numId w:val="16"/>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工作温度 -20°℃~70℃ </w:t>
            </w:r>
          </w:p>
          <w:p w14:paraId="3FCA1DB9">
            <w:pPr>
              <w:pStyle w:val="9"/>
              <w:widowControl/>
              <w:numPr>
                <w:ilvl w:val="0"/>
                <w:numId w:val="16"/>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工作湿度 15%RH~90%RH（相对湿度）、非凝结 </w:t>
            </w:r>
          </w:p>
          <w:p w14:paraId="114D0763">
            <w:pPr>
              <w:pStyle w:val="9"/>
              <w:widowControl/>
              <w:numPr>
                <w:ilvl w:val="0"/>
                <w:numId w:val="16"/>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通信方式 RS485 </w:t>
            </w:r>
          </w:p>
          <w:p w14:paraId="6A13FDCF">
            <w:pPr>
              <w:pStyle w:val="6"/>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6.路由器</w:t>
            </w:r>
          </w:p>
          <w:p w14:paraId="1B3961C2">
            <w:pPr>
              <w:pStyle w:val="9"/>
              <w:numPr>
                <w:ilvl w:val="0"/>
                <w:numId w:val="1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无线传输速率:300Mbps</w:t>
            </w:r>
          </w:p>
          <w:p w14:paraId="67791878">
            <w:pPr>
              <w:pStyle w:val="9"/>
              <w:numPr>
                <w:ilvl w:val="0"/>
                <w:numId w:val="1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是否内置防火墙:是</w:t>
            </w:r>
          </w:p>
          <w:p w14:paraId="6A4191E6">
            <w:pPr>
              <w:pStyle w:val="9"/>
              <w:numPr>
                <w:ilvl w:val="0"/>
                <w:numId w:val="1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网络协议:IEEE 802.11b/g/n</w:t>
            </w:r>
          </w:p>
          <w:p w14:paraId="57FD9C92">
            <w:pPr>
              <w:pStyle w:val="6"/>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8口</w:t>
            </w:r>
            <w:r>
              <w:rPr>
                <w:rFonts w:hint="eastAsia" w:ascii="宋体" w:hAnsi="宋体" w:eastAsia="宋体" w:cs="宋体"/>
                <w:color w:val="auto"/>
                <w:kern w:val="0"/>
                <w:sz w:val="21"/>
                <w:szCs w:val="21"/>
                <w:highlight w:val="none"/>
              </w:rPr>
              <w:t>交换机</w:t>
            </w:r>
          </w:p>
          <w:p w14:paraId="21039369">
            <w:pPr>
              <w:pStyle w:val="9"/>
              <w:numPr>
                <w:ilvl w:val="0"/>
                <w:numId w:val="1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交换机类型:千兆交换机</w:t>
            </w:r>
          </w:p>
          <w:p w14:paraId="1BC17A31">
            <w:pPr>
              <w:pStyle w:val="9"/>
              <w:numPr>
                <w:ilvl w:val="0"/>
                <w:numId w:val="1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传输速度:10Mbps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100Mbps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1000Mbps</w:t>
            </w:r>
          </w:p>
          <w:p w14:paraId="4CF2B878">
            <w:pPr>
              <w:pStyle w:val="9"/>
              <w:numPr>
                <w:ilvl w:val="0"/>
                <w:numId w:val="18"/>
              </w:numPr>
              <w:spacing w:line="240" w:lineRule="auto"/>
              <w:ind w:left="0" w:firstLine="0" w:firstLineChars="0"/>
              <w:jc w:val="left"/>
              <w:rPr>
                <w:rFonts w:hint="eastAsia" w:ascii="宋体" w:hAnsi="宋体" w:eastAsia="宋体" w:cs="宋体"/>
                <w:color w:val="auto"/>
                <w:sz w:val="21"/>
                <w:szCs w:val="21"/>
                <w:highlight w:val="none"/>
              </w:rPr>
            </w:pPr>
            <w:r>
              <w:rPr>
                <w:rFonts w:hint="eastAsia"/>
                <w:color w:val="auto"/>
                <w:highlight w:val="none"/>
                <w:lang w:val="en-US" w:eastAsia="zh-CN"/>
              </w:rPr>
              <w:t>支持即插即用</w:t>
            </w:r>
          </w:p>
          <w:p w14:paraId="696D7BD0">
            <w:pPr>
              <w:pStyle w:val="6"/>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8.边缘计算网关</w:t>
            </w:r>
          </w:p>
          <w:p w14:paraId="6DFE752B">
            <w:pPr>
              <w:pStyle w:val="9"/>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支持制式标准：TD-LTE（移动4G）</w:t>
            </w:r>
          </w:p>
          <w:p w14:paraId="2B71EB17">
            <w:pPr>
              <w:pStyle w:val="9"/>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接口类型：RS232+RS485+网口+DI+DO+AI</w:t>
            </w:r>
          </w:p>
          <w:p w14:paraId="1E2670D4">
            <w:pPr>
              <w:pStyle w:val="9"/>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支持TCP/IP协议：IP、TCP、UDP、ARP、ICMP、</w:t>
            </w:r>
            <w:r>
              <w:rPr>
                <w:rFonts w:hint="eastAsia" w:ascii="宋体" w:hAnsi="宋体" w:cs="宋体"/>
                <w:color w:val="auto"/>
                <w:sz w:val="21"/>
                <w:szCs w:val="21"/>
                <w:highlight w:val="none"/>
                <w:lang w:eastAsia="zh-CN"/>
              </w:rPr>
              <w:t>IPv4、</w:t>
            </w:r>
            <w:r>
              <w:rPr>
                <w:rFonts w:hint="eastAsia" w:ascii="宋体" w:hAnsi="宋体" w:eastAsia="宋体" w:cs="宋体"/>
                <w:color w:val="auto"/>
                <w:sz w:val="21"/>
                <w:szCs w:val="21"/>
                <w:highlight w:val="none"/>
              </w:rPr>
              <w:t>DHCP、DNS</w:t>
            </w:r>
          </w:p>
          <w:p w14:paraId="53FFF88B">
            <w:pPr>
              <w:pStyle w:val="9"/>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采集协议：</w:t>
            </w:r>
            <w:r>
              <w:rPr>
                <w:rFonts w:hint="eastAsia" w:ascii="宋体" w:hAnsi="宋体" w:cs="宋体"/>
                <w:color w:val="auto"/>
                <w:sz w:val="21"/>
                <w:szCs w:val="21"/>
                <w:highlight w:val="none"/>
                <w:lang w:eastAsia="zh-CN"/>
              </w:rPr>
              <w:t>Modbus RTU</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TCP、DL</w:t>
            </w:r>
            <w:r>
              <w:rPr>
                <w:rFonts w:hint="eastAsia" w:ascii="宋体" w:hAnsi="宋体" w:eastAsia="宋体" w:cs="宋体"/>
                <w:color w:val="auto"/>
                <w:sz w:val="21"/>
                <w:szCs w:val="21"/>
                <w:highlight w:val="none"/>
              </w:rPr>
              <w:t>/T645 2007</w:t>
            </w:r>
          </w:p>
          <w:p w14:paraId="0650B36A">
            <w:pPr>
              <w:pStyle w:val="9"/>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协议转换：Modbus TCP/RTUJson</w:t>
            </w:r>
          </w:p>
          <w:p w14:paraId="55D082EA">
            <w:pPr>
              <w:pStyle w:val="9"/>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操作系统：RT-Thread</w:t>
            </w:r>
          </w:p>
          <w:p w14:paraId="46491351">
            <w:pPr>
              <w:pStyle w:val="9"/>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串口：1 * RS485 / RS232.1 * RS485</w:t>
            </w:r>
          </w:p>
          <w:p w14:paraId="4F3C0F79">
            <w:pPr>
              <w:pStyle w:val="9"/>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功耗：待机：200mA/12V，最大功耗：400mA/12V。</w:t>
            </w:r>
          </w:p>
          <w:p w14:paraId="4F83DEDD">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9.控制终端</w:t>
            </w:r>
          </w:p>
          <w:p w14:paraId="2E3CCAC1">
            <w:pPr>
              <w:pStyle w:val="9"/>
              <w:widowControl/>
              <w:numPr>
                <w:ilvl w:val="1"/>
                <w:numId w:val="2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中控触摸屏：</w:t>
            </w:r>
          </w:p>
          <w:p w14:paraId="425DA13C">
            <w:pPr>
              <w:pStyle w:val="9"/>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不低于21.5英寸，宽屏16:9 红外六点触摸屏 ；</w:t>
            </w:r>
          </w:p>
          <w:p w14:paraId="0CBCE29F">
            <w:pPr>
              <w:pStyle w:val="9"/>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触摸方式:手指、笔或其他非透明物体；</w:t>
            </w:r>
          </w:p>
          <w:p w14:paraId="03672996">
            <w:pPr>
              <w:pStyle w:val="9"/>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工作寿命：50000小时；点击次数&gt;1,000,000；</w:t>
            </w:r>
          </w:p>
          <w:p w14:paraId="22EAC427">
            <w:pPr>
              <w:pStyle w:val="9"/>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透光率&gt; 97%，最高达100%；兼容VGA / SVGA / XGA / SXGA分辨率；</w:t>
            </w:r>
          </w:p>
          <w:p w14:paraId="501F75C5">
            <w:pPr>
              <w:pStyle w:val="9"/>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USB接口；计算机响应速度&lt; 16ms；</w:t>
            </w:r>
          </w:p>
          <w:p w14:paraId="4D328ADA">
            <w:pPr>
              <w:pStyle w:val="9"/>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操作温度0℃- 50℃；操作湿度≤80%；存储温度0℃- 50℃；存储湿度≤80%；</w:t>
            </w:r>
          </w:p>
          <w:p w14:paraId="5647659F">
            <w:pPr>
              <w:pStyle w:val="9"/>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定制立柜采用铝合金材质，冷轧钢板制机体，散热好，细纹烤漆，平滑均匀；</w:t>
            </w:r>
          </w:p>
          <w:p w14:paraId="05745566">
            <w:pPr>
              <w:pStyle w:val="9"/>
              <w:widowControl/>
              <w:numPr>
                <w:ilvl w:val="1"/>
                <w:numId w:val="2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整体化设计配套</w:t>
            </w:r>
            <w:r>
              <w:rPr>
                <w:rFonts w:hint="eastAsia" w:ascii="宋体" w:hAnsi="宋体" w:eastAsia="宋体" w:cs="宋体"/>
                <w:color w:val="auto"/>
                <w:kern w:val="0"/>
                <w:sz w:val="21"/>
                <w:szCs w:val="21"/>
                <w:highlight w:val="none"/>
              </w:rPr>
              <w:t>中控</w:t>
            </w:r>
            <w:r>
              <w:rPr>
                <w:rFonts w:hint="eastAsia" w:ascii="宋体" w:hAnsi="宋体" w:cs="宋体"/>
                <w:color w:val="auto"/>
                <w:kern w:val="0"/>
                <w:sz w:val="21"/>
                <w:szCs w:val="21"/>
                <w:highlight w:val="none"/>
                <w:lang w:val="en-US" w:eastAsia="zh-CN"/>
              </w:rPr>
              <w:t>终端</w:t>
            </w:r>
            <w:r>
              <w:rPr>
                <w:rFonts w:hint="eastAsia" w:ascii="宋体" w:hAnsi="宋体" w:eastAsia="宋体" w:cs="宋体"/>
                <w:color w:val="auto"/>
                <w:kern w:val="0"/>
                <w:sz w:val="21"/>
                <w:szCs w:val="21"/>
                <w:highlight w:val="none"/>
              </w:rPr>
              <w:t>：</w:t>
            </w:r>
          </w:p>
          <w:p w14:paraId="1F5165D6">
            <w:pPr>
              <w:pStyle w:val="9"/>
              <w:widowControl/>
              <w:numPr>
                <w:ilvl w:val="-1"/>
                <w:numId w:val="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理器:每颗CPU物理核心数≥10核，每颗CPU主频≥2.4GHz;缓存≥16MB，支持超线程技术；内存:配置≥16GBDDR4内存，配置≥4个内存插槽，支持内存扩展；显卡:独立显卡，显存≥6G，支持VGA+HDMI视频输出显示;硬盘:≥512G+1T；</w:t>
            </w:r>
          </w:p>
          <w:p w14:paraId="250C5575">
            <w:pPr>
              <w:pStyle w:val="6"/>
              <w:spacing w:line="240" w:lineRule="auto"/>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（七）中控软件系统</w:t>
            </w:r>
          </w:p>
          <w:p w14:paraId="5A594D80">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系统包含沙盘灯光控制、沙盘监控回传、数据展示、沙盘动态演示、图文介绍、语音播放、节点感应回传等功能，采用B/S</w:t>
            </w:r>
            <w:r>
              <w:rPr>
                <w:rFonts w:hint="eastAsia" w:ascii="宋体" w:hAnsi="宋体" w:eastAsia="宋体" w:cs="宋体"/>
                <w:color w:val="auto"/>
                <w:sz w:val="21"/>
                <w:szCs w:val="21"/>
                <w:highlight w:val="none"/>
                <w:lang w:eastAsia="zh-CN"/>
              </w:rPr>
              <w:t>架构，</w:t>
            </w:r>
            <w:r>
              <w:rPr>
                <w:rFonts w:hint="eastAsia" w:ascii="宋体" w:hAnsi="宋体" w:eastAsia="宋体" w:cs="宋体"/>
                <w:color w:val="auto"/>
                <w:sz w:val="21"/>
                <w:szCs w:val="21"/>
                <w:highlight w:val="none"/>
              </w:rPr>
              <w:t>前端采用最新的</w:t>
            </w:r>
            <w:r>
              <w:rPr>
                <w:rFonts w:ascii="宋体" w:hAnsi="宋体" w:eastAsia="宋体" w:cs="宋体"/>
                <w:color w:val="auto"/>
                <w:sz w:val="24"/>
                <w:szCs w:val="24"/>
                <w:highlight w:val="none"/>
              </w:rPr>
              <w:t>JavaScript/TypeScript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1"/>
                <w:szCs w:val="21"/>
                <w:highlight w:val="none"/>
              </w:rPr>
              <w:t>C语言</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1"/>
                <w:szCs w:val="21"/>
                <w:highlight w:val="none"/>
              </w:rPr>
              <w:t>编程技术，使用Bootstrap作为前端UI框架，自带全局CSS设置，内嵌JQuery插件，用于创建图像、下拉菜单、导航、警告框、弹出框等；使用highcharts图表库，实现网页上各种动态图表；满足了物联网项目多样化的前端显示效果。后台主要采用了Spring容器、Spring MVC框架、MyBatis ORM框架集成，采用Maven构建项目管理，具有Restful API二次开发接口。</w:t>
            </w:r>
          </w:p>
          <w:p w14:paraId="6EBEB10A">
            <w:pPr>
              <w:pStyle w:val="9"/>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农田数据显示：显示数据包括光照数据、温湿度数据、二氧化碳数据、风速数据、PM2.5等数据。</w:t>
            </w:r>
          </w:p>
          <w:p w14:paraId="666AD23A">
            <w:pPr>
              <w:pStyle w:val="9"/>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视频监控：支持ONVIF协议的IP摄像头（如海康威视），支持RTSP流媒体传输，模拟实现作物病害检测、入侵告警等智能分析。</w:t>
            </w:r>
          </w:p>
          <w:p w14:paraId="7A2EB3DF">
            <w:pPr>
              <w:pStyle w:val="9"/>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温室环境控制：控制逻辑：基于算法动态调节遮阳帘（步进电机控制）、通风窗（伺服电机）、水帘加湿。</w:t>
            </w:r>
          </w:p>
          <w:p w14:paraId="0E780891">
            <w:pPr>
              <w:pStyle w:val="9"/>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安全机制：设备状态双校验（传感器反馈+执行器状态回读），防止指令冲突。</w:t>
            </w:r>
          </w:p>
          <w:p w14:paraId="3C589EA7">
            <w:pPr>
              <w:pStyle w:val="9"/>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水肥一体化与农机控制：基于土壤墒情传感器生成灌溉策略，通过电磁阀组（RS485总线控制）实现分区滴灌。模拟支持水肥配比：动态PID控制EC/pH值，支持多通道蠕动泵精准投料。</w:t>
            </w:r>
          </w:p>
          <w:p w14:paraId="2B3548A8">
            <w:pPr>
              <w:pStyle w:val="9"/>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加工厂自动化控制：ROS集成UR5/ABB机械臂，基于PointCloud库实现3D视觉分拣。</w:t>
            </w:r>
          </w:p>
          <w:p w14:paraId="0E67AE15">
            <w:pPr>
              <w:pStyle w:val="9"/>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AGV调度：通过Modbus TCP/RTU协议连接控制。</w:t>
            </w:r>
          </w:p>
          <w:p w14:paraId="4E0C4DE6">
            <w:pPr>
              <w:pStyle w:val="9"/>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设备连接:将传送带、分拣机等设备接入统一数据平台，支持状态监控与控制。</w:t>
            </w:r>
          </w:p>
          <w:p w14:paraId="43CDFF37">
            <w:pPr>
              <w:pStyle w:val="9"/>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仓库管理：包括库存管理、货物追踪、出入库操作等。支持条形码/二维码扫描、RFID识别等技术。结合自动化设备（如堆垛机、AGV小车等），实现仓储作业的自动化和智能化。</w:t>
            </w:r>
          </w:p>
          <w:p w14:paraId="09366800">
            <w:pPr>
              <w:pStyle w:val="9"/>
              <w:numPr>
                <w:ilvl w:val="0"/>
                <w:numId w:val="22"/>
              </w:numPr>
              <w:spacing w:line="240" w:lineRule="auto"/>
              <w:ind w:left="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物流小车调度控制：软件能够调度和管理物流小车，实现货物的自动运输和配送。</w:t>
            </w:r>
          </w:p>
          <w:p w14:paraId="7EAF9017">
            <w:pPr>
              <w:widowControl/>
              <w:numPr>
                <w:ilvl w:val="0"/>
                <w:numId w:val="1"/>
              </w:num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智慧农业园区环境仿真沙盘</w:t>
            </w:r>
          </w:p>
          <w:p w14:paraId="46856DB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（一）城市道路仿真套件*1套</w:t>
            </w:r>
          </w:p>
          <w:p w14:paraId="57E7192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1.套件完整方案拼接后的占地面积≥20平方米；</w:t>
            </w:r>
          </w:p>
          <w:p w14:paraId="1EB8B88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2.各模块具有足够的强度和刚度，能够满足多辆车同时进行测试的路面载荷测试要求；</w:t>
            </w:r>
          </w:p>
          <w:p w14:paraId="533A0B7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3.构件拼接过程中不出现应力；</w:t>
            </w:r>
          </w:p>
          <w:p w14:paraId="367CCBC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（二）交通标志套件*1套</w:t>
            </w:r>
          </w:p>
          <w:p w14:paraId="0612350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1.交通标志套件的种类和数量可根据城市道路仿真套件的拼接方案的实际需求进行调整和更改；</w:t>
            </w:r>
          </w:p>
          <w:p w14:paraId="35669B9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2.交通标志类别包含：禁令标志、警告标志、指示标志、指路标志、施工安全标志、辅助标志；</w:t>
            </w:r>
          </w:p>
          <w:p w14:paraId="52E266E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（三）交通标线套件*1套</w:t>
            </w:r>
          </w:p>
          <w:p w14:paraId="6F986F5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可</w:t>
            </w:r>
            <w:r>
              <w:rPr>
                <w:rFonts w:hint="eastAsia" w:ascii="宋体" w:hAnsi="宋体" w:eastAsia="宋体" w:cs="宋体"/>
                <w:color w:val="auto"/>
                <w:kern w:val="0"/>
                <w:sz w:val="21"/>
                <w:szCs w:val="21"/>
                <w:highlight w:val="none"/>
              </w:rPr>
              <w:t>按照实际路况需求对车道线的种类和数量进行设计制作；</w:t>
            </w:r>
          </w:p>
          <w:p w14:paraId="29E65B1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2.标线类别包含：禁止标线、警告标线、指示标线；</w:t>
            </w:r>
          </w:p>
          <w:p w14:paraId="3AD6599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（四）智能交通信号灯套件*4套</w:t>
            </w:r>
          </w:p>
          <w:p w14:paraId="2155BCA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1.采用1.5cm*1.5cm标准铝合金型材，参照实际交通信号灯整体比例定制信号灯模型，信号灯采用仿真现实LED点阵灯光布局+倒计时一体化造型设计制作；</w:t>
            </w:r>
          </w:p>
          <w:p w14:paraId="24E6FB3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2.交通信号灯包含机动车信号灯和人行横道信号灯两大类，可以远程对信号灯进行控制；</w:t>
            </w:r>
          </w:p>
          <w:p w14:paraId="63A1CBF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（五）智能路灯*4套</w:t>
            </w:r>
          </w:p>
          <w:p w14:paraId="3D6CF40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1.路灯样式和尺寸定制，路灯的整体高度≥27cm；</w:t>
            </w:r>
          </w:p>
          <w:p w14:paraId="1CB188E5">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2.灯芯采用可调光LED电源，单个LED电源功率≥0.1W；</w:t>
            </w:r>
          </w:p>
          <w:p w14:paraId="5B78E59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3.灯杆采用≧5MM金属材质，灯罩使用ABS材质一体成型制作；</w:t>
            </w:r>
          </w:p>
          <w:p w14:paraId="64D0BDF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（六）路障套件*1套</w:t>
            </w:r>
          </w:p>
          <w:p w14:paraId="52D1C3F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1.路障设施包含PU警示柱、路锥；</w:t>
            </w:r>
          </w:p>
          <w:p w14:paraId="038D43C6">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2.PU警示柱采用3D打印定制，高度≤10cm；</w:t>
            </w:r>
          </w:p>
          <w:p w14:paraId="6AF5181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3.路锥为提环圆锥，采用3D打印定制，高度≤10cm；</w:t>
            </w:r>
          </w:p>
          <w:p w14:paraId="7BD5D32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4.路障套件的尺寸、数量和布置方案可根据实际场景微调；</w:t>
            </w:r>
          </w:p>
          <w:p w14:paraId="2DD1F12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（七）停车场模拟场景*1套</w:t>
            </w:r>
          </w:p>
          <w:p w14:paraId="67772E1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1.停车场车位类型为封闭停车场/倒车入库；</w:t>
            </w:r>
          </w:p>
          <w:p w14:paraId="703B8B2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2.停车场规划出单独的场地，划定单独的停车位，停车位数量≥2；</w:t>
            </w:r>
          </w:p>
          <w:p w14:paraId="623B444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3.单个车位尺寸≥400*300mm。</w:t>
            </w:r>
          </w:p>
          <w:p w14:paraId="550AD21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（八）龙门架*2套</w:t>
            </w:r>
          </w:p>
          <w:p w14:paraId="2BEDAF2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1.定制尺寸匹配的龙门架安装在城市道路，高度≥25cm；</w:t>
            </w:r>
          </w:p>
          <w:p w14:paraId="388520F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2.龙门架预留摄像头等设备的安装位置；</w:t>
            </w:r>
          </w:p>
          <w:p w14:paraId="31D7FEB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（九）场景摄像头*4套</w:t>
            </w:r>
          </w:p>
          <w:p w14:paraId="6D0954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1.在道路选定位置布设图像采集摄像头，实现仿真场景中主要路口及主要场景的视频图像采集；</w:t>
            </w:r>
          </w:p>
          <w:p w14:paraId="7AA658BD">
            <w:pPr>
              <w:widowControl/>
              <w:spacing w:line="240" w:lineRule="auto"/>
              <w:jc w:val="left"/>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2、分辨率≥1080P；</w:t>
            </w:r>
          </w:p>
          <w:p w14:paraId="7D55114B">
            <w:pPr>
              <w:widowControl/>
              <w:spacing w:line="240" w:lineRule="auto"/>
              <w:jc w:val="left"/>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3、支持POE或12V集中供电；</w:t>
            </w:r>
          </w:p>
          <w:p w14:paraId="63116C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olor w:val="auto"/>
                <w:kern w:val="0"/>
                <w:szCs w:val="21"/>
                <w:highlight w:val="none"/>
              </w:rPr>
              <w:t>4、支持H.265编码格式；</w:t>
            </w:r>
          </w:p>
          <w:p w14:paraId="18CD7B2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w:t>
            </w:r>
            <w:r>
              <w:rPr>
                <w:rFonts w:hint="eastAsia" w:ascii="宋体" w:hAnsi="宋体" w:cs="宋体"/>
                <w:color w:val="auto"/>
                <w:kern w:val="0"/>
                <w:sz w:val="21"/>
                <w:szCs w:val="21"/>
                <w:highlight w:val="none"/>
                <w:lang w:eastAsia="zh-CN"/>
              </w:rPr>
              <w:t>整体化设计配套</w:t>
            </w:r>
            <w:r>
              <w:rPr>
                <w:rFonts w:hint="eastAsia" w:ascii="宋体" w:hAnsi="宋体" w:eastAsia="宋体" w:cs="宋体"/>
                <w:color w:val="auto"/>
                <w:kern w:val="0"/>
                <w:sz w:val="21"/>
                <w:szCs w:val="21"/>
                <w:highlight w:val="none"/>
              </w:rPr>
              <w:t>边缘</w:t>
            </w:r>
            <w:r>
              <w:rPr>
                <w:rFonts w:hint="eastAsia" w:ascii="宋体" w:hAnsi="宋体" w:cs="宋体"/>
                <w:color w:val="auto"/>
                <w:kern w:val="0"/>
                <w:sz w:val="21"/>
                <w:szCs w:val="21"/>
                <w:highlight w:val="none"/>
                <w:lang w:val="en-US" w:eastAsia="zh-CN"/>
              </w:rPr>
              <w:t>终端</w:t>
            </w:r>
            <w:r>
              <w:rPr>
                <w:rFonts w:hint="eastAsia" w:ascii="宋体" w:hAnsi="宋体" w:eastAsia="宋体" w:cs="宋体"/>
                <w:color w:val="auto"/>
                <w:kern w:val="0"/>
                <w:sz w:val="21"/>
                <w:szCs w:val="21"/>
                <w:highlight w:val="none"/>
              </w:rPr>
              <w:t>*1套</w:t>
            </w:r>
          </w:p>
          <w:p w14:paraId="4A5041E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1)终端内置高性能CPU处理器，处理器配置不少于10核;</w:t>
            </w:r>
          </w:p>
          <w:p w14:paraId="48A0A3C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2)终端搭载内存≥16GB，128-bit LPDDR5，66GB/s;</w:t>
            </w:r>
          </w:p>
          <w:p w14:paraId="5053BDC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3)视频编码:支持1080p30 supported byl-2 CPU cores;</w:t>
            </w:r>
          </w:p>
          <w:p w14:paraId="0FD68CE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4)视频解码:支持1x4K60 (H.265) 、2x4K30 (H.265)、5x1080p60 (H.265)、</w:t>
            </w:r>
          </w:p>
          <w:p w14:paraId="23084B9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11x1080p30 (H.265);</w:t>
            </w:r>
          </w:p>
          <w:p w14:paraId="04FE7A7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6)外设接口:</w:t>
            </w:r>
          </w:p>
          <w:p w14:paraId="224C1A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a)千兆以太网;</w:t>
            </w:r>
          </w:p>
          <w:p w14:paraId="4CFF37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b)不少于3个USB3.2Gen2;</w:t>
            </w:r>
          </w:p>
          <w:p w14:paraId="05D1C9F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（十一）中集网关*1套</w:t>
            </w:r>
          </w:p>
          <w:p w14:paraId="7FC57D2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1.全新ARM内核，工业级工作温度范</w:t>
            </w:r>
          </w:p>
          <w:p w14:paraId="2826A71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围，精心优化的TCP/IP协议栈，稳定可靠</w:t>
            </w:r>
          </w:p>
          <w:p w14:paraId="7443D00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2.10/100Mbps网口，Auto-MDI/MDIX，交叉直连网线均可使用</w:t>
            </w:r>
          </w:p>
          <w:p w14:paraId="39A9CB9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（十二）电路集成控制器*1套</w:t>
            </w:r>
          </w:p>
          <w:p w14:paraId="0E1E3E2F">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1.物理层：通信接口：RS232/RS485波特率：9.6K/S校验位：无数据位：8，停止位：1</w:t>
            </w:r>
          </w:p>
          <w:p w14:paraId="710801C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2.协议层：发送帧：9字节接收帧：</w:t>
            </w:r>
          </w:p>
          <w:p w14:paraId="6B4DFC06">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9字节防错机制：超时溢出校验方式：校验和寻址模式：独立寻址/广播寻址（0xFF）</w:t>
            </w:r>
          </w:p>
          <w:p w14:paraId="5C431F8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（十三）智能云控平台*1套</w:t>
            </w:r>
          </w:p>
          <w:p w14:paraId="1613A9C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智能云控平台实现功能：</w:t>
            </w:r>
          </w:p>
          <w:p w14:paraId="3E1F0A65">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1.支持对仿真套件中交通信号灯场景的红绿黄灯实时状态显示及远程控制，具体要求如下：信号灯在三维地图中进行数字孪生展示，其状态可在三维地图中交互，可远程控制切换信号灯的红/绿状态。</w:t>
            </w:r>
          </w:p>
          <w:p w14:paraId="25755CE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2.支持对仿真套件中停车场场景的设备实时状态显示及空余车位数量统计显示；</w:t>
            </w:r>
          </w:p>
          <w:p w14:paraId="53DB15F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3.支持对仿真套件中智能路灯场景的设备实时状态显示和远程开关及调光控制，具体要求如下：路灯在三维地图中进行数字孪生展示，其灯光状态可在三维地图中交互，可远程控制路灯的开/关状态。</w:t>
            </w:r>
          </w:p>
          <w:p w14:paraId="3BF1412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支持对仿真套件中道闸机的设备实时状态显示及车辆识别图像显示，具体要求如下：闸机及其摄像头图像在三维地图中进行数字孪生展示，闸机抬杆落杆状态可在三维地图中交互，可远程控制切换闸机的抬杆/落杆状态。</w:t>
            </w:r>
          </w:p>
          <w:p w14:paraId="78F4ACF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（十四）</w:t>
            </w:r>
            <w:r>
              <w:rPr>
                <w:rFonts w:hint="eastAsia" w:ascii="宋体" w:hAnsi="宋体" w:cs="宋体"/>
                <w:color w:val="auto"/>
                <w:kern w:val="0"/>
                <w:sz w:val="21"/>
                <w:szCs w:val="21"/>
                <w:highlight w:val="none"/>
                <w:lang w:eastAsia="zh-CN"/>
              </w:rPr>
              <w:t>整体化设计配套</w:t>
            </w:r>
            <w:r>
              <w:rPr>
                <w:rFonts w:hint="eastAsia" w:ascii="宋体" w:hAnsi="宋体" w:eastAsia="宋体" w:cs="宋体"/>
                <w:color w:val="auto"/>
                <w:kern w:val="0"/>
                <w:sz w:val="21"/>
                <w:szCs w:val="21"/>
                <w:highlight w:val="none"/>
              </w:rPr>
              <w:t>边缘计算</w:t>
            </w:r>
            <w:r>
              <w:rPr>
                <w:rFonts w:hint="eastAsia" w:ascii="宋体" w:hAnsi="宋体" w:cs="宋体"/>
                <w:color w:val="auto"/>
                <w:kern w:val="0"/>
                <w:sz w:val="21"/>
                <w:szCs w:val="21"/>
                <w:highlight w:val="none"/>
                <w:lang w:val="en-US" w:eastAsia="zh-CN"/>
              </w:rPr>
              <w:t>智能终端</w:t>
            </w:r>
            <w:r>
              <w:rPr>
                <w:rFonts w:hint="eastAsia" w:ascii="宋体" w:hAnsi="宋体" w:eastAsia="宋体" w:cs="宋体"/>
                <w:color w:val="auto"/>
                <w:kern w:val="0"/>
                <w:sz w:val="21"/>
                <w:szCs w:val="21"/>
                <w:highlight w:val="none"/>
              </w:rPr>
              <w:t>*1套</w:t>
            </w:r>
          </w:p>
          <w:p w14:paraId="190209B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1)终端内置高性能CPU处理器，处理器配置不少于20核;</w:t>
            </w:r>
          </w:p>
          <w:p w14:paraId="38BDD22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2)GPU处理器核数不少于1024核，最大频率不低于624MHz;</w:t>
            </w:r>
          </w:p>
          <w:p w14:paraId="762249D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3)终端搭载内存≥32GB，128-bit LPDDR5，66GB/s;</w:t>
            </w:r>
          </w:p>
          <w:p w14:paraId="7AFDF19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4)终端支持外部NVMe，容量不低于128GB;</w:t>
            </w:r>
          </w:p>
          <w:p w14:paraId="7BE6420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5)视频编码:支持1080p30 supported byl-2 CPU cores;</w:t>
            </w:r>
          </w:p>
          <w:p w14:paraId="41D8BD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6)视频解码:支持1x4K60 (H.265) 、2x4K30 (H.265)、5x1080p60 (H.265)、</w:t>
            </w:r>
          </w:p>
          <w:p w14:paraId="39E1879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11x1080p30 (H.265);</w:t>
            </w:r>
          </w:p>
          <w:p w14:paraId="30435EA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7)功率:7W~15W</w:t>
            </w:r>
          </w:p>
          <w:p w14:paraId="35B6334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3)外设接口:</w:t>
            </w:r>
          </w:p>
          <w:p w14:paraId="3B4EB43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a)千兆以太网;</w:t>
            </w:r>
          </w:p>
          <w:p w14:paraId="109D83B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b)不少于3个USB3.2Gen2;</w:t>
            </w:r>
          </w:p>
          <w:p w14:paraId="53CEF5B6">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（十五）ROS自动驾驶小车实训平台（机械臂版）*2套</w:t>
            </w:r>
          </w:p>
          <w:p w14:paraId="4C47A91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1.基础功能</w:t>
            </w:r>
          </w:p>
          <w:p w14:paraId="6E44F2E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验平台由AI核心开发板、深度摄像头、EAITminiPro激光雷达、6轴机械臂、驱动板、电机等设备组成，一体高度集成硬件驱动模块，简单明了的系统设计框架，配套教学辅助工具，让学生能够快速掌握自动驾驶、机械臂运动控制的关键技术，进行ROS机器人操作系统学习及二次开发。</w:t>
            </w:r>
          </w:p>
          <w:p w14:paraId="559265E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2.平台硬件功能</w:t>
            </w:r>
          </w:p>
          <w:p w14:paraId="28FC048A">
            <w:pPr>
              <w:pStyle w:val="9"/>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cs="宋体"/>
                <w:b/>
                <w:color w:val="auto"/>
                <w:sz w:val="21"/>
                <w:szCs w:val="21"/>
                <w:highlight w:val="none"/>
                <w:lang w:eastAsia="zh-CN"/>
              </w:rPr>
              <w:t>整体化设计配套</w:t>
            </w:r>
            <w:r>
              <w:rPr>
                <w:rFonts w:hint="eastAsia" w:ascii="宋体" w:hAnsi="宋体" w:eastAsia="宋体" w:cs="宋体"/>
                <w:b/>
                <w:color w:val="auto"/>
                <w:sz w:val="21"/>
                <w:szCs w:val="21"/>
                <w:highlight w:val="none"/>
              </w:rPr>
              <w:t>边缘计算终端：</w:t>
            </w:r>
          </w:p>
          <w:p w14:paraId="7BA52237">
            <w:pPr>
              <w:pStyle w:val="9"/>
              <w:numPr>
                <w:ilvl w:val="0"/>
                <w:numId w:val="23"/>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终端内置高性能CPU处理器，处理器配置不少于六核；</w:t>
            </w:r>
          </w:p>
          <w:p w14:paraId="1B26ECDD">
            <w:pPr>
              <w:pStyle w:val="9"/>
              <w:numPr>
                <w:ilvl w:val="0"/>
                <w:numId w:val="23"/>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GPU处理器核数不少于1024核，最大频率不低于624MHz；</w:t>
            </w:r>
          </w:p>
          <w:p w14:paraId="5786B29B">
            <w:pPr>
              <w:pStyle w:val="9"/>
              <w:numPr>
                <w:ilvl w:val="0"/>
                <w:numId w:val="23"/>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终端搭载内存≥</w:t>
            </w:r>
            <w:r>
              <w:rPr>
                <w:rFonts w:hint="eastAsia" w:ascii="宋体" w:hAnsi="宋体" w:cs="宋体"/>
                <w:color w:val="auto"/>
                <w:sz w:val="21"/>
                <w:szCs w:val="21"/>
                <w:highlight w:val="none"/>
                <w:lang w:eastAsia="zh-CN"/>
              </w:rPr>
              <w:t>8GB，128</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bit LPDDR5，66GB</w:t>
            </w:r>
            <w:r>
              <w:rPr>
                <w:rFonts w:hint="eastAsia" w:ascii="宋体" w:hAnsi="宋体" w:eastAsia="宋体" w:cs="宋体"/>
                <w:color w:val="auto"/>
                <w:sz w:val="21"/>
                <w:szCs w:val="21"/>
                <w:highlight w:val="none"/>
              </w:rPr>
              <w:t>/s；</w:t>
            </w:r>
          </w:p>
          <w:p w14:paraId="7D9021E2">
            <w:pPr>
              <w:pStyle w:val="9"/>
              <w:numPr>
                <w:ilvl w:val="0"/>
                <w:numId w:val="23"/>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终端支持外部NVMe，容量不低于128GB；</w:t>
            </w:r>
          </w:p>
          <w:p w14:paraId="5781D6EA">
            <w:pPr>
              <w:pStyle w:val="9"/>
              <w:numPr>
                <w:ilvl w:val="0"/>
                <w:numId w:val="23"/>
              </w:numPr>
              <w:wordWrap w:val="0"/>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视频编码：支持1080p30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supported</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by1-2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CPU</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cores；</w:t>
            </w:r>
          </w:p>
          <w:p w14:paraId="359B8D17">
            <w:pPr>
              <w:pStyle w:val="9"/>
              <w:numPr>
                <w:ilvl w:val="0"/>
                <w:numId w:val="23"/>
              </w:numPr>
              <w:wordWrap w:val="0"/>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视频解码：支持1x4K60（H.265）、2x4K30（H.265）、5x1080p60（H.265）、11x1080p30（H.265）；</w:t>
            </w:r>
          </w:p>
          <w:p w14:paraId="292251C7">
            <w:pPr>
              <w:pStyle w:val="9"/>
              <w:numPr>
                <w:ilvl w:val="0"/>
                <w:numId w:val="23"/>
              </w:numPr>
              <w:wordWrap w:val="0"/>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功率：7W~15W</w:t>
            </w:r>
          </w:p>
          <w:p w14:paraId="1E94E4C8">
            <w:pPr>
              <w:pStyle w:val="9"/>
              <w:numPr>
                <w:ilvl w:val="0"/>
                <w:numId w:val="23"/>
              </w:numPr>
              <w:wordWrap w:val="0"/>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外设接口：</w:t>
            </w:r>
          </w:p>
          <w:p w14:paraId="34B300A9">
            <w:pPr>
              <w:pStyle w:val="9"/>
              <w:numPr>
                <w:ilvl w:val="1"/>
                <w:numId w:val="2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千兆以太网；</w:t>
            </w:r>
          </w:p>
          <w:p w14:paraId="06187EB3">
            <w:pPr>
              <w:pStyle w:val="9"/>
              <w:numPr>
                <w:ilvl w:val="1"/>
                <w:numId w:val="2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不少于3个USB3.2Gen2；</w:t>
            </w:r>
          </w:p>
          <w:p w14:paraId="38D69B09">
            <w:pPr>
              <w:pStyle w:val="9"/>
              <w:numPr>
                <w:ilvl w:val="1"/>
                <w:numId w:val="2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提供M.2KeyE接口外扩；</w:t>
            </w:r>
          </w:p>
          <w:p w14:paraId="7DA50850">
            <w:pPr>
              <w:pStyle w:val="9"/>
              <w:numPr>
                <w:ilvl w:val="1"/>
                <w:numId w:val="2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提供8通道MIPICSI-2D-PHY2.1；</w:t>
            </w:r>
          </w:p>
          <w:p w14:paraId="450ACDA4">
            <w:pPr>
              <w:pStyle w:val="9"/>
              <w:numPr>
                <w:ilvl w:val="1"/>
                <w:numId w:val="2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提供3xUART,2xSPI,2xI2S,4xI2C,1xCAN,DMIC&amp;DSPK,PWM,GPIOs扩展接口；</w:t>
            </w:r>
          </w:p>
          <w:p w14:paraId="5A6E31EB">
            <w:pPr>
              <w:pStyle w:val="9"/>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（2）深度摄像头</w:t>
            </w:r>
          </w:p>
          <w:p w14:paraId="26ABDA71">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1）工作环境：室内/室外都可以适应；</w:t>
            </w:r>
          </w:p>
          <w:p w14:paraId="3AE9BAF5">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2）工作温度：10°C~40°C；</w:t>
            </w:r>
          </w:p>
          <w:p w14:paraId="094A6724">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3）深度距离：0.3~3m；</w:t>
            </w:r>
          </w:p>
          <w:p w14:paraId="08BF5CF5">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4）左、右红外相机成像中心之间的距离：40mm；</w:t>
            </w:r>
          </w:p>
          <w:p w14:paraId="48EE7C66">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5）深度图像分辨率：不低于640</w:t>
            </w:r>
            <w:r>
              <w:rPr>
                <w:rFonts w:ascii="宋体" w:hAnsi="宋体" w:eastAsia="宋体" w:cs="宋体"/>
                <w:color w:val="auto"/>
                <w:sz w:val="24"/>
                <w:szCs w:val="24"/>
                <w:highlight w:val="none"/>
              </w:rPr>
              <w:t>×</w:t>
            </w:r>
            <w:r>
              <w:rPr>
                <w:rFonts w:hint="eastAsia" w:ascii="宋体" w:hAnsi="宋体" w:eastAsia="宋体" w:cs="宋体"/>
                <w:color w:val="auto"/>
                <w:sz w:val="21"/>
                <w:szCs w:val="21"/>
                <w:highlight w:val="none"/>
              </w:rPr>
              <w:t>400@30FPS/320200@30FPS；</w:t>
            </w:r>
          </w:p>
          <w:p w14:paraId="7D9EE8F9">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6）深度视场：67.9°*45°；</w:t>
            </w:r>
          </w:p>
          <w:p w14:paraId="165FA108">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7）RGB传感器视场：66°*51°（土3°）；</w:t>
            </w:r>
          </w:p>
          <w:p w14:paraId="3B1CE9D9">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9）延迟：30~45ms；</w:t>
            </w:r>
          </w:p>
          <w:p w14:paraId="14F08518">
            <w:pPr>
              <w:pStyle w:val="9"/>
              <w:tabs>
                <w:tab w:val="left" w:pos="5006"/>
              </w:tabs>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10）整机平均功耗：&lt;2W；</w:t>
            </w:r>
            <w:r>
              <w:rPr>
                <w:rFonts w:hint="eastAsia" w:ascii="宋体" w:hAnsi="宋体" w:eastAsia="宋体" w:cs="宋体"/>
                <w:color w:val="auto"/>
                <w:sz w:val="21"/>
                <w:szCs w:val="21"/>
                <w:highlight w:val="none"/>
              </w:rPr>
              <w:tab/>
            </w:r>
          </w:p>
          <w:p w14:paraId="2DD8BD51">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11）激光开启瞬间功耗峰值：&lt;5W（持续时间3ms）</w:t>
            </w:r>
          </w:p>
          <w:p w14:paraId="753D88D6">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12）待机功耗典型值：&lt;0.7W；</w:t>
            </w:r>
          </w:p>
          <w:p w14:paraId="5B6F7426">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13）支持操作系统：Android/Linux/Windows7/10；</w:t>
            </w:r>
          </w:p>
          <w:p w14:paraId="60BEAC3F">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14）精度：不低于6mm@1m；</w:t>
            </w:r>
          </w:p>
          <w:p w14:paraId="4EFD8C25">
            <w:pPr>
              <w:pStyle w:val="9"/>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（3）激光雷达</w:t>
            </w:r>
          </w:p>
          <w:p w14:paraId="078444B1">
            <w:pPr>
              <w:pStyle w:val="9"/>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测距范围：0.02~12米；</w:t>
            </w:r>
          </w:p>
          <w:p w14:paraId="7AABBDE4">
            <w:pPr>
              <w:pStyle w:val="9"/>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扫描角度：0~360度；</w:t>
            </w:r>
          </w:p>
          <w:p w14:paraId="3D61157A">
            <w:pPr>
              <w:pStyle w:val="9"/>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测距精度：不低于20mm；</w:t>
            </w:r>
          </w:p>
          <w:p w14:paraId="05F1862C">
            <w:pPr>
              <w:pStyle w:val="9"/>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角度分辨率：&gt;0.54°；</w:t>
            </w:r>
          </w:p>
          <w:p w14:paraId="352F0B25">
            <w:pPr>
              <w:pStyle w:val="9"/>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俯仰角：0~1.5度；</w:t>
            </w:r>
          </w:p>
          <w:p w14:paraId="702EF83F">
            <w:pPr>
              <w:pStyle w:val="9"/>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测距频率：不小于4000Hz；</w:t>
            </w:r>
          </w:p>
          <w:p w14:paraId="7230D3C9">
            <w:pPr>
              <w:pStyle w:val="9"/>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扫描频率：6≤扫描频率≤12Hz；</w:t>
            </w:r>
          </w:p>
          <w:p w14:paraId="1EB5CDAF">
            <w:pPr>
              <w:pStyle w:val="9"/>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（4）机械臂</w:t>
            </w:r>
          </w:p>
          <w:p w14:paraId="325406DF">
            <w:pPr>
              <w:pStyle w:val="9"/>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自由度不少于6；</w:t>
            </w:r>
          </w:p>
          <w:p w14:paraId="24009A8A">
            <w:pPr>
              <w:pStyle w:val="9"/>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有效负载：≥250g；</w:t>
            </w:r>
          </w:p>
          <w:p w14:paraId="786A6E9A">
            <w:pPr>
              <w:pStyle w:val="9"/>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工作半径：280mm；</w:t>
            </w:r>
          </w:p>
          <w:p w14:paraId="5B69B55D">
            <w:pPr>
              <w:pStyle w:val="9"/>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重复定位精度：±0.5mm；</w:t>
            </w:r>
          </w:p>
          <w:p w14:paraId="3BEFA943">
            <w:pPr>
              <w:pStyle w:val="9"/>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重量：800g；</w:t>
            </w:r>
          </w:p>
          <w:p w14:paraId="65533045">
            <w:pPr>
              <w:pStyle w:val="9"/>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电源输入：12V，5A；</w:t>
            </w:r>
          </w:p>
          <w:p w14:paraId="32ED48C3">
            <w:pPr>
              <w:pStyle w:val="9"/>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工作温度</w:t>
            </w:r>
            <w:r>
              <w:rPr>
                <w:rFonts w:hint="eastAsia" w:ascii="宋体" w:hAnsi="宋体" w:eastAsia="宋体" w:cs="宋体"/>
                <w:color w:val="auto"/>
                <w:sz w:val="21"/>
                <w:szCs w:val="21"/>
                <w:highlight w:val="none"/>
              </w:rPr>
              <w:t>：-5~45℃</w:t>
            </w:r>
          </w:p>
          <w:p w14:paraId="4DAA6AC3">
            <w:pPr>
              <w:pStyle w:val="9"/>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通讯：Type-C；</w:t>
            </w:r>
          </w:p>
          <w:p w14:paraId="7384B9A2">
            <w:pPr>
              <w:pStyle w:val="9"/>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（5）机械臂末端摄像头</w:t>
            </w:r>
          </w:p>
          <w:p w14:paraId="21595406">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1）工作环境：室内；</w:t>
            </w:r>
          </w:p>
          <w:p w14:paraId="2DA9D299">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2）工作温度：10°C~40°C；</w:t>
            </w:r>
          </w:p>
          <w:p w14:paraId="5E3DB21F">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3）深度距离：0.2~2.5m；</w:t>
            </w:r>
          </w:p>
          <w:p w14:paraId="570DBC18">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4）深度图像分辨率：不低于640*480@10FPS/320*240@10FPS；</w:t>
            </w:r>
          </w:p>
          <w:p w14:paraId="58BD5C98">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5）深度视场：79°*53°（土3°）；</w:t>
            </w:r>
          </w:p>
          <w:p w14:paraId="178BA083">
            <w:pPr>
              <w:pStyle w:val="9"/>
              <w:tabs>
                <w:tab w:val="left" w:pos="5006"/>
              </w:tabs>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6）整机平均功耗：&lt;2.5W；</w:t>
            </w:r>
            <w:r>
              <w:rPr>
                <w:rFonts w:hint="eastAsia" w:ascii="宋体" w:hAnsi="宋体" w:eastAsia="宋体" w:cs="宋体"/>
                <w:color w:val="auto"/>
                <w:sz w:val="21"/>
                <w:szCs w:val="21"/>
                <w:highlight w:val="none"/>
              </w:rPr>
              <w:tab/>
            </w:r>
          </w:p>
          <w:p w14:paraId="05946C00">
            <w:pPr>
              <w:pStyle w:val="9"/>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7）支持操作系统：Android/Linux/Windows10；</w:t>
            </w:r>
          </w:p>
          <w:p w14:paraId="7634CE54">
            <w:pPr>
              <w:widowControl/>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8）相对精度：＜</w:t>
            </w:r>
            <w:r>
              <w:rPr>
                <w:rFonts w:hint="eastAsia" w:ascii="宋体" w:hAnsi="宋体" w:eastAsia="宋体" w:cs="宋体"/>
                <w:color w:val="auto"/>
                <w:kern w:val="0"/>
                <w:sz w:val="21"/>
                <w:szCs w:val="21"/>
                <w:highlight w:val="none"/>
              </w:rPr>
              <w:t>1%@1m</w:t>
            </w:r>
            <w:r>
              <w:rPr>
                <w:rFonts w:hint="eastAsia" w:ascii="宋体" w:hAnsi="宋体" w:eastAsia="宋体" w:cs="宋体"/>
                <w:color w:val="auto"/>
                <w:sz w:val="21"/>
                <w:szCs w:val="21"/>
                <w:highlight w:val="none"/>
              </w:rPr>
              <w:t>；</w:t>
            </w:r>
          </w:p>
          <w:p w14:paraId="349E54D9">
            <w:pPr>
              <w:pStyle w:val="9"/>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（6）四驱底盘</w:t>
            </w:r>
          </w:p>
          <w:p w14:paraId="1DC5B900">
            <w:pPr>
              <w:pStyle w:val="9"/>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不少于4个电机，四轮独立驱动；</w:t>
            </w:r>
          </w:p>
          <w:p w14:paraId="7914E319">
            <w:pPr>
              <w:pStyle w:val="9"/>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可实现多种底盘运动模式便捷切换，满足不同场景的应用需求，包括四轮差速、阿克曼模式、麦轮模式、履带模式；</w:t>
            </w:r>
          </w:p>
          <w:p w14:paraId="45F09330">
            <w:pPr>
              <w:pStyle w:val="9"/>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负载可以根据车体的不同模式调整，四轮差速负载不小于</w:t>
            </w:r>
            <w:r>
              <w:rPr>
                <w:rFonts w:hint="eastAsia" w:ascii="宋体" w:hAnsi="宋体" w:cs="宋体"/>
                <w:color w:val="auto"/>
                <w:sz w:val="21"/>
                <w:szCs w:val="21"/>
                <w:highlight w:val="none"/>
                <w:lang w:eastAsia="zh-CN"/>
              </w:rPr>
              <w:t>1kg</w:t>
            </w:r>
            <w:r>
              <w:rPr>
                <w:rFonts w:hint="eastAsia" w:ascii="宋体" w:hAnsi="宋体" w:eastAsia="宋体" w:cs="宋体"/>
                <w:color w:val="auto"/>
                <w:sz w:val="21"/>
                <w:szCs w:val="21"/>
                <w:highlight w:val="none"/>
              </w:rPr>
              <w:t>；阿克曼负载不小于4KG；麦克纳姆轮载重不小于4kg；最小离地间距不小于24mm。</w:t>
            </w:r>
          </w:p>
          <w:p w14:paraId="424BBF91">
            <w:pPr>
              <w:pStyle w:val="9"/>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1个电机驱动板：应</w:t>
            </w:r>
            <w:r>
              <w:rPr>
                <w:rFonts w:hint="eastAsia" w:ascii="宋体" w:hAnsi="宋体" w:cs="宋体"/>
                <w:color w:val="auto"/>
                <w:sz w:val="21"/>
                <w:szCs w:val="21"/>
                <w:highlight w:val="none"/>
                <w:lang w:eastAsia="zh-CN"/>
              </w:rPr>
              <w:t>集成</w:t>
            </w:r>
            <w:r>
              <w:rPr>
                <w:rFonts w:hint="eastAsia" w:ascii="宋体" w:hAnsi="宋体" w:eastAsia="宋体" w:cs="宋体"/>
                <w:color w:val="auto"/>
                <w:sz w:val="21"/>
                <w:szCs w:val="21"/>
                <w:highlight w:val="none"/>
              </w:rPr>
              <w:t>STM32控制板，板载4路大功率电机驱动，最高支持12V电压输入；</w:t>
            </w:r>
          </w:p>
          <w:p w14:paraId="2E53624F">
            <w:pPr>
              <w:pStyle w:val="9"/>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不少于1个USB接口扩展板：至少支持3路USB设备扩展；</w:t>
            </w:r>
          </w:p>
          <w:p w14:paraId="54D1B993">
            <w:pPr>
              <w:pStyle w:val="9"/>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电池：至少配置12V</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10000mAh容量动力锂电池；</w:t>
            </w:r>
          </w:p>
          <w:p w14:paraId="2FDFA3FA">
            <w:pPr>
              <w:pStyle w:val="9"/>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配套电池剩余容量显示；</w:t>
            </w:r>
          </w:p>
          <w:p w14:paraId="735C7924">
            <w:pPr>
              <w:pStyle w:val="9"/>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（7）传感器支架</w:t>
            </w:r>
          </w:p>
          <w:p w14:paraId="5811E1E6">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应配置深度摄像头和激光雷达一体化安装支架，支持USB</w:t>
            </w:r>
            <w:r>
              <w:rPr>
                <w:rFonts w:hint="eastAsia" w:ascii="宋体" w:hAnsi="宋体" w:eastAsia="宋体" w:cs="宋体"/>
                <w:color w:val="auto"/>
                <w:sz w:val="21"/>
                <w:szCs w:val="21"/>
                <w:highlight w:val="none"/>
                <w:lang w:val="en-US" w:eastAsia="zh-CN"/>
              </w:rPr>
              <w:t>接口</w:t>
            </w:r>
            <w:r>
              <w:rPr>
                <w:rFonts w:hint="eastAsia" w:ascii="宋体" w:hAnsi="宋体" w:eastAsia="宋体" w:cs="宋体"/>
                <w:color w:val="auto"/>
                <w:sz w:val="21"/>
                <w:szCs w:val="21"/>
                <w:highlight w:val="none"/>
              </w:rPr>
              <w:t>深度摄像头和激光雷达安装固定。</w:t>
            </w:r>
          </w:p>
          <w:p w14:paraId="3EA68CCC">
            <w:pPr>
              <w:pStyle w:val="9"/>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（8）触摸屏</w:t>
            </w:r>
          </w:p>
          <w:p w14:paraId="67B6E767">
            <w:pPr>
              <w:pStyle w:val="9"/>
              <w:numPr>
                <w:ilvl w:val="0"/>
                <w:numId w:val="2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分辨率不低于1024*600；</w:t>
            </w:r>
          </w:p>
          <w:p w14:paraId="4A6ACE37">
            <w:pPr>
              <w:pStyle w:val="9"/>
              <w:numPr>
                <w:ilvl w:val="0"/>
                <w:numId w:val="2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视频输出：HDMI；</w:t>
            </w:r>
          </w:p>
          <w:p w14:paraId="35EFBCCB">
            <w:pPr>
              <w:pStyle w:val="9"/>
              <w:numPr>
                <w:ilvl w:val="0"/>
                <w:numId w:val="2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控制方式：电容式触摸控制；</w:t>
            </w:r>
          </w:p>
          <w:p w14:paraId="3499C347">
            <w:pPr>
              <w:pStyle w:val="9"/>
              <w:numPr>
                <w:ilvl w:val="0"/>
                <w:numId w:val="2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供电接口：Micro</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USB电源插座；</w:t>
            </w:r>
          </w:p>
          <w:p w14:paraId="4BA40A85">
            <w:pPr>
              <w:pStyle w:val="9"/>
              <w:numPr>
                <w:ilvl w:val="0"/>
                <w:numId w:val="2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控制接口：Micro</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USB触摸接口；</w:t>
            </w:r>
          </w:p>
          <w:p w14:paraId="3EF6527D">
            <w:pPr>
              <w:pStyle w:val="9"/>
              <w:numPr>
                <w:ilvl w:val="0"/>
                <w:numId w:val="2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亚克力外壳</w:t>
            </w:r>
            <w:r>
              <w:rPr>
                <w:rFonts w:hint="eastAsia" w:ascii="宋体" w:hAnsi="宋体" w:cs="宋体"/>
                <w:color w:val="auto"/>
                <w:sz w:val="21"/>
                <w:szCs w:val="21"/>
                <w:highlight w:val="none"/>
                <w:lang w:val="en-US" w:eastAsia="zh-CN"/>
              </w:rPr>
              <w:t>材质</w:t>
            </w:r>
            <w:r>
              <w:rPr>
                <w:rFonts w:hint="eastAsia" w:ascii="宋体" w:hAnsi="宋体" w:eastAsia="宋体" w:cs="宋体"/>
                <w:color w:val="auto"/>
                <w:sz w:val="21"/>
                <w:szCs w:val="21"/>
                <w:highlight w:val="none"/>
              </w:rPr>
              <w:t>；</w:t>
            </w:r>
          </w:p>
          <w:p w14:paraId="0531E1F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（三）实验平台配套课程</w:t>
            </w:r>
          </w:p>
          <w:p w14:paraId="278D7766">
            <w:pPr>
              <w:widowControl/>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教学资源须配套《移动机器人技术应用（机械臂版）》课程实训指导手册、教学PPT、教学视频、案例源码及数据集等内容。</w:t>
            </w:r>
          </w:p>
        </w:tc>
        <w:tc>
          <w:tcPr>
            <w:tcW w:w="276" w:type="pct"/>
            <w:shd w:val="clear" w:color="auto" w:fill="auto"/>
            <w:vAlign w:val="center"/>
          </w:tcPr>
          <w:p w14:paraId="5CBE3C33">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683287C8">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2299E4EB">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 w:val="21"/>
                <w:szCs w:val="21"/>
                <w:highlight w:val="none"/>
                <w:lang w:bidi="zh-CN"/>
              </w:rPr>
              <w:t>工业</w:t>
            </w:r>
          </w:p>
        </w:tc>
      </w:tr>
      <w:tr w14:paraId="7692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502B798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14" w:type="pct"/>
            <w:shd w:val="clear" w:color="auto" w:fill="auto"/>
            <w:tcMar>
              <w:top w:w="13" w:type="dxa"/>
              <w:left w:w="57" w:type="dxa"/>
              <w:bottom w:w="0" w:type="dxa"/>
              <w:right w:w="57" w:type="dxa"/>
            </w:tcMar>
            <w:vAlign w:val="center"/>
          </w:tcPr>
          <w:p w14:paraId="19E23C8A">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智能温室作物异构数据采集实验平台</w:t>
            </w:r>
          </w:p>
        </w:tc>
        <w:tc>
          <w:tcPr>
            <w:tcW w:w="3617" w:type="pct"/>
            <w:gridSpan w:val="2"/>
            <w:shd w:val="clear" w:color="auto" w:fill="auto"/>
            <w:tcMar>
              <w:top w:w="13" w:type="dxa"/>
              <w:left w:w="57" w:type="dxa"/>
              <w:bottom w:w="0" w:type="dxa"/>
              <w:right w:w="57" w:type="dxa"/>
            </w:tcMar>
            <w:vAlign w:val="center"/>
          </w:tcPr>
          <w:p w14:paraId="5B3A9C3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一、物联网行业云平台模块 1套</w:t>
            </w:r>
          </w:p>
          <w:p w14:paraId="6ED4586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（一）实训教学系统</w:t>
            </w:r>
          </w:p>
          <w:p w14:paraId="68EB548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1.平台作为统一登录入口和基础功能支撑，以智慧行业应用为背景，物联网技术为核心，虚拟仿真为支撑能力，满足相关专业和课程教学实训需求。</w:t>
            </w:r>
          </w:p>
          <w:p w14:paraId="24E609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2.平台采用B/S架构，具有即时即地即登录的轻便型实训教学系统环境，能够监控实训环节关键节点，提高实训教学效率，包含课程管理、教师管理、班级管理、学生管理、教学任务、资源管理等模块。</w:t>
            </w:r>
          </w:p>
          <w:p w14:paraId="677D47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（二）实训功能要求</w:t>
            </w:r>
          </w:p>
          <w:p w14:paraId="1C06E73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1.支持多种设备接入，兼容MQTT/TCP-IP多种接入协议；</w:t>
            </w:r>
          </w:p>
          <w:p w14:paraId="116B81D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2.支持在广域网中通过PC、移动智能终端等设备登录此云平台；</w:t>
            </w:r>
          </w:p>
          <w:p w14:paraId="3D824BE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▲3.支持通过低代码开发，制定业务策略；</w:t>
            </w:r>
            <w:r>
              <w:rPr>
                <w:rFonts w:hint="eastAsia" w:ascii="宋体" w:hAnsi="宋体" w:eastAsia="宋体" w:cs="宋体"/>
                <w:b/>
                <w:bCs/>
                <w:color w:val="auto"/>
                <w:kern w:val="0"/>
                <w:sz w:val="21"/>
                <w:szCs w:val="21"/>
                <w:highlight w:val="none"/>
              </w:rPr>
              <w:t>（投标文件中提供系统功能截图标注，并加盖投标人公章）</w:t>
            </w:r>
            <w:r>
              <w:rPr>
                <w:rFonts w:hint="eastAsia" w:ascii="宋体" w:hAnsi="宋体" w:eastAsia="宋体" w:cs="宋体"/>
                <w:color w:val="auto"/>
                <w:kern w:val="0"/>
                <w:sz w:val="21"/>
                <w:szCs w:val="21"/>
                <w:highlight w:val="none"/>
              </w:rPr>
              <w:t>。</w:t>
            </w:r>
          </w:p>
          <w:p w14:paraId="6CDDCD0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▲4.内置20+款行业设备3D模型，支持构建多种真实行业场景；</w:t>
            </w:r>
            <w:r>
              <w:rPr>
                <w:rFonts w:hint="eastAsia" w:ascii="宋体" w:hAnsi="宋体" w:eastAsia="宋体" w:cs="宋体"/>
                <w:b/>
                <w:bCs/>
                <w:color w:val="auto"/>
                <w:kern w:val="0"/>
                <w:sz w:val="21"/>
                <w:szCs w:val="21"/>
                <w:highlight w:val="none"/>
              </w:rPr>
              <w:t>（投标文件中提供系统功能截图标注，并加盖投标人公章）</w:t>
            </w:r>
          </w:p>
          <w:p w14:paraId="0B1D8AA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（三）仿真实训系统</w:t>
            </w:r>
          </w:p>
          <w:p w14:paraId="5417346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▲1.仿真实训系统操作软件</w:t>
            </w:r>
            <w:r>
              <w:rPr>
                <w:rFonts w:hint="eastAsia" w:ascii="宋体" w:hAnsi="宋体" w:eastAsia="宋体" w:cs="宋体"/>
                <w:color w:val="auto"/>
                <w:kern w:val="0"/>
                <w:sz w:val="21"/>
                <w:szCs w:val="21"/>
                <w:highlight w:val="none"/>
                <w:lang w:eastAsia="zh-CN"/>
              </w:rPr>
              <w:t>须具备</w:t>
            </w:r>
            <w:r>
              <w:rPr>
                <w:rFonts w:hint="eastAsia" w:ascii="宋体" w:hAnsi="宋体" w:eastAsia="宋体" w:cs="宋体"/>
                <w:color w:val="auto"/>
                <w:kern w:val="0"/>
                <w:sz w:val="21"/>
                <w:szCs w:val="21"/>
                <w:highlight w:val="none"/>
              </w:rPr>
              <w:t>检测功能，可以关闭开启实时验证连线错误；</w:t>
            </w:r>
            <w:r>
              <w:rPr>
                <w:rFonts w:hint="eastAsia" w:ascii="宋体" w:hAnsi="宋体" w:eastAsia="宋体" w:cs="宋体"/>
                <w:b/>
                <w:bCs/>
                <w:color w:val="auto"/>
                <w:kern w:val="0"/>
                <w:sz w:val="21"/>
                <w:szCs w:val="21"/>
                <w:highlight w:val="none"/>
              </w:rPr>
              <w:t>（投标文件中提供系统功能截图标注，并加盖投标人公章）</w:t>
            </w:r>
          </w:p>
          <w:p w14:paraId="73CB69F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▲2.消息面板可查看设备通信消息；</w:t>
            </w:r>
            <w:r>
              <w:rPr>
                <w:rFonts w:hint="eastAsia" w:ascii="宋体" w:hAnsi="宋体" w:eastAsia="宋体" w:cs="宋体"/>
                <w:b/>
                <w:bCs/>
                <w:color w:val="auto"/>
                <w:kern w:val="0"/>
                <w:sz w:val="21"/>
                <w:szCs w:val="21"/>
                <w:highlight w:val="none"/>
              </w:rPr>
              <w:t>（投标文件中提供系统功能截图标注，并加盖投标人公章）</w:t>
            </w:r>
          </w:p>
          <w:p w14:paraId="43BCF4E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■3.仿真硬件具有模拟数据源产生模拟数据，可通过定值或随机值两种方式产生模拟数据；</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eastAsia="zh-CN"/>
              </w:rPr>
              <w:t>功能演示项</w:t>
            </w:r>
            <w:r>
              <w:rPr>
                <w:rFonts w:hint="eastAsia" w:ascii="宋体" w:hAnsi="宋体" w:eastAsia="宋体" w:cs="宋体"/>
                <w:b/>
                <w:bCs/>
                <w:color w:val="auto"/>
                <w:kern w:val="0"/>
                <w:sz w:val="21"/>
                <w:szCs w:val="21"/>
                <w:highlight w:val="none"/>
              </w:rPr>
              <w:t>）</w:t>
            </w:r>
          </w:p>
          <w:p w14:paraId="44770B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4.仿真的套件部品至少包含：有线传感器、无线传感器、执行器、网关、I/O模块、RFID、终端、负载、电源、其</w:t>
            </w:r>
            <w:r>
              <w:rPr>
                <w:rFonts w:hint="eastAsia" w:ascii="宋体" w:hAnsi="宋体" w:eastAsia="宋体" w:cs="宋体"/>
                <w:color w:val="auto"/>
                <w:kern w:val="0"/>
                <w:sz w:val="21"/>
                <w:szCs w:val="21"/>
                <w:highlight w:val="none"/>
                <w:lang w:eastAsia="zh-CN"/>
              </w:rPr>
              <w:t>他</w:t>
            </w:r>
            <w:r>
              <w:rPr>
                <w:rFonts w:hint="eastAsia" w:ascii="宋体" w:hAnsi="宋体" w:eastAsia="宋体" w:cs="宋体"/>
                <w:color w:val="auto"/>
                <w:kern w:val="0"/>
                <w:sz w:val="21"/>
                <w:szCs w:val="21"/>
                <w:highlight w:val="none"/>
              </w:rPr>
              <w:t>外设等。具体清单如下：</w:t>
            </w:r>
          </w:p>
          <w:p w14:paraId="1CDC442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（1）有线传感器：</w:t>
            </w:r>
          </w:p>
          <w:p w14:paraId="0EE417B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至少包含空气质量传感器、大气压力传感器、二氧化碳传感器、温湿度传感器、光照度传感器、氧气传感器、PM2.5传感器、土壤水分传感器、液位传感器、水温传感器、风向传感器、风速传感器、人体传感器、火焰传感器、红外对射传感器、微波传感器、烟雾传感器、二氧化碳传感器（485）、温湿度传感器（485）、光照度传感器（485）等；</w:t>
            </w:r>
          </w:p>
          <w:p w14:paraId="1E53721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■（2）无线传感器：至少包含空气质量传感器、火焰传感器、人体传感器、可燃气体传感器、温湿度传感器、光照传感器等；</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eastAsia="zh-CN"/>
              </w:rPr>
              <w:t>功能演示项</w:t>
            </w:r>
            <w:r>
              <w:rPr>
                <w:rFonts w:hint="eastAsia" w:ascii="宋体" w:hAnsi="宋体" w:eastAsia="宋体" w:cs="宋体"/>
                <w:b/>
                <w:bCs/>
                <w:color w:val="auto"/>
                <w:kern w:val="0"/>
                <w:sz w:val="21"/>
                <w:szCs w:val="21"/>
                <w:highlight w:val="none"/>
              </w:rPr>
              <w:t>）</w:t>
            </w:r>
          </w:p>
          <w:p w14:paraId="1C025B8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（四）数字孪生实训系统</w:t>
            </w:r>
          </w:p>
          <w:p w14:paraId="72D7CE4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数字孪生引擎大棚虚拟模型：1:1还原结构、分区、设备布局，精度≤10cm，720°全景浏览；</w:t>
            </w:r>
          </w:p>
          <w:p w14:paraId="46C1777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1.物联网接入</w:t>
            </w:r>
          </w:p>
          <w:p w14:paraId="550C399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物联数据与数字孪生能够在引擎中，实现 1 :1 的映射，通过物联网技术采集的数据能够与三维数字孪生模型实现精准匹配和实时映射，使虚拟模型能够准确反映物理实体的状态和变化。</w:t>
            </w:r>
          </w:p>
          <w:p w14:paraId="7CC3642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2.环境监测</w:t>
            </w:r>
          </w:p>
          <w:p w14:paraId="5C131AE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具备大棚外监测能力，包括温度、天气、湿度、紫外线、降水量、二氧化碳浓度、PM2.5、PM10 的数据。</w:t>
            </w:r>
          </w:p>
          <w:p w14:paraId="7ADCC39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具备接入大棚内的温度及湿度监测功能。</w:t>
            </w:r>
          </w:p>
          <w:p w14:paraId="4873CBE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3.设备监测</w:t>
            </w:r>
          </w:p>
          <w:p w14:paraId="25F85C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具备设备监测功能。</w:t>
            </w:r>
          </w:p>
          <w:p w14:paraId="1817147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具备监测预警功能。</w:t>
            </w:r>
          </w:p>
          <w:p w14:paraId="751EA03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水肥监测模块</w:t>
            </w:r>
            <w:r>
              <w:rPr>
                <w:rFonts w:hint="eastAsia" w:ascii="宋体" w:hAnsi="宋体" w:eastAsia="宋体" w:cs="宋体"/>
                <w:color w:val="auto"/>
                <w:kern w:val="0"/>
                <w:sz w:val="21"/>
                <w:szCs w:val="21"/>
                <w:highlight w:val="none"/>
                <w:lang w:eastAsia="zh-CN"/>
              </w:rPr>
              <w:t>须</w:t>
            </w:r>
            <w:r>
              <w:rPr>
                <w:rFonts w:hint="eastAsia" w:ascii="宋体" w:hAnsi="宋体" w:eastAsia="宋体" w:cs="宋体"/>
                <w:color w:val="auto"/>
                <w:kern w:val="0"/>
                <w:sz w:val="21"/>
                <w:szCs w:val="21"/>
                <w:highlight w:val="none"/>
              </w:rPr>
              <w:t>具备 EC 值、PH 值监测、椰糠温度、椰糠湿度、管道压力、搅拌周期的数据。</w:t>
            </w:r>
          </w:p>
          <w:p w14:paraId="5A8DF2C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4.融合孪生与环境模拟</w:t>
            </w:r>
          </w:p>
          <w:p w14:paraId="47B6917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场景融合：具备设施农业内部与大田外部场景融合孪生能力。</w:t>
            </w:r>
          </w:p>
          <w:p w14:paraId="1AD0675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环境融合具备环境模拟能力，包括晴天、阴天、雨天、雪天。</w:t>
            </w:r>
          </w:p>
          <w:p w14:paraId="6A5B23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时间融合：具备滑动式时间模拟板块，能够孪生从 0 点到 24 点，各个状态下的示范园区，且支持自动模式，根据时间自动进行变化。</w:t>
            </w:r>
          </w:p>
          <w:p w14:paraId="73EFD0C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远程虚拟仿真：园区设备天窗、遮阳外、遮阳内、保温、照明、排风设备的开启闭合状态均可在孪生平台实时反馈。</w:t>
            </w:r>
          </w:p>
          <w:p w14:paraId="1F4BE3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5.重点设备孪生</w:t>
            </w:r>
          </w:p>
          <w:p w14:paraId="37E4F9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具备示范园重点设备孪生，实时查看的能力，包含水肥一体车间孪生，气象站孪生等设备。</w:t>
            </w:r>
          </w:p>
          <w:p w14:paraId="2BE4BF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二、异构数据实验平台</w:t>
            </w:r>
          </w:p>
          <w:p w14:paraId="5E233D7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根据现有温室布局升级改造，分隔2间独立实验区（分为蔬菜/茄果区，可独立进行水肥一体化灌溉、环境调控）、理论教学演示区、作物数字化种植区、AI数据控制中心。</w:t>
            </w:r>
          </w:p>
          <w:p w14:paraId="30152F9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（一）主体部分 60平</w:t>
            </w:r>
            <w:r>
              <w:rPr>
                <w:rFonts w:hint="eastAsia" w:ascii="宋体" w:hAnsi="宋体" w:eastAsia="宋体" w:cs="宋体"/>
                <w:color w:val="auto"/>
                <w:kern w:val="0"/>
                <w:sz w:val="21"/>
                <w:szCs w:val="21"/>
                <w:highlight w:val="none"/>
                <w:lang w:eastAsia="zh-CN"/>
              </w:rPr>
              <w:t>方米</w:t>
            </w:r>
          </w:p>
          <w:p w14:paraId="0A8FB56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1.主体结构：立柱：80x80x3mm矩形管；梁：60x40x2.5mm矩形管</w:t>
            </w:r>
          </w:p>
          <w:p w14:paraId="61E777E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2.玻璃覆盖：顶部、四周玻璃、立面开窗、顶部开窗、玻璃门</w:t>
            </w:r>
          </w:p>
          <w:p w14:paraId="3630AA8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3.门禁系统：人脸识别门禁系统</w:t>
            </w:r>
          </w:p>
          <w:p w14:paraId="6BD1B4C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（二）智能环控系统 2套</w:t>
            </w:r>
          </w:p>
          <w:p w14:paraId="41AF66D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1.AI环控系统</w:t>
            </w:r>
          </w:p>
          <w:p w14:paraId="2575FB8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（1）控制模式：支持本地手动控制、自动控制（定时/阈值）、AI智能控制三种模式。</w:t>
            </w:r>
          </w:p>
          <w:p w14:paraId="64A998D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（2）电气保护：电路配备过载及短路保护装置。</w:t>
            </w:r>
          </w:p>
          <w:p w14:paraId="612A5BF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（3）工作环境：环境温度：-20℃ — +60℃。相对湿度（25℃时）：≤90%。</w:t>
            </w:r>
          </w:p>
          <w:p w14:paraId="0D0B254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（4）物理规格：型式：柜式。外形尺寸：1600mm * 600mm * 370mm（高宽深）。</w:t>
            </w:r>
          </w:p>
          <w:p w14:paraId="1DF2131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（5）安装方式：落地安装于底座基础槽钢之上。</w:t>
            </w:r>
          </w:p>
          <w:p w14:paraId="10F6A70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（6）电源：输入电压380V。</w:t>
            </w:r>
          </w:p>
          <w:p w14:paraId="2B861D8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（7）操控界面：15.6寸触摸屏。</w:t>
            </w:r>
          </w:p>
          <w:p w14:paraId="0B985F5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（8）操作系统：内置OpenHarmony标准系统、Android14。</w:t>
            </w:r>
          </w:p>
          <w:p w14:paraId="6AA4EDA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（9）核心硬件：边缘计算机集成八核心GPU及高效能NPU，算力达6TOPS。（10）通信方式：星闪、蓝牙、</w:t>
            </w:r>
            <w:r>
              <w:rPr>
                <w:rFonts w:hint="eastAsia" w:ascii="宋体" w:hAnsi="宋体" w:eastAsia="宋体" w:cs="宋体"/>
                <w:color w:val="auto"/>
                <w:kern w:val="0"/>
                <w:sz w:val="21"/>
                <w:szCs w:val="21"/>
                <w:highlight w:val="none"/>
                <w:lang w:eastAsia="zh-CN"/>
              </w:rPr>
              <w:t>Wi-Fi</w:t>
            </w:r>
            <w:r>
              <w:rPr>
                <w:rFonts w:hint="eastAsia" w:ascii="宋体" w:hAnsi="宋体" w:eastAsia="宋体" w:cs="宋体"/>
                <w:color w:val="auto"/>
                <w:kern w:val="0"/>
                <w:sz w:val="21"/>
                <w:szCs w:val="21"/>
                <w:highlight w:val="none"/>
              </w:rPr>
              <w:t>、LORA、可连接100+个无线传感器节点。</w:t>
            </w:r>
          </w:p>
          <w:p w14:paraId="6CD7781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设备功能：</w:t>
            </w:r>
          </w:p>
          <w:p w14:paraId="16CF809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（11）多模式设备控制：集中控制温室内的冷暖系统、水帘循环水泵、排风机、卷帘被等关键环控设备。</w:t>
            </w:r>
          </w:p>
          <w:p w14:paraId="4B5B85F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（12）灵活的自动控制：在自动控制模式下，可根据预设的逻辑（如时间表、传感器阈值）自动启停相关设备，实现基础的环境调控。</w:t>
            </w:r>
          </w:p>
          <w:p w14:paraId="7545B1D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（13）AI智能决策控制：</w:t>
            </w:r>
          </w:p>
          <w:p w14:paraId="49B1F88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①核心功能为连接云端农业大模型，获取基于数据分析的温室环境调控建议。</w:t>
            </w:r>
          </w:p>
          <w:p w14:paraId="3894547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②支持两种执行方式：一是经人工确认后执行，保证操作审慎；二是授权系统自动执行，实现智能化闭环管理。</w:t>
            </w:r>
          </w:p>
          <w:p w14:paraId="56FA8F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③本地手动操控：保留现场手动控制功能，确保在调试、维护或紧急情况下能直接对设备进行控制。</w:t>
            </w:r>
          </w:p>
          <w:p w14:paraId="7CE12D5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④集中监测与交互：通过高性能触摸屏，可本地查看各传感器数据、设备状态，并进行参数设置与模式切换，提供直观的人机交互体验。</w:t>
            </w:r>
          </w:p>
          <w:p w14:paraId="187395E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2.智能内遮阳系统</w:t>
            </w:r>
          </w:p>
          <w:p w14:paraId="06108BD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采用钢绳拉幕传动系统，气候幕布，行程≥4.0m，转速≥2.5r/min，电源：380V，三相50HZ，电机功率：≥0.35</w:t>
            </w:r>
            <w:r>
              <w:rPr>
                <w:rFonts w:hint="eastAsia" w:ascii="宋体" w:hAnsi="宋体" w:eastAsia="宋体" w:cs="宋体"/>
                <w:color w:val="auto"/>
                <w:kern w:val="0"/>
                <w:sz w:val="21"/>
                <w:szCs w:val="21"/>
                <w:highlight w:val="none"/>
                <w:lang w:eastAsia="zh-CN"/>
              </w:rPr>
              <w:t>kW</w:t>
            </w:r>
            <w:r>
              <w:rPr>
                <w:rFonts w:hint="eastAsia" w:ascii="宋体" w:hAnsi="宋体" w:eastAsia="宋体" w:cs="宋体"/>
                <w:color w:val="auto"/>
                <w:kern w:val="0"/>
                <w:sz w:val="21"/>
                <w:szCs w:val="21"/>
                <w:highlight w:val="none"/>
              </w:rPr>
              <w:t>。配置限位开关及智能传感器，通过星闪模组，实时、持续地反馈幕布的精确位置，实现内遮阳0-100%的</w:t>
            </w:r>
            <w:r>
              <w:rPr>
                <w:rFonts w:hint="eastAsia" w:ascii="宋体" w:hAnsi="宋体" w:eastAsia="宋体" w:cs="宋体"/>
                <w:color w:val="auto"/>
                <w:kern w:val="0"/>
                <w:sz w:val="21"/>
                <w:szCs w:val="21"/>
                <w:highlight w:val="none"/>
                <w:lang w:eastAsia="zh-CN"/>
              </w:rPr>
              <w:t>无级</w:t>
            </w:r>
            <w:r>
              <w:rPr>
                <w:rFonts w:hint="eastAsia" w:ascii="宋体" w:hAnsi="宋体" w:eastAsia="宋体" w:cs="宋体"/>
                <w:color w:val="auto"/>
                <w:kern w:val="0"/>
                <w:sz w:val="21"/>
                <w:szCs w:val="21"/>
                <w:highlight w:val="none"/>
              </w:rPr>
              <w:t>调控。支持基于AI温室环控柜根据大模型输出指令控制内保温。</w:t>
            </w:r>
          </w:p>
          <w:p w14:paraId="1E07D1B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3.智能变频轴流风机</w:t>
            </w:r>
          </w:p>
          <w:p w14:paraId="75F9FC1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功率：100W；风量：≥2900m³/H。</w:t>
            </w:r>
          </w:p>
          <w:p w14:paraId="13E6578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4.蒸发式水冷空调</w:t>
            </w:r>
          </w:p>
          <w:p w14:paraId="3A6A558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功率：1.1</w:t>
            </w:r>
            <w:r>
              <w:rPr>
                <w:rFonts w:hint="eastAsia" w:ascii="宋体" w:hAnsi="宋体" w:eastAsia="宋体" w:cs="宋体"/>
                <w:color w:val="auto"/>
                <w:kern w:val="0"/>
                <w:sz w:val="21"/>
                <w:szCs w:val="21"/>
                <w:highlight w:val="none"/>
                <w:lang w:eastAsia="zh-CN"/>
              </w:rPr>
              <w:t>kW</w:t>
            </w:r>
            <w:r>
              <w:rPr>
                <w:rFonts w:hint="eastAsia" w:ascii="宋体" w:hAnsi="宋体" w:eastAsia="宋体" w:cs="宋体"/>
                <w:color w:val="auto"/>
                <w:kern w:val="0"/>
                <w:sz w:val="21"/>
                <w:szCs w:val="21"/>
                <w:highlight w:val="none"/>
              </w:rPr>
              <w:t xml:space="preserve"> 风量：18000m³/H</w:t>
            </w:r>
          </w:p>
          <w:p w14:paraId="3BD09C6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5.除湿机</w:t>
            </w:r>
          </w:p>
          <w:p w14:paraId="4E598A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除湿量：90L/D(30℃RH90%)</w:t>
            </w:r>
          </w:p>
          <w:p w14:paraId="2B421FE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最大功率：1200W(30℃RH90%)电  源：220V/50Hz</w:t>
            </w:r>
          </w:p>
          <w:p w14:paraId="3EAB070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   量：800m³/h</w:t>
            </w:r>
          </w:p>
          <w:p w14:paraId="3515686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适用温度：5~38℃</w:t>
            </w:r>
          </w:p>
          <w:p w14:paraId="6CCECEF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适用面积：10~180m²</w:t>
            </w:r>
          </w:p>
          <w:p w14:paraId="5DCBFC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（三）智能水肥一体化系统 1套</w:t>
            </w:r>
          </w:p>
          <w:p w14:paraId="2AA4E03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1.AI水肥一体机</w:t>
            </w:r>
          </w:p>
          <w:p w14:paraId="529A77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主机、3肥1酸共4个母液桶（含电动搅拌器及液位传感器）、≥10</w:t>
            </w:r>
            <w:r>
              <w:rPr>
                <w:rFonts w:hint="eastAsia" w:ascii="宋体" w:hAnsi="宋体" w:eastAsia="宋体" w:cs="宋体"/>
                <w:color w:val="auto"/>
                <w:kern w:val="0"/>
                <w:sz w:val="21"/>
                <w:szCs w:val="21"/>
                <w:highlight w:val="none"/>
                <w:lang w:val="en-US" w:eastAsia="zh-CN"/>
              </w:rPr>
              <w:t>英</w:t>
            </w:r>
            <w:r>
              <w:rPr>
                <w:rFonts w:hint="eastAsia" w:ascii="宋体" w:hAnsi="宋体" w:eastAsia="宋体" w:cs="宋体"/>
                <w:color w:val="auto"/>
                <w:kern w:val="0"/>
                <w:sz w:val="21"/>
                <w:szCs w:val="21"/>
                <w:highlight w:val="none"/>
              </w:rPr>
              <w:t>寸触摸屏、双通道EC/pH监测单元、边缘计算网关。</w:t>
            </w:r>
          </w:p>
          <w:p w14:paraId="070269D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（1）AI模型接入：连接云端农业大模型，可自动导入棚外气象实况与预报、土壤湿度、土壤温度、植物光谱指数（NDVI、MSI等）数据，模型输出配肥及灌溉策略建议</w:t>
            </w:r>
          </w:p>
          <w:p w14:paraId="440975A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（2）控制模式：支持AI建议经人工确认后执行，或全自动执行</w:t>
            </w:r>
          </w:p>
          <w:p w14:paraId="6C33F5B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（3）阀控能力：可无线控制</w:t>
            </w:r>
            <w:r>
              <w:rPr>
                <w:rFonts w:hint="eastAsia" w:ascii="宋体" w:hAnsi="宋体" w:eastAsia="宋体" w:cs="宋体"/>
                <w:color w:val="auto"/>
                <w:kern w:val="0"/>
                <w:sz w:val="21"/>
                <w:szCs w:val="21"/>
                <w:highlight w:val="none"/>
                <w:lang w:val="en-US" w:eastAsia="zh-CN"/>
              </w:rPr>
              <w:t>不少于</w:t>
            </w:r>
            <w:r>
              <w:rPr>
                <w:rFonts w:hint="eastAsia" w:ascii="宋体" w:hAnsi="宋体" w:eastAsia="宋体" w:cs="宋体"/>
                <w:color w:val="auto"/>
                <w:kern w:val="0"/>
                <w:sz w:val="21"/>
                <w:szCs w:val="21"/>
                <w:highlight w:val="none"/>
              </w:rPr>
              <w:t>128个电磁阀；支持32条灌溉程序。</w:t>
            </w:r>
          </w:p>
          <w:p w14:paraId="0C065CD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（4）人机交互：≥10</w:t>
            </w:r>
            <w:r>
              <w:rPr>
                <w:rFonts w:hint="eastAsia" w:ascii="宋体" w:hAnsi="宋体" w:eastAsia="宋体" w:cs="宋体"/>
                <w:color w:val="auto"/>
                <w:kern w:val="0"/>
                <w:sz w:val="21"/>
                <w:szCs w:val="21"/>
                <w:highlight w:val="none"/>
                <w:lang w:val="en-US" w:eastAsia="zh-CN"/>
              </w:rPr>
              <w:t>英</w:t>
            </w:r>
            <w:r>
              <w:rPr>
                <w:rFonts w:hint="eastAsia" w:ascii="宋体" w:hAnsi="宋体" w:eastAsia="宋体" w:cs="宋体"/>
                <w:color w:val="auto"/>
                <w:kern w:val="0"/>
                <w:sz w:val="21"/>
                <w:szCs w:val="21"/>
                <w:highlight w:val="none"/>
              </w:rPr>
              <w:t>寸安卓触摸屏，支持组态画面、模拟操控、参数设定。</w:t>
            </w:r>
          </w:p>
          <w:p w14:paraId="5C75046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2.肥水桶</w:t>
            </w:r>
          </w:p>
          <w:p w14:paraId="2CEF0D4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500L，水位，水温、水质实时监测</w:t>
            </w:r>
          </w:p>
          <w:p w14:paraId="7F839C1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3.灌溉末端</w:t>
            </w:r>
          </w:p>
          <w:p w14:paraId="7A5BECE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滴头、滴箭、雾化喷头，配分区电磁阀、过滤器、止回阀，支持单区独立灌溉；</w:t>
            </w:r>
          </w:p>
          <w:p w14:paraId="20A7AB5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（四）数字监控与数据采集系统 2套</w:t>
            </w:r>
          </w:p>
          <w:p w14:paraId="0D9409C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1.温室专用数据展示屏</w:t>
            </w:r>
          </w:p>
          <w:p w14:paraId="7399CD5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P5全彩</w:t>
            </w:r>
            <w:r>
              <w:rPr>
                <w:rFonts w:hint="eastAsia" w:ascii="宋体" w:hAnsi="宋体" w:eastAsia="宋体"/>
                <w:color w:val="auto"/>
                <w:kern w:val="0"/>
                <w:szCs w:val="21"/>
                <w:highlight w:val="none"/>
              </w:rPr>
              <w:t>LED</w:t>
            </w:r>
            <w:r>
              <w:rPr>
                <w:rFonts w:hint="eastAsia" w:ascii="宋体" w:hAnsi="宋体" w:eastAsia="宋体" w:cs="宋体"/>
                <w:color w:val="auto"/>
                <w:kern w:val="0"/>
                <w:sz w:val="21"/>
                <w:szCs w:val="21"/>
                <w:highlight w:val="none"/>
              </w:rPr>
              <w:t>显示屏,动态显示温室各类信息,显示尺寸：70cm*40cm。</w:t>
            </w:r>
          </w:p>
          <w:p w14:paraId="6D59A7E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2.种植环境监测站</w:t>
            </w:r>
          </w:p>
          <w:p w14:paraId="03B0DE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（1）大气温湿度、二氧化碳三合一传感器：</w:t>
            </w:r>
          </w:p>
          <w:p w14:paraId="3441086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①支持RS485信号输出（Modbus协议）,工作电压DC10-30V，功耗≤1.2w；</w:t>
            </w:r>
          </w:p>
          <w:p w14:paraId="23011FC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②大气温度量程：-40℃-80℃，精度：±0.5℃（25℃），分辨率：0.1℃；</w:t>
            </w:r>
          </w:p>
          <w:p w14:paraId="0210392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③大气湿度量程：0%RH-100%RH，精度：±3%RH（60%RH,25℃），分辨率：0.1%RH；</w:t>
            </w:r>
          </w:p>
          <w:p w14:paraId="40811EF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④二氧化碳量程：0-5000ppm，精度±（50ppm+3%F·S）（25℃）。</w:t>
            </w:r>
          </w:p>
          <w:p w14:paraId="436BDA9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（2）光合有效辐射传感器：</w:t>
            </w:r>
          </w:p>
          <w:p w14:paraId="4CB39BA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①支持RS485信号输出（Modbus协议）,功耗：0.06W；</w:t>
            </w:r>
          </w:p>
          <w:p w14:paraId="7A08259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②</w:t>
            </w:r>
            <w:r>
              <w:rPr>
                <w:rFonts w:hint="eastAsia" w:ascii="宋体" w:hAnsi="宋体" w:eastAsia="宋体" w:cs="宋体"/>
                <w:color w:val="auto"/>
                <w:kern w:val="0"/>
                <w:sz w:val="21"/>
                <w:szCs w:val="21"/>
                <w:highlight w:val="none"/>
              </w:rPr>
              <w:t>光合有效辐射量程：0-2500μmol/㎡·s，精度：±5%，分辨率：1μmol/㎡·s，响应光谱：400nm~700nm。</w:t>
            </w:r>
          </w:p>
          <w:p w14:paraId="2F7CAF7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（3）土壤温湿度、电导率三合一传感器</w:t>
            </w:r>
          </w:p>
          <w:p w14:paraId="509BA7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①支持RS485信号输出（Modbus协议）,最大功耗：0.7W（24V DC供电）；</w:t>
            </w:r>
          </w:p>
          <w:p w14:paraId="5BBB235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②土壤温度量程：-40-80℃，精度：±0.5℃，分辨率：土0.1℃；</w:t>
            </w:r>
          </w:p>
          <w:p w14:paraId="02BF489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③</w:t>
            </w:r>
            <w:r>
              <w:rPr>
                <w:rFonts w:hint="eastAsia" w:ascii="宋体" w:hAnsi="宋体" w:eastAsia="宋体" w:cs="宋体"/>
                <w:color w:val="auto"/>
                <w:kern w:val="0"/>
                <w:sz w:val="21"/>
                <w:szCs w:val="21"/>
                <w:highlight w:val="none"/>
              </w:rPr>
              <w:t>土壤湿度量程：0-100%RH，精度：±2%RH，分辨率：0.1%RH；</w:t>
            </w:r>
          </w:p>
          <w:p w14:paraId="30B146F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④4.电导率量程：0-20000μS/cm，精度：0-10000μS/cm范围内为±3%FS；10000-20000μS/cm范围内为±5%FS，@（棕壤，60%,25℃），分辨率：10μS/cm</w:t>
            </w:r>
          </w:p>
          <w:p w14:paraId="5DCCB62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采用土壤温度湿度一体式金属探针封装设计；线缆长度为2m。</w:t>
            </w:r>
          </w:p>
          <w:p w14:paraId="23F2071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（4）土壤PH传感器</w:t>
            </w:r>
          </w:p>
          <w:p w14:paraId="47A1D6F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①</w:t>
            </w:r>
            <w:r>
              <w:rPr>
                <w:rFonts w:hint="eastAsia" w:ascii="宋体" w:hAnsi="宋体" w:eastAsia="宋体" w:cs="宋体"/>
                <w:color w:val="auto"/>
                <w:kern w:val="0"/>
                <w:sz w:val="21"/>
                <w:szCs w:val="21"/>
                <w:highlight w:val="none"/>
              </w:rPr>
              <w:t>支持RS485信号输出（Modbus协议）,最大功耗：0.5W（24V DC供电）；</w:t>
            </w:r>
          </w:p>
          <w:p w14:paraId="5EBF82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②2.土壤</w:t>
            </w:r>
            <w:r>
              <w:rPr>
                <w:rFonts w:hint="eastAsia" w:ascii="宋体" w:hAnsi="宋体" w:eastAsia="宋体" w:cs="宋体"/>
                <w:color w:val="auto"/>
                <w:kern w:val="0"/>
                <w:sz w:val="21"/>
                <w:szCs w:val="21"/>
                <w:highlight w:val="none"/>
                <w:lang w:eastAsia="zh-CN"/>
              </w:rPr>
              <w:t>pH值</w:t>
            </w:r>
            <w:r>
              <w:rPr>
                <w:rFonts w:hint="eastAsia" w:ascii="宋体" w:hAnsi="宋体" w:eastAsia="宋体" w:cs="宋体"/>
                <w:color w:val="auto"/>
                <w:kern w:val="0"/>
                <w:sz w:val="21"/>
                <w:szCs w:val="21"/>
                <w:highlight w:val="none"/>
              </w:rPr>
              <w:t>量程：3-9pH，精度：±0.5pH，分辨率：0.1pH；</w:t>
            </w:r>
          </w:p>
          <w:p w14:paraId="169B5A9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③3.采用金属探针封装设计；线缆长度为2m。</w:t>
            </w:r>
          </w:p>
          <w:p w14:paraId="6F13902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（5）风速传感器</w:t>
            </w:r>
          </w:p>
          <w:p w14:paraId="0C93A17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①</w:t>
            </w:r>
            <w:r>
              <w:rPr>
                <w:rFonts w:hint="eastAsia" w:ascii="宋体" w:hAnsi="宋体" w:eastAsia="宋体" w:cs="宋体"/>
                <w:color w:val="auto"/>
                <w:kern w:val="0"/>
                <w:sz w:val="21"/>
                <w:szCs w:val="21"/>
                <w:highlight w:val="none"/>
              </w:rPr>
              <w:t>支持RS485信号输出（Modbus协议）,工作电压：DC10-30V宽压设计；</w:t>
            </w:r>
          </w:p>
          <w:p w14:paraId="5E6AD6B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②2.风速量程：0-60m/s，精度 ：±（0.2+0.03V）m/s，分辨率：0.1m/s</w:t>
            </w:r>
          </w:p>
          <w:p w14:paraId="661D909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③3.采用金属材质，非普通ABS材料，长寿命。</w:t>
            </w:r>
          </w:p>
          <w:p w14:paraId="153F4C7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（6）风向传感器</w:t>
            </w:r>
          </w:p>
          <w:p w14:paraId="5F4766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①1.支持RS485信号输出（Modbus协议）,工作电压：DC10-30V宽压设计；</w:t>
            </w:r>
          </w:p>
          <w:p w14:paraId="0FE1AAE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②2.风向量程：8个指示方向，动态响应速度：≤0.5s；</w:t>
            </w:r>
          </w:p>
          <w:p w14:paraId="12B2BFC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③3.采用金属材质，非普通ABS材料。</w:t>
            </w:r>
          </w:p>
          <w:p w14:paraId="421E155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（7）大气温湿度、光照度、大气压强四要素传感器</w:t>
            </w:r>
          </w:p>
          <w:p w14:paraId="171680C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①1.支持RS485信号输出（Modbus协议）,工作电压：DC10-30V，功耗≤1.3w；</w:t>
            </w:r>
          </w:p>
          <w:p w14:paraId="3A0EBCB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②2.大气温度量程：-40℃-80℃，精度：±0.5℃（25℃），分辨率： 0.1℃；</w:t>
            </w:r>
          </w:p>
          <w:p w14:paraId="50EA3D9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③3.大气湿度量程：0%RH-100%RH，精度：±3%RH（60%RH,25℃），分辨率：0. 1%RH；</w:t>
            </w:r>
          </w:p>
          <w:p w14:paraId="4404432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④4.光照度量程：0-20</w:t>
            </w:r>
            <w:r>
              <w:rPr>
                <w:rFonts w:hint="eastAsia" w:ascii="宋体" w:hAnsi="宋体" w:eastAsia="宋体" w:cs="宋体"/>
                <w:color w:val="auto"/>
                <w:kern w:val="0"/>
                <w:sz w:val="21"/>
                <w:szCs w:val="21"/>
                <w:highlight w:val="none"/>
                <w:lang w:val="en-US" w:eastAsia="zh-CN"/>
              </w:rPr>
              <w:t>0000</w:t>
            </w:r>
            <w:r>
              <w:rPr>
                <w:rFonts w:hint="eastAsia" w:ascii="宋体" w:hAnsi="宋体" w:eastAsia="宋体" w:cs="宋体"/>
                <w:color w:val="auto"/>
                <w:kern w:val="0"/>
                <w:sz w:val="21"/>
                <w:szCs w:val="21"/>
                <w:highlight w:val="none"/>
              </w:rPr>
              <w:t>Lux ，精度：±4%（25℃）；</w:t>
            </w:r>
          </w:p>
          <w:p w14:paraId="13E2778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⑤5.大气压力量程：0-120Kpa，精度：±0.15Kpa@25℃ 101Kpa。</w:t>
            </w:r>
          </w:p>
          <w:p w14:paraId="4AC5B53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（8）农业物联网控制箱：</w:t>
            </w:r>
          </w:p>
          <w:p w14:paraId="4867C30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①1.支持RS485（ModbusRTU协议）数据采集，支持移动、联通、电信LTECAT1无线数据传输，支持TDD-LTEBand38/39/40/41和FDD-LTEBand1/3/5/8频段，拥有TDD-LTE最大下行7.5Mbps，上行1Mbps以及FDD-LTE最大下行10Mbps，上行5Mbps传输速率；</w:t>
            </w:r>
          </w:p>
          <w:p w14:paraId="50C1884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②2.支持TCPClient/UDPClient，工作电压DC9～36V，具有≤16路各要素传感器数据采集接入，含三年通讯卡费（3.6G/年）；</w:t>
            </w:r>
          </w:p>
          <w:p w14:paraId="1E5013D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③3.采用户外防水304不锈钢喷塑箱体，支持LOGO定制，尺寸40×50×18cm；</w:t>
            </w:r>
          </w:p>
          <w:p w14:paraId="7A48110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④4.具有防雷模块、空开断路器、DIN导轨条、接线端子、线槽走线模式。</w:t>
            </w:r>
          </w:p>
          <w:p w14:paraId="4737D45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（五）异构创新教学实验平台 1套</w:t>
            </w:r>
          </w:p>
          <w:p w14:paraId="7EC07DC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▲1.核心架构功能</w:t>
            </w:r>
          </w:p>
          <w:p w14:paraId="797EE3B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集成一体化设计，双处理器单元平台架构（AIoT八核芯片平台+ARM嵌入式平台）,双CPU都必须能与可编程逻辑芯片（FPGA）实现硬件总线连接及数据交互，实现数字逻辑电路实验及功能扩展。</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w:t>
            </w:r>
            <w:r>
              <w:rPr>
                <w:rFonts w:hint="eastAsia" w:ascii="宋体" w:hAnsi="宋体" w:eastAsia="宋体" w:cs="宋体"/>
                <w:b/>
                <w:bCs/>
                <w:color w:val="auto"/>
                <w:kern w:val="0"/>
                <w:sz w:val="21"/>
                <w:szCs w:val="21"/>
                <w:highlight w:val="none"/>
              </w:rPr>
              <w:t>提供实物照片标注并</w:t>
            </w:r>
            <w:r>
              <w:rPr>
                <w:rFonts w:hint="eastAsia" w:ascii="宋体" w:hAnsi="宋体" w:eastAsia="宋体" w:cs="宋体"/>
                <w:b/>
                <w:bCs/>
                <w:color w:val="auto"/>
                <w:kern w:val="0"/>
                <w:sz w:val="21"/>
                <w:szCs w:val="21"/>
                <w:highlight w:val="none"/>
                <w:lang w:val="en-US" w:eastAsia="zh-CN"/>
              </w:rPr>
              <w:t>加盖投标人公章</w:t>
            </w:r>
            <w:r>
              <w:rPr>
                <w:rFonts w:hint="eastAsia" w:ascii="宋体" w:hAnsi="宋体" w:eastAsia="宋体" w:cs="宋体"/>
                <w:b/>
                <w:bCs/>
                <w:color w:val="auto"/>
                <w:kern w:val="0"/>
                <w:sz w:val="21"/>
                <w:szCs w:val="21"/>
                <w:highlight w:val="none"/>
              </w:rPr>
              <w:t>）</w:t>
            </w:r>
          </w:p>
          <w:p w14:paraId="4AC4AA0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2.关键技术指标</w:t>
            </w:r>
          </w:p>
          <w:p w14:paraId="0DEC276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（1）第一处理器单元采用新一代AIoT芯片，8nm LP 制程；搭载不低于八核（Cortex-A76 x 4 + Cortex-A55 x 4）64位 CPU，主频不低于2.4GHz ；集成性能不低于ARM Mali-G610 MC4的四核 GPU；内置AI加速器NPU，至少提供6Tops算力，三核架构，支持int4/int8/int16/FP16/BF16/TF32，支持主流的深度学习框架；支持H.265/H.264/AV1/VP9/AVS2视频解码，最高8K60FPS；支持H.264/H.265视频编码，最高8K30FPS；内存不低于 8GB LPDDR；eMMC存储不低于32GB。</w:t>
            </w:r>
          </w:p>
          <w:p w14:paraId="3CF450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▲（2）第二处理器单元采用高性能32位Cortex-M4架构（具有浮点单元），主频不低于168MHz，具备</w:t>
            </w:r>
            <w:r>
              <w:rPr>
                <w:rFonts w:hint="eastAsia" w:ascii="宋体" w:hAnsi="宋体" w:cs="宋体"/>
                <w:color w:val="auto"/>
                <w:kern w:val="0"/>
                <w:sz w:val="21"/>
                <w:szCs w:val="21"/>
                <w:highlight w:val="none"/>
                <w:lang w:val="en-US" w:eastAsia="zh-CN"/>
              </w:rPr>
              <w:t>高效</w:t>
            </w:r>
            <w:r>
              <w:rPr>
                <w:rFonts w:hint="eastAsia" w:ascii="宋体" w:hAnsi="宋体" w:eastAsia="宋体" w:cs="宋体"/>
                <w:color w:val="auto"/>
                <w:kern w:val="0"/>
                <w:sz w:val="21"/>
                <w:szCs w:val="21"/>
                <w:highlight w:val="none"/>
              </w:rPr>
              <w:t>的处理能力和高速运算能力；具备不低于16MB的Serial Flash存储器以及1MB的SRAM，可以存储大量的程序代码和数据。</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w:t>
            </w:r>
            <w:r>
              <w:rPr>
                <w:rFonts w:hint="eastAsia" w:ascii="宋体" w:hAnsi="宋体" w:eastAsia="宋体" w:cs="宋体"/>
                <w:b/>
                <w:bCs/>
                <w:color w:val="auto"/>
                <w:kern w:val="0"/>
                <w:sz w:val="21"/>
                <w:szCs w:val="21"/>
                <w:highlight w:val="none"/>
                <w:lang w:val="en-US" w:eastAsia="zh-CN"/>
              </w:rPr>
              <w:t>设备说明书</w:t>
            </w:r>
            <w:r>
              <w:rPr>
                <w:rFonts w:hint="eastAsia" w:ascii="宋体" w:hAnsi="宋体" w:eastAsia="宋体" w:cs="宋体"/>
                <w:b/>
                <w:bCs/>
                <w:color w:val="auto"/>
                <w:kern w:val="0"/>
                <w:sz w:val="21"/>
                <w:szCs w:val="21"/>
                <w:highlight w:val="none"/>
              </w:rPr>
              <w:t>证明标注并</w:t>
            </w:r>
            <w:r>
              <w:rPr>
                <w:rFonts w:hint="eastAsia" w:ascii="宋体" w:hAnsi="宋体" w:eastAsia="宋体" w:cs="宋体"/>
                <w:b/>
                <w:bCs/>
                <w:color w:val="auto"/>
                <w:kern w:val="0"/>
                <w:sz w:val="21"/>
                <w:szCs w:val="21"/>
                <w:highlight w:val="none"/>
                <w:lang w:val="en-US" w:eastAsia="zh-CN"/>
              </w:rPr>
              <w:t>加盖投标人公章</w:t>
            </w:r>
            <w:r>
              <w:rPr>
                <w:rFonts w:hint="eastAsia" w:ascii="宋体" w:hAnsi="宋体" w:eastAsia="宋体" w:cs="宋体"/>
                <w:b/>
                <w:bCs/>
                <w:color w:val="auto"/>
                <w:kern w:val="0"/>
                <w:sz w:val="21"/>
                <w:szCs w:val="21"/>
                <w:highlight w:val="none"/>
              </w:rPr>
              <w:t>）</w:t>
            </w:r>
          </w:p>
          <w:p w14:paraId="6AD54CF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▲（3）第一处理器单元需通过以太网、RS485、CAN等通讯方式与第二处理器单元进行数据交互，可进行相关实验。</w:t>
            </w:r>
            <w:r>
              <w:rPr>
                <w:rFonts w:hint="eastAsia" w:ascii="宋体" w:hAnsi="宋体" w:eastAsia="宋体" w:cs="宋体"/>
                <w:b/>
                <w:bCs/>
                <w:color w:val="auto"/>
                <w:kern w:val="0"/>
                <w:sz w:val="21"/>
                <w:szCs w:val="21"/>
                <w:highlight w:val="none"/>
                <w:lang w:val="en-US" w:eastAsia="zh-CN"/>
              </w:rPr>
              <w:t>（投标文件中须提供系统逻辑原理证明标注</w:t>
            </w:r>
            <w:r>
              <w:rPr>
                <w:rFonts w:hint="eastAsia" w:ascii="宋体" w:hAnsi="宋体" w:eastAsia="宋体" w:cs="宋体"/>
                <w:b/>
                <w:bCs/>
                <w:color w:val="auto"/>
                <w:kern w:val="0"/>
                <w:sz w:val="21"/>
                <w:szCs w:val="21"/>
                <w:highlight w:val="none"/>
              </w:rPr>
              <w:t>并</w:t>
            </w:r>
            <w:r>
              <w:rPr>
                <w:rFonts w:hint="eastAsia" w:ascii="宋体" w:hAnsi="宋体" w:eastAsia="宋体" w:cs="宋体"/>
                <w:b/>
                <w:bCs/>
                <w:color w:val="auto"/>
                <w:kern w:val="0"/>
                <w:sz w:val="21"/>
                <w:szCs w:val="21"/>
                <w:highlight w:val="none"/>
                <w:lang w:val="en-US" w:eastAsia="zh-CN"/>
              </w:rPr>
              <w:t>加盖投标人公章）</w:t>
            </w:r>
          </w:p>
          <w:p w14:paraId="32BC93AC">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▲（4）板载高性能FPGA芯片，逻辑单元不低于75K，BRAM存储资源不少于3780Kb。</w:t>
            </w:r>
            <w:r>
              <w:rPr>
                <w:rFonts w:hint="eastAsia" w:ascii="宋体" w:hAnsi="宋体" w:eastAsia="宋体" w:cs="宋体"/>
                <w:b/>
                <w:bCs/>
                <w:color w:val="auto"/>
                <w:kern w:val="0"/>
                <w:sz w:val="21"/>
                <w:szCs w:val="21"/>
                <w:highlight w:val="none"/>
                <w:lang w:val="en-US" w:eastAsia="zh-CN"/>
              </w:rPr>
              <w:t>（投标文件中须提供设备说明书证明标注</w:t>
            </w:r>
            <w:r>
              <w:rPr>
                <w:rFonts w:hint="eastAsia" w:ascii="宋体" w:hAnsi="宋体" w:eastAsia="宋体" w:cs="宋体"/>
                <w:b/>
                <w:bCs/>
                <w:color w:val="auto"/>
                <w:kern w:val="0"/>
                <w:sz w:val="21"/>
                <w:szCs w:val="21"/>
                <w:highlight w:val="none"/>
              </w:rPr>
              <w:t>并</w:t>
            </w:r>
            <w:r>
              <w:rPr>
                <w:rFonts w:hint="eastAsia" w:ascii="宋体" w:hAnsi="宋体" w:eastAsia="宋体" w:cs="宋体"/>
                <w:b/>
                <w:bCs/>
                <w:color w:val="auto"/>
                <w:kern w:val="0"/>
                <w:sz w:val="21"/>
                <w:szCs w:val="21"/>
                <w:highlight w:val="none"/>
                <w:lang w:val="en-US" w:eastAsia="zh-CN"/>
              </w:rPr>
              <w:t>加盖投标人公章）</w:t>
            </w:r>
          </w:p>
          <w:p w14:paraId="7969F87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▲（5）第一处理器单元通过RS485、SPI、I2C、PCIe等总线与FPGA进行不少于2组RS485、6组RS232、8路DI、8路DO、1路继电器、1组步进电机等接口扩展。</w:t>
            </w:r>
            <w:r>
              <w:rPr>
                <w:rFonts w:hint="eastAsia" w:ascii="宋体" w:hAnsi="宋体" w:eastAsia="宋体" w:cs="宋体"/>
                <w:b/>
                <w:bCs/>
                <w:color w:val="auto"/>
                <w:kern w:val="0"/>
                <w:sz w:val="21"/>
                <w:szCs w:val="21"/>
                <w:highlight w:val="none"/>
                <w:lang w:val="en-US" w:eastAsia="zh-CN"/>
              </w:rPr>
              <w:t>（投标文件中须提供系统逻辑原理证明标注</w:t>
            </w:r>
            <w:r>
              <w:rPr>
                <w:rFonts w:hint="eastAsia" w:ascii="宋体" w:hAnsi="宋体" w:eastAsia="宋体" w:cs="宋体"/>
                <w:b/>
                <w:bCs/>
                <w:color w:val="auto"/>
                <w:kern w:val="0"/>
                <w:sz w:val="21"/>
                <w:szCs w:val="21"/>
                <w:highlight w:val="none"/>
              </w:rPr>
              <w:t>并</w:t>
            </w:r>
            <w:r>
              <w:rPr>
                <w:rFonts w:hint="eastAsia" w:ascii="宋体" w:hAnsi="宋体" w:eastAsia="宋体" w:cs="宋体"/>
                <w:b/>
                <w:bCs/>
                <w:color w:val="auto"/>
                <w:kern w:val="0"/>
                <w:sz w:val="21"/>
                <w:szCs w:val="21"/>
                <w:highlight w:val="none"/>
                <w:lang w:val="en-US" w:eastAsia="zh-CN"/>
              </w:rPr>
              <w:t>加盖投标人公章）</w:t>
            </w:r>
          </w:p>
          <w:p w14:paraId="1063C4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▲（6）第二处理器单元通过RS485、SPI、I2C、FSMC等总线与FPGA进行不少于2组RS485、6组RS232、8路DI、8路DO、1路继电器、1组步进电机等接口扩展。</w:t>
            </w:r>
            <w:r>
              <w:rPr>
                <w:rFonts w:hint="eastAsia" w:ascii="宋体" w:hAnsi="宋体" w:eastAsia="宋体" w:cs="宋体"/>
                <w:b/>
                <w:bCs/>
                <w:color w:val="auto"/>
                <w:kern w:val="0"/>
                <w:sz w:val="21"/>
                <w:szCs w:val="21"/>
                <w:highlight w:val="none"/>
                <w:lang w:val="en-US" w:eastAsia="zh-CN"/>
              </w:rPr>
              <w:t>（投标文件中须提供系统逻辑原理证明标注</w:t>
            </w:r>
            <w:r>
              <w:rPr>
                <w:rFonts w:hint="eastAsia" w:ascii="宋体" w:hAnsi="宋体" w:eastAsia="宋体" w:cs="宋体"/>
                <w:b/>
                <w:bCs/>
                <w:color w:val="auto"/>
                <w:kern w:val="0"/>
                <w:sz w:val="21"/>
                <w:szCs w:val="21"/>
                <w:highlight w:val="none"/>
              </w:rPr>
              <w:t>并</w:t>
            </w:r>
            <w:r>
              <w:rPr>
                <w:rFonts w:hint="eastAsia" w:ascii="宋体" w:hAnsi="宋体" w:eastAsia="宋体" w:cs="宋体"/>
                <w:b/>
                <w:bCs/>
                <w:color w:val="auto"/>
                <w:kern w:val="0"/>
                <w:sz w:val="21"/>
                <w:szCs w:val="21"/>
                <w:highlight w:val="none"/>
                <w:lang w:val="en-US" w:eastAsia="zh-CN"/>
              </w:rPr>
              <w:t>加盖投标人公章）</w:t>
            </w:r>
          </w:p>
          <w:p w14:paraId="568FB87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▲（7）在进行数字逻辑电路实验时，第一和第二处理器单元均可作为其信号源输入工具，配合FPGA进行基础功能实验。</w:t>
            </w:r>
            <w:r>
              <w:rPr>
                <w:rFonts w:hint="eastAsia" w:ascii="宋体" w:hAnsi="宋体" w:eastAsia="宋体" w:cs="宋体"/>
                <w:b/>
                <w:bCs/>
                <w:color w:val="auto"/>
                <w:kern w:val="0"/>
                <w:sz w:val="21"/>
                <w:szCs w:val="21"/>
                <w:highlight w:val="none"/>
                <w:lang w:val="en-US" w:eastAsia="zh-CN"/>
              </w:rPr>
              <w:t>（投标文件中须提供系统逻辑原理证明标注</w:t>
            </w:r>
            <w:r>
              <w:rPr>
                <w:rFonts w:hint="eastAsia" w:ascii="宋体" w:hAnsi="宋体" w:eastAsia="宋体" w:cs="宋体"/>
                <w:b/>
                <w:bCs/>
                <w:color w:val="auto"/>
                <w:kern w:val="0"/>
                <w:sz w:val="21"/>
                <w:szCs w:val="21"/>
                <w:highlight w:val="none"/>
              </w:rPr>
              <w:t>并</w:t>
            </w:r>
            <w:r>
              <w:rPr>
                <w:rFonts w:hint="eastAsia" w:ascii="宋体" w:hAnsi="宋体" w:eastAsia="宋体" w:cs="宋体"/>
                <w:b/>
                <w:bCs/>
                <w:color w:val="auto"/>
                <w:kern w:val="0"/>
                <w:sz w:val="21"/>
                <w:szCs w:val="21"/>
                <w:highlight w:val="none"/>
                <w:lang w:val="en-US" w:eastAsia="zh-CN"/>
              </w:rPr>
              <w:t>加盖投标人公章）</w:t>
            </w:r>
          </w:p>
          <w:p w14:paraId="04D8790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（8）设备配置要求</w:t>
            </w:r>
          </w:p>
          <w:p w14:paraId="64AD69F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①主板可以支持 MIPI LCD 液晶屏，MIPI摄像头；带HDMI视频输出接口。</w:t>
            </w:r>
          </w:p>
          <w:p w14:paraId="72A7483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②板载支持M.2接口5G通讯模组，实现5G通讯功能。</w:t>
            </w:r>
          </w:p>
          <w:p w14:paraId="3AC7060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③板载支持M.2接口硬盘。</w:t>
            </w:r>
          </w:p>
          <w:p w14:paraId="4D472F4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④板载不少于2路USB2.0、2路USB3.0、1路TYPE-C USB带OTG下载接口、1路 USB to TTL调试接口、1路RS485接口、双1000M以太网络接口；板内支持RS485，SPI，I2C，PCIe，CAN，GPIO，PWM等接口与其他平台进行通信交互。</w:t>
            </w:r>
          </w:p>
          <w:p w14:paraId="594147B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⑤板载不少于4个LED指示灯。</w:t>
            </w:r>
          </w:p>
          <w:p w14:paraId="23B4CCA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⑥板载按键应至少包含：复位按键、下载按键、电源按键、3*3矩阵键盘。</w:t>
            </w:r>
          </w:p>
          <w:p w14:paraId="0AF9A88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⑦板载Wi-Fi，蓝牙。</w:t>
            </w:r>
          </w:p>
          <w:p w14:paraId="260FD83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⑧支持JTAG调试。</w:t>
            </w:r>
          </w:p>
          <w:p w14:paraId="33504E4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⑨支持可控DC 5V输出、继电器等执行器控制接口。</w:t>
            </w:r>
          </w:p>
          <w:p w14:paraId="68139E5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▲⑩板载有光敏传感器，支持ADC采样等实验；支持PWM等基础实验。</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提供实物照片标注</w:t>
            </w:r>
            <w:r>
              <w:rPr>
                <w:rFonts w:hint="eastAsia" w:ascii="宋体" w:hAnsi="宋体" w:eastAsia="宋体" w:cs="宋体"/>
                <w:b/>
                <w:bCs/>
                <w:color w:val="auto"/>
                <w:kern w:val="0"/>
                <w:sz w:val="21"/>
                <w:szCs w:val="21"/>
                <w:highlight w:val="none"/>
                <w:lang w:val="en-US" w:eastAsia="zh-CN"/>
              </w:rPr>
              <w:t>并加盖投标人公章</w:t>
            </w:r>
            <w:r>
              <w:rPr>
                <w:rFonts w:hint="eastAsia" w:ascii="宋体" w:hAnsi="宋体" w:eastAsia="宋体" w:cs="宋体"/>
                <w:b/>
                <w:bCs/>
                <w:color w:val="auto"/>
                <w:kern w:val="0"/>
                <w:sz w:val="21"/>
                <w:szCs w:val="21"/>
                <w:highlight w:val="none"/>
              </w:rPr>
              <w:t>）</w:t>
            </w:r>
          </w:p>
          <w:p w14:paraId="7F0B8F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⑪至少支持1路DAC输出。</w:t>
            </w:r>
          </w:p>
          <w:p w14:paraId="14CBB21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⑫板载OLED液晶屏，尺寸不小于1.3英寸。</w:t>
            </w:r>
          </w:p>
          <w:p w14:paraId="449ADB7C">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▲⑬板载不少于8路DI接口数据采集。</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提供实物照片标注</w:t>
            </w:r>
            <w:r>
              <w:rPr>
                <w:rFonts w:hint="eastAsia" w:ascii="宋体" w:hAnsi="宋体" w:eastAsia="宋体" w:cs="宋体"/>
                <w:b/>
                <w:bCs/>
                <w:color w:val="auto"/>
                <w:kern w:val="0"/>
                <w:sz w:val="21"/>
                <w:szCs w:val="21"/>
                <w:highlight w:val="none"/>
                <w:lang w:val="en-US" w:eastAsia="zh-CN"/>
              </w:rPr>
              <w:t>并加盖投标人公章</w:t>
            </w:r>
            <w:r>
              <w:rPr>
                <w:rFonts w:hint="eastAsia" w:ascii="宋体" w:hAnsi="宋体" w:eastAsia="宋体" w:cs="宋体"/>
                <w:b/>
                <w:bCs/>
                <w:color w:val="auto"/>
                <w:kern w:val="0"/>
                <w:sz w:val="21"/>
                <w:szCs w:val="21"/>
                <w:highlight w:val="none"/>
              </w:rPr>
              <w:t>）</w:t>
            </w:r>
          </w:p>
          <w:p w14:paraId="46D4947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▲⑭板载不少于8路DO接口设备控制。</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提供实物照片标注</w:t>
            </w:r>
            <w:r>
              <w:rPr>
                <w:rFonts w:hint="eastAsia" w:ascii="宋体" w:hAnsi="宋体" w:eastAsia="宋体" w:cs="宋体"/>
                <w:b/>
                <w:bCs/>
                <w:color w:val="auto"/>
                <w:kern w:val="0"/>
                <w:sz w:val="21"/>
                <w:szCs w:val="21"/>
                <w:highlight w:val="none"/>
                <w:lang w:val="en-US" w:eastAsia="zh-CN"/>
              </w:rPr>
              <w:t>并加盖投标人公章</w:t>
            </w:r>
            <w:r>
              <w:rPr>
                <w:rFonts w:hint="eastAsia" w:ascii="宋体" w:hAnsi="宋体" w:eastAsia="宋体" w:cs="宋体"/>
                <w:b/>
                <w:bCs/>
                <w:color w:val="auto"/>
                <w:kern w:val="0"/>
                <w:sz w:val="21"/>
                <w:szCs w:val="21"/>
                <w:highlight w:val="none"/>
              </w:rPr>
              <w:t>）</w:t>
            </w:r>
          </w:p>
          <w:p w14:paraId="4FDA01F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⑮板载不少于3组红黄绿灯控制。</w:t>
            </w:r>
          </w:p>
          <w:p w14:paraId="43ADAE5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⑯板载不少于6位八段数码管控制。</w:t>
            </w:r>
          </w:p>
          <w:p w14:paraId="6498C16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⑰板载不少于1组步进电机控制接口。</w:t>
            </w:r>
          </w:p>
          <w:p w14:paraId="546413A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⑱板载不少于1路继电器控制接口。</w:t>
            </w:r>
          </w:p>
          <w:p w14:paraId="2DC2C29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▲⑲板载不少于6组RS232接口。</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提供实物照片标注</w:t>
            </w:r>
            <w:r>
              <w:rPr>
                <w:rFonts w:hint="eastAsia" w:ascii="宋体" w:hAnsi="宋体" w:eastAsia="宋体" w:cs="宋体"/>
                <w:b/>
                <w:bCs/>
                <w:color w:val="auto"/>
                <w:kern w:val="0"/>
                <w:sz w:val="21"/>
                <w:szCs w:val="21"/>
                <w:highlight w:val="none"/>
                <w:lang w:val="en-US" w:eastAsia="zh-CN"/>
              </w:rPr>
              <w:t>并加盖投标人公章</w:t>
            </w:r>
            <w:r>
              <w:rPr>
                <w:rFonts w:hint="eastAsia" w:ascii="宋体" w:hAnsi="宋体" w:eastAsia="宋体" w:cs="宋体"/>
                <w:b/>
                <w:bCs/>
                <w:color w:val="auto"/>
                <w:kern w:val="0"/>
                <w:sz w:val="21"/>
                <w:szCs w:val="21"/>
                <w:highlight w:val="none"/>
              </w:rPr>
              <w:t>）</w:t>
            </w:r>
          </w:p>
          <w:p w14:paraId="12D78563">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▲⑳板载不少于2组RS485接口。</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提供实物照片标注</w:t>
            </w:r>
            <w:r>
              <w:rPr>
                <w:rFonts w:hint="eastAsia" w:ascii="宋体" w:hAnsi="宋体" w:eastAsia="宋体" w:cs="宋体"/>
                <w:b/>
                <w:bCs/>
                <w:color w:val="auto"/>
                <w:kern w:val="0"/>
                <w:sz w:val="21"/>
                <w:szCs w:val="21"/>
                <w:highlight w:val="none"/>
                <w:lang w:val="en-US" w:eastAsia="zh-CN"/>
              </w:rPr>
              <w:t>并加盖投标人公章</w:t>
            </w:r>
            <w:r>
              <w:rPr>
                <w:rFonts w:hint="eastAsia" w:ascii="宋体" w:hAnsi="宋体" w:eastAsia="宋体" w:cs="宋体"/>
                <w:b/>
                <w:bCs/>
                <w:color w:val="auto"/>
                <w:kern w:val="0"/>
                <w:sz w:val="21"/>
                <w:szCs w:val="21"/>
                <w:highlight w:val="none"/>
              </w:rPr>
              <w:t>）</w:t>
            </w:r>
          </w:p>
          <w:p w14:paraId="5971A5E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㉑设备供电电压为DC 12V。</w:t>
            </w:r>
          </w:p>
          <w:p w14:paraId="08EB7E2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㉒整机配亚克力外壳成为一个整体。</w:t>
            </w:r>
          </w:p>
          <w:p w14:paraId="0E12E9C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㉓设备配套扩展模块至少包含：I/O控制模块、多合一传感器模块、触摸液晶屏、USB高清摄像头。</w:t>
            </w:r>
          </w:p>
          <w:p w14:paraId="07B0C9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㉔触摸液晶屏尺寸不小于11.6英寸，分辨率不低于1920*1080，刷新率不低于60Hz。</w:t>
            </w:r>
          </w:p>
          <w:p w14:paraId="05BB24C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㉕USB高清摄像头的分辨率不低于1080P，帧数不低于30帧，内置降噪麦克风。</w:t>
            </w:r>
          </w:p>
          <w:p w14:paraId="3311411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㉖多合一传感器模块功能要求如下：</w:t>
            </w:r>
          </w:p>
          <w:p w14:paraId="5CA7574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▲1)包含不少于9种数据采集功能，且传感器通过Cortex-M3处理器集中完成信号采集与信号输出。</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w:t>
            </w:r>
            <w:r>
              <w:rPr>
                <w:rFonts w:hint="eastAsia" w:ascii="宋体" w:hAnsi="宋体" w:eastAsia="宋体" w:cs="宋体"/>
                <w:b/>
                <w:bCs/>
                <w:color w:val="auto"/>
                <w:kern w:val="0"/>
                <w:sz w:val="21"/>
                <w:szCs w:val="21"/>
                <w:highlight w:val="none"/>
                <w:lang w:val="en-US" w:eastAsia="zh-CN"/>
              </w:rPr>
              <w:t>终端界面显示至少9种数据采集功能的实物图片并加盖投标人公章</w:t>
            </w:r>
            <w:r>
              <w:rPr>
                <w:rFonts w:hint="eastAsia" w:ascii="宋体" w:hAnsi="宋体" w:eastAsia="宋体" w:cs="宋体"/>
                <w:b/>
                <w:bCs/>
                <w:color w:val="auto"/>
                <w:kern w:val="0"/>
                <w:sz w:val="21"/>
                <w:szCs w:val="21"/>
                <w:highlight w:val="none"/>
              </w:rPr>
              <w:t>）</w:t>
            </w:r>
          </w:p>
          <w:p w14:paraId="3992CC8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2)板载继电器信号控制输出。</w:t>
            </w:r>
          </w:p>
          <w:p w14:paraId="2196D21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3)支持Wi-Fi、蓝牙无线信号接入。</w:t>
            </w:r>
          </w:p>
          <w:p w14:paraId="486667C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4)支持RS485接口通讯。</w:t>
            </w:r>
          </w:p>
          <w:p w14:paraId="2D13A50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5)包括且不少于以下9种传感器：</w:t>
            </w:r>
          </w:p>
          <w:p w14:paraId="73BE5F0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a.人体红外传感器</w:t>
            </w:r>
          </w:p>
          <w:p w14:paraId="46A5D6A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测量范围：感应距离不小于5米。</w:t>
            </w:r>
          </w:p>
          <w:p w14:paraId="13BE71A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b.PM2.5传感器</w:t>
            </w:r>
          </w:p>
          <w:p w14:paraId="395BD33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检测精度：0～100μg/m³，不劣于±15μg/m³；101～1000μg/m³，不劣于±15%读数。</w:t>
            </w:r>
          </w:p>
          <w:p w14:paraId="358A2E7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c.温度传感器</w:t>
            </w:r>
          </w:p>
          <w:p w14:paraId="2C5CBE8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温度测量范围：-40～125℃。</w:t>
            </w:r>
          </w:p>
          <w:p w14:paraId="15DB9C6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温度测量精度：不劣于±0.2℃（0～90℃时的典型值）。</w:t>
            </w:r>
          </w:p>
          <w:p w14:paraId="798772A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d.湿度传感器</w:t>
            </w:r>
          </w:p>
          <w:p w14:paraId="53DC480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湿度测量范围：0～100%RH。</w:t>
            </w:r>
          </w:p>
          <w:p w14:paraId="407D9D0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湿度测量精度：不劣于±2.0%RH。</w:t>
            </w:r>
          </w:p>
          <w:p w14:paraId="2621B73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e.大气压传感器</w:t>
            </w:r>
          </w:p>
          <w:p w14:paraId="51B5D77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测量范围：300～1100hPa。</w:t>
            </w:r>
          </w:p>
          <w:p w14:paraId="3980F7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测量精度：不劣于±1.2hPa。</w:t>
            </w:r>
          </w:p>
          <w:p w14:paraId="0B5909D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f.TVOC（苯系物、醇类、醛类等）传感器</w:t>
            </w:r>
          </w:p>
          <w:p w14:paraId="5C69B74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测量范围：0ppb～60000ppb。</w:t>
            </w:r>
          </w:p>
          <w:p w14:paraId="0CD3164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测量精度：</w:t>
            </w:r>
            <w:r>
              <w:rPr>
                <w:rFonts w:hint="eastAsia" w:ascii="宋体" w:hAnsi="宋体" w:eastAsia="宋体" w:cs="宋体"/>
                <w:color w:val="auto"/>
                <w:kern w:val="0"/>
                <w:sz w:val="21"/>
                <w:szCs w:val="21"/>
                <w:highlight w:val="none"/>
                <w:lang w:eastAsia="zh-CN"/>
              </w:rPr>
              <w:t>0 ppb</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2008 ppb</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1 ppb</w:t>
            </w:r>
            <w:r>
              <w:rPr>
                <w:rFonts w:hint="eastAsia" w:ascii="宋体" w:hAnsi="宋体" w:eastAsia="宋体" w:cs="宋体"/>
                <w:color w:val="auto"/>
                <w:kern w:val="0"/>
                <w:sz w:val="21"/>
                <w:szCs w:val="21"/>
                <w:highlight w:val="none"/>
              </w:rPr>
              <w:t>；</w:t>
            </w:r>
          </w:p>
          <w:p w14:paraId="00B0F6E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2008 ppb</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11110 ppb</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6 ppb</w:t>
            </w:r>
            <w:r>
              <w:rPr>
                <w:rFonts w:hint="eastAsia" w:ascii="宋体" w:hAnsi="宋体" w:eastAsia="宋体" w:cs="宋体"/>
                <w:color w:val="auto"/>
                <w:kern w:val="0"/>
                <w:sz w:val="21"/>
                <w:szCs w:val="21"/>
                <w:highlight w:val="none"/>
              </w:rPr>
              <w:t>；</w:t>
            </w:r>
          </w:p>
          <w:p w14:paraId="7CC7575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11110 ppb</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60000 ppb</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32 ppb</w:t>
            </w:r>
            <w:r>
              <w:rPr>
                <w:rFonts w:hint="eastAsia" w:ascii="宋体" w:hAnsi="宋体" w:eastAsia="宋体" w:cs="宋体"/>
                <w:color w:val="auto"/>
                <w:kern w:val="0"/>
                <w:sz w:val="21"/>
                <w:szCs w:val="21"/>
                <w:highlight w:val="none"/>
              </w:rPr>
              <w:t>。</w:t>
            </w:r>
          </w:p>
          <w:p w14:paraId="2D6374E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g.二氧化碳传感器</w:t>
            </w:r>
          </w:p>
          <w:p w14:paraId="4B5B34D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测量范围：400ppm～60000ppm。</w:t>
            </w:r>
          </w:p>
          <w:p w14:paraId="4FC1E81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测量精度：</w:t>
            </w:r>
            <w:r>
              <w:rPr>
                <w:rFonts w:hint="eastAsia" w:ascii="宋体" w:hAnsi="宋体" w:eastAsia="宋体" w:cs="宋体"/>
                <w:color w:val="auto"/>
                <w:kern w:val="0"/>
                <w:sz w:val="21"/>
                <w:szCs w:val="21"/>
                <w:highlight w:val="none"/>
                <w:lang w:eastAsia="zh-CN"/>
              </w:rPr>
              <w:t>400 ppm</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1479 ppm</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1 ppm</w:t>
            </w:r>
            <w:r>
              <w:rPr>
                <w:rFonts w:hint="eastAsia" w:ascii="宋体" w:hAnsi="宋体" w:eastAsia="宋体" w:cs="宋体"/>
                <w:color w:val="auto"/>
                <w:kern w:val="0"/>
                <w:sz w:val="21"/>
                <w:szCs w:val="21"/>
                <w:highlight w:val="none"/>
              </w:rPr>
              <w:t>；</w:t>
            </w:r>
          </w:p>
          <w:p w14:paraId="55ABDEE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1479 ppm</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5144 ppm</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3 ppm</w:t>
            </w:r>
            <w:r>
              <w:rPr>
                <w:rFonts w:hint="eastAsia" w:ascii="宋体" w:hAnsi="宋体" w:eastAsia="宋体" w:cs="宋体"/>
                <w:color w:val="auto"/>
                <w:kern w:val="0"/>
                <w:sz w:val="21"/>
                <w:szCs w:val="21"/>
                <w:highlight w:val="none"/>
              </w:rPr>
              <w:t>；</w:t>
            </w:r>
          </w:p>
          <w:p w14:paraId="47B9006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5144 ppm</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17597 ppm</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9 ppm</w:t>
            </w:r>
            <w:r>
              <w:rPr>
                <w:rFonts w:hint="eastAsia" w:ascii="宋体" w:hAnsi="宋体" w:eastAsia="宋体" w:cs="宋体"/>
                <w:color w:val="auto"/>
                <w:kern w:val="0"/>
                <w:sz w:val="21"/>
                <w:szCs w:val="21"/>
                <w:highlight w:val="none"/>
              </w:rPr>
              <w:t>；</w:t>
            </w:r>
          </w:p>
          <w:p w14:paraId="27D027A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17597 ppm</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60000 ppm</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31 ppm</w:t>
            </w:r>
            <w:r>
              <w:rPr>
                <w:rFonts w:hint="eastAsia" w:ascii="宋体" w:hAnsi="宋体" w:eastAsia="宋体" w:cs="宋体"/>
                <w:color w:val="auto"/>
                <w:kern w:val="0"/>
                <w:sz w:val="21"/>
                <w:szCs w:val="21"/>
                <w:highlight w:val="none"/>
              </w:rPr>
              <w:t>。</w:t>
            </w:r>
          </w:p>
          <w:p w14:paraId="647923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h.光敏传感器</w:t>
            </w:r>
          </w:p>
          <w:p w14:paraId="0C2EE4D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暗电流（0Lux）：≤1uA。</w:t>
            </w:r>
          </w:p>
          <w:p w14:paraId="3F16ACC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饱和压降：不高于0.18V。</w:t>
            </w:r>
          </w:p>
          <w:p w14:paraId="2F3BDC6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感光光谱λ：480～1050nm。</w:t>
            </w:r>
          </w:p>
          <w:p w14:paraId="3337847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i.火焰传感器</w:t>
            </w:r>
          </w:p>
          <w:p w14:paraId="60CDCC9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探测波长：840～1100nm。</w:t>
            </w:r>
          </w:p>
          <w:p w14:paraId="2F3A79B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峰值灵敏度波长：</w:t>
            </w:r>
            <w:r>
              <w:rPr>
                <w:rFonts w:hint="eastAsia" w:ascii="宋体" w:hAnsi="宋体" w:eastAsia="宋体" w:cs="宋体"/>
                <w:color w:val="auto"/>
                <w:kern w:val="0"/>
                <w:sz w:val="21"/>
                <w:szCs w:val="21"/>
                <w:highlight w:val="none"/>
                <w:lang w:eastAsia="zh-CN"/>
              </w:rPr>
              <w:t>约</w:t>
            </w:r>
            <w:r>
              <w:rPr>
                <w:rFonts w:hint="eastAsia" w:ascii="宋体" w:hAnsi="宋体" w:eastAsia="宋体" w:cs="宋体"/>
                <w:color w:val="auto"/>
                <w:kern w:val="0"/>
                <w:sz w:val="21"/>
                <w:szCs w:val="21"/>
                <w:highlight w:val="none"/>
              </w:rPr>
              <w:t>940nm。</w:t>
            </w:r>
          </w:p>
          <w:p w14:paraId="5F1933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（四）作物长势监测节点 4套</w:t>
            </w:r>
          </w:p>
          <w:p w14:paraId="15BFCCA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双光摄像头</w:t>
            </w:r>
          </w:p>
          <w:p w14:paraId="2994204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1.像素：</w:t>
            </w:r>
            <w:r>
              <w:rPr>
                <w:rFonts w:hint="eastAsia" w:ascii="宋体" w:hAnsi="宋体" w:eastAsia="宋体"/>
                <w:color w:val="auto"/>
                <w:kern w:val="0"/>
                <w:szCs w:val="21"/>
                <w:highlight w:val="none"/>
              </w:rPr>
              <w:t>≥</w:t>
            </w:r>
            <w:r>
              <w:rPr>
                <w:rFonts w:hint="eastAsia" w:ascii="宋体" w:hAnsi="宋体" w:eastAsia="宋体" w:cs="宋体"/>
                <w:color w:val="auto"/>
                <w:kern w:val="0"/>
                <w:sz w:val="21"/>
                <w:szCs w:val="21"/>
                <w:highlight w:val="none"/>
              </w:rPr>
              <w:t>400万</w:t>
            </w:r>
          </w:p>
          <w:p w14:paraId="12A5A8F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2.光学变焦：12倍</w:t>
            </w:r>
          </w:p>
          <w:p w14:paraId="7F23E18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3.全景白光：30米</w:t>
            </w:r>
          </w:p>
          <w:p w14:paraId="5A4D5EE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4.细节红外：80米</w:t>
            </w:r>
          </w:p>
          <w:p w14:paraId="1FE93E3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5.360°云台</w:t>
            </w:r>
          </w:p>
          <w:p w14:paraId="152888D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6.存储：</w:t>
            </w:r>
            <w:r>
              <w:rPr>
                <w:rFonts w:hint="eastAsia" w:ascii="宋体" w:hAnsi="宋体" w:eastAsia="宋体"/>
                <w:color w:val="auto"/>
                <w:kern w:val="0"/>
                <w:szCs w:val="21"/>
                <w:highlight w:val="none"/>
              </w:rPr>
              <w:t>≥</w:t>
            </w:r>
            <w:r>
              <w:rPr>
                <w:rFonts w:hint="eastAsia" w:ascii="宋体" w:hAnsi="宋体" w:eastAsia="宋体" w:cs="宋体"/>
                <w:color w:val="auto"/>
                <w:kern w:val="0"/>
                <w:sz w:val="21"/>
                <w:szCs w:val="21"/>
                <w:highlight w:val="none"/>
              </w:rPr>
              <w:t>128G</w:t>
            </w:r>
          </w:p>
          <w:p w14:paraId="126B10E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7.防护等级：</w:t>
            </w:r>
            <w:r>
              <w:rPr>
                <w:rFonts w:hint="eastAsia" w:ascii="宋体" w:hAnsi="宋体" w:eastAsia="宋体"/>
                <w:color w:val="auto"/>
                <w:kern w:val="0"/>
                <w:szCs w:val="21"/>
                <w:highlight w:val="none"/>
              </w:rPr>
              <w:t>≥</w:t>
            </w:r>
            <w:r>
              <w:rPr>
                <w:rFonts w:hint="eastAsia" w:ascii="宋体" w:hAnsi="宋体" w:eastAsia="宋体" w:cs="宋体"/>
                <w:color w:val="auto"/>
                <w:kern w:val="0"/>
                <w:sz w:val="21"/>
                <w:szCs w:val="21"/>
                <w:highlight w:val="none"/>
              </w:rPr>
              <w:t>IP66</w:t>
            </w:r>
          </w:p>
          <w:p w14:paraId="36D1D86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（五）种植区设备 1套</w:t>
            </w:r>
          </w:p>
          <w:p w14:paraId="4A1551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配套区域基质栽培种植设施、基础苗床、潮汐苗床等</w:t>
            </w:r>
          </w:p>
          <w:p w14:paraId="44F1C04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三、扫描式植物表型平台 1套</w:t>
            </w:r>
          </w:p>
          <w:p w14:paraId="4964755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（一）平台介绍</w:t>
            </w:r>
          </w:p>
          <w:p w14:paraId="43EBAB7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扫描式植物表型平台是实验室场景下的面向测量通量相对较少的室内盆栽类植物（含穴盘类植物）的表型性状获取的自动化表型成像平台。平台配置用于植物信息记录的扫码装置，可自定义输入测量植物的种类、品种、基因型、栽培处理方式等信息，并生成唯一身份二维码，以实现高效且自动的数据分析、关联、输出等功能。系统配置的实验模块与任务模块支持传感器实时调试、并行数据采集、动态布局设置等友好交互功能，在本科教学与科研工作间保证最大兼容性。双轴设计（X轴方向实现表型成像传感器的平稳移动及数据扫描获取，Z轴方向实现测量植物的升降，以满足不同生育期、不同类型、不同高度植物的最优测量），系统可获取包含植物二维冠层结构、三维株型、颜色信息、反射光谱、热红外温度信息等数字化表型性状，用于植物株型鉴定、基因型-表型关联分析、光谱模型构建、育种筛选等研究。</w:t>
            </w:r>
          </w:p>
          <w:p w14:paraId="1D844A3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（二）技术参数：</w:t>
            </w:r>
          </w:p>
          <w:p w14:paraId="2630654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1.可测量植物尺寸：高度≥880mm（可定制）；冠幅≥1000mm</w:t>
            </w:r>
          </w:p>
          <w:p w14:paraId="0F56059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2.升降功能：自动升降，支持多级高度选择设置</w:t>
            </w:r>
          </w:p>
          <w:p w14:paraId="025F5ED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3.测量模式：单株测量、群体（穴盘）测量</w:t>
            </w:r>
          </w:p>
          <w:p w14:paraId="6891476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4.自动化定位精度：±1mm</w:t>
            </w:r>
          </w:p>
          <w:p w14:paraId="5E22698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5.三维表型：高精度多光谱三维激光扫描单元，激光波长≤950nm，点云采集速率≥3000000pt/s，点云精度≤1mm，≥5通道光谱</w:t>
            </w:r>
          </w:p>
          <w:p w14:paraId="50744E9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6.可见光表型：顶部成像，彩色图像，像素分辨率：≥5472*3648</w:t>
            </w:r>
          </w:p>
          <w:p w14:paraId="5764F06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7.光谱表型：波段范围：≥400-1000nm；光谱波段：≥1000；空间像素：≥1000；视场角FOV：≥50°</w:t>
            </w:r>
          </w:p>
          <w:p w14:paraId="21F5CD3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8.热红外表型：非制冷微辐射热计，获取植物冠层温度；分辨率像素：640 x 512像素（支持定制1280 x1024）；热敏：≤30mk</w:t>
            </w:r>
          </w:p>
          <w:p w14:paraId="38632C5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9.补光：宽波段高亮度LED补光灯用于可见光成像校准，数量≥2；全波段卤素灯用于高光谱成像校准，距离植物1000mm时PAR光强&gt;500</w:t>
            </w:r>
            <w:r>
              <w:rPr>
                <w:rFonts w:hint="eastAsia"/>
                <w:color w:val="auto"/>
                <w:highlight w:val="none"/>
              </w:rPr>
              <w:t>μ</w:t>
            </w:r>
            <w:r>
              <w:rPr>
                <w:rFonts w:hint="eastAsia" w:ascii="宋体" w:hAnsi="宋体" w:eastAsia="宋体" w:cs="宋体"/>
                <w:color w:val="auto"/>
                <w:kern w:val="0"/>
                <w:sz w:val="21"/>
                <w:szCs w:val="21"/>
                <w:highlight w:val="none"/>
              </w:rPr>
              <w:t>mol/m2s</w:t>
            </w:r>
          </w:p>
          <w:p w14:paraId="77E8C6E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10.数据校准：可见光成像提供≥24色标准校准色卡及自动校准程序；高光谱成像提供光谱校准灰板及自动校准程序</w:t>
            </w:r>
          </w:p>
          <w:p w14:paraId="28D2EAB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11.工作模式及原理：基于B/S架构的web应用系统，集多源多维数据采集为一体，实现对可见光表型成像、热红外成像、三维激光扫描成像、高光谱成像等传感器的控制、触发、数据采集与自动化分析</w:t>
            </w:r>
          </w:p>
          <w:p w14:paraId="332C055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12.多</w:t>
            </w:r>
            <w:r>
              <w:rPr>
                <w:rFonts w:hint="eastAsia" w:ascii="宋体" w:hAnsi="宋体" w:eastAsia="宋体" w:cs="宋体"/>
                <w:color w:val="auto"/>
                <w:kern w:val="0"/>
                <w:sz w:val="21"/>
                <w:szCs w:val="21"/>
                <w:highlight w:val="none"/>
                <w:lang w:eastAsia="zh-CN"/>
              </w:rPr>
              <w:t>实验</w:t>
            </w:r>
            <w:r>
              <w:rPr>
                <w:rFonts w:hint="eastAsia" w:ascii="宋体" w:hAnsi="宋体" w:eastAsia="宋体" w:cs="宋体"/>
                <w:color w:val="auto"/>
                <w:kern w:val="0"/>
                <w:sz w:val="21"/>
                <w:szCs w:val="21"/>
                <w:highlight w:val="none"/>
              </w:rPr>
              <w:t>管理：具备实验池管理、特定实验管理功能，和账户管理功能结合，实现实验的分级权限管理</w:t>
            </w:r>
          </w:p>
          <w:p w14:paraId="5C6E9FD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13.一体化控制功能：通过上位机软件实现对PLC控制、传感器触发和采集、数据存储等的一体化功能</w:t>
            </w:r>
          </w:p>
          <w:p w14:paraId="6B51C04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14.传感器实时调试功能：支持对传感器进行参数配置和实时调试以确保数据采集的准确性</w:t>
            </w:r>
          </w:p>
          <w:p w14:paraId="735EDE7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15.并行数据采集功能：支持多源多维传感器（如可见光、三维激光、热红外等成像传感器器）自动化并行数据采集</w:t>
            </w:r>
          </w:p>
          <w:p w14:paraId="4A63011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16.动态布局配置：支持根据植株大小和采集通量动态调整布局设置以优化采集效率</w:t>
            </w:r>
          </w:p>
          <w:p w14:paraId="3EAFB172">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17.植物信息识别与关联：支持通过二维码和条形码识别植物信息，并能关联实验材料的详细信息，如品种、基因型，以及试验处理等</w:t>
            </w:r>
          </w:p>
          <w:p w14:paraId="6C60F7C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测量任务管理：根据特定实验所需的采集通量，及所需的传感器和所需的测量时间节点，生成测量任务，测量任务和账户分级权限关联，提供完整的任务执行记录数据库与数据存储功能：集成高性能、可扩展的关系型数据库，原始数据通过采集电脑实时回传至数据工作站，无数据泄漏风险；</w:t>
            </w:r>
          </w:p>
          <w:p w14:paraId="6363E46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19.数据采集效率：t&lt;10s/份实验材料</w:t>
            </w:r>
          </w:p>
          <w:p w14:paraId="68EF6DA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20.数据分析模式：支持表型数据自动分析、手动分析、批量分析等</w:t>
            </w:r>
          </w:p>
          <w:p w14:paraId="0C5B3EA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21.数据分析效率：t＜15s/100个表型指标</w:t>
            </w:r>
          </w:p>
          <w:p w14:paraId="0985740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22.数据分析功能：针对不同传感器采集的原始数据，软件批量进行数据分析并提取植物形态学表型、冠层结构表型、颜色空间表型、冠层温度表型、反射光谱表型等常见表型性状；</w:t>
            </w:r>
          </w:p>
          <w:p w14:paraId="481F85B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23.系统监控功能：实时监控和展示系统状态、总运行时间、数据采集量、传感器状态和实验数量等关键指标</w:t>
            </w:r>
          </w:p>
          <w:p w14:paraId="0DEF170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24.系统兼容性、稳定性和响应时间：兼容Windows操作系统的各个版本，系统的正常运行时间不低于99.9%，系统响应用户操作的时间不超过1秒</w:t>
            </w:r>
          </w:p>
          <w:p w14:paraId="236D0D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25.用户界面：提供直观、响应式的交互设计，支持多平台访问，支持中英文语言切换</w:t>
            </w:r>
          </w:p>
          <w:p w14:paraId="44DE68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26.更新支持：提供持续的软件更新和技术支持</w:t>
            </w:r>
          </w:p>
          <w:p w14:paraId="7D5EEF2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27.数据分析工作站：不低于i9/128G/1TB SSD+8T SATA/RTX 4080 16G显卡</w:t>
            </w:r>
          </w:p>
          <w:p w14:paraId="753FC04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28.接口：USB、HDMI、千兆以太网等</w:t>
            </w:r>
          </w:p>
          <w:p w14:paraId="6F137BB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29.系统散热：空腔排风散热系统，散热性高</w:t>
            </w:r>
          </w:p>
          <w:p w14:paraId="19B1D01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30.供电：220V交流供电，峰值功率：≤3500W</w:t>
            </w:r>
          </w:p>
          <w:p w14:paraId="221F53D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31.工作温度：- 10℃~+40℃</w:t>
            </w:r>
          </w:p>
          <w:p w14:paraId="537E5C78">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32.存储温度：-20℃~+65℃</w:t>
            </w:r>
          </w:p>
        </w:tc>
        <w:tc>
          <w:tcPr>
            <w:tcW w:w="276" w:type="pct"/>
            <w:shd w:val="clear" w:color="auto" w:fill="auto"/>
            <w:vAlign w:val="center"/>
          </w:tcPr>
          <w:p w14:paraId="3E30C84B">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35BFBFCF">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25236FDB">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 w:val="21"/>
                <w:szCs w:val="21"/>
                <w:highlight w:val="none"/>
                <w:lang w:bidi="zh-CN"/>
              </w:rPr>
              <w:t>工业</w:t>
            </w:r>
          </w:p>
        </w:tc>
      </w:tr>
      <w:tr w14:paraId="1746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146" w:type="pct"/>
            <w:tcMar>
              <w:top w:w="13" w:type="dxa"/>
              <w:left w:w="57" w:type="dxa"/>
              <w:bottom w:w="0" w:type="dxa"/>
              <w:right w:w="57" w:type="dxa"/>
            </w:tcMar>
            <w:vAlign w:val="center"/>
          </w:tcPr>
          <w:p w14:paraId="37C2889A">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14" w:type="pct"/>
            <w:shd w:val="clear" w:color="auto" w:fill="auto"/>
            <w:tcMar>
              <w:top w:w="13" w:type="dxa"/>
              <w:left w:w="57" w:type="dxa"/>
              <w:bottom w:w="0" w:type="dxa"/>
              <w:right w:w="57" w:type="dxa"/>
            </w:tcMar>
            <w:vAlign w:val="center"/>
          </w:tcPr>
          <w:p w14:paraId="450E0745">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智慧农业无人自动驾驶远程控制实验平台</w:t>
            </w:r>
          </w:p>
        </w:tc>
        <w:tc>
          <w:tcPr>
            <w:tcW w:w="3617" w:type="pct"/>
            <w:gridSpan w:val="2"/>
            <w:shd w:val="clear" w:color="auto" w:fill="auto"/>
            <w:tcMar>
              <w:top w:w="13" w:type="dxa"/>
              <w:left w:w="57" w:type="dxa"/>
              <w:bottom w:w="0" w:type="dxa"/>
              <w:right w:w="57" w:type="dxa"/>
            </w:tcMar>
            <w:vAlign w:val="center"/>
          </w:tcPr>
          <w:p w14:paraId="45DD3F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该平台是面向智慧农业领域打造的综合性实验载体，旨在为无人自动驾驶技术在农业场景的应用研究提供全面支撑。平台集成先进的模型预测模块，支持传统机器学习模型（如SVM、RandomForest、GBDT、DecisionTree、AdaBoost、BPNN、KNN、Logistic等）与深度学习模型，可用于作物生长状态预测、田间作业路径优化、设备故障预警等实验场景的算法验证与迭代。</w:t>
            </w:r>
          </w:p>
          <w:p w14:paraId="2D5846D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（一）无人驾驶小车终端实训平台</w:t>
            </w:r>
            <w:r>
              <w:rPr>
                <w:rFonts w:hint="eastAsia" w:ascii="宋体" w:hAnsi="宋体" w:eastAsia="宋体" w:cs="宋体"/>
                <w:b/>
                <w:bCs/>
                <w:color w:val="auto"/>
                <w:kern w:val="0"/>
                <w:sz w:val="21"/>
                <w:szCs w:val="21"/>
                <w:highlight w:val="none"/>
              </w:rPr>
              <w:t>*2台</w:t>
            </w:r>
          </w:p>
          <w:p w14:paraId="3A5CA00A">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1.16线激光雷达</w:t>
            </w:r>
          </w:p>
          <w:p w14:paraId="6710C710">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最大量程</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50m；</w:t>
            </w:r>
            <w:r>
              <w:rPr>
                <w:rFonts w:hint="eastAsia" w:ascii="宋体" w:hAnsi="宋体" w:eastAsia="宋体" w:cs="宋体"/>
                <w:color w:val="auto"/>
                <w:sz w:val="21"/>
                <w:szCs w:val="21"/>
                <w:highlight w:val="none"/>
              </w:rPr>
              <w:tab/>
            </w:r>
          </w:p>
          <w:p w14:paraId="0506383D">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测距能力：不低于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90m@10%反射率</w:t>
            </w:r>
          </w:p>
          <w:p w14:paraId="21EF91A0">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测距精度：</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2cm（典型值）</w:t>
            </w:r>
          </w:p>
          <w:p w14:paraId="432C7C8B">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垂直视场角：</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p>
          <w:p w14:paraId="1A5536EF">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垂直角分辨率：不低于2°</w:t>
            </w:r>
          </w:p>
          <w:p w14:paraId="7557FCB1">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扫描频率：支持10Hz,20Hz</w:t>
            </w:r>
          </w:p>
          <w:p w14:paraId="71E597A1">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防护等级：</w:t>
            </w:r>
            <w:r>
              <w:rPr>
                <w:rFonts w:hint="eastAsia" w:ascii="宋体" w:hAnsi="宋体" w:eastAsia="宋体"/>
                <w:color w:val="auto"/>
                <w:szCs w:val="21"/>
                <w:highlight w:val="none"/>
              </w:rPr>
              <w:t>≥</w:t>
            </w:r>
            <w:r>
              <w:rPr>
                <w:rFonts w:hint="eastAsia" w:ascii="宋体" w:hAnsi="宋体" w:eastAsia="宋体" w:cs="宋体"/>
                <w:color w:val="auto"/>
                <w:sz w:val="21"/>
                <w:szCs w:val="21"/>
                <w:highlight w:val="none"/>
              </w:rPr>
              <w:t>IP67</w:t>
            </w:r>
            <w:r>
              <w:rPr>
                <w:rFonts w:hint="eastAsia" w:ascii="宋体" w:hAnsi="宋体" w:eastAsia="宋体" w:cs="宋体"/>
                <w:color w:val="auto"/>
                <w:sz w:val="21"/>
                <w:szCs w:val="21"/>
                <w:highlight w:val="none"/>
              </w:rPr>
              <w:tab/>
            </w:r>
          </w:p>
          <w:p w14:paraId="5258FC13">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lang w:eastAsia="zh-CN"/>
              </w:rPr>
              <w:t>℃</w:t>
            </w:r>
          </w:p>
          <w:p w14:paraId="2DAC0B4B">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点频：单回波288,000点/秒；双回波576,000点/秒</w:t>
            </w:r>
          </w:p>
          <w:p w14:paraId="2DD3360E">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支持激光测距，实现最远150米的测距功能；</w:t>
            </w:r>
          </w:p>
          <w:p w14:paraId="657FF2B8">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支持输出点云，扫描周围物体并通过点云的形式传输到系统中；</w:t>
            </w:r>
          </w:p>
          <w:p w14:paraId="7DEC7B37">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支持UDP数据包输出，包括三维空间坐标、反射强度、时间戳等；</w:t>
            </w:r>
          </w:p>
          <w:p w14:paraId="396A7FA5">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支持时间同步，通过其他传感器赋予的时间轴进行数据输出；</w:t>
            </w:r>
          </w:p>
          <w:p w14:paraId="4D720034">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2.感知相机</w:t>
            </w:r>
          </w:p>
          <w:p w14:paraId="216E6389">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传感器类型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CMOS，支持全局快门；像元尺寸不小于4.5µm×4.5µm；靶面尺寸不小于1/1.7"</w:t>
            </w:r>
          </w:p>
          <w:p w14:paraId="382ED3B3">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支持1624×1240；最大帧率89.1fps@1624×1240</w:t>
            </w:r>
          </w:p>
          <w:p w14:paraId="5C431E35">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动态范围支持75.4dB；信噪比40dB；增益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0dB~24dB</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；曝光时间1μs</w:t>
            </w:r>
            <w:r>
              <w:rPr>
                <w:rFonts w:hint="eastAsia" w:ascii="宋体" w:hAnsi="宋体" w:eastAsia="宋体" w:cs="宋体"/>
                <w:color w:val="auto"/>
                <w:sz w:val="21"/>
                <w:szCs w:val="21"/>
                <w:highlight w:val="none"/>
                <w:lang w:eastAsia="zh-CN"/>
              </w:rPr>
              <w:t>～10s</w:t>
            </w:r>
          </w:p>
          <w:p w14:paraId="01B5E60F">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快门模式支持自动曝光、手动曝光、一键曝光模式；像素格式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黑白：Mono8/10/10p/12/12p；彩色：Mono8/10/12</w:t>
            </w:r>
          </w:p>
          <w:p w14:paraId="43276E8E">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数字I/O支持6-pinP7接头提供供电和I/O：1路光耦隔离输入（Line0），1路光耦隔离输出（Line1），1路双向可配置非隔离IO（Line2）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供电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电压范围9~24VDC，支持USB供电</w:t>
            </w:r>
          </w:p>
          <w:p w14:paraId="14CBD3AB">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典型功耗支持3.2W@5VDC（USB3.0供电）；3.9W@5VDC（USB3.0供电）</w:t>
            </w:r>
            <w:r>
              <w:rPr>
                <w:rFonts w:hint="eastAsia" w:ascii="宋体" w:hAnsi="宋体" w:eastAsia="宋体" w:cs="宋体"/>
                <w:color w:val="auto"/>
                <w:sz w:val="21"/>
                <w:szCs w:val="21"/>
                <w:highlight w:val="none"/>
              </w:rPr>
              <w:tab/>
            </w:r>
          </w:p>
          <w:p w14:paraId="62222D8A">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镜头接口支持C-Mount</w:t>
            </w:r>
          </w:p>
          <w:p w14:paraId="7EC7F537">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w:t>
            </w:r>
            <w:r>
              <w:rPr>
                <w:rFonts w:hint="eastAsia" w:ascii="宋体" w:hAnsi="宋体" w:eastAsia="宋体"/>
                <w:color w:val="auto"/>
                <w:szCs w:val="21"/>
                <w:highlight w:val="none"/>
              </w:rPr>
              <w:t>机器视觉工业相机客户端MVS</w:t>
            </w:r>
            <w:r>
              <w:rPr>
                <w:rFonts w:hint="eastAsia" w:ascii="宋体" w:hAnsi="宋体" w:eastAsia="宋体" w:cs="宋体"/>
                <w:color w:val="auto"/>
                <w:sz w:val="21"/>
                <w:szCs w:val="21"/>
                <w:highlight w:val="none"/>
              </w:rPr>
              <w:t>或者兼容USB3Vision协议的第三方软件</w:t>
            </w:r>
          </w:p>
          <w:p w14:paraId="4B5EAD24">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操作系统：支持</w:t>
            </w:r>
            <w:r>
              <w:rPr>
                <w:rFonts w:hint="eastAsia" w:ascii="宋体" w:hAnsi="宋体" w:eastAsia="宋体" w:cs="宋体"/>
                <w:color w:val="auto"/>
                <w:sz w:val="21"/>
                <w:szCs w:val="21"/>
                <w:highlight w:val="none"/>
                <w:lang w:eastAsia="zh-CN"/>
              </w:rPr>
              <w:t xml:space="preserve"> Windows XP</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10（32/64 bits）、Linux（32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64 bits）</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 xml:space="preserve"> macOS（64 bits）</w:t>
            </w:r>
          </w:p>
          <w:p w14:paraId="38A61FB0">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协议/标准：支持USB3Vision，GenlCam</w:t>
            </w:r>
          </w:p>
          <w:p w14:paraId="3AB1FBB8">
            <w:pPr>
              <w:widowControl/>
              <w:spacing w:line="240" w:lineRule="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整体化设计配套</w:t>
            </w:r>
            <w:r>
              <w:rPr>
                <w:rFonts w:hint="eastAsia" w:ascii="宋体" w:hAnsi="宋体" w:eastAsia="宋体" w:cs="宋体"/>
                <w:b/>
                <w:bCs/>
                <w:color w:val="auto"/>
                <w:sz w:val="21"/>
                <w:szCs w:val="21"/>
                <w:highlight w:val="none"/>
              </w:rPr>
              <w:t>机控服务</w:t>
            </w:r>
            <w:r>
              <w:rPr>
                <w:rFonts w:hint="eastAsia" w:ascii="宋体" w:hAnsi="宋体" w:cs="宋体"/>
                <w:b/>
                <w:bCs/>
                <w:color w:val="auto"/>
                <w:sz w:val="21"/>
                <w:szCs w:val="21"/>
                <w:highlight w:val="none"/>
                <w:lang w:eastAsia="zh-CN"/>
              </w:rPr>
              <w:t>设备</w:t>
            </w:r>
          </w:p>
          <w:p w14:paraId="22C22567">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处理器：不低于8核心，主频≥3GHz，三级缓存≥12MB，默认TDP=65W</w:t>
            </w:r>
          </w:p>
          <w:p w14:paraId="0DB39F8A">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内存：≥32GBDDR4</w:t>
            </w:r>
          </w:p>
          <w:p w14:paraId="2CE6A73B">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存储：≥512GB</w:t>
            </w:r>
          </w:p>
          <w:p w14:paraId="38893F9D">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GPU：不低于GTX1650同等算力</w:t>
            </w:r>
          </w:p>
          <w:p w14:paraId="02B5BBB1">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I/O接口：USB*6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RJ45*1</w:t>
            </w:r>
          </w:p>
          <w:p w14:paraId="0DDDAA65">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功耗：TDP≤235W；工作电压DC19V</w:t>
            </w:r>
          </w:p>
          <w:p w14:paraId="15D94D1C">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调试显示器：约15.6英寸；分辨率：1920×1080</w:t>
            </w:r>
          </w:p>
          <w:p w14:paraId="1B7B8F96">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预装开发环境：Ubuntu系统版本18.04，ROS版本Kinetic，Autoware版本1.14；</w:t>
            </w:r>
          </w:p>
          <w:p w14:paraId="344D9FC1">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支持传感器接入，通过LAN口、USB3.0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HDMI、type-C接口接入激光雷达、感知相机、交换机、CAN模块、惯导等套件设备；</w:t>
            </w:r>
          </w:p>
          <w:p w14:paraId="59C3D4F3">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支持无线连接，2.4G/5G双频网络连接；</w:t>
            </w:r>
          </w:p>
          <w:p w14:paraId="4438772E">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支持主动散热，双涡轮风扇调频散热；</w:t>
            </w:r>
          </w:p>
          <w:p w14:paraId="0420ED54">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支持64G以上内存升级；</w:t>
            </w:r>
          </w:p>
          <w:p w14:paraId="19F487A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4.组合导航</w:t>
            </w:r>
          </w:p>
          <w:p w14:paraId="3DD7AFF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（1）陀螺仪：量程不低于±450°/s；零偏重复性不低于0.1deg/s；零偏稳定性误差不高于3°/h；角度随机游走误差不高于0.2°/h；</w:t>
            </w:r>
          </w:p>
          <w:p w14:paraId="5ACAC3B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（2）加速度计：量程不低于±5g；零偏重复性不低于5mg；零偏稳定性误差不高于70μg；速度随机游走误差不高于0.03m/s/hr</w:t>
            </w:r>
          </w:p>
          <w:p w14:paraId="4DCA4970">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5.通信模块</w:t>
            </w:r>
          </w:p>
          <w:p w14:paraId="411CCBBB">
            <w:pPr>
              <w:widowControl/>
              <w:numPr>
                <w:ilvl w:val="-1"/>
                <w:numId w:val="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交换机</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支持</w:t>
            </w:r>
          </w:p>
          <w:p w14:paraId="337E7DE7">
            <w:pPr>
              <w:widowControl/>
              <w:numPr>
                <w:ilvl w:val="0"/>
                <w:numId w:val="32"/>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网口信息：8*100/1000MbpsBase-TRJ45；</w:t>
            </w:r>
          </w:p>
          <w:p w14:paraId="17E13F93">
            <w:pPr>
              <w:widowControl/>
              <w:numPr>
                <w:ilvl w:val="0"/>
                <w:numId w:val="32"/>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olor w:val="auto"/>
                <w:szCs w:val="21"/>
                <w:highlight w:val="none"/>
              </w:rPr>
              <w:t>端口速率：≥2000Mbps</w:t>
            </w:r>
            <w:r>
              <w:rPr>
                <w:rFonts w:hint="eastAsia" w:ascii="宋体" w:hAnsi="宋体" w:eastAsia="宋体"/>
                <w:color w:val="auto"/>
                <w:szCs w:val="21"/>
                <w:highlight w:val="none"/>
                <w:lang w:eastAsia="zh-CN"/>
              </w:rPr>
              <w:t>；</w:t>
            </w:r>
          </w:p>
          <w:p w14:paraId="030622FF">
            <w:pPr>
              <w:widowControl/>
              <w:numPr>
                <w:ilvl w:val="0"/>
                <w:numId w:val="32"/>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整机最大功耗：≤4W</w:t>
            </w:r>
          </w:p>
          <w:p w14:paraId="51CD09E1">
            <w:pPr>
              <w:widowControl/>
              <w:numPr>
                <w:ilvl w:val="-1"/>
                <w:numId w:val="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5G路由器需支持：</w:t>
            </w:r>
          </w:p>
          <w:p w14:paraId="64D0559B">
            <w:pPr>
              <w:widowControl/>
              <w:numPr>
                <w:ilvl w:val="0"/>
                <w:numId w:val="33"/>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内存不小于DDR3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512MB，可扩展至1GB（工业级）；FLASH不小于4GB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EMMC（工业级）</w:t>
            </w:r>
          </w:p>
          <w:p w14:paraId="2F721C8E">
            <w:pPr>
              <w:widowControl/>
              <w:numPr>
                <w:ilvl w:val="0"/>
                <w:numId w:val="33"/>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Wi-Fi</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模块支持802.11.ax（Wi-Fi6），支持2.4G/5.8G双频，网络支持工业级5G模块、支持七模全网通（4G）</w:t>
            </w:r>
          </w:p>
          <w:p w14:paraId="6909578D">
            <w:pPr>
              <w:widowControl/>
              <w:numPr>
                <w:ilvl w:val="0"/>
                <w:numId w:val="33"/>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扩展接口支持不低于1个WAN口；4个LAN口（10M/100M/1000M自适应MDI/MDIX口）；2个SIM卡接口（抽屉式卡座，支持1.8V/3V的SIM/UIM卡）；1*USB2.0；1个Reset；4个天线接口（4G/5G天线，阻抗50欧，SMA阴头内孔接口）；2个（2.4G天线，阻抗50欧，SMA内针接口）；1个GPS（选配）；1个（2针3.81mm间距连接座）电源端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传输速率：≥100Mbps</w:t>
            </w:r>
          </w:p>
          <w:p w14:paraId="6A014E76">
            <w:pPr>
              <w:widowControl/>
              <w:numPr>
                <w:ilvl w:val="0"/>
                <w:numId w:val="33"/>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支持流量阈值设定，支持流量统计和流量告警功能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工业协议：支持环保212协议，支持MQTT,MUDBUS等工业协议</w:t>
            </w:r>
          </w:p>
          <w:p w14:paraId="55067AF4">
            <w:pPr>
              <w:widowControl/>
              <w:numPr>
                <w:ilvl w:val="0"/>
                <w:numId w:val="33"/>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告警功能：支持系统重启、LAN端口上下线、流量告警、sim卡故障等告警</w:t>
            </w:r>
          </w:p>
          <w:p w14:paraId="67F60298">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6.线控开发汽车底盘功能要求</w:t>
            </w:r>
          </w:p>
          <w:p w14:paraId="40928D7A">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转向方式：四轮差速转向</w:t>
            </w:r>
          </w:p>
          <w:p w14:paraId="33CF4229">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最大续航：不低于10km</w:t>
            </w:r>
          </w:p>
          <w:p w14:paraId="330E25E0">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最高速度：不低于10km/h</w:t>
            </w:r>
          </w:p>
          <w:p w14:paraId="62083FBC">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最大爬坡度：不低于30°</w:t>
            </w:r>
            <w:r>
              <w:rPr>
                <w:rFonts w:hint="eastAsia" w:ascii="宋体" w:hAnsi="宋体" w:eastAsia="宋体" w:cs="宋体"/>
                <w:color w:val="auto"/>
                <w:sz w:val="21"/>
                <w:szCs w:val="21"/>
                <w:highlight w:val="none"/>
              </w:rPr>
              <w:tab/>
            </w:r>
          </w:p>
          <w:p w14:paraId="704C539C">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最大负载：不低于10kg</w:t>
            </w:r>
            <w:r>
              <w:rPr>
                <w:rFonts w:hint="eastAsia" w:ascii="宋体" w:hAnsi="宋体" w:eastAsia="宋体" w:cs="宋体"/>
                <w:color w:val="auto"/>
                <w:sz w:val="21"/>
                <w:szCs w:val="21"/>
                <w:highlight w:val="none"/>
              </w:rPr>
              <w:tab/>
            </w:r>
          </w:p>
          <w:p w14:paraId="72C61294">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最小转弯半径：不高于0m</w:t>
            </w:r>
          </w:p>
          <w:p w14:paraId="23991A46">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驱动方式：四轮四驱</w:t>
            </w:r>
          </w:p>
          <w:p w14:paraId="52A04600">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越障能力：不小于70mm</w:t>
            </w:r>
          </w:p>
          <w:p w14:paraId="2BFAE95B">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工作温度范围：不小于-10~45℃</w:t>
            </w:r>
          </w:p>
          <w:p w14:paraId="00D3674A">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控制精度：±1%</w:t>
            </w:r>
          </w:p>
          <w:p w14:paraId="5B3EF757">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支持高精度全线控，开放CAN接口；</w:t>
            </w:r>
          </w:p>
          <w:p w14:paraId="4B2C94CB">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支持线控底盘状态指示，用户可以通过安装在车身的电压表、电源以及灯光来确定车体的状态；</w:t>
            </w:r>
          </w:p>
          <w:p w14:paraId="535F5F20">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支持尾部电源开关，当电源开关按下时，其环形指示灯会进入常亮模式；</w:t>
            </w:r>
          </w:p>
          <w:p w14:paraId="2B5000D7">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支持电源指示，尾部电源显示模块，显示当前电池的电量信息，电压信息；</w:t>
            </w:r>
          </w:p>
          <w:p w14:paraId="03B24ED1">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支持前侧</w:t>
            </w:r>
            <w:r>
              <w:rPr>
                <w:rFonts w:hint="eastAsia" w:ascii="宋体" w:hAnsi="宋体" w:eastAsia="宋体" w:cs="宋体"/>
                <w:color w:val="auto"/>
                <w:sz w:val="21"/>
                <w:szCs w:val="21"/>
                <w:highlight w:val="none"/>
                <w:lang w:eastAsia="zh-CN"/>
              </w:rPr>
              <w:t>灯光</w:t>
            </w:r>
            <w:r>
              <w:rPr>
                <w:rFonts w:hint="eastAsia" w:ascii="宋体" w:hAnsi="宋体" w:eastAsia="宋体" w:cs="宋体"/>
                <w:color w:val="auto"/>
                <w:sz w:val="21"/>
                <w:szCs w:val="21"/>
                <w:highlight w:val="none"/>
              </w:rPr>
              <w:t>，前部示宽灯，可通过遥控器和指令切换。</w:t>
            </w:r>
          </w:p>
          <w:p w14:paraId="5022BB25">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支持遥控功能，切换程序控制或遥控控制模式，控制车辆前进后退，控制车辆左旋转和右旋转。</w:t>
            </w:r>
          </w:p>
          <w:p w14:paraId="764C08B0">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支持灯光模式切换，包括常闭模式、常开模式、呼吸灯模式。</w:t>
            </w:r>
          </w:p>
          <w:p w14:paraId="14B5632F">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程序控制，用CAN指令对车体进行指令控制。支持控制底盘的移动的线速度以及旋转的角速度，车辆同步反馈当前的运动状态信息以及底盘的状态信息，包含电机转速电流位置信息反馈、电机驱动器信息反馈、驱动器状态、系统版本信息、里程计信息反馈、遥控器信息反馈等；</w:t>
            </w:r>
          </w:p>
          <w:p w14:paraId="58EE6959">
            <w:pPr>
              <w:widowControl/>
              <w:numPr>
                <w:ilvl w:val="-1"/>
                <w:numId w:val="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）底盘可支持固件升级，基于Windows固件管理软件，可进行底盘新版本固件升级功能；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投标文件中需提供设备说明书或产品彩页，并加盖投标人公章</w:t>
            </w:r>
            <w:r>
              <w:rPr>
                <w:rFonts w:hint="eastAsia" w:ascii="宋体" w:hAnsi="宋体" w:eastAsia="宋体" w:cs="宋体"/>
                <w:b/>
                <w:bCs/>
                <w:color w:val="auto"/>
                <w:sz w:val="21"/>
                <w:szCs w:val="21"/>
                <w:highlight w:val="none"/>
                <w:lang w:eastAsia="zh-CN"/>
              </w:rPr>
              <w:t>）</w:t>
            </w:r>
          </w:p>
          <w:p w14:paraId="4CF8E944">
            <w:pPr>
              <w:widowControl/>
              <w:numPr>
                <w:ilvl w:val="-1"/>
                <w:numId w:val="0"/>
              </w:numPr>
              <w:spacing w:line="240" w:lineRule="auto"/>
              <w:ind w:left="0" w:firstLine="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）底盘具备外部供电和通讯控制能力，对外供电电压24V，最大电流5A，通讯控制接口支持CAN，接口类型为4Pin航空插头；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投标文件中需提供设备说明书或产品彩页，并加盖投标人公章</w:t>
            </w:r>
            <w:r>
              <w:rPr>
                <w:rFonts w:hint="eastAsia" w:ascii="宋体" w:hAnsi="宋体" w:eastAsia="宋体" w:cs="宋体"/>
                <w:b/>
                <w:bCs/>
                <w:color w:val="auto"/>
                <w:sz w:val="21"/>
                <w:szCs w:val="21"/>
                <w:highlight w:val="none"/>
                <w:lang w:eastAsia="zh-CN"/>
              </w:rPr>
              <w:t>）</w:t>
            </w:r>
          </w:p>
          <w:p w14:paraId="62266CA6">
            <w:pPr>
              <w:widowControl/>
              <w:numPr>
                <w:ilvl w:val="-1"/>
                <w:numId w:val="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）支持ROS使用示例：标准操作系统服务，例如硬件抽象，底层设备控制，常用功能实现，进程间消息以及数据包管理等；</w:t>
            </w:r>
          </w:p>
          <w:p w14:paraId="3AAFF7B7">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7.线控开发汽车底盘驱动要求</w:t>
            </w:r>
          </w:p>
          <w:p w14:paraId="16B2B9A0">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（1）底盘ROS驱动：支持Linux操作系统，可运行于ROS机器人系统框架内的驱动程序。将底盘的转向、驱动、制动、驻车、灯光、电量、故障码等信号的协议整理并对接，通过程序发布到ROS中，与智能操控系统通信。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投标文件中需提供设备说明书或产品彩页，并加盖投标人公章</w:t>
            </w:r>
            <w:r>
              <w:rPr>
                <w:rFonts w:hint="eastAsia" w:ascii="宋体" w:hAnsi="宋体" w:eastAsia="宋体" w:cs="宋体"/>
                <w:b/>
                <w:bCs/>
                <w:color w:val="auto"/>
                <w:sz w:val="21"/>
                <w:szCs w:val="21"/>
                <w:highlight w:val="none"/>
                <w:lang w:eastAsia="zh-CN"/>
              </w:rPr>
              <w:t>）</w:t>
            </w:r>
          </w:p>
          <w:p w14:paraId="442C45E6">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8.传感器驱动开发要求</w:t>
            </w:r>
          </w:p>
          <w:p w14:paraId="65A7A075">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（1）激光雷达ROS驱动：支持Linux操作系统，可运行于ROS机器人系统框架内的驱动程序。将激光雷达的点云输出发布到ROS中，与智能操控系统通信。</w:t>
            </w:r>
          </w:p>
          <w:p w14:paraId="36D12AE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（2）组合导航ROS驱动：支持Linux操作系统，可运行于ROS机器人系统框架内的驱动程序。组合导航含有GPS信号、IMU信号，时间同步信号等，根据协议将智能操控系统需要的信号整理并发布，与智能系统通信。</w:t>
            </w:r>
          </w:p>
          <w:p w14:paraId="457AAEE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（3）感知相机ROS驱动：支持Linux操作系统，可运行于ROS机器人系统框架内的驱动程序。将相机的画面数据发布，通过可视化软件可显示感知图像，智能系统可根据图像进行人工智能识别等操作。</w:t>
            </w:r>
          </w:p>
          <w:p w14:paraId="34D61FA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（4）超声波雷达ROS驱动：支持Linux操作系统，可运行于ROS机器人系统框架内的驱动程序。将雷达收到的信息分类为前、后、左、右四个方向的距离信息，与操控系统或其他控制软件通信。</w:t>
            </w:r>
          </w:p>
          <w:p w14:paraId="517B560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（二）无人驾驶仿真实训系统</w:t>
            </w:r>
          </w:p>
          <w:p w14:paraId="5759FF5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1.无人自动驾驶仿真系统</w:t>
            </w:r>
          </w:p>
          <w:p w14:paraId="79381DE7">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（1）默认支持不少于8个内置场景的高精度数据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投标文件中需提供设备说明书或产品彩页，并加盖投标人公章</w:t>
            </w:r>
            <w:r>
              <w:rPr>
                <w:rFonts w:hint="eastAsia" w:ascii="宋体" w:hAnsi="宋体" w:eastAsia="宋体" w:cs="宋体"/>
                <w:b/>
                <w:bCs/>
                <w:color w:val="auto"/>
                <w:sz w:val="21"/>
                <w:szCs w:val="21"/>
                <w:highlight w:val="none"/>
                <w:lang w:eastAsia="zh-CN"/>
              </w:rPr>
              <w:t>）</w:t>
            </w:r>
          </w:p>
          <w:p w14:paraId="4DA0CC65">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（2）通过ROSBridge打通仿真系统与自动驾驶系统，实现数据交互</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投标文件中需提供系统界面截图，并加盖投标人公章</w:t>
            </w:r>
            <w:r>
              <w:rPr>
                <w:rFonts w:hint="eastAsia" w:ascii="宋体" w:hAnsi="宋体" w:eastAsia="宋体" w:cs="宋体"/>
                <w:b/>
                <w:bCs/>
                <w:color w:val="auto"/>
                <w:sz w:val="21"/>
                <w:szCs w:val="21"/>
                <w:highlight w:val="none"/>
                <w:lang w:eastAsia="zh-CN"/>
              </w:rPr>
              <w:t>）</w:t>
            </w:r>
          </w:p>
          <w:p w14:paraId="06DB15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（3）支持gnss/ndt定位，通过获取仿真系统提供的gnss和点云数据，实现定位功能</w:t>
            </w:r>
          </w:p>
          <w:p w14:paraId="28D617B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（4）支持无人车传感器集成，对仿真系统内部提供的车辆与视觉摄像头、激光雷达、gnss、等传感器数据和autoware进行通讯</w:t>
            </w:r>
          </w:p>
          <w:p w14:paraId="29651FC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（5）支持激光雷达数据处理，对仿真系统提供的激光雷达数据，进行滤波，数据噪点滤除等处理</w:t>
            </w:r>
          </w:p>
          <w:p w14:paraId="3DC66F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（6）支持激光雷达感知，将仿真系统提供的激光雷达数据处理后，实现感知、追踪</w:t>
            </w:r>
          </w:p>
          <w:p w14:paraId="2625C84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（7）支持提供仿真地图，提供仿真系统高精度地图，可直接调用与处理</w:t>
            </w:r>
          </w:p>
          <w:p w14:paraId="1C57583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支持自主路径规划，能在可视化界面上根据仿真地图指定无人车的目标点，根据静态地图数据1秒内自主规划出到达目标点的全局路径，并且在行驶的过程中根据所可以检测到的障碍物进行局部路径的调整，避免与障碍物碰撞</w:t>
            </w:r>
          </w:p>
          <w:p w14:paraId="66EB0D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（9）支持节点管理模块，在ROS系统中以话题的形式对仿真系统提供的传感器信息和车辆信息进行发布。并且利用功能节点与传感器的信息进行交互。其话题数据可通过调试工具显示。</w:t>
            </w:r>
          </w:p>
          <w:p w14:paraId="66AD392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2.配套实训资源</w:t>
            </w:r>
          </w:p>
          <w:p w14:paraId="03C832D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于无人驾驶小车的主要功能和自动驾驶框架的定位、检测、预测、规划、控制等模块，拆解并设计的自动驾驶课程。通过此课程，可以快速上手自动驾驶框架环境配置和操作，循序渐进地学习和研究自动驾驶。</w:t>
            </w:r>
          </w:p>
          <w:p w14:paraId="0494D5C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（2）课程内容涵盖以下内容：自动驾驶系统认知、高精度地图应用、GNSS与</w:t>
            </w:r>
            <w:r>
              <w:rPr>
                <w:rFonts w:hint="eastAsia" w:ascii="宋体" w:hAnsi="宋体" w:eastAsia="宋体" w:cs="宋体"/>
                <w:color w:val="auto"/>
                <w:kern w:val="0"/>
                <w:sz w:val="21"/>
                <w:szCs w:val="21"/>
                <w:highlight w:val="none"/>
                <w:lang w:val="en-US" w:eastAsia="zh-CN"/>
              </w:rPr>
              <w:t>惯性定位</w:t>
            </w:r>
            <w:r>
              <w:rPr>
                <w:rFonts w:hint="eastAsia" w:ascii="宋体" w:hAnsi="宋体" w:eastAsia="宋体" w:cs="宋体"/>
                <w:color w:val="auto"/>
                <w:kern w:val="0"/>
                <w:sz w:val="21"/>
                <w:szCs w:val="21"/>
                <w:highlight w:val="none"/>
              </w:rPr>
              <w:t>在自动驾驶系统中的应用、高精度地图绘制、利用视觉感知进行目标检测与分类、激光雷达聚类感知应用、交通灯识别、录制行驶数据并回放、规划仿真测试、混合A星规划器调试、标定与标定工具认知、相机激光雷达标定、多激光雷达标定、Ros包文件数据处理应用、系统性能查询与显示等</w:t>
            </w:r>
          </w:p>
          <w:p w14:paraId="5063D5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（3）机器人导航软件支持激光雷达定位导航，提供自动导航软件使用手册、导航协议等说明文档</w:t>
            </w:r>
          </w:p>
          <w:p w14:paraId="7A411D0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（4）导航软件支持指定路径导航和自主路径导航、地图创建、路径规划、避障等功能。</w:t>
            </w:r>
          </w:p>
          <w:p w14:paraId="10FF8EB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（5）开放开源代码和算法说明，提供操作实验教程和二次开发环境。</w:t>
            </w:r>
          </w:p>
          <w:p w14:paraId="769787B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6）提供无人驾驶相关</w:t>
            </w:r>
            <w:r>
              <w:rPr>
                <w:rFonts w:hint="eastAsia" w:ascii="宋体" w:hAnsi="宋体" w:eastAsia="宋体" w:cs="宋体"/>
                <w:color w:val="auto"/>
                <w:kern w:val="0"/>
                <w:sz w:val="21"/>
                <w:szCs w:val="21"/>
                <w:highlight w:val="none"/>
                <w:lang w:val="en-US" w:eastAsia="zh-CN"/>
              </w:rPr>
              <w:t>演示</w:t>
            </w:r>
            <w:r>
              <w:rPr>
                <w:rFonts w:hint="eastAsia" w:ascii="宋体" w:hAnsi="宋体" w:eastAsia="宋体" w:cs="宋体"/>
                <w:color w:val="auto"/>
                <w:kern w:val="0"/>
                <w:sz w:val="21"/>
                <w:szCs w:val="21"/>
                <w:highlight w:val="none"/>
              </w:rPr>
              <w:t>实例。包括提供自主导航、目标识别、建图、ROS基础教程等实例。</w:t>
            </w:r>
          </w:p>
          <w:p w14:paraId="44D9516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（7）提供仿真系统的开源代码与算法说明，并提供操作教程与二次开发环境。</w:t>
            </w:r>
          </w:p>
          <w:p w14:paraId="755A52B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（8）仿真测试的相关</w:t>
            </w:r>
            <w:r>
              <w:rPr>
                <w:rFonts w:hint="eastAsia" w:ascii="宋体" w:hAnsi="宋体" w:eastAsia="宋体" w:cs="宋体"/>
                <w:color w:val="auto"/>
                <w:kern w:val="0"/>
                <w:sz w:val="21"/>
                <w:szCs w:val="21"/>
                <w:highlight w:val="none"/>
                <w:lang w:val="en-US" w:eastAsia="zh-CN"/>
              </w:rPr>
              <w:t>演示</w:t>
            </w:r>
            <w:r>
              <w:rPr>
                <w:rFonts w:hint="eastAsia" w:ascii="宋体" w:hAnsi="宋体" w:eastAsia="宋体" w:cs="宋体"/>
                <w:color w:val="auto"/>
                <w:kern w:val="0"/>
                <w:sz w:val="21"/>
                <w:szCs w:val="21"/>
                <w:highlight w:val="none"/>
              </w:rPr>
              <w:t>案例，包含规划仿真、感知仿真、定位仿真等测试。</w:t>
            </w:r>
          </w:p>
          <w:p w14:paraId="2B97620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（三）智能座舱终端实训平台*1套</w:t>
            </w:r>
          </w:p>
          <w:p w14:paraId="4325E35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1.智能座舱主控</w:t>
            </w:r>
          </w:p>
          <w:p w14:paraId="087E06E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1）CPU不低于Intelcorei5-12600K处理器10核16线程3.6GHz-4.9GHz；</w:t>
            </w:r>
          </w:p>
          <w:p w14:paraId="7A4B2A5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2）内存不低于16GB</w:t>
            </w:r>
          </w:p>
          <w:p w14:paraId="6CA9E79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3）存储不低于1TBM.22280PCIeNVMeSSD*1</w:t>
            </w:r>
          </w:p>
          <w:p w14:paraId="7B2B916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4）GPU不低于NVIDIAGeForceRTX306012GBGDDR6图形卡同等算力</w:t>
            </w:r>
          </w:p>
          <w:p w14:paraId="725DE4E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2.非接红外测温仪</w:t>
            </w:r>
          </w:p>
          <w:p w14:paraId="3C96EB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1）测温距离范围1-10cm</w:t>
            </w:r>
          </w:p>
          <w:p w14:paraId="189AF06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2）测温速度不低于1次/0.1s</w:t>
            </w:r>
          </w:p>
          <w:p w14:paraId="0C41978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3）测温精度不低于±0.2℃</w:t>
            </w:r>
          </w:p>
          <w:p w14:paraId="6FE1F24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3.疲劳驾驶AI识别相机</w:t>
            </w:r>
          </w:p>
          <w:p w14:paraId="59CFED2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1）最高像素不低于1080P</w:t>
            </w:r>
          </w:p>
          <w:p w14:paraId="704130B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2）视频分辨率不低于1920*1080@30/25fps</w:t>
            </w:r>
          </w:p>
          <w:p w14:paraId="448CF58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3）景深范围:支持0.5m~无限</w:t>
            </w:r>
          </w:p>
          <w:p w14:paraId="67424A3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4）工作温度:-10℃~45℃</w:t>
            </w:r>
          </w:p>
          <w:p w14:paraId="4690104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5）AI识别算法功能支持疲劳检测（打哈欠、低头、闭眼），人脸ID识别，墨镜检测，吸烟检测</w:t>
            </w:r>
          </w:p>
          <w:p w14:paraId="088E429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6）支持智能语音播报</w:t>
            </w:r>
          </w:p>
          <w:p w14:paraId="0E678F9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4.触控显示器</w:t>
            </w:r>
          </w:p>
          <w:p w14:paraId="13C0A44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1）尺寸不低于15.6英寸</w:t>
            </w:r>
          </w:p>
          <w:p w14:paraId="4AB7C2A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2）分辨率不低于1920*1080</w:t>
            </w:r>
          </w:p>
          <w:p w14:paraId="38E7814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3）刷新率不低于60Hz</w:t>
            </w:r>
          </w:p>
          <w:p w14:paraId="3E656BC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4）面板类型不低于IPS</w:t>
            </w:r>
          </w:p>
          <w:p w14:paraId="32AC5F4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5）可视角度不低于178°</w:t>
            </w:r>
          </w:p>
          <w:p w14:paraId="056D1A0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6）亮度不低于300cd/m²</w:t>
            </w:r>
          </w:p>
          <w:p w14:paraId="542610B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7）触摸功能支持10点触摸</w:t>
            </w:r>
          </w:p>
          <w:p w14:paraId="6776E9C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5.麦克风与扬声器</w:t>
            </w:r>
          </w:p>
          <w:p w14:paraId="4B38F21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1）电源功耗不高于4.8WMAX</w:t>
            </w:r>
          </w:p>
          <w:p w14:paraId="300F640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2）设备接口支持USBTypeC接口</w:t>
            </w:r>
          </w:p>
          <w:p w14:paraId="153EE5C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3）麦克风拾音指向性：360°</w:t>
            </w:r>
          </w:p>
          <w:p w14:paraId="625BDC8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4）拾音范围：不小于半径5m</w:t>
            </w:r>
          </w:p>
          <w:p w14:paraId="1A6D83C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5）频响范围：100Hz~10kHz</w:t>
            </w:r>
          </w:p>
          <w:p w14:paraId="41F9ED4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6）扬声器功率：不小于3W</w:t>
            </w:r>
          </w:p>
          <w:p w14:paraId="6D51B7F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7）最大响度：不低于81dBSPL@1m，1kHz</w:t>
            </w:r>
          </w:p>
          <w:p w14:paraId="216433B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8）扬声器有效范围：不小于半径8m</w:t>
            </w:r>
          </w:p>
          <w:p w14:paraId="03F717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6.远程驾驶控制系统</w:t>
            </w:r>
          </w:p>
          <w:p w14:paraId="42E58F3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（1）系统性能要求</w:t>
            </w:r>
          </w:p>
          <w:p w14:paraId="3C5DC99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1）支持4G/5G网络</w:t>
            </w:r>
          </w:p>
          <w:p w14:paraId="7847BAA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2）4G网络下，视频延时不高于200ms</w:t>
            </w:r>
          </w:p>
          <w:p w14:paraId="55C8411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3）支持4路视频*720</w:t>
            </w:r>
            <w:r>
              <w:rPr>
                <w:rFonts w:hint="eastAsia" w:ascii="宋体" w:hAnsi="宋体" w:eastAsia="宋体"/>
                <w:color w:val="auto"/>
                <w:kern w:val="0"/>
                <w:szCs w:val="21"/>
                <w:highlight w:val="none"/>
              </w:rPr>
              <w:t>p</w:t>
            </w:r>
            <w:r>
              <w:rPr>
                <w:rFonts w:hint="eastAsia" w:ascii="宋体" w:hAnsi="宋体" w:eastAsia="宋体" w:cs="宋体"/>
                <w:color w:val="auto"/>
                <w:kern w:val="0"/>
                <w:sz w:val="21"/>
                <w:szCs w:val="21"/>
                <w:highlight w:val="none"/>
              </w:rPr>
              <w:t>*25帧</w:t>
            </w:r>
          </w:p>
          <w:p w14:paraId="528E239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4）控制信号延时不高于50ms</w:t>
            </w:r>
          </w:p>
          <w:p w14:paraId="5250095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（2）车载端功能</w:t>
            </w:r>
          </w:p>
          <w:p w14:paraId="2FBAD1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1）支持防碰撞，超声波主动安全系统，低于安全距离警告或制动</w:t>
            </w:r>
          </w:p>
          <w:p w14:paraId="23BB4D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2）支持网络监测系统，发生网络延时过大或断网及时主动停车</w:t>
            </w:r>
          </w:p>
          <w:p w14:paraId="1E7AEF3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（3）驾驶端功能</w:t>
            </w:r>
          </w:p>
          <w:p w14:paraId="3B7496A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1）车载智能网关支持内置远程驾驶控制器和网络模组。负责采集视频信号、底盘信号、GPS/北斗信号，向底盘发送控制指令，支持5G网络，兼容4G网络，保证网络顺畅和低时延传输</w:t>
            </w:r>
          </w:p>
          <w:p w14:paraId="3A4199F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2）视频摄像头支持工业级防尘防水，</w:t>
            </w:r>
            <w:r>
              <w:rPr>
                <w:rFonts w:hint="eastAsia" w:ascii="宋体" w:hAnsi="宋体" w:eastAsia="宋体" w:cs="宋体"/>
                <w:color w:val="auto"/>
                <w:kern w:val="0"/>
                <w:sz w:val="21"/>
                <w:szCs w:val="21"/>
                <w:highlight w:val="none"/>
                <w:lang w:val="en-US" w:eastAsia="zh-CN"/>
              </w:rPr>
              <w:t>相当于</w:t>
            </w:r>
            <w:r>
              <w:rPr>
                <w:rFonts w:hint="eastAsia" w:ascii="宋体" w:hAnsi="宋体" w:eastAsia="宋体" w:cs="宋体"/>
                <w:color w:val="auto"/>
                <w:kern w:val="0"/>
                <w:sz w:val="21"/>
                <w:szCs w:val="21"/>
                <w:highlight w:val="none"/>
              </w:rPr>
              <w:t>SonyIMX291</w:t>
            </w:r>
            <w:r>
              <w:rPr>
                <w:rFonts w:hint="eastAsia" w:ascii="宋体" w:hAnsi="宋体" w:eastAsia="宋体" w:cs="宋体"/>
                <w:color w:val="auto"/>
                <w:kern w:val="0"/>
                <w:sz w:val="21"/>
                <w:szCs w:val="21"/>
                <w:highlight w:val="none"/>
                <w:lang w:val="en-US" w:eastAsia="zh-CN"/>
              </w:rPr>
              <w:t>同等性能</w:t>
            </w:r>
            <w:r>
              <w:rPr>
                <w:rFonts w:hint="eastAsia" w:ascii="宋体" w:hAnsi="宋体" w:eastAsia="宋体" w:cs="宋体"/>
                <w:color w:val="auto"/>
                <w:kern w:val="0"/>
                <w:sz w:val="21"/>
                <w:szCs w:val="21"/>
                <w:highlight w:val="none"/>
              </w:rPr>
              <w:t>感光芯片，宽动态低照度</w:t>
            </w:r>
          </w:p>
          <w:p w14:paraId="1C6F681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3）定位模块支持为远程驾驶舱提供车辆实时位置数据</w:t>
            </w:r>
          </w:p>
          <w:p w14:paraId="5C94EE8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4）高清四屏支持为驾驶员提供车辆前、后、左、右四路720p画面</w:t>
            </w:r>
          </w:p>
          <w:p w14:paraId="653682F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5）驾驶座舱支持包含方向盘、踏板，用于模拟真实驾驶模式</w:t>
            </w:r>
          </w:p>
          <w:p w14:paraId="63BDA30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6）人车交互系统支持用于显示车辆参数，一键切换车辆驾驶模式</w:t>
            </w:r>
          </w:p>
          <w:p w14:paraId="6A26F967">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7）控制车辆可切换，一键介入，选择需要介入的测试车辆，点选车辆进入详情，切换自动驾驶模式与远程驾驶模式；</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投标文件中需提供设备说明书或产品彩页，并加盖投标人公章</w:t>
            </w:r>
            <w:r>
              <w:rPr>
                <w:rFonts w:hint="eastAsia" w:ascii="宋体" w:hAnsi="宋体" w:eastAsia="宋体" w:cs="宋体"/>
                <w:b/>
                <w:bCs/>
                <w:color w:val="auto"/>
                <w:sz w:val="21"/>
                <w:szCs w:val="21"/>
                <w:highlight w:val="none"/>
                <w:lang w:eastAsia="zh-CN"/>
              </w:rPr>
              <w:t>）</w:t>
            </w:r>
          </w:p>
          <w:p w14:paraId="60CB6B4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8）断网安全保护功能，实时监测网络状态，一旦出现断网情况，系统自动识别并直接向测试车辆发出停车指令；</w:t>
            </w:r>
          </w:p>
          <w:p w14:paraId="6846678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9）根据网络情况，自动调节清晰度保证视频传输，保证稳定可靠；</w:t>
            </w:r>
          </w:p>
          <w:p w14:paraId="1A7A1C8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10）网络抖动提醒功能，出现低于可驾驶标准的网络传输情况，显示安全提示，提醒驾驶者注意驾驶安全；</w:t>
            </w:r>
          </w:p>
          <w:p w14:paraId="4165AC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11）支持显示当前时速、左右转向灯、车辆当前挡位、车辆大灯状态、当前电量、车辆在线状态；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6B463E3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12）支持车辆、驾驶台、导航器在线状态监测；</w:t>
            </w:r>
          </w:p>
          <w:p w14:paraId="201843B9">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13）显示车端电脑状态，含cpu占用率、内存使用率、显卡温度、磁盘空间；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5A7C4E7D">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14）支持行驶视频备份存储，记录并存储于驾驶台主机，防止车辆损坏记录丢失；</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3983050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15）支持显示车辆实时位置，显示车辆实时位置，导航器支持缩放查看。</w:t>
            </w:r>
          </w:p>
          <w:p w14:paraId="170417E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16）紧急情况下，支持一键刹停。</w:t>
            </w:r>
          </w:p>
          <w:p w14:paraId="53B494C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7.配套实训资源</w:t>
            </w:r>
          </w:p>
          <w:p w14:paraId="189118D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1）基于智能座舱的主要功能结合仿真模拟器可以高度模拟环境、传感器、车辆的特点，设计智能座舱系统与仿真系统相关课程。学习此课程可掌握远程驾驶能力和仿真测试方法，独立进行智能车辆的联合调试。</w:t>
            </w:r>
          </w:p>
          <w:p w14:paraId="3D5CC50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实训内容包括智能座舱系统认识、智能座舱硬件概述、智能座舱车载端功能介绍、智能座舱驾驶端功能介绍、智能座舱与车辆联合调试、AI驾驶行为识别系统应用，智能座舱仿真系统介绍，仿真系统功能及操作方式，仿真系统中地图管理，仿真系统与自动驾驶系统连接介绍等。</w:t>
            </w:r>
          </w:p>
          <w:p w14:paraId="12187FB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3）智能座舱使用手册、接口协议；</w:t>
            </w:r>
          </w:p>
          <w:p w14:paraId="5378D291">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（四）无人植保车（雾化版）*2台</w:t>
            </w:r>
          </w:p>
          <w:p w14:paraId="0E4EA63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1.基础参数</w:t>
            </w:r>
          </w:p>
          <w:p w14:paraId="69E4EB9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（1）驱动方式：四轮驱动；</w:t>
            </w:r>
          </w:p>
          <w:p w14:paraId="4CCA5C8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（2）尺寸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：1695*1205*1205mm（长宽高）</w:t>
            </w:r>
          </w:p>
          <w:p w14:paraId="14DED54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（3）空载车重：145.5千克；</w:t>
            </w:r>
          </w:p>
          <w:p w14:paraId="59A5041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（4）负载能力：</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color w:val="auto"/>
                <w:kern w:val="0"/>
                <w:sz w:val="21"/>
                <w:szCs w:val="21"/>
                <w:highlight w:val="none"/>
              </w:rPr>
              <w:t>200千克；</w:t>
            </w:r>
          </w:p>
          <w:p w14:paraId="53A069A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（5）额定工作速度：1米/秒；</w:t>
            </w:r>
          </w:p>
          <w:p w14:paraId="2DE48E3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（6）最高速度：1.2米/秒；</w:t>
            </w:r>
          </w:p>
          <w:p w14:paraId="579F6D3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（7）最大爬坡角度：15°；</w:t>
            </w:r>
          </w:p>
          <w:p w14:paraId="5E6C83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（8）最小转弯半径：≤1米1米；</w:t>
            </w:r>
          </w:p>
          <w:p w14:paraId="1144F4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2.动力系统</w:t>
            </w:r>
          </w:p>
          <w:p w14:paraId="2B8C37B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（1）电机类型：永磁同步；</w:t>
            </w:r>
          </w:p>
          <w:p w14:paraId="0ECF42C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（2）额定电压：</w:t>
            </w:r>
            <w:r>
              <w:rPr>
                <w:rFonts w:hint="eastAsia" w:ascii="宋体" w:hAnsi="宋体" w:eastAsia="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rPr>
              <w:t>48伏；</w:t>
            </w:r>
          </w:p>
          <w:p w14:paraId="4254C0C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（3）额定功率：</w:t>
            </w:r>
            <w:r>
              <w:rPr>
                <w:rFonts w:hint="eastAsia" w:ascii="宋体" w:hAnsi="宋体" w:eastAsia="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rPr>
              <w:t>1500瓦；</w:t>
            </w:r>
          </w:p>
          <w:p w14:paraId="318F87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（4）额定转速：</w:t>
            </w:r>
            <w:r>
              <w:rPr>
                <w:rFonts w:hint="eastAsia" w:ascii="宋体" w:hAnsi="宋体" w:eastAsia="宋体"/>
                <w:color w:val="auto"/>
                <w:kern w:val="0"/>
                <w:szCs w:val="21"/>
                <w:highlight w:val="none"/>
              </w:rPr>
              <w:t>≥</w:t>
            </w:r>
            <w:r>
              <w:rPr>
                <w:rFonts w:hint="eastAsia" w:ascii="宋体" w:hAnsi="宋体" w:eastAsia="宋体" w:cs="宋体"/>
                <w:color w:val="auto"/>
                <w:kern w:val="0"/>
                <w:sz w:val="21"/>
                <w:szCs w:val="21"/>
                <w:highlight w:val="none"/>
              </w:rPr>
              <w:t>1450转/分钟；</w:t>
            </w:r>
          </w:p>
          <w:p w14:paraId="0DB7517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（5）额定扭矩：7N·m；</w:t>
            </w:r>
          </w:p>
          <w:p w14:paraId="561EBEE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（6）冷却方式：自然冷却；</w:t>
            </w:r>
          </w:p>
          <w:p w14:paraId="2EFBCF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（7）绝缘等级：E级；</w:t>
            </w:r>
          </w:p>
          <w:p w14:paraId="6F60428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（8）工作环境温度：-40~55摄氏度；</w:t>
            </w:r>
          </w:p>
          <w:p w14:paraId="5B41886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IP防护等级：</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color w:val="auto"/>
                <w:kern w:val="0"/>
                <w:sz w:val="21"/>
                <w:szCs w:val="21"/>
                <w:highlight w:val="none"/>
              </w:rPr>
              <w:t>IP55。</w:t>
            </w:r>
          </w:p>
          <w:p w14:paraId="44A6E2A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3.多目视觉感知系统</w:t>
            </w:r>
          </w:p>
          <w:p w14:paraId="3B21D30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（1）RGB视场角：水平102°，垂直80°；</w:t>
            </w:r>
          </w:p>
          <w:p w14:paraId="47095B1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（2）双目视场角（FOV）：水平160°，垂直160°；</w:t>
            </w:r>
          </w:p>
          <w:p w14:paraId="773B9C8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（3）VIO帧率：</w:t>
            </w:r>
            <w:r>
              <w:rPr>
                <w:rFonts w:hint="eastAsia" w:ascii="宋体" w:hAnsi="宋体" w:eastAsia="宋体"/>
                <w:color w:val="auto"/>
                <w:kern w:val="0"/>
                <w:szCs w:val="21"/>
                <w:highlight w:val="none"/>
              </w:rPr>
              <w:t>≥30fps</w:t>
            </w:r>
            <w:r>
              <w:rPr>
                <w:rFonts w:hint="eastAsia" w:ascii="宋体" w:hAnsi="宋体" w:eastAsia="宋体" w:cs="宋体"/>
                <w:color w:val="auto"/>
                <w:kern w:val="0"/>
                <w:sz w:val="21"/>
                <w:szCs w:val="21"/>
                <w:highlight w:val="none"/>
              </w:rPr>
              <w:t>帧率；</w:t>
            </w:r>
          </w:p>
          <w:p w14:paraId="679FA48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（4）VIO电压：12V-60V；</w:t>
            </w:r>
          </w:p>
          <w:p w14:paraId="3118590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（5）VIO使用距离：50cm-600cm；</w:t>
            </w:r>
          </w:p>
          <w:p w14:paraId="28C533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（6）VIO光圈：F2.0；</w:t>
            </w:r>
          </w:p>
          <w:p w14:paraId="260ED23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（7）VIO-IMU：6轴；</w:t>
            </w:r>
          </w:p>
          <w:p w14:paraId="219EC99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（8）有效使用环境：正常光照条件，纹理特征丰富场景；</w:t>
            </w:r>
          </w:p>
          <w:p w14:paraId="4BCC288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（9）功能：遇障停车，智能跟随。</w:t>
            </w:r>
          </w:p>
          <w:p w14:paraId="2660DF1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4.雷达系统</w:t>
            </w:r>
          </w:p>
          <w:p w14:paraId="33C98A0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（1）雷达类型：D波段毫米波雷达或同等及以上性能雷达；</w:t>
            </w:r>
          </w:p>
          <w:p w14:paraId="76EF4FE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（2）工作电压：24-60伏；</w:t>
            </w:r>
          </w:p>
          <w:p w14:paraId="23FF86F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（3）功率：6.5瓦；</w:t>
            </w:r>
          </w:p>
          <w:p w14:paraId="414C9D8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（4）工作频率：24千兆赫；</w:t>
            </w:r>
          </w:p>
          <w:p w14:paraId="4754769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（5）感知方式：毫米波；</w:t>
            </w:r>
          </w:p>
          <w:p w14:paraId="06AE5F5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（6）感知参数：障碍物位置、距离、运动方向、相对速度；</w:t>
            </w:r>
          </w:p>
          <w:p w14:paraId="4D59DC6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（7）测距范围：1.5-15米；</w:t>
            </w:r>
          </w:p>
          <w:p w14:paraId="5726858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（8）视场角：水平±40°，垂直+90°至-45°；</w:t>
            </w:r>
          </w:p>
          <w:p w14:paraId="33180E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（9）安全避障距离：2.5米；</w:t>
            </w:r>
          </w:p>
          <w:p w14:paraId="5A6642A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（10）安全避障相对速度：≤8米/秒。</w:t>
            </w:r>
          </w:p>
          <w:p w14:paraId="1335280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5.工作参数</w:t>
            </w:r>
          </w:p>
          <w:p w14:paraId="4ADB25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（1）药箱容量：</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color w:val="auto"/>
                <w:kern w:val="0"/>
                <w:sz w:val="21"/>
                <w:szCs w:val="21"/>
                <w:highlight w:val="none"/>
              </w:rPr>
              <w:t>150升；</w:t>
            </w:r>
          </w:p>
          <w:p w14:paraId="438E7CE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（2）药箱电信号：容量信号反馈；</w:t>
            </w:r>
          </w:p>
          <w:p w14:paraId="592A216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（3）雾化粒径：60~200微米；</w:t>
            </w:r>
          </w:p>
          <w:p w14:paraId="75D3D7A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（4）双泵流量：4.8升/分钟；</w:t>
            </w:r>
          </w:p>
          <w:p w14:paraId="7ED513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（5）单边最大喷幅：6米（两边12米）；</w:t>
            </w:r>
          </w:p>
          <w:p w14:paraId="5414DA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（6）雾化风机最大转速：80000转/分钟；</w:t>
            </w:r>
          </w:p>
          <w:p w14:paraId="2C9FAB1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（7）雾化风机出口风速：160米/秒；</w:t>
            </w:r>
          </w:p>
          <w:p w14:paraId="6715951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（8）出口压强：1.013千帕。</w:t>
            </w:r>
          </w:p>
          <w:p w14:paraId="49E29B6E">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（五）农业无人割草车*2台</w:t>
            </w:r>
          </w:p>
          <w:p w14:paraId="73BF7C5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1.基础参数</w:t>
            </w:r>
          </w:p>
          <w:p w14:paraId="464374A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（1）驱动方式：四轮驱动；</w:t>
            </w:r>
          </w:p>
          <w:p w14:paraId="410A6CD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（2）尺寸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：1695*1205*1205mm（长宽高）</w:t>
            </w:r>
          </w:p>
          <w:p w14:paraId="4F773EB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（3）空载车重：145.5千克；</w:t>
            </w:r>
          </w:p>
          <w:p w14:paraId="634F10F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（4）负载能力：200千克；</w:t>
            </w:r>
          </w:p>
          <w:p w14:paraId="3D3BD93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（5）额定工作速度：1米/秒；</w:t>
            </w:r>
          </w:p>
          <w:p w14:paraId="49F5E3A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（6）最高速度：1.2米/秒；</w:t>
            </w:r>
          </w:p>
          <w:p w14:paraId="5223449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（7）最大爬坡角度：15°；</w:t>
            </w:r>
          </w:p>
          <w:p w14:paraId="43DA7CA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（8）最小转弯半径：1米；</w:t>
            </w:r>
          </w:p>
          <w:p w14:paraId="3CC6ADB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2.动力系统</w:t>
            </w:r>
          </w:p>
          <w:p w14:paraId="02E9B2F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（1）电机类型：永磁同步；</w:t>
            </w:r>
          </w:p>
          <w:p w14:paraId="32BB8A7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（2）额定电压：48伏；</w:t>
            </w:r>
          </w:p>
          <w:p w14:paraId="02C1BA9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（3）额定功率：1500瓦；</w:t>
            </w:r>
          </w:p>
          <w:p w14:paraId="5C37C21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（4）额定转速：1450转/分钟；</w:t>
            </w:r>
          </w:p>
          <w:p w14:paraId="471EBA8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（5）额定扭矩：7N·m；</w:t>
            </w:r>
          </w:p>
          <w:p w14:paraId="216B320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（6）冷却方式：自然冷却；</w:t>
            </w:r>
          </w:p>
          <w:p w14:paraId="7B61BA3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（7）绝缘等级：E级；</w:t>
            </w:r>
          </w:p>
          <w:p w14:paraId="4F87EEA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（8）工作环境温度：-40~55摄氏度；</w:t>
            </w:r>
          </w:p>
          <w:p w14:paraId="133CF26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（9）IP防护等级：</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color w:val="auto"/>
                <w:kern w:val="0"/>
                <w:sz w:val="21"/>
                <w:szCs w:val="21"/>
                <w:highlight w:val="none"/>
              </w:rPr>
              <w:t>IP55。</w:t>
            </w:r>
          </w:p>
          <w:p w14:paraId="0AA2FEB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3.多目视觉感知系统</w:t>
            </w:r>
          </w:p>
          <w:p w14:paraId="6AC9B31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（1）RGB视场角：水平102°，垂直80°；</w:t>
            </w:r>
          </w:p>
          <w:p w14:paraId="620EBDF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（2）双目视场角（FOV）：水平160°，垂直160°；</w:t>
            </w:r>
          </w:p>
          <w:p w14:paraId="036A5C7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（3）VIO帧率：30帧率；</w:t>
            </w:r>
          </w:p>
          <w:p w14:paraId="16147E2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（4）VIO电压：12-60伏；</w:t>
            </w:r>
          </w:p>
          <w:p w14:paraId="195DFE0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（5）VIO使用距离：50-600厘米；</w:t>
            </w:r>
          </w:p>
          <w:p w14:paraId="3182BB5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（6）VIO光圈：F2.0；</w:t>
            </w:r>
          </w:p>
          <w:p w14:paraId="569FA99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（7）VIO-IMU：6轴；</w:t>
            </w:r>
          </w:p>
          <w:p w14:paraId="0CD4C17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（8）有效使用环境：正常光照条件，纹理特征丰富场景；</w:t>
            </w:r>
          </w:p>
          <w:p w14:paraId="04E891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（9）功能：遇障停车，智能跟随。</w:t>
            </w:r>
          </w:p>
          <w:p w14:paraId="58423B5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4.雷达系统</w:t>
            </w:r>
          </w:p>
          <w:p w14:paraId="43B16D3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（1）雷达类型：D毫米波雷达；</w:t>
            </w:r>
          </w:p>
          <w:p w14:paraId="4B7C005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（2）工作电压：24-60伏；</w:t>
            </w:r>
          </w:p>
          <w:p w14:paraId="666980A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（3）功率：6.5瓦；</w:t>
            </w:r>
          </w:p>
          <w:p w14:paraId="0B96690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（4）工作频率：24千兆赫；</w:t>
            </w:r>
          </w:p>
          <w:p w14:paraId="526E2C7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（5）感知方式：毫米波；</w:t>
            </w:r>
          </w:p>
          <w:p w14:paraId="34C3947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（6）感知参数：障碍物位置、距离、运动方向、相对速度；</w:t>
            </w:r>
          </w:p>
          <w:p w14:paraId="11E1119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（7）测距范围：1.5-15米；</w:t>
            </w:r>
          </w:p>
          <w:p w14:paraId="30192F6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（8）视场角：水平±40°，垂直+90°至-45°；</w:t>
            </w:r>
          </w:p>
          <w:p w14:paraId="31E544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（9）安全避障距离：2.5米；</w:t>
            </w:r>
          </w:p>
          <w:p w14:paraId="4CD375C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（10）安全避障相对速度：≤8米/秒。</w:t>
            </w:r>
          </w:p>
          <w:p w14:paraId="6CB6458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5.工作参数</w:t>
            </w:r>
          </w:p>
          <w:p w14:paraId="7566D93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（1）割幅：900毫米；</w:t>
            </w:r>
          </w:p>
          <w:p w14:paraId="437217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（2）割草高度：20-170毫米；</w:t>
            </w:r>
          </w:p>
          <w:p w14:paraId="49726A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（3）割刀数量：4个；</w:t>
            </w:r>
          </w:p>
          <w:p w14:paraId="1939D84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（4）额定转速：1800转/分钟；</w:t>
            </w:r>
          </w:p>
          <w:p w14:paraId="64643007">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（5）额定扭力：16牛</w:t>
            </w:r>
            <w:r>
              <w:rPr>
                <w:rFonts w:hint="eastAsia"/>
                <w:color w:val="auto"/>
                <w:highlight w:val="none"/>
              </w:rPr>
              <w:t>·</w:t>
            </w:r>
            <w:r>
              <w:rPr>
                <w:rFonts w:hint="eastAsia" w:ascii="宋体" w:hAnsi="宋体" w:eastAsia="宋体" w:cs="宋体"/>
                <w:color w:val="auto"/>
                <w:kern w:val="0"/>
                <w:sz w:val="21"/>
                <w:szCs w:val="21"/>
                <w:highlight w:val="none"/>
              </w:rPr>
              <w:t>米。</w:t>
            </w:r>
          </w:p>
        </w:tc>
        <w:tc>
          <w:tcPr>
            <w:tcW w:w="276" w:type="pct"/>
            <w:shd w:val="clear" w:color="auto" w:fill="auto"/>
            <w:vAlign w:val="center"/>
          </w:tcPr>
          <w:p w14:paraId="42C00773">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36EE2E2A">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73253108">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 w:val="21"/>
                <w:szCs w:val="21"/>
                <w:highlight w:val="none"/>
                <w:lang w:bidi="zh-CN"/>
              </w:rPr>
              <w:t>工业</w:t>
            </w:r>
          </w:p>
        </w:tc>
      </w:tr>
      <w:tr w14:paraId="13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18A3464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14" w:type="pct"/>
            <w:shd w:val="clear" w:color="auto" w:fill="auto"/>
            <w:tcMar>
              <w:top w:w="13" w:type="dxa"/>
              <w:left w:w="57" w:type="dxa"/>
              <w:bottom w:w="0" w:type="dxa"/>
              <w:right w:w="57" w:type="dxa"/>
            </w:tcMar>
            <w:vAlign w:val="center"/>
          </w:tcPr>
          <w:p w14:paraId="4FCC7E5F">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农产品深加工智能产线</w:t>
            </w:r>
          </w:p>
        </w:tc>
        <w:tc>
          <w:tcPr>
            <w:tcW w:w="3617" w:type="pct"/>
            <w:gridSpan w:val="2"/>
            <w:shd w:val="clear" w:color="auto" w:fill="auto"/>
            <w:tcMar>
              <w:top w:w="13" w:type="dxa"/>
              <w:left w:w="57" w:type="dxa"/>
              <w:bottom w:w="0" w:type="dxa"/>
              <w:right w:w="57" w:type="dxa"/>
            </w:tcMar>
            <w:vAlign w:val="center"/>
          </w:tcPr>
          <w:p w14:paraId="7D4EEA8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产品深加工智能产线是融合物联网、人工智能、自动化控制、大数据分析等先进技术，针对农产品产后价值提升需求打造的一体化、智能化生产系统。它旨在破解传统加工产线效率低下、标准化程度不高、资源消耗大、质量追溯难等痛点，实现从原料验收、加工制造到成品包装、仓储物流全流程的精准管控与优化。</w:t>
            </w:r>
          </w:p>
          <w:p w14:paraId="4D57CCB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一、实训台</w:t>
            </w:r>
          </w:p>
          <w:p w14:paraId="34EBB31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1.系统为原料分配标识码，存入原料仓库，等待产线启动生产流程。</w:t>
            </w:r>
          </w:p>
          <w:p w14:paraId="6854B31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2.工业数据采集：</w:t>
            </w:r>
          </w:p>
          <w:p w14:paraId="1B2E735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3.智能控制</w:t>
            </w:r>
          </w:p>
          <w:p w14:paraId="498DEC1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4.实训台载体</w:t>
            </w:r>
          </w:p>
          <w:p w14:paraId="1E4B408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型材或焊接框架，型材台面方便固定工作站，钣金面板，作为机械和电气设备的安装载体，整体结实牢固，底部带自锁脚轮，方便移动固定；</w:t>
            </w:r>
          </w:p>
          <w:p w14:paraId="71C5528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整体尺寸LxWxH（mm）：不小于3000*600*750。</w:t>
            </w:r>
          </w:p>
          <w:p w14:paraId="7A6CD8F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w:t>
            </w:r>
            <w:r>
              <w:rPr>
                <w:rFonts w:hint="eastAsia" w:ascii="宋体" w:hAnsi="宋体" w:cs="宋体"/>
                <w:color w:val="auto"/>
                <w:kern w:val="0"/>
                <w:sz w:val="21"/>
                <w:szCs w:val="21"/>
                <w:highlight w:val="none"/>
                <w:lang w:eastAsia="zh-CN"/>
              </w:rPr>
              <w:t>整体化设计配套</w:t>
            </w:r>
            <w:r>
              <w:rPr>
                <w:rFonts w:hint="eastAsia" w:ascii="宋体" w:hAnsi="宋体" w:eastAsia="宋体" w:cs="宋体"/>
                <w:color w:val="auto"/>
                <w:kern w:val="0"/>
                <w:sz w:val="21"/>
                <w:szCs w:val="21"/>
                <w:highlight w:val="none"/>
              </w:rPr>
              <w:t>边缘云服务</w:t>
            </w:r>
            <w:r>
              <w:rPr>
                <w:rFonts w:hint="eastAsia" w:ascii="宋体" w:hAnsi="宋体" w:cs="宋体"/>
                <w:color w:val="auto"/>
                <w:kern w:val="0"/>
                <w:sz w:val="21"/>
                <w:szCs w:val="21"/>
                <w:highlight w:val="none"/>
                <w:lang w:eastAsia="zh-CN"/>
              </w:rPr>
              <w:t>终端</w:t>
            </w:r>
          </w:p>
          <w:p w14:paraId="3BF6F46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硬件配置：</w:t>
            </w:r>
          </w:p>
          <w:p w14:paraId="1A6872B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1.硬件处理器：</w:t>
            </w:r>
            <w:r>
              <w:rPr>
                <w:rFonts w:hint="eastAsia" w:ascii="宋体" w:hAnsi="宋体" w:eastAsia="宋体" w:cs="宋体"/>
                <w:color w:val="auto"/>
                <w:sz w:val="21"/>
                <w:szCs w:val="21"/>
                <w:highlight w:val="none"/>
              </w:rPr>
              <w:t>不低于Intel I7</w:t>
            </w:r>
          </w:p>
          <w:p w14:paraId="49168B97">
            <w:pPr>
              <w:pStyle w:val="9"/>
              <w:tabs>
                <w:tab w:val="left" w:pos="312"/>
              </w:tabs>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2.通信端口：</w:t>
            </w:r>
            <w:r>
              <w:rPr>
                <w:rFonts w:hint="eastAsia" w:ascii="宋体" w:hAnsi="宋体" w:eastAsia="宋体" w:cs="宋体"/>
                <w:color w:val="auto"/>
                <w:sz w:val="21"/>
                <w:szCs w:val="21"/>
                <w:highlight w:val="none"/>
              </w:rPr>
              <w:t>1）串口：≥6,RS232/485/422可选；2）网口:≥2*RJ45</w:t>
            </w:r>
          </w:p>
          <w:p w14:paraId="096E67F9">
            <w:pPr>
              <w:pStyle w:val="9"/>
              <w:tabs>
                <w:tab w:val="left" w:pos="312"/>
              </w:tabs>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3.硬件性能：</w:t>
            </w:r>
            <w:r>
              <w:rPr>
                <w:rFonts w:hint="eastAsia" w:ascii="宋体" w:hAnsi="宋体" w:eastAsia="宋体" w:cs="宋体"/>
                <w:color w:val="auto"/>
                <w:sz w:val="21"/>
                <w:szCs w:val="21"/>
                <w:highlight w:val="none"/>
              </w:rPr>
              <w:t>1）内核：≥4核；2）内存：≥32G；3）存储：≥500G</w:t>
            </w:r>
          </w:p>
          <w:p w14:paraId="4387233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4.工作环境：</w:t>
            </w:r>
          </w:p>
          <w:p w14:paraId="5FFC507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1）工作温度：-35℃~60℃</w:t>
            </w:r>
          </w:p>
          <w:p w14:paraId="29E0BE4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2）存储温度：-20℃~70℃</w:t>
            </w:r>
          </w:p>
          <w:p w14:paraId="7A0A566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3）具有防潮、防氧化、</w:t>
            </w:r>
            <w:r>
              <w:rPr>
                <w:rFonts w:hint="eastAsia" w:ascii="宋体" w:hAnsi="宋体" w:eastAsia="宋体" w:cs="宋体"/>
                <w:color w:val="auto"/>
                <w:kern w:val="0"/>
                <w:sz w:val="21"/>
                <w:szCs w:val="21"/>
                <w:highlight w:val="none"/>
                <w:lang w:eastAsia="zh-CN"/>
              </w:rPr>
              <w:t>防腐蚀</w:t>
            </w:r>
            <w:r>
              <w:rPr>
                <w:rFonts w:hint="eastAsia" w:ascii="宋体" w:hAnsi="宋体" w:eastAsia="宋体" w:cs="宋体"/>
                <w:color w:val="auto"/>
                <w:kern w:val="0"/>
                <w:sz w:val="21"/>
                <w:szCs w:val="21"/>
                <w:highlight w:val="none"/>
              </w:rPr>
              <w:t>、防尘、静电防护功能</w:t>
            </w:r>
          </w:p>
          <w:p w14:paraId="75A43B3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5.操作系统及软件配置</w:t>
            </w:r>
          </w:p>
          <w:p w14:paraId="597C0D8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1）.要求支持本地化部署工业互联网平台。</w:t>
            </w:r>
          </w:p>
          <w:p w14:paraId="0670B14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2）.操作系统：Ubuntu18.04以上。</w:t>
            </w:r>
          </w:p>
          <w:p w14:paraId="757B61D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三、系统供电单元</w:t>
            </w:r>
          </w:p>
          <w:p w14:paraId="3089E2C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1.整体输入电源：AC220V，50Hz；</w:t>
            </w:r>
          </w:p>
          <w:p w14:paraId="041B700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提供实训台电气设备所需的交流电力输出，5V、12V、24V三种直流电输出；满足平台供电需要的同时，具有电力保护与人身安全防护功能，包含空气开关、接地块及漏电保护器；电源开关启动设备运转，急停开关控制设备停止运转。</w:t>
            </w:r>
          </w:p>
          <w:p w14:paraId="725FA48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四、电气控制单元</w:t>
            </w:r>
          </w:p>
          <w:p w14:paraId="29AC44E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1.功能</w:t>
            </w:r>
          </w:p>
          <w:p w14:paraId="0843459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1）实时采集传感器数据，设备运行状态，通过PLC控制技术和电器元件驱动工业设备按照预设的工序执行，通过工业以太网向工业网关提供设备状态、接收命令对产线进行控制。</w:t>
            </w:r>
          </w:p>
          <w:p w14:paraId="4F7A2A5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2）组成：包含PLC控制器、模拟量输入扩展模块、数字量输入扩展模块、继电器模块等，通过导轨方式安装。</w:t>
            </w:r>
          </w:p>
          <w:p w14:paraId="73226C6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2.参数</w:t>
            </w:r>
          </w:p>
          <w:p w14:paraId="306470D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1）PLC控制器具有多通道高频率高速输入输出端口，总点数不小于60，输入点数不小于36，输出点数不小于24，至少具备晶体管模式；</w:t>
            </w:r>
          </w:p>
          <w:p w14:paraId="29A6325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2）支持扩展模拟量输入模块，数字量输入模块；</w:t>
            </w:r>
          </w:p>
          <w:p w14:paraId="3DBA034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3）集成RS485接口，采用ModbusRTU协议与其他控制器进行数据交换；</w:t>
            </w:r>
          </w:p>
          <w:p w14:paraId="2106F45F">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4）配置以太网通讯模块，通过以太网接入工业网络，在应用层提供ModbusTCP与工业网关进行信息交互。</w:t>
            </w:r>
          </w:p>
          <w:p w14:paraId="723B1AF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5）额定工作电压：AC220V</w:t>
            </w:r>
          </w:p>
          <w:p w14:paraId="2918299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五、HMI人机交互终端</w:t>
            </w:r>
          </w:p>
          <w:p w14:paraId="2925EE5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参数</w:t>
            </w:r>
          </w:p>
          <w:p w14:paraId="269CD8F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1.TFT显示屏，尺寸：≥7</w:t>
            </w:r>
            <w:r>
              <w:rPr>
                <w:rFonts w:hint="eastAsia" w:ascii="宋体" w:hAnsi="宋体" w:eastAsia="宋体" w:cs="宋体"/>
                <w:color w:val="auto"/>
                <w:kern w:val="0"/>
                <w:sz w:val="21"/>
                <w:szCs w:val="21"/>
                <w:highlight w:val="none"/>
                <w:lang w:val="en-US" w:eastAsia="zh-CN"/>
              </w:rPr>
              <w:t>英</w:t>
            </w:r>
            <w:r>
              <w:rPr>
                <w:rFonts w:hint="eastAsia" w:ascii="宋体" w:hAnsi="宋体" w:eastAsia="宋体" w:cs="宋体"/>
                <w:color w:val="auto"/>
                <w:kern w:val="0"/>
                <w:sz w:val="21"/>
                <w:szCs w:val="21"/>
                <w:highlight w:val="none"/>
              </w:rPr>
              <w:t>寸，分辨率不低于800*480，四线电阻式触摸屏；</w:t>
            </w:r>
          </w:p>
          <w:p w14:paraId="377FE08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2.具有RS485总线接口，采用ModbusRTU协议或ModbusTCP协议与PLC</w:t>
            </w:r>
          </w:p>
          <w:p w14:paraId="442CB176">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工业控制器通信。</w:t>
            </w:r>
          </w:p>
          <w:p w14:paraId="1B684BE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3.配备HMI配置编辑软件。</w:t>
            </w:r>
          </w:p>
          <w:p w14:paraId="372B81E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六、工业网关</w:t>
            </w:r>
          </w:p>
          <w:p w14:paraId="73B3580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1.功能</w:t>
            </w:r>
          </w:p>
          <w:p w14:paraId="0CEF2E5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1）结合业务需求，连接工业控制器、边缘云服务器，完成工业以太网链路层互联；</w:t>
            </w:r>
          </w:p>
          <w:p w14:paraId="7FCF17B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2）具有通讯参数设置、联网状态查询，可与工业控制器、边缘云服务器通讯，实现工业以太网互联；</w:t>
            </w:r>
          </w:p>
          <w:p w14:paraId="51DDCB9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3）配置工业网关参数，通过工业以太网协议与工业控制器通信，实现工业设备状态、工业传感器的数据采集，能通过网关查看工业设备的运行状态、传感器的采样数据、库位占用情况、视觉检测结果；</w:t>
            </w:r>
          </w:p>
          <w:p w14:paraId="220CCE9F">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4）能够将工业现场通信协议与云平台接入协议进行转换，实现工业现场数据上云。</w:t>
            </w:r>
          </w:p>
          <w:p w14:paraId="61C2FA5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5）具有远程机械手起止坐标调试、手爪松紧度调整、及机械手独立控制的功能；</w:t>
            </w:r>
          </w:p>
          <w:p w14:paraId="3C2F901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2.参数</w:t>
            </w:r>
          </w:p>
          <w:p w14:paraId="4125D9A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1）支持Mitsubishi, Siemens, Omron， Delta 等PLC的驱动； </w:t>
            </w:r>
          </w:p>
          <w:p w14:paraId="2BDA295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2）支持Modbus Server；</w:t>
            </w:r>
          </w:p>
          <w:p w14:paraId="0CC1EEE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3）支持MQTT协议；</w:t>
            </w:r>
          </w:p>
          <w:p w14:paraId="6734C37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4）独立运行不依赖</w:t>
            </w:r>
            <w:r>
              <w:rPr>
                <w:rFonts w:hint="eastAsia" w:ascii="宋体" w:hAnsi="宋体" w:eastAsia="宋体" w:cs="宋体"/>
                <w:color w:val="auto"/>
                <w:kern w:val="0"/>
                <w:sz w:val="21"/>
                <w:szCs w:val="21"/>
                <w:highlight w:val="none"/>
                <w:lang w:val="en-US" w:eastAsia="zh-CN"/>
              </w:rPr>
              <w:t>于</w:t>
            </w:r>
            <w:r>
              <w:rPr>
                <w:rFonts w:hint="eastAsia" w:ascii="宋体" w:hAnsi="宋体" w:eastAsia="宋体" w:cs="宋体"/>
                <w:color w:val="auto"/>
                <w:kern w:val="0"/>
                <w:sz w:val="21"/>
                <w:szCs w:val="21"/>
                <w:highlight w:val="none"/>
              </w:rPr>
              <w:t>任何软硬件；</w:t>
            </w:r>
          </w:p>
          <w:p w14:paraId="0F95DA9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5）CPU处理器不低于：TI Cortex A8 600MHz主频；</w:t>
            </w:r>
          </w:p>
          <w:p w14:paraId="15B73E1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6）内存：≥256MB；</w:t>
            </w:r>
          </w:p>
          <w:p w14:paraId="411817A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7）支持不少于2路RS-232/485隔离串口，2路10/100 Base-T以太网口；</w:t>
            </w:r>
          </w:p>
          <w:p w14:paraId="016F9CF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8）电源输入：10~30VDC；</w:t>
            </w:r>
          </w:p>
          <w:p w14:paraId="65FB051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9）运行温度：-40°C~70°C；</w:t>
            </w:r>
          </w:p>
          <w:p w14:paraId="2754C04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10）操作系统：支持Linux内核版本3.12；</w:t>
            </w:r>
          </w:p>
          <w:p w14:paraId="5912633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七、立体仓库单元</w:t>
            </w:r>
          </w:p>
          <w:p w14:paraId="2396509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1.高层货架存储，节省库存占地面积，提高空间利用率；</w:t>
            </w:r>
          </w:p>
          <w:p w14:paraId="1B21943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2.铝合金框架设计，库位数量：2行6列，共12个存储库位；</w:t>
            </w:r>
          </w:p>
          <w:p w14:paraId="73DA419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3.每个库位安装有光电传感器，实时检测库位有无物料。</w:t>
            </w:r>
          </w:p>
          <w:p w14:paraId="1E1DA7A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4.物料检测距离：5-10cm</w:t>
            </w:r>
          </w:p>
          <w:p w14:paraId="489BF50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5.光电传感器工作电源：DC24V</w:t>
            </w:r>
          </w:p>
          <w:p w14:paraId="4F1F539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八、立体仓库堆垛单元</w:t>
            </w:r>
          </w:p>
          <w:p w14:paraId="75449E8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1.具有直线运动控制功能：</w:t>
            </w:r>
          </w:p>
          <w:p w14:paraId="1323D83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2.可驱动三轴丝杆电机运行到指定库位，实现立体仓库单元物料的存取。</w:t>
            </w:r>
          </w:p>
          <w:p w14:paraId="7F1FB472">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3.采用三轴悬臂式滑台模组，丝杆线轨直线滑台模组密封防尘；</w:t>
            </w:r>
          </w:p>
          <w:p w14:paraId="7B6FCC2D">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4.具有x、y、z三个运动轴，x轴行程：≥600mm，y轴行程：≥300mm，</w:t>
            </w:r>
          </w:p>
          <w:p w14:paraId="37AF311E">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z轴行程：≥200mm；</w:t>
            </w:r>
          </w:p>
          <w:p w14:paraId="7758B939">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5.采用三组光电传感器进行原点探测；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6.采用三个数字式两相步进电机驱动器驱动三轴进行往复直线运动；</w:t>
            </w:r>
          </w:p>
          <w:p w14:paraId="1669F2AF">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7.驱动器控制信号含脉冲输入信号、方向输入信号、使能控制信号；</w:t>
            </w:r>
          </w:p>
          <w:p w14:paraId="022E1A26">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8.采用旋转气缸，夹取气缸分别调整物料角度，夹放物料；</w:t>
            </w:r>
          </w:p>
          <w:p w14:paraId="1E6F1C9A">
            <w:pPr>
              <w:widowControl/>
              <w:spacing w:line="240" w:lineRule="auto"/>
              <w:jc w:val="left"/>
              <w:rPr>
                <w:rFonts w:hint="eastAsia" w:ascii="宋体" w:hAnsi="宋体" w:eastAsia="宋体" w:cs="宋体"/>
                <w:color w:val="auto"/>
                <w:kern w:val="0"/>
                <w:sz w:val="21"/>
                <w:szCs w:val="21"/>
                <w:highlight w:val="none"/>
              </w:rPr>
            </w:pPr>
          </w:p>
          <w:p w14:paraId="2A602CA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九、物料流转单元</w:t>
            </w:r>
          </w:p>
          <w:p w14:paraId="61D860E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1.利用伺服电机控制加工台流转，驱动物料在上料位、加工位、检测位、下料位四个工序间转换。</w:t>
            </w:r>
          </w:p>
          <w:p w14:paraId="6E5C933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2.加工台采用电机加减速机、伺服驱动器、及光电开关相互配合，驱动物位按设定工序转动；通过光电开关检测物位是否有物料。</w:t>
            </w:r>
          </w:p>
          <w:p w14:paraId="36734A5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3.电机额定转速：≥3000rpm，额定转矩：≥1.2N.m；</w:t>
            </w:r>
          </w:p>
          <w:p w14:paraId="41E633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4.额定输出功率：≥400w；</w:t>
            </w:r>
          </w:p>
          <w:p w14:paraId="04DED8A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5.供电：AC220V；</w:t>
            </w:r>
          </w:p>
          <w:p w14:paraId="12130E5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十、生产加工单元</w:t>
            </w:r>
          </w:p>
          <w:p w14:paraId="49EC04D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1.要求包含生产定位装置、生产加工装置，模拟工业生产工艺。</w:t>
            </w:r>
          </w:p>
          <w:p w14:paraId="14410291">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2.定位装置包含X轴、Y轴、Z轴三个运动方向行程，通过调整确定加工位置；</w:t>
            </w:r>
          </w:p>
          <w:p w14:paraId="7354284F">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3.三个方向分别安装X轴进阶加工电机、Y轴进阶加工电机、Z轴进阶加工电机，通过工业控制器驱动控制；</w:t>
            </w:r>
          </w:p>
          <w:p w14:paraId="019974CA">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4.x行程≥100mm，Y轴行程≥100mm，Z轴行程≥100mm；</w:t>
            </w:r>
          </w:p>
          <w:p w14:paraId="0EA0917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5.加工装置采用三相电机和减速箱，通过高速旋转模拟对工件加工，可通过旋钮调整电机转动速度；</w:t>
            </w:r>
          </w:p>
          <w:p w14:paraId="32D8F80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十一、视觉检测单元</w:t>
            </w:r>
          </w:p>
          <w:p w14:paraId="4BDF941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功能：</w:t>
            </w:r>
          </w:p>
          <w:p w14:paraId="6B8F262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1）使用工业摄像头对待测物料进行图像信息的采集，通过可视化界面观察视频清晰度以及物料是否位于摄像头范围内；</w:t>
            </w:r>
          </w:p>
          <w:p w14:paraId="09C189D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2）提供质量检测模型，支持模型部署，支持自启脚本，运行模型；</w:t>
            </w:r>
          </w:p>
          <w:p w14:paraId="624360E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3）将图像信息转换上传工业互联网平台进行质量检测。</w:t>
            </w:r>
          </w:p>
          <w:p w14:paraId="3F992C7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4）由工业相机、工业镜头、LED光源、机器视觉检测模块组成。</w:t>
            </w:r>
          </w:p>
          <w:p w14:paraId="1AF2B2A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5）工业相机1：200万以上像素，分辨率不低于1920×1080P,USB2.0接口，安装在检测物位；</w:t>
            </w:r>
          </w:p>
          <w:p w14:paraId="2AA29F7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6）工业相机2：600万以上像素，分辨率不低于3072×2048, GiGE接口。</w:t>
            </w:r>
          </w:p>
          <w:p w14:paraId="6204998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十二、多自由度机械手单元</w:t>
            </w:r>
          </w:p>
          <w:p w14:paraId="7DCD69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1.功能：通过对机械手的伸缩、旋转、抓放等多自由度运动控制实现物料的搬运和精准抓放。</w:t>
            </w:r>
          </w:p>
          <w:p w14:paraId="328B75F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2.参数：</w:t>
            </w:r>
          </w:p>
          <w:p w14:paraId="69A21A4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1）由全铝合金机械臂，行星减速步进电机、两相光电编码器、铝合金联轴器、轴承、夹取装置和控制器组成；</w:t>
            </w:r>
          </w:p>
          <w:p w14:paraId="45F91E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2）电机带有编码器，具有位置闭合控制；</w:t>
            </w:r>
          </w:p>
          <w:p w14:paraId="150F0E5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3）夹取装置采用手爪结构，舵机控制；</w:t>
            </w:r>
          </w:p>
          <w:p w14:paraId="0DDDF95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控制器：采用Cortex-M4以上微控制器，通过驱动芯片驱动旋转、大臂、小臂三个电机，通过信号控制手爪舵机；板载OLED显示屏，显示目标坐标数据、实时运动数据等，具有RS485通信接口，可配置接入工业现场总线，采用ModbusRTU通讯协议与其他设备进行数据交换，提供位置信息；</w:t>
            </w:r>
          </w:p>
          <w:p w14:paraId="79BA2A6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5）负载能力：≥500g；</w:t>
            </w:r>
          </w:p>
          <w:p w14:paraId="03895AD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十三、传送带输送单元</w:t>
            </w:r>
          </w:p>
          <w:p w14:paraId="067832F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1.功能：具备自动运输、到位检测、自动停止功能，实现物料的流水线自动传输。</w:t>
            </w:r>
          </w:p>
          <w:p w14:paraId="0A584FA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2.参数</w:t>
            </w:r>
          </w:p>
          <w:p w14:paraId="531BF37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1）输送带：绿色PVC，耐油、耐腐蚀、防静电；</w:t>
            </w:r>
          </w:p>
          <w:p w14:paraId="7EACA2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2）机架：不锈钢、铝型材；托辊滚筒，支撑上方皮带，减少摩擦阻力，保证运输速度更快更平稳；</w:t>
            </w:r>
          </w:p>
          <w:p w14:paraId="234DA2C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3）采用单相调速电机控制，配数显调速器，可手动调节传送带传输速度；</w:t>
            </w:r>
          </w:p>
          <w:p w14:paraId="2A30DA5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4）安装到位检测传感器，实时检测工件；</w:t>
            </w:r>
          </w:p>
          <w:p w14:paraId="7CA96FE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十四、气缸推杆装置</w:t>
            </w:r>
          </w:p>
          <w:p w14:paraId="5978FD3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功能：通过气缸驱动推杆进行直线伸缩运动，实现对物料的精准推送、定位阻挡或辅助分拣操作，保障流水线工序的顺畅推进与物料的精准工位对接。</w:t>
            </w:r>
          </w:p>
          <w:p w14:paraId="58886F3F">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十五、空气压缩机</w:t>
            </w:r>
          </w:p>
          <w:p w14:paraId="31CECDA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1.功能：为夹取气缸、推料气缸提供空气动力。</w:t>
            </w:r>
          </w:p>
          <w:p w14:paraId="244FF10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2.参数：</w:t>
            </w:r>
          </w:p>
          <w:p w14:paraId="41CC674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1）电压/频率：220V/50Hz；</w:t>
            </w:r>
          </w:p>
          <w:p w14:paraId="74D89F5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2）功率：≥600w；</w:t>
            </w:r>
          </w:p>
          <w:p w14:paraId="3E0E48B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3）排气量：≥45L/min；</w:t>
            </w:r>
          </w:p>
          <w:p w14:paraId="3221D01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4）最高压力：≥0.5MPa；</w:t>
            </w:r>
          </w:p>
          <w:p w14:paraId="7E2D5AA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5）容积：≥26L ；</w:t>
            </w:r>
          </w:p>
          <w:p w14:paraId="0464D53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6）带有气管；</w:t>
            </w:r>
          </w:p>
          <w:p w14:paraId="3A372A1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十六、标识采集终端</w:t>
            </w:r>
          </w:p>
          <w:p w14:paraId="569B325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1.功能</w:t>
            </w:r>
          </w:p>
          <w:p w14:paraId="3FA7B41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1）使用标识采集终端对标识编码进行标识信息的采集；</w:t>
            </w:r>
          </w:p>
          <w:p w14:paraId="22DACF1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2）根据标识编码规则，录入标识编码和属性信息，实现标识注册；</w:t>
            </w:r>
          </w:p>
          <w:p w14:paraId="509FF69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3）标识采集终端扫描标识编码，系统根据标识编码追溯并显示配件信息、生产过程信息。</w:t>
            </w:r>
          </w:p>
          <w:p w14:paraId="35DC15B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2.参数</w:t>
            </w:r>
          </w:p>
          <w:p w14:paraId="38B123B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支持二维码等标签扫描标识采集，USB接口，DC5V供电</w:t>
            </w:r>
          </w:p>
          <w:p w14:paraId="205716F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十七、安全防护装备</w:t>
            </w:r>
          </w:p>
          <w:p w14:paraId="0EE086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1.功能：配置网络安全防护策略，实现内网边界防护；数据上云的加密传输等；具有路由功能。</w:t>
            </w:r>
          </w:p>
          <w:p w14:paraId="1CBA6A65">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2.参数：≥8个RJ45接口，千兆网口，1个调试接口；</w:t>
            </w:r>
          </w:p>
          <w:p w14:paraId="2F11CB9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十八、温度传感器</w:t>
            </w:r>
          </w:p>
          <w:p w14:paraId="73FEF1A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1.功能：用于设备温度或环境温度的采集。</w:t>
            </w:r>
          </w:p>
          <w:p w14:paraId="0AECB4B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2.参数：</w:t>
            </w:r>
          </w:p>
          <w:p w14:paraId="731377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1）测量范围：0℃~100℃；</w:t>
            </w:r>
          </w:p>
          <w:p w14:paraId="570B02B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2）输出信号：4~20mA等模拟量信号输出；</w:t>
            </w:r>
          </w:p>
          <w:p w14:paraId="283149B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3）精度：0.5%；</w:t>
            </w:r>
          </w:p>
          <w:p w14:paraId="6AD25CA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十九、转速控制变频器</w:t>
            </w:r>
          </w:p>
          <w:p w14:paraId="6FF8795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采用PLC晶体管高速脉冲0-1khz直接控制变频器输出频率，调整电机频率实现转速调节。</w:t>
            </w:r>
          </w:p>
          <w:p w14:paraId="36EA3BF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二十、振动传感器</w:t>
            </w:r>
          </w:p>
          <w:p w14:paraId="28B6A6D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1.功能：实时检测生产加工过程中的振动幅度。</w:t>
            </w:r>
          </w:p>
          <w:p w14:paraId="3A1AF86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2.参数：</w:t>
            </w:r>
          </w:p>
          <w:p w14:paraId="68E6CDA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1）量程：0~20mm/s；</w:t>
            </w:r>
          </w:p>
          <w:p w14:paraId="0911FA7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2）输出信号：4~20mA；</w:t>
            </w:r>
          </w:p>
          <w:p w14:paraId="6E9696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3）供电电压：DC</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12V~24V；</w:t>
            </w:r>
          </w:p>
          <w:p w14:paraId="5EF1ED8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4）频率响应：10Hz~1000Hz；</w:t>
            </w:r>
          </w:p>
          <w:p w14:paraId="26DCBB9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二十一、三色警灯</w:t>
            </w:r>
          </w:p>
          <w:p w14:paraId="04D3FA3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小型警示灯，红黄绿三色，工作电压12V。</w:t>
            </w:r>
          </w:p>
          <w:p w14:paraId="1A6B18A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二十二、工业交换机</w:t>
            </w:r>
          </w:p>
          <w:p w14:paraId="66C40525">
            <w:pPr>
              <w:widowControl/>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1.百兆8口，DC</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12V-58V电源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传输速率≥200Mbps；</w:t>
            </w:r>
          </w:p>
          <w:p w14:paraId="1D8C99B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2.用于网关、边缘云服务器、视觉检测模块及电脑联网</w:t>
            </w:r>
          </w:p>
          <w:p w14:paraId="2D49616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二十三、生产物料</w:t>
            </w:r>
          </w:p>
          <w:p w14:paraId="7B3E16C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需符合生产工艺流程，有良品和次品之分</w:t>
            </w:r>
          </w:p>
          <w:p w14:paraId="56EB7E3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二十四、工业智能开发模块</w:t>
            </w:r>
          </w:p>
          <w:p w14:paraId="21DF538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1.搭载不少于32个Tensor Core 的1024核NVIDIA Ampere架构GPU；</w:t>
            </w:r>
          </w:p>
          <w:p w14:paraId="2C3109B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2.GPU频率：625MHz（Max）；</w:t>
            </w:r>
          </w:p>
          <w:p w14:paraId="003C932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3.CPU：不少于6核Arm® Cortex®-A78AE v8.2 64 位 CPU；</w:t>
            </w:r>
          </w:p>
          <w:p w14:paraId="1C52FF4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4.运行内存：不小于8G；</w:t>
            </w:r>
          </w:p>
          <w:p w14:paraId="247BC89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5.板载存储：不小于128G；</w:t>
            </w:r>
          </w:p>
          <w:p w14:paraId="6E1BE77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6.接口：USB3.0×4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Micro USB×1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HDMI×1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RJ45×1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DC5.5×2.1电源接口；</w:t>
            </w:r>
          </w:p>
          <w:p w14:paraId="4E44662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7.可支持不少于4个摄像头，8个通道MIPI CSI-2/D-PHY 2.1；</w:t>
            </w:r>
          </w:p>
          <w:p w14:paraId="7B0BED8B">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8.实训设备控制终端需内置AI算法库，至少涵盖缺陷检测、产量统计、物料倾倒、物料缺料、线体混料、手势识别联动产线的功能模块，帮助学生掌握AI在自动化操作、数据处理等方面的核心技术与应用方法，能够满足AI的基础应用与开发教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3DC2AA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9.摄像头：数量不少于2个，400万以上像素，分辨率不低于</w:t>
            </w:r>
            <w:r>
              <w:rPr>
                <w:rFonts w:hint="eastAsia" w:ascii="宋体" w:hAnsi="宋体" w:eastAsia="宋体" w:cs="宋体"/>
                <w:color w:val="auto"/>
                <w:sz w:val="21"/>
                <w:szCs w:val="21"/>
                <w:highlight w:val="none"/>
              </w:rPr>
              <w:t>1920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1080,USB2.0接口</w:t>
            </w:r>
            <w:r>
              <w:rPr>
                <w:rFonts w:hint="eastAsia" w:ascii="宋体" w:hAnsi="宋体" w:eastAsia="宋体" w:cs="宋体"/>
                <w:color w:val="auto"/>
                <w:kern w:val="0"/>
                <w:sz w:val="21"/>
                <w:szCs w:val="21"/>
                <w:highlight w:val="none"/>
              </w:rPr>
              <w:t>。</w:t>
            </w:r>
          </w:p>
          <w:p w14:paraId="61E8C30B">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10.配套《AI应用》实训指导书，包含旋转设备的预测性维护、灌装过程的智能控制、灌装工艺品质智能寻优、生产效能智能挖掘优化、故障分析智能体搭建、工程级智能体工具开发的实训项目。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投标文件中需提供课程目录截图，并加盖投标人公章</w:t>
            </w:r>
            <w:r>
              <w:rPr>
                <w:rFonts w:hint="eastAsia" w:ascii="宋体" w:hAnsi="宋体" w:eastAsia="宋体" w:cs="宋体"/>
                <w:b/>
                <w:bCs/>
                <w:color w:val="auto"/>
                <w:sz w:val="21"/>
                <w:szCs w:val="21"/>
                <w:highlight w:val="none"/>
                <w:lang w:eastAsia="zh-CN"/>
              </w:rPr>
              <w:t>）</w:t>
            </w:r>
          </w:p>
          <w:p w14:paraId="035ADCE6">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二十五、工业互联网标识解析仿真平台</w:t>
            </w:r>
          </w:p>
          <w:p w14:paraId="721AC33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平台支持标识注册与管理，应实现标识的注册、查询、更新和注销等功能。</w:t>
            </w:r>
          </w:p>
          <w:p w14:paraId="0898514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平台支持管理员和企业用户两个角色，需包含管理员登录软件功能、企业用户登录软件功能、管理员创建企业用户功能。</w:t>
            </w:r>
            <w:r>
              <w:rPr>
                <w:rFonts w:hint="eastAsia" w:ascii="宋体" w:hAnsi="宋体" w:eastAsia="宋体" w:cs="宋体"/>
                <w:b/>
                <w:bCs/>
                <w:color w:val="auto"/>
                <w:sz w:val="21"/>
                <w:szCs w:val="21"/>
                <w:highlight w:val="none"/>
              </w:rPr>
              <w:t>（投标文件中提供系统功能截图标注，并加盖投标人公章）</w:t>
            </w:r>
          </w:p>
          <w:p w14:paraId="72A0FA9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平台支持用户管理功能，管理员角色能够新建、编辑用户信息，当用户密码遗忘时，管理员能够重置用户密码。</w:t>
            </w:r>
          </w:p>
          <w:p w14:paraId="399269B5">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▲4.平台支持企业前缀注册管理功能，需包含所有企业前缀注册申请列表页功能、对申请进行审核或驳回操作功能。</w:t>
            </w:r>
            <w:r>
              <w:rPr>
                <w:rFonts w:hint="eastAsia" w:ascii="宋体" w:hAnsi="宋体" w:eastAsia="宋体" w:cs="宋体"/>
                <w:b/>
                <w:bCs/>
                <w:color w:val="auto"/>
                <w:sz w:val="21"/>
                <w:szCs w:val="21"/>
                <w:highlight w:val="none"/>
              </w:rPr>
              <w:t>（投标文件中提供系统功能截图标注，并加盖投标人公章）</w:t>
            </w:r>
          </w:p>
          <w:p w14:paraId="01C4804B">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平台支持API接口服务，开放接口服务应包含用户明文登录接口、用户密文登录接口、标识注册接口、标识修改接口、标识查询接口、标识删除接口，并支持使用APIPOST工具进行API接口功能测试、验证。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485D82A5">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二十六、制造执行系统MES</w:t>
            </w:r>
          </w:p>
          <w:p w14:paraId="6763BF7E">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包含制造执行系统MES应用展开，应具有：基础数据、生产管理、设备管理、报表管理、仓储管理、数据大屏等六个应用功能，系统模块功能分工明确，又相互关联，形成一个完整的系统，并与其他企业信息化系统进行集成；</w:t>
            </w:r>
          </w:p>
          <w:p w14:paraId="1AB481D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原料能通过扫码进行入库；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096BF4E5">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排产管理具有驱动产线生产、工单实时状态查看、排产状态查看等功能；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667F1D61">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报表管理显示库位数据、产量统计、质检结果等；</w:t>
            </w:r>
          </w:p>
          <w:p w14:paraId="52AFA654">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下单：根据订单排产（可通过MES下发，含加工数量、启动命令）下发工单；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6CE9650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二十七、工业互联网平台</w:t>
            </w:r>
          </w:p>
          <w:p w14:paraId="6A43AF0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1.支持多种网络形式数据上传，包括不限于：MQTT、HTTP等；</w:t>
            </w:r>
          </w:p>
          <w:p w14:paraId="13DE7F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2.支持多种工业通信协议接入，包括</w:t>
            </w:r>
            <w:r>
              <w:rPr>
                <w:rFonts w:hint="eastAsia" w:ascii="宋体" w:hAnsi="宋体" w:eastAsia="宋体" w:cs="宋体"/>
                <w:color w:val="auto"/>
                <w:kern w:val="0"/>
                <w:sz w:val="21"/>
                <w:szCs w:val="21"/>
                <w:highlight w:val="none"/>
                <w:lang w:eastAsia="zh-CN"/>
              </w:rPr>
              <w:t>但</w:t>
            </w:r>
            <w:r>
              <w:rPr>
                <w:rFonts w:hint="eastAsia" w:ascii="宋体" w:hAnsi="宋体" w:eastAsia="宋体" w:cs="宋体"/>
                <w:color w:val="auto"/>
                <w:kern w:val="0"/>
                <w:sz w:val="21"/>
                <w:szCs w:val="21"/>
                <w:highlight w:val="none"/>
              </w:rPr>
              <w:t>不限于：MODBUS TCP、OPC UA、西门子S7等；</w:t>
            </w:r>
          </w:p>
          <w:p w14:paraId="24E1698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kern w:val="0"/>
                <w:sz w:val="21"/>
                <w:szCs w:val="21"/>
                <w:highlight w:val="none"/>
              </w:rPr>
              <w:t>3.工业互联网平台应用</w:t>
            </w:r>
          </w:p>
          <w:p w14:paraId="177466C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支持面板标题控件，支持5种以上预设的标题样式，支持颜色和渐变效果设置，支持标题字体效果设置；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75E23529">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提供可视化页面编辑器，支持零代码配置搭建可视化应用页面；支持一次配置，自适应PC端、移动端等查看模式。</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4750AEBC">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支持设置仿真设备每个属性的数据模拟规则，模拟规则不少于4种，包括随机、恒定、递增、递减等；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tc>
        <w:tc>
          <w:tcPr>
            <w:tcW w:w="276" w:type="pct"/>
            <w:shd w:val="clear" w:color="auto" w:fill="auto"/>
            <w:vAlign w:val="center"/>
          </w:tcPr>
          <w:p w14:paraId="39955285">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35D066EA">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5FD81A34">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 w:val="21"/>
                <w:szCs w:val="21"/>
                <w:highlight w:val="none"/>
                <w:lang w:bidi="zh-CN"/>
              </w:rPr>
              <w:t>工业</w:t>
            </w:r>
          </w:p>
        </w:tc>
      </w:tr>
      <w:tr w14:paraId="47A1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0C6D7ADB">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14" w:type="pct"/>
            <w:shd w:val="clear" w:color="auto" w:fill="auto"/>
            <w:tcMar>
              <w:top w:w="13" w:type="dxa"/>
              <w:left w:w="57" w:type="dxa"/>
              <w:bottom w:w="0" w:type="dxa"/>
              <w:right w:w="57" w:type="dxa"/>
            </w:tcMar>
            <w:vAlign w:val="center"/>
          </w:tcPr>
          <w:p w14:paraId="724C4DD7">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自动化高通量单倍体种子分选仪</w:t>
            </w:r>
          </w:p>
        </w:tc>
        <w:tc>
          <w:tcPr>
            <w:tcW w:w="3617" w:type="pct"/>
            <w:gridSpan w:val="2"/>
            <w:shd w:val="clear" w:color="auto" w:fill="auto"/>
            <w:tcMar>
              <w:top w:w="13" w:type="dxa"/>
              <w:left w:w="57" w:type="dxa"/>
              <w:bottom w:w="0" w:type="dxa"/>
              <w:right w:w="57" w:type="dxa"/>
            </w:tcMar>
            <w:vAlign w:val="center"/>
          </w:tcPr>
          <w:p w14:paraId="52A67C7F">
            <w:pPr>
              <w:spacing w:line="240" w:lineRule="auto"/>
              <w:jc w:val="left"/>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一、技术参数</w:t>
            </w:r>
          </w:p>
          <w:p w14:paraId="59579212">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设备基于机器视觉，能够实现 R1-nj 颜色标记的单倍体、双倍体与外来籽粒的识别，实现不同品种单倍体的快速分选；</w:t>
            </w:r>
          </w:p>
          <w:p w14:paraId="5993A144">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整个单倍体的分选过程全自动化、智能化进行，人工只需将经过脱粒净选后的种子直接倒入设备分选系统的盛料斗；在料斗内籽粒筛选结束之前，设备可以实现无人值守；</w:t>
            </w:r>
          </w:p>
          <w:p w14:paraId="3A6A3305">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设备单次可实现≥10 Kg 的上料；</w:t>
            </w:r>
          </w:p>
          <w:p w14:paraId="54354D87">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设备可在同一实验中持续上料；</w:t>
            </w:r>
          </w:p>
          <w:p w14:paraId="3673674D">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设备支持 24 小时连续运行；</w:t>
            </w:r>
          </w:p>
          <w:p w14:paraId="46BAF1EA">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筛选通量：设备具有</w:t>
            </w:r>
            <w:r>
              <w:rPr>
                <w:rFonts w:hint="eastAsia" w:ascii="宋体" w:hAnsi="宋体" w:eastAsia="宋体" w:cs="宋体"/>
                <w:color w:val="auto"/>
                <w:spacing w:val="0"/>
                <w:sz w:val="21"/>
                <w:szCs w:val="21"/>
                <w:highlight w:val="none"/>
                <w:lang w:val="en-US" w:eastAsia="zh-CN"/>
              </w:rPr>
              <w:t>多</w:t>
            </w:r>
            <w:r>
              <w:rPr>
                <w:rFonts w:hint="eastAsia" w:ascii="宋体" w:hAnsi="宋体" w:eastAsia="宋体" w:cs="宋体"/>
                <w:color w:val="auto"/>
                <w:spacing w:val="0"/>
                <w:sz w:val="21"/>
                <w:szCs w:val="21"/>
                <w:highlight w:val="none"/>
              </w:rPr>
              <w:t>个分选通道， 最高分选效率≥20000 粒/小时；</w:t>
            </w:r>
          </w:p>
          <w:p w14:paraId="6E66982D">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rPr>
              <w:t>设备采用高频气缸进行分选，响应时间≤20ms；</w:t>
            </w:r>
          </w:p>
          <w:p w14:paraId="0DC13978">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8.</w:t>
            </w:r>
            <w:r>
              <w:rPr>
                <w:rFonts w:hint="eastAsia" w:ascii="宋体" w:hAnsi="宋体" w:eastAsia="宋体" w:cs="宋体"/>
                <w:color w:val="auto"/>
                <w:spacing w:val="0"/>
                <w:sz w:val="21"/>
                <w:szCs w:val="21"/>
                <w:highlight w:val="none"/>
              </w:rPr>
              <w:t>筛选精度：设备具有高清图像采集模块，单倍体最高正确识别率＞95%，正确拒识率＞95%；</w:t>
            </w:r>
          </w:p>
          <w:p w14:paraId="3C37EF09">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9.</w:t>
            </w:r>
            <w:r>
              <w:rPr>
                <w:rFonts w:hint="eastAsia" w:ascii="宋体" w:hAnsi="宋体" w:eastAsia="宋体" w:cs="宋体"/>
                <w:color w:val="auto"/>
                <w:spacing w:val="0"/>
                <w:sz w:val="21"/>
                <w:szCs w:val="21"/>
                <w:highlight w:val="none"/>
              </w:rPr>
              <w:t>实时统计单倍体数量和占比；</w:t>
            </w:r>
          </w:p>
          <w:p w14:paraId="05CB97D7">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10.</w:t>
            </w:r>
            <w:r>
              <w:rPr>
                <w:rFonts w:hint="eastAsia" w:ascii="宋体" w:hAnsi="宋体" w:eastAsia="宋体" w:cs="宋体"/>
                <w:color w:val="auto"/>
                <w:spacing w:val="0"/>
                <w:sz w:val="21"/>
                <w:szCs w:val="21"/>
                <w:highlight w:val="none"/>
              </w:rPr>
              <w:t>具有分选红色荧光蛋白种子的功能；</w:t>
            </w:r>
          </w:p>
          <w:p w14:paraId="663F44C3">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11.</w:t>
            </w:r>
            <w:r>
              <w:rPr>
                <w:rFonts w:hint="eastAsia" w:ascii="宋体" w:hAnsi="宋体" w:eastAsia="宋体" w:cs="宋体"/>
                <w:color w:val="auto"/>
                <w:spacing w:val="0"/>
                <w:sz w:val="21"/>
                <w:szCs w:val="21"/>
                <w:highlight w:val="none"/>
              </w:rPr>
              <w:t>同时支持离线和远程在线升级。</w:t>
            </w:r>
          </w:p>
          <w:p w14:paraId="24A1273A">
            <w:p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12.</w:t>
            </w:r>
            <w:r>
              <w:rPr>
                <w:rFonts w:ascii="宋体" w:hAnsi="宋体" w:eastAsia="宋体"/>
                <w:color w:val="auto"/>
                <w:szCs w:val="21"/>
                <w:highlight w:val="none"/>
              </w:rPr>
              <w:t>手持式条码扫描器  1个</w:t>
            </w:r>
          </w:p>
        </w:tc>
        <w:tc>
          <w:tcPr>
            <w:tcW w:w="276" w:type="pct"/>
            <w:shd w:val="clear" w:color="auto" w:fill="auto"/>
            <w:vAlign w:val="center"/>
          </w:tcPr>
          <w:p w14:paraId="7C0247DE">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20FB32B0">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5C76BCFE">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Cs w:val="21"/>
                <w:highlight w:val="none"/>
                <w:lang w:bidi="zh-CN"/>
              </w:rPr>
              <w:t>工业</w:t>
            </w:r>
          </w:p>
        </w:tc>
      </w:tr>
      <w:tr w14:paraId="7F3F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13B6D6D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14" w:type="pct"/>
            <w:shd w:val="clear" w:color="auto" w:fill="auto"/>
            <w:tcMar>
              <w:top w:w="13" w:type="dxa"/>
              <w:left w:w="57" w:type="dxa"/>
              <w:bottom w:w="0" w:type="dxa"/>
              <w:right w:w="57" w:type="dxa"/>
            </w:tcMar>
            <w:vAlign w:val="center"/>
          </w:tcPr>
          <w:p w14:paraId="24B4BF96">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全自动凯氏定氮仪</w:t>
            </w:r>
          </w:p>
        </w:tc>
        <w:tc>
          <w:tcPr>
            <w:tcW w:w="3617" w:type="pct"/>
            <w:gridSpan w:val="2"/>
            <w:shd w:val="clear" w:color="auto" w:fill="auto"/>
            <w:tcMar>
              <w:top w:w="13" w:type="dxa"/>
              <w:left w:w="57" w:type="dxa"/>
              <w:bottom w:w="0" w:type="dxa"/>
              <w:right w:w="57" w:type="dxa"/>
            </w:tcMar>
            <w:vAlign w:val="center"/>
          </w:tcPr>
          <w:p w14:paraId="7A5346E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1、设备用途：</w:t>
            </w:r>
          </w:p>
          <w:p w14:paraId="2150565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用于检测食品、药品、谷物、农业、水产品、乳制品、化工、土壤、植物、肥料、动物饲料、烟草、环境监测等样品中全氮和蛋白质含量的分析以及其它挥发性组分的分析。</w:t>
            </w:r>
          </w:p>
          <w:p w14:paraId="2417607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2、工作条件：</w:t>
            </w:r>
          </w:p>
          <w:p w14:paraId="1DA6803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2.1 电源：220 VAC ±10% 50Hz；</w:t>
            </w:r>
          </w:p>
          <w:p w14:paraId="10AF0E8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2.2 温度：操作环境10-35˚C；</w:t>
            </w:r>
          </w:p>
          <w:p w14:paraId="5B0C5D5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2.3 冷凝水压：0.02MPa-1MPa；</w:t>
            </w:r>
          </w:p>
          <w:p w14:paraId="6BA6AD0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2.4 冷凝水温度：≤20℃；</w:t>
            </w:r>
          </w:p>
          <w:p w14:paraId="6E93AC4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3、功能参数</w:t>
            </w:r>
          </w:p>
          <w:p w14:paraId="69645C6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3.1 仪器配置：全自动凯氏定氮仪，含蒸馏系统、滴定系统、软件系统；</w:t>
            </w:r>
          </w:p>
          <w:p w14:paraId="2084BE4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 主机基础要求：蒸馏滴定一体机，不接受另配滴定器模式；</w:t>
            </w:r>
          </w:p>
          <w:p w14:paraId="03C6097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3.2.1 采用国家标准的凯氏定氮方法：浓硫酸环境消解样品、碱性环境蒸汽蒸馏、硼酸吸收、指示剂滴定终点颜色判定法；</w:t>
            </w:r>
          </w:p>
          <w:p w14:paraId="636BF10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3.2.2 检测范围：0.1-240mgN；</w:t>
            </w:r>
          </w:p>
          <w:p w14:paraId="30EE9A7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3.2.3 回收率≥99.5%（1-240mgN）；</w:t>
            </w:r>
          </w:p>
          <w:p w14:paraId="19EE419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3.2.4 重复性误差：RSD≤0.5%（1-240mgN）；</w:t>
            </w:r>
          </w:p>
          <w:p w14:paraId="21F53AB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3.2.5 滴定精度：0.2μL/步,0.4μL/步,1.0 μL/步三档可选；</w:t>
            </w:r>
          </w:p>
          <w:p w14:paraId="5001225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3.2.6 测定样品重量：固体≤5g   液体≤20ml；</w:t>
            </w:r>
          </w:p>
          <w:p w14:paraId="6A63E39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3.2.7 全自动加碱加酸加稀释剂、全自动蒸馏滴定、全自动排废、全自动清洗、全自动校正、全自动消化管排空、全自动故障检测、全自动溶液液位监测、全自动超温监测、全自动计算结果、输出、打印；</w:t>
            </w:r>
          </w:p>
          <w:p w14:paraId="7E52577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3.2.8  ≥10英寸彩色触摸显示系统，使用安卓操作系统，</w:t>
            </w:r>
            <w:r>
              <w:rPr>
                <w:rFonts w:hint="eastAsia" w:ascii="宋体" w:hAnsi="宋体" w:eastAsia="宋体" w:cs="宋体"/>
                <w:snapToGrid w:val="0"/>
                <w:color w:val="auto"/>
                <w:spacing w:val="0"/>
                <w:kern w:val="0"/>
                <w:sz w:val="21"/>
                <w:szCs w:val="21"/>
                <w:highlight w:val="none"/>
                <w:lang w:val="en-US" w:eastAsia="zh-CN"/>
              </w:rPr>
              <w:t>可</w:t>
            </w:r>
            <w:r>
              <w:rPr>
                <w:rFonts w:hint="eastAsia" w:ascii="宋体" w:hAnsi="宋体" w:eastAsia="宋体" w:cs="宋体"/>
                <w:snapToGrid w:val="0"/>
                <w:color w:val="auto"/>
                <w:spacing w:val="0"/>
                <w:kern w:val="0"/>
                <w:sz w:val="21"/>
                <w:szCs w:val="21"/>
                <w:highlight w:val="none"/>
              </w:rPr>
              <w:t>进行样品的测试，结果的存储；</w:t>
            </w:r>
          </w:p>
          <w:p w14:paraId="017033D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3.2.9</w:t>
            </w:r>
            <w:r>
              <w:rPr>
                <w:rFonts w:hint="eastAsia" w:ascii="宋体" w:hAnsi="宋体" w:eastAsia="宋体" w:cs="宋体"/>
                <w:snapToGrid w:val="0"/>
                <w:color w:val="auto"/>
                <w:spacing w:val="0"/>
                <w:kern w:val="0"/>
                <w:sz w:val="21"/>
                <w:szCs w:val="21"/>
                <w:highlight w:val="none"/>
                <w:lang w:val="en-US" w:eastAsia="zh-CN"/>
              </w:rPr>
              <w:t xml:space="preserve"> </w:t>
            </w:r>
            <w:r>
              <w:rPr>
                <w:rFonts w:hint="eastAsia" w:ascii="宋体" w:hAnsi="宋体" w:eastAsia="宋体" w:cs="宋体"/>
                <w:snapToGrid w:val="0"/>
                <w:color w:val="auto"/>
                <w:spacing w:val="0"/>
                <w:kern w:val="0"/>
                <w:sz w:val="21"/>
                <w:szCs w:val="21"/>
                <w:highlight w:val="none"/>
              </w:rPr>
              <w:t>采用三级用户名加密码形式登录，并可对密码进行老化设置，内置用户权限分级规则，仪器操作可溯源，使仪器的实验数据更加的真实，安全；</w:t>
            </w:r>
          </w:p>
          <w:p w14:paraId="080D241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3.2.10 云服务功能,能够通过LAN或者</w:t>
            </w:r>
            <w:r>
              <w:rPr>
                <w:rFonts w:hint="eastAsia" w:ascii="宋体" w:hAnsi="宋体" w:eastAsia="宋体" w:cs="宋体"/>
                <w:snapToGrid w:val="0"/>
                <w:color w:val="auto"/>
                <w:spacing w:val="0"/>
                <w:kern w:val="0"/>
                <w:sz w:val="21"/>
                <w:szCs w:val="21"/>
                <w:highlight w:val="none"/>
                <w:lang w:eastAsia="zh-CN"/>
              </w:rPr>
              <w:t>Wi-Fi</w:t>
            </w:r>
            <w:r>
              <w:rPr>
                <w:rFonts w:hint="eastAsia" w:ascii="宋体" w:hAnsi="宋体" w:eastAsia="宋体" w:cs="宋体"/>
                <w:snapToGrid w:val="0"/>
                <w:color w:val="auto"/>
                <w:spacing w:val="0"/>
                <w:kern w:val="0"/>
                <w:sz w:val="21"/>
                <w:szCs w:val="21"/>
                <w:highlight w:val="none"/>
              </w:rPr>
              <w:t>连接网络，将试验方法和测试结果上传到云端储存或者从云端下载到本地；</w:t>
            </w:r>
          </w:p>
          <w:p w14:paraId="70CD608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3.2.11 批量测试功能，能够批量的输入样品信息，减少用户的工作量，使测试方便快捷，提高测试的效率；</w:t>
            </w:r>
          </w:p>
          <w:p w14:paraId="6EA1D70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3.2.12 机身可存储</w:t>
            </w:r>
            <w:r>
              <w:rPr>
                <w:rFonts w:hint="eastAsia" w:ascii="宋体" w:hAnsi="宋体" w:eastAsia="宋体"/>
                <w:snapToGrid w:val="0"/>
                <w:color w:val="auto"/>
                <w:kern w:val="0"/>
                <w:szCs w:val="21"/>
                <w:highlight w:val="none"/>
              </w:rPr>
              <w:t>≥</w:t>
            </w:r>
            <w:r>
              <w:rPr>
                <w:rFonts w:hint="eastAsia" w:ascii="宋体" w:hAnsi="宋体" w:eastAsia="宋体" w:cs="宋体"/>
                <w:snapToGrid w:val="0"/>
                <w:color w:val="auto"/>
                <w:spacing w:val="0"/>
                <w:kern w:val="0"/>
                <w:sz w:val="21"/>
                <w:szCs w:val="21"/>
                <w:highlight w:val="none"/>
              </w:rPr>
              <w:t>100万及以上条数据，满足各类规范中关于文件、记录保存时限的要求；</w:t>
            </w:r>
          </w:p>
          <w:p w14:paraId="22831F1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3.2.13 测试结果具备两种报告类型，标题可编辑，满足不同客户需求；</w:t>
            </w:r>
          </w:p>
          <w:p w14:paraId="7706296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3.2.14 机器具有PDF和XML两种输出方式，；</w:t>
            </w:r>
          </w:p>
          <w:p w14:paraId="4E94D72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3.2.15 接口：USB，LAN，RS232，CAN，</w:t>
            </w:r>
            <w:r>
              <w:rPr>
                <w:rFonts w:hint="eastAsia" w:ascii="宋体" w:hAnsi="宋体" w:eastAsia="宋体" w:cs="宋体"/>
                <w:snapToGrid w:val="0"/>
                <w:color w:val="auto"/>
                <w:spacing w:val="0"/>
                <w:kern w:val="0"/>
                <w:sz w:val="21"/>
                <w:szCs w:val="21"/>
                <w:highlight w:val="none"/>
                <w:lang w:eastAsia="zh-CN"/>
              </w:rPr>
              <w:t>Wi-Fi</w:t>
            </w:r>
            <w:r>
              <w:rPr>
                <w:rFonts w:hint="eastAsia" w:ascii="宋体" w:hAnsi="宋体" w:eastAsia="宋体" w:cs="宋体"/>
                <w:snapToGrid w:val="0"/>
                <w:color w:val="auto"/>
                <w:spacing w:val="0"/>
                <w:kern w:val="0"/>
                <w:sz w:val="21"/>
                <w:szCs w:val="21"/>
                <w:highlight w:val="none"/>
              </w:rPr>
              <w:t>；</w:t>
            </w:r>
          </w:p>
          <w:p w14:paraId="724B0A2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3.2.16 可以对接LIMS实验室信息管理系统，数据统一管理，方便快捷。</w:t>
            </w:r>
          </w:p>
          <w:p w14:paraId="12F062C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3.2.17  可以选配对接自动进样器，测试过程无人值守。</w:t>
            </w:r>
          </w:p>
          <w:p w14:paraId="3F55CB2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蒸馏系统</w:t>
            </w:r>
          </w:p>
          <w:p w14:paraId="5D265AB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3.3.1 蒸汽流量可调；</w:t>
            </w:r>
          </w:p>
          <w:p w14:paraId="718C5A4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3.3.2 采用氨残留回收技术，蒸馏结束前可再次自动加碱，以保证管路中氨残留部分自动回收，保证样品的高回收率和结果的准确性；</w:t>
            </w:r>
          </w:p>
          <w:p w14:paraId="4C2A0D2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3.3.3 蒸馏模式：双蒸馏模式可选；</w:t>
            </w:r>
          </w:p>
          <w:p w14:paraId="6B0EA90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3.3.4 蒸馏时间：0—6000S 连续可调；</w:t>
            </w:r>
          </w:p>
          <w:p w14:paraId="6DC9E77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3.3.5 采用金属材质蒸馏发生器，具有压力传感器、温度传感器、温度保护开关、分离式液位监测等多重保护；</w:t>
            </w:r>
          </w:p>
          <w:p w14:paraId="69E7025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3.3.6 具备冷凝水温度检测功能，冷凝充分，保证回收率；</w:t>
            </w:r>
          </w:p>
          <w:p w14:paraId="25A3262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3.3.7 防溅瓶采用耐碱液腐蚀的高分子材质；</w:t>
            </w:r>
          </w:p>
          <w:p w14:paraId="79B7A4B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滴定系统</w:t>
            </w:r>
          </w:p>
          <w:p w14:paraId="31DD923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3.4.1 直线电机微控滴定系统，具备边蒸馏边滴定功能，减少测试时间，提高测试准确性；</w:t>
            </w:r>
          </w:p>
          <w:p w14:paraId="7A04835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3.4.2 采用进口标准25mL滴定管,也可根据需要选配5mL及10mL滴定管，保证实验的准确性；</w:t>
            </w:r>
          </w:p>
          <w:p w14:paraId="2083A81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3.4.3 采用柱塞泵式滴定系统；</w:t>
            </w:r>
          </w:p>
          <w:p w14:paraId="5F6B57B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3.4.4 具备边蒸馏边滴定和变速度变体积滴定技术，减少测试时间，提高测试准确性；</w:t>
            </w:r>
          </w:p>
          <w:p w14:paraId="59AFDBC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3.4.5 滴定颜色设置和微调功能，共三种颜色判定，可支持凯氏定氮各指示剂种类及配比，满足各类标准需要；</w:t>
            </w:r>
          </w:p>
          <w:p w14:paraId="6084B19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3.4.6采用金属冷凝方式，温度传感器置于冷凝瓶冷凝水的出水处，保证馏出液的温度不超过设定温度，保证测试结果的准确性；</w:t>
            </w:r>
          </w:p>
          <w:p w14:paraId="46993EC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自动进样系统</w:t>
            </w:r>
          </w:p>
          <w:p w14:paraId="7A83B85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▲3.5.1进样器容量：≥24位；</w:t>
            </w:r>
          </w:p>
          <w:p w14:paraId="20258D8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3.5.2批次处理：与凯氏定氮仪配合，一次可连续进行24个实验，实现真正无人值守工作。</w:t>
            </w:r>
          </w:p>
          <w:p w14:paraId="2A5A00C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3.5.3转盘速度：≥0.04r/s；</w:t>
            </w:r>
          </w:p>
          <w:p w14:paraId="1D9FAA6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3.5.4</w:t>
            </w:r>
            <w:r>
              <w:rPr>
                <w:rFonts w:hint="eastAsia" w:ascii="宋体" w:hAnsi="宋体" w:eastAsia="宋体" w:cs="宋体"/>
                <w:snapToGrid w:val="0"/>
                <w:color w:val="auto"/>
                <w:spacing w:val="0"/>
                <w:kern w:val="0"/>
                <w:sz w:val="21"/>
                <w:szCs w:val="21"/>
                <w:highlight w:val="none"/>
                <w:lang w:val="en-US" w:eastAsia="zh-CN"/>
              </w:rPr>
              <w:t xml:space="preserve"> </w:t>
            </w:r>
            <w:r>
              <w:rPr>
                <w:rFonts w:hint="eastAsia" w:ascii="宋体" w:hAnsi="宋体" w:eastAsia="宋体" w:cs="宋体"/>
                <w:snapToGrid w:val="0"/>
                <w:color w:val="auto"/>
                <w:spacing w:val="0"/>
                <w:kern w:val="0"/>
                <w:sz w:val="21"/>
                <w:szCs w:val="21"/>
                <w:highlight w:val="none"/>
              </w:rPr>
              <w:t>消化管顶杆顶出速度：≥40mm/s；</w:t>
            </w:r>
          </w:p>
          <w:p w14:paraId="0FFECBD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3.5.5</w:t>
            </w:r>
            <w:r>
              <w:rPr>
                <w:rFonts w:hint="eastAsia" w:ascii="宋体" w:hAnsi="宋体" w:eastAsia="宋体" w:cs="宋体"/>
                <w:snapToGrid w:val="0"/>
                <w:color w:val="auto"/>
                <w:spacing w:val="0"/>
                <w:kern w:val="0"/>
                <w:sz w:val="21"/>
                <w:szCs w:val="21"/>
                <w:highlight w:val="none"/>
                <w:lang w:val="en-US" w:eastAsia="zh-CN"/>
              </w:rPr>
              <w:t xml:space="preserve"> </w:t>
            </w:r>
            <w:r>
              <w:rPr>
                <w:rFonts w:hint="eastAsia" w:ascii="宋体" w:hAnsi="宋体" w:eastAsia="宋体" w:cs="宋体"/>
                <w:snapToGrid w:val="0"/>
                <w:color w:val="auto"/>
                <w:spacing w:val="0"/>
                <w:kern w:val="0"/>
                <w:sz w:val="21"/>
                <w:szCs w:val="21"/>
                <w:highlight w:val="none"/>
              </w:rPr>
              <w:t>进样器内置溶液桶容积：4个</w:t>
            </w: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lang w:val="en-US" w:eastAsia="zh-CN"/>
              </w:rPr>
              <w:t>每个容积</w:t>
            </w:r>
            <w:r>
              <w:rPr>
                <w:rFonts w:hint="eastAsia" w:ascii="宋体" w:hAnsi="宋体" w:eastAsia="宋体" w:cs="宋体"/>
                <w:snapToGrid w:val="0"/>
                <w:color w:val="auto"/>
                <w:spacing w:val="0"/>
                <w:kern w:val="0"/>
                <w:sz w:val="21"/>
                <w:szCs w:val="21"/>
                <w:highlight w:val="none"/>
              </w:rPr>
              <w:t>15L溶液桶；</w:t>
            </w:r>
          </w:p>
          <w:p w14:paraId="6522FB0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▲3.5.6</w:t>
            </w:r>
            <w:r>
              <w:rPr>
                <w:rFonts w:hint="eastAsia" w:ascii="宋体" w:hAnsi="宋体" w:eastAsia="宋体" w:cs="宋体"/>
                <w:snapToGrid w:val="0"/>
                <w:color w:val="auto"/>
                <w:spacing w:val="0"/>
                <w:kern w:val="0"/>
                <w:sz w:val="21"/>
                <w:szCs w:val="21"/>
                <w:highlight w:val="none"/>
                <w:lang w:val="en-US" w:eastAsia="zh-CN"/>
              </w:rPr>
              <w:t xml:space="preserve"> </w:t>
            </w:r>
            <w:r>
              <w:rPr>
                <w:rFonts w:hint="eastAsia" w:ascii="宋体" w:hAnsi="宋体" w:eastAsia="宋体" w:cs="宋体"/>
                <w:snapToGrid w:val="0"/>
                <w:color w:val="auto"/>
                <w:spacing w:val="0"/>
                <w:kern w:val="0"/>
                <w:sz w:val="21"/>
                <w:szCs w:val="21"/>
                <w:highlight w:val="none"/>
              </w:rPr>
              <w:t>消化管上升位置由双传感器共同控制，保证消化管位置的准确性；</w:t>
            </w:r>
          </w:p>
          <w:p w14:paraId="1BFF975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3.5.7电源：24VDC，可直</w:t>
            </w:r>
            <w:r>
              <w:rPr>
                <w:rFonts w:hint="eastAsia" w:ascii="宋体" w:hAnsi="宋体" w:eastAsia="宋体" w:cs="宋体"/>
                <w:snapToGrid w:val="0"/>
                <w:color w:val="auto"/>
                <w:spacing w:val="0"/>
                <w:kern w:val="0"/>
                <w:sz w:val="21"/>
                <w:szCs w:val="21"/>
                <w:highlight w:val="none"/>
                <w:lang w:eastAsia="zh-CN"/>
              </w:rPr>
              <w:t>接与</w:t>
            </w:r>
            <w:r>
              <w:rPr>
                <w:rFonts w:hint="eastAsia" w:ascii="宋体" w:hAnsi="宋体" w:eastAsia="宋体" w:cs="宋体"/>
                <w:snapToGrid w:val="0"/>
                <w:color w:val="auto"/>
                <w:spacing w:val="0"/>
                <w:kern w:val="0"/>
                <w:sz w:val="21"/>
                <w:szCs w:val="21"/>
                <w:highlight w:val="none"/>
              </w:rPr>
              <w:t>凯氏定氮仪连接，无需其他外界电源；</w:t>
            </w:r>
          </w:p>
          <w:p w14:paraId="00A549F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3.5.8额定功率：40W；</w:t>
            </w:r>
          </w:p>
          <w:p w14:paraId="3B0CA30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3.5.9接口：CAN；</w:t>
            </w:r>
          </w:p>
          <w:p w14:paraId="77EB8C8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其他安全保障</w:t>
            </w:r>
          </w:p>
          <w:p w14:paraId="4E37820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3.6.1 具备安全门自动监测、消化管在位监测、溶液桶液位监测、接收杯溢出监测、进样器监测；</w:t>
            </w:r>
          </w:p>
          <w:p w14:paraId="7148079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石墨消解系统</w:t>
            </w:r>
          </w:p>
          <w:p w14:paraId="441F6C7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 石墨消解仪功能参数</w:t>
            </w:r>
          </w:p>
          <w:p w14:paraId="2ED5AFB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5.1 消化能力： ≥20个样品；</w:t>
            </w:r>
          </w:p>
          <w:p w14:paraId="76037BD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5.2 加热方式：采用红外一体式加热及高纯石墨传导；</w:t>
            </w:r>
          </w:p>
          <w:p w14:paraId="2771859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5.3 控温方式：PID 控温；嵌入式软件控温技术；</w:t>
            </w:r>
          </w:p>
          <w:p w14:paraId="01266A3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5.4 控温范围:室温+5℃～450℃（从室温到400℃≤25 分钟）；</w:t>
            </w:r>
          </w:p>
          <w:p w14:paraId="60E0842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5.5 升温计时方式：消解开始计时或达至设定温度计时两种可选；</w:t>
            </w:r>
          </w:p>
          <w:p w14:paraId="2B34A9D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5.6 显示系统：</w:t>
            </w:r>
            <w:r>
              <w:rPr>
                <w:rFonts w:hint="eastAsia" w:ascii="宋体" w:hAnsi="宋体" w:eastAsia="宋体"/>
                <w:snapToGrid w:val="0"/>
                <w:color w:val="auto"/>
                <w:kern w:val="0"/>
                <w:szCs w:val="21"/>
                <w:highlight w:val="none"/>
              </w:rPr>
              <w:t>≥</w:t>
            </w:r>
            <w:r>
              <w:rPr>
                <w:rFonts w:hint="eastAsia" w:ascii="宋体" w:hAnsi="宋体" w:eastAsia="宋体" w:cs="宋体"/>
                <w:snapToGrid w:val="0"/>
                <w:color w:val="auto"/>
                <w:spacing w:val="0"/>
                <w:kern w:val="0"/>
                <w:sz w:val="21"/>
                <w:szCs w:val="21"/>
                <w:highlight w:val="none"/>
              </w:rPr>
              <w:t>4.3寸真彩液晶显示屏；</w:t>
            </w:r>
          </w:p>
          <w:p w14:paraId="7641FAB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5.7 隔热方式：陶瓷及风道隔热；</w:t>
            </w:r>
          </w:p>
          <w:p w14:paraId="3D1B1FA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5.8 控温精度：±1℃；</w:t>
            </w:r>
          </w:p>
          <w:p w14:paraId="5B3DC41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5.9 消化管容量：</w:t>
            </w:r>
            <w:r>
              <w:rPr>
                <w:rFonts w:hint="eastAsia" w:ascii="宋体" w:hAnsi="宋体" w:eastAsia="宋体"/>
                <w:snapToGrid w:val="0"/>
                <w:color w:val="auto"/>
                <w:kern w:val="0"/>
                <w:szCs w:val="21"/>
                <w:highlight w:val="none"/>
              </w:rPr>
              <w:t>≥</w:t>
            </w:r>
            <w:r>
              <w:rPr>
                <w:rFonts w:hint="eastAsia" w:ascii="宋体" w:hAnsi="宋体" w:eastAsia="宋体" w:cs="宋体"/>
                <w:snapToGrid w:val="0"/>
                <w:color w:val="auto"/>
                <w:spacing w:val="0"/>
                <w:kern w:val="0"/>
                <w:sz w:val="21"/>
                <w:szCs w:val="21"/>
                <w:highlight w:val="none"/>
              </w:rPr>
              <w:t>300ml（满容量水，20℃）</w:t>
            </w:r>
          </w:p>
          <w:p w14:paraId="53413BA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5.10 表面外壳需喷涂特氟龙涂层，防止消解过程中产生的酸气或酸液对仪器的腐蚀；</w:t>
            </w:r>
          </w:p>
          <w:p w14:paraId="5D3B9EC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5.11 自动检测加热单元工作故障并可判断出故障模块，便于维护；</w:t>
            </w:r>
          </w:p>
          <w:p w14:paraId="1B86D63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5.12具备过压、过流、过热报警，故障自动报警功能；</w:t>
            </w:r>
          </w:p>
          <w:p w14:paraId="400C035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5.13  具备导流槽结构，防止酸液腐蚀仪器；</w:t>
            </w:r>
          </w:p>
          <w:p w14:paraId="08D229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5.14石墨表面处理方式：要求采用气相沉积技术，防止石墨高温氧化。</w:t>
            </w:r>
          </w:p>
          <w:p w14:paraId="77E77EB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6.</w:t>
            </w:r>
            <w:r>
              <w:rPr>
                <w:rFonts w:hint="eastAsia" w:ascii="宋体" w:hAnsi="宋体" w:eastAsia="宋体" w:cs="宋体"/>
                <w:snapToGrid w:val="0"/>
                <w:color w:val="auto"/>
                <w:spacing w:val="0"/>
                <w:kern w:val="0"/>
                <w:sz w:val="21"/>
                <w:szCs w:val="21"/>
                <w:highlight w:val="none"/>
              </w:rPr>
              <w:t>消解排废系统</w:t>
            </w:r>
          </w:p>
          <w:p w14:paraId="481FACA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6.1 PFA密封盖废气收集罩，防腐耐温；</w:t>
            </w:r>
          </w:p>
          <w:p w14:paraId="138767B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6.2 具备滴盘设计，防止消解结束酸液滴落污损实验台；</w:t>
            </w:r>
          </w:p>
          <w:p w14:paraId="27B2AE8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7、万分之一天平：</w:t>
            </w:r>
          </w:p>
          <w:p w14:paraId="50041D3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7.1 </w:t>
            </w:r>
            <w:r>
              <w:rPr>
                <w:rFonts w:hint="eastAsia" w:ascii="宋体" w:hAnsi="宋体" w:eastAsia="宋体" w:cs="宋体"/>
                <w:snapToGrid w:val="0"/>
                <w:color w:val="auto"/>
                <w:spacing w:val="0"/>
                <w:kern w:val="0"/>
                <w:sz w:val="21"/>
                <w:szCs w:val="21"/>
                <w:highlight w:val="none"/>
              </w:rPr>
              <w:t>称量范围：0-220g</w:t>
            </w:r>
          </w:p>
          <w:p w14:paraId="1AE9A61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7.2</w:t>
            </w:r>
            <w:r>
              <w:rPr>
                <w:rFonts w:hint="eastAsia" w:ascii="宋体" w:hAnsi="宋体" w:eastAsia="宋体" w:cs="宋体"/>
                <w:snapToGrid w:val="0"/>
                <w:color w:val="auto"/>
                <w:spacing w:val="0"/>
                <w:kern w:val="0"/>
                <w:sz w:val="21"/>
                <w:szCs w:val="21"/>
                <w:highlight w:val="none"/>
              </w:rPr>
              <w:t>精度0.1mg/1mg/0.01g/0.1g/1g（可调）</w:t>
            </w:r>
          </w:p>
          <w:p w14:paraId="4117ADF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7.3</w:t>
            </w:r>
            <w:r>
              <w:rPr>
                <w:rFonts w:hint="eastAsia" w:ascii="宋体" w:hAnsi="宋体" w:eastAsia="宋体" w:cs="宋体"/>
                <w:snapToGrid w:val="0"/>
                <w:color w:val="auto"/>
                <w:spacing w:val="0"/>
                <w:kern w:val="0"/>
                <w:sz w:val="21"/>
                <w:szCs w:val="21"/>
                <w:highlight w:val="none"/>
              </w:rPr>
              <w:t>重复性：±0.1mg</w:t>
            </w:r>
          </w:p>
          <w:p w14:paraId="25923BB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7.4</w:t>
            </w:r>
            <w:r>
              <w:rPr>
                <w:rFonts w:hint="eastAsia" w:ascii="宋体" w:hAnsi="宋体" w:eastAsia="宋体" w:cs="宋体"/>
                <w:snapToGrid w:val="0"/>
                <w:color w:val="auto"/>
                <w:spacing w:val="0"/>
                <w:kern w:val="0"/>
                <w:sz w:val="21"/>
                <w:szCs w:val="21"/>
                <w:highlight w:val="none"/>
              </w:rPr>
              <w:t>示值误差：±0.1mg</w:t>
            </w:r>
          </w:p>
          <w:p w14:paraId="33ABC90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7.5</w:t>
            </w:r>
            <w:r>
              <w:rPr>
                <w:rFonts w:hint="eastAsia" w:ascii="宋体" w:hAnsi="宋体" w:eastAsia="宋体" w:cs="宋体"/>
                <w:snapToGrid w:val="0"/>
                <w:color w:val="auto"/>
                <w:spacing w:val="0"/>
                <w:kern w:val="0"/>
                <w:sz w:val="21"/>
                <w:szCs w:val="21"/>
                <w:highlight w:val="none"/>
              </w:rPr>
              <w:t>线性误差：±0.2mg</w:t>
            </w:r>
          </w:p>
          <w:p w14:paraId="60E49C0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7.6</w:t>
            </w:r>
            <w:r>
              <w:rPr>
                <w:rFonts w:hint="eastAsia" w:ascii="宋体" w:hAnsi="宋体" w:eastAsia="宋体" w:cs="宋体"/>
                <w:snapToGrid w:val="0"/>
                <w:color w:val="auto"/>
                <w:spacing w:val="0"/>
                <w:kern w:val="0"/>
                <w:sz w:val="21"/>
                <w:szCs w:val="21"/>
                <w:highlight w:val="none"/>
              </w:rPr>
              <w:t>准确级别：I级</w:t>
            </w:r>
          </w:p>
          <w:p w14:paraId="3CF1AC7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7.7</w:t>
            </w:r>
            <w:r>
              <w:rPr>
                <w:rFonts w:hint="eastAsia" w:ascii="宋体" w:hAnsi="宋体" w:eastAsia="宋体" w:cs="宋体"/>
                <w:snapToGrid w:val="0"/>
                <w:color w:val="auto"/>
                <w:spacing w:val="0"/>
                <w:kern w:val="0"/>
                <w:sz w:val="21"/>
                <w:szCs w:val="21"/>
                <w:highlight w:val="none"/>
              </w:rPr>
              <w:t>稳定时间：2s/4s（可选）</w:t>
            </w:r>
          </w:p>
          <w:p w14:paraId="5C81676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7.8</w:t>
            </w:r>
            <w:r>
              <w:rPr>
                <w:rFonts w:hint="eastAsia" w:ascii="宋体" w:hAnsi="宋体" w:eastAsia="宋体" w:cs="宋体"/>
                <w:snapToGrid w:val="0"/>
                <w:color w:val="auto"/>
                <w:spacing w:val="0"/>
                <w:kern w:val="0"/>
                <w:sz w:val="21"/>
                <w:szCs w:val="21"/>
                <w:highlight w:val="none"/>
              </w:rPr>
              <w:t>称量单位：g、kg、mg、oz、ozt、gr、ct、lb、q、dwt、lt、dr、N（可选）</w:t>
            </w:r>
          </w:p>
          <w:p w14:paraId="546B345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7.9</w:t>
            </w:r>
            <w:r>
              <w:rPr>
                <w:rFonts w:hint="eastAsia" w:ascii="宋体" w:hAnsi="宋体" w:eastAsia="宋体" w:cs="宋体"/>
                <w:snapToGrid w:val="0"/>
                <w:color w:val="auto"/>
                <w:spacing w:val="0"/>
                <w:kern w:val="0"/>
                <w:sz w:val="21"/>
                <w:szCs w:val="21"/>
                <w:highlight w:val="none"/>
              </w:rPr>
              <w:t>秤盘尺寸（mm）：φ85</w:t>
            </w:r>
          </w:p>
          <w:p w14:paraId="25A8C04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7.10</w:t>
            </w:r>
            <w:r>
              <w:rPr>
                <w:rFonts w:hint="eastAsia" w:ascii="宋体" w:hAnsi="宋体" w:eastAsia="宋体" w:cs="宋体"/>
                <w:snapToGrid w:val="0"/>
                <w:color w:val="auto"/>
                <w:spacing w:val="0"/>
                <w:kern w:val="0"/>
                <w:sz w:val="21"/>
                <w:szCs w:val="21"/>
                <w:highlight w:val="none"/>
              </w:rPr>
              <w:t>称重模式：称重、计数、百分比、 检重、密度称量、动物称量</w:t>
            </w:r>
          </w:p>
          <w:p w14:paraId="2AF8D10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7.11</w:t>
            </w:r>
            <w:r>
              <w:rPr>
                <w:rFonts w:hint="eastAsia" w:ascii="宋体" w:hAnsi="宋体" w:eastAsia="宋体" w:cs="宋体"/>
                <w:snapToGrid w:val="0"/>
                <w:color w:val="auto"/>
                <w:spacing w:val="0"/>
                <w:kern w:val="0"/>
                <w:sz w:val="21"/>
                <w:szCs w:val="21"/>
                <w:highlight w:val="none"/>
              </w:rPr>
              <w:t>数据储存：实时</w:t>
            </w:r>
            <w:r>
              <w:rPr>
                <w:rFonts w:hint="eastAsia" w:ascii="宋体" w:hAnsi="宋体" w:eastAsia="宋体" w:cs="宋体"/>
                <w:snapToGrid w:val="0"/>
                <w:color w:val="auto"/>
                <w:spacing w:val="0"/>
                <w:kern w:val="0"/>
                <w:sz w:val="21"/>
                <w:szCs w:val="21"/>
                <w:highlight w:val="none"/>
                <w:lang w:eastAsia="zh-CN"/>
              </w:rPr>
              <w:t>显示</w:t>
            </w:r>
            <w:r>
              <w:rPr>
                <w:rFonts w:hint="eastAsia" w:ascii="宋体" w:hAnsi="宋体" w:eastAsia="宋体" w:cs="宋体"/>
                <w:snapToGrid w:val="0"/>
                <w:color w:val="auto"/>
                <w:spacing w:val="0"/>
                <w:kern w:val="0"/>
                <w:sz w:val="21"/>
                <w:szCs w:val="21"/>
                <w:highlight w:val="none"/>
              </w:rPr>
              <w:t>称量曲线，自动保存实时称量数据</w:t>
            </w:r>
          </w:p>
          <w:p w14:paraId="64FDF6C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7.12</w:t>
            </w:r>
            <w:r>
              <w:rPr>
                <w:rFonts w:hint="eastAsia" w:ascii="宋体" w:hAnsi="宋体" w:eastAsia="宋体" w:cs="宋体"/>
                <w:snapToGrid w:val="0"/>
                <w:color w:val="auto"/>
                <w:spacing w:val="0"/>
                <w:kern w:val="0"/>
                <w:sz w:val="21"/>
                <w:szCs w:val="21"/>
                <w:highlight w:val="none"/>
              </w:rPr>
              <w:t>通讯方式：PC、APP、微信小程序、物联网平台、蓝牙5.0、USB接口、RS-232通讯端口</w:t>
            </w:r>
          </w:p>
          <w:p w14:paraId="50FEF96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7.13</w:t>
            </w:r>
            <w:r>
              <w:rPr>
                <w:rFonts w:hint="eastAsia" w:ascii="宋体" w:hAnsi="宋体" w:eastAsia="宋体" w:cs="宋体"/>
                <w:snapToGrid w:val="0"/>
                <w:color w:val="auto"/>
                <w:spacing w:val="0"/>
                <w:kern w:val="0"/>
                <w:sz w:val="21"/>
                <w:szCs w:val="21"/>
                <w:highlight w:val="none"/>
              </w:rPr>
              <w:t>符合GLP规范：具有审计追踪、密码保护、用户管理、权限设置、操作日志等功能</w:t>
            </w:r>
          </w:p>
          <w:p w14:paraId="5F60E4D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7.14</w:t>
            </w:r>
            <w:r>
              <w:rPr>
                <w:rFonts w:hint="eastAsia" w:ascii="宋体" w:hAnsi="宋体" w:eastAsia="宋体" w:cs="宋体"/>
                <w:snapToGrid w:val="0"/>
                <w:color w:val="auto"/>
                <w:spacing w:val="0"/>
                <w:kern w:val="0"/>
                <w:sz w:val="21"/>
                <w:szCs w:val="21"/>
                <w:highlight w:val="none"/>
              </w:rPr>
              <w:t>辅助功能：电子水平泡、静电消除组件</w:t>
            </w:r>
          </w:p>
          <w:p w14:paraId="306F2CF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净重：</w:t>
            </w:r>
            <w:r>
              <w:rPr>
                <w:rFonts w:hint="eastAsia" w:ascii="宋体" w:hAnsi="宋体" w:eastAsia="宋体" w:cs="宋体"/>
                <w:snapToGrid w:val="0"/>
                <w:color w:val="auto"/>
                <w:spacing w:val="0"/>
                <w:kern w:val="0"/>
                <w:sz w:val="21"/>
                <w:szCs w:val="21"/>
                <w:highlight w:val="none"/>
                <w:lang w:val="en-US" w:eastAsia="zh-CN"/>
              </w:rPr>
              <w:t>约</w:t>
            </w:r>
            <w:r>
              <w:rPr>
                <w:rFonts w:hint="eastAsia" w:ascii="宋体" w:hAnsi="宋体" w:eastAsia="宋体" w:cs="宋体"/>
                <w:snapToGrid w:val="0"/>
                <w:color w:val="auto"/>
                <w:spacing w:val="0"/>
                <w:kern w:val="0"/>
                <w:sz w:val="21"/>
                <w:szCs w:val="21"/>
                <w:highlight w:val="none"/>
              </w:rPr>
              <w:t>7.8kg</w:t>
            </w:r>
          </w:p>
          <w:p w14:paraId="3DCFC7C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7.15</w:t>
            </w:r>
            <w:r>
              <w:rPr>
                <w:rFonts w:hint="eastAsia" w:ascii="宋体" w:hAnsi="宋体" w:eastAsia="宋体" w:cs="宋体"/>
                <w:snapToGrid w:val="0"/>
                <w:color w:val="auto"/>
                <w:spacing w:val="0"/>
                <w:kern w:val="0"/>
                <w:sz w:val="21"/>
                <w:szCs w:val="21"/>
                <w:highlight w:val="none"/>
              </w:rPr>
              <w:t>外形尺寸（mm）：</w:t>
            </w:r>
            <w:r>
              <w:rPr>
                <w:rFonts w:hint="eastAsia" w:ascii="宋体" w:hAnsi="宋体" w:eastAsia="宋体" w:cs="宋体"/>
                <w:snapToGrid w:val="0"/>
                <w:color w:val="auto"/>
                <w:spacing w:val="0"/>
                <w:kern w:val="0"/>
                <w:sz w:val="21"/>
                <w:szCs w:val="21"/>
                <w:highlight w:val="none"/>
                <w:lang w:val="en-US" w:eastAsia="zh-CN"/>
              </w:rPr>
              <w:t>约</w:t>
            </w:r>
            <w:r>
              <w:rPr>
                <w:rFonts w:hint="eastAsia" w:ascii="宋体" w:hAnsi="宋体" w:eastAsia="宋体" w:cs="宋体"/>
                <w:snapToGrid w:val="0"/>
                <w:color w:val="auto"/>
                <w:spacing w:val="0"/>
                <w:kern w:val="0"/>
                <w:sz w:val="21"/>
                <w:szCs w:val="21"/>
                <w:highlight w:val="none"/>
              </w:rPr>
              <w:t>365×215×330</w:t>
            </w:r>
          </w:p>
          <w:p w14:paraId="4C15995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7.16</w:t>
            </w:r>
            <w:r>
              <w:rPr>
                <w:rFonts w:hint="eastAsia" w:ascii="宋体" w:hAnsi="宋体" w:eastAsia="宋体" w:cs="宋体"/>
                <w:snapToGrid w:val="0"/>
                <w:color w:val="auto"/>
                <w:spacing w:val="0"/>
                <w:kern w:val="0"/>
                <w:sz w:val="21"/>
                <w:szCs w:val="21"/>
                <w:highlight w:val="none"/>
              </w:rPr>
              <w:t>校准方式：内部校准</w:t>
            </w:r>
          </w:p>
          <w:p w14:paraId="58B1225D">
            <w:pPr>
              <w:numPr>
                <w:ilvl w:val="-1"/>
                <w:numId w:val="0"/>
              </w:numPr>
              <w:kinsoku w:val="0"/>
              <w:wordWrap/>
              <w:autoSpaceDE w:val="0"/>
              <w:autoSpaceDN w:val="0"/>
              <w:adjustRightInd w:val="0"/>
              <w:snapToGrid w:val="0"/>
              <w:spacing w:line="240" w:lineRule="auto"/>
              <w:jc w:val="left"/>
              <w:textAlignment w:val="baseline"/>
              <w:rPr>
                <w:rFonts w:hint="eastAsia" w:ascii="宋体" w:hAnsi="宋体" w:eastAsia="宋体" w:cs="宋体"/>
                <w:b/>
                <w:bCs/>
                <w:snapToGrid w:val="0"/>
                <w:color w:val="auto"/>
                <w:spacing w:val="0"/>
                <w:kern w:val="0"/>
                <w:sz w:val="21"/>
                <w:szCs w:val="21"/>
                <w:highlight w:val="none"/>
              </w:rPr>
            </w:pPr>
            <w:r>
              <w:rPr>
                <w:rFonts w:hint="eastAsia" w:ascii="宋体" w:hAnsi="宋体" w:eastAsia="宋体" w:cs="宋体"/>
                <w:b/>
                <w:bCs/>
                <w:snapToGrid w:val="0"/>
                <w:color w:val="auto"/>
                <w:spacing w:val="0"/>
                <w:kern w:val="0"/>
                <w:sz w:val="21"/>
                <w:szCs w:val="21"/>
                <w:highlight w:val="none"/>
              </w:rPr>
              <w:t>样品研磨仪：</w:t>
            </w:r>
          </w:p>
          <w:p w14:paraId="42F4C73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8.1 </w:t>
            </w:r>
            <w:r>
              <w:rPr>
                <w:rFonts w:hint="eastAsia" w:ascii="宋体" w:hAnsi="宋体" w:eastAsia="宋体" w:cs="宋体"/>
                <w:snapToGrid w:val="0"/>
                <w:color w:val="auto"/>
                <w:spacing w:val="0"/>
                <w:kern w:val="0"/>
                <w:sz w:val="21"/>
                <w:szCs w:val="21"/>
                <w:highlight w:val="none"/>
              </w:rPr>
              <w:t>最大处理量同时可以处理24个样品。包括可适配12位和24位的液氮冷冻适配器.</w:t>
            </w:r>
          </w:p>
          <w:p w14:paraId="3F7D7D8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8.2 </w:t>
            </w:r>
            <w:r>
              <w:rPr>
                <w:rFonts w:hint="eastAsia" w:ascii="宋体" w:hAnsi="宋体" w:eastAsia="宋体" w:cs="宋体"/>
                <w:snapToGrid w:val="0"/>
                <w:color w:val="auto"/>
                <w:spacing w:val="0"/>
                <w:kern w:val="0"/>
                <w:sz w:val="21"/>
                <w:szCs w:val="21"/>
                <w:highlight w:val="none"/>
              </w:rPr>
              <w:t>可以同时处理 24 个 2ml 研磨管,和 12 个 5ml 研磨管，8 个（7-15）ML 研磨管, 2*25ml，2 *50ML 可以任意定做各种规格研磨管。</w:t>
            </w:r>
          </w:p>
          <w:p w14:paraId="6618843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8.3 </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snapToGrid w:val="0"/>
                <w:color w:val="auto"/>
                <w:spacing w:val="0"/>
                <w:kern w:val="0"/>
                <w:sz w:val="21"/>
                <w:szCs w:val="21"/>
                <w:highlight w:val="none"/>
              </w:rPr>
              <w:t>7寸LCD触摸屏,可对研磨时间、转子振动频率等参数进行设置，数据自动记录，</w:t>
            </w:r>
          </w:p>
          <w:p w14:paraId="5085188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8.4 </w:t>
            </w:r>
            <w:r>
              <w:rPr>
                <w:rFonts w:hint="eastAsia" w:ascii="宋体" w:hAnsi="宋体" w:eastAsia="宋体" w:cs="宋体"/>
                <w:snapToGrid w:val="0"/>
                <w:color w:val="auto"/>
                <w:spacing w:val="0"/>
                <w:kern w:val="0"/>
                <w:sz w:val="21"/>
                <w:szCs w:val="21"/>
                <w:highlight w:val="none"/>
              </w:rPr>
              <w:t>工作方式：研磨仪工作方式，创新防震原理，以及垂直上下运行方式，创新的研磨珠运行方式，保证样品处理的理想化和瞬间的粉碎效果</w:t>
            </w:r>
          </w:p>
          <w:p w14:paraId="1C50BBB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8.5 </w:t>
            </w:r>
            <w:r>
              <w:rPr>
                <w:rFonts w:hint="eastAsia" w:ascii="宋体" w:hAnsi="宋体" w:eastAsia="宋体" w:cs="宋体"/>
                <w:snapToGrid w:val="0"/>
                <w:color w:val="auto"/>
                <w:spacing w:val="0"/>
                <w:kern w:val="0"/>
                <w:sz w:val="21"/>
                <w:szCs w:val="21"/>
                <w:highlight w:val="none"/>
              </w:rPr>
              <w:t>最大进料尺寸：无要求，根据适配器调节.最终出料粒度：~5µm。</w:t>
            </w:r>
          </w:p>
          <w:p w14:paraId="170B8E4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8.6 </w:t>
            </w:r>
            <w:r>
              <w:rPr>
                <w:rFonts w:hint="eastAsia" w:ascii="宋体" w:hAnsi="宋体" w:eastAsia="宋体" w:cs="宋体"/>
                <w:snapToGrid w:val="0"/>
                <w:color w:val="auto"/>
                <w:spacing w:val="0"/>
                <w:kern w:val="0"/>
                <w:sz w:val="21"/>
                <w:szCs w:val="21"/>
                <w:highlight w:val="none"/>
              </w:rPr>
              <w:t>全金属机身，提高整机的稳定性和安全性，机仓配备降音装置，静音无干扰。</w:t>
            </w:r>
          </w:p>
          <w:p w14:paraId="2973747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8.7 </w:t>
            </w:r>
            <w:r>
              <w:rPr>
                <w:rFonts w:hint="eastAsia" w:ascii="宋体" w:hAnsi="宋体" w:eastAsia="宋体" w:cs="宋体"/>
                <w:snapToGrid w:val="0"/>
                <w:color w:val="auto"/>
                <w:spacing w:val="0"/>
                <w:kern w:val="0"/>
                <w:sz w:val="21"/>
                <w:szCs w:val="21"/>
                <w:highlight w:val="none"/>
              </w:rPr>
              <w:t>研磨平台数 (可接纳研磨罐数) &gt;2 。</w:t>
            </w:r>
          </w:p>
          <w:p w14:paraId="063617C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8.8 </w:t>
            </w:r>
            <w:r>
              <w:rPr>
                <w:rFonts w:hint="eastAsia" w:ascii="宋体" w:hAnsi="宋体" w:eastAsia="宋体" w:cs="宋体"/>
                <w:snapToGrid w:val="0"/>
                <w:color w:val="auto"/>
                <w:spacing w:val="0"/>
                <w:kern w:val="0"/>
                <w:sz w:val="21"/>
                <w:szCs w:val="21"/>
                <w:highlight w:val="none"/>
              </w:rPr>
              <w:t>带自动中心定位的紧固装置： 是。</w:t>
            </w:r>
          </w:p>
          <w:p w14:paraId="2BDB4B6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8.9 </w:t>
            </w:r>
            <w:r>
              <w:rPr>
                <w:rFonts w:hint="eastAsia" w:ascii="宋体" w:hAnsi="宋体" w:eastAsia="宋体" w:cs="宋体"/>
                <w:snapToGrid w:val="0"/>
                <w:color w:val="auto"/>
                <w:spacing w:val="0"/>
                <w:kern w:val="0"/>
                <w:sz w:val="21"/>
                <w:szCs w:val="21"/>
                <w:highlight w:val="none"/>
              </w:rPr>
              <w:t>均质速度： 0—70 HZ/秒,工作时间 ：0秒-9999秒，用户可自行设定。</w:t>
            </w:r>
          </w:p>
          <w:p w14:paraId="579331D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8.10 </w:t>
            </w:r>
            <w:r>
              <w:rPr>
                <w:rFonts w:hint="eastAsia" w:ascii="宋体" w:hAnsi="宋体" w:eastAsia="宋体" w:cs="宋体"/>
                <w:snapToGrid w:val="0"/>
                <w:color w:val="auto"/>
                <w:spacing w:val="0"/>
                <w:kern w:val="0"/>
                <w:sz w:val="21"/>
                <w:szCs w:val="21"/>
                <w:highlight w:val="none"/>
              </w:rPr>
              <w:t>固定研磨管的部分，采用了“简便式试管压紧”技术，降低破管的风险，再配以可靠的压紧技术对于高强度的研磨工作，能保证研磨管的完整度高于99.99%.</w:t>
            </w:r>
          </w:p>
          <w:p w14:paraId="51C80C7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8.11 </w:t>
            </w:r>
            <w:r>
              <w:rPr>
                <w:rFonts w:hint="eastAsia" w:ascii="宋体" w:hAnsi="宋体" w:eastAsia="宋体" w:cs="宋体"/>
                <w:snapToGrid w:val="0"/>
                <w:color w:val="auto"/>
                <w:spacing w:val="0"/>
                <w:kern w:val="0"/>
                <w:sz w:val="21"/>
                <w:szCs w:val="21"/>
                <w:highlight w:val="none"/>
              </w:rPr>
              <w:t>研磨球材料： 合金钢、铬钢、氧化锆、碳化钨、石英砂。研磨球直径： 0.1-30mm。</w:t>
            </w:r>
          </w:p>
          <w:p w14:paraId="43016C9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8.12 </w:t>
            </w:r>
            <w:r>
              <w:rPr>
                <w:rFonts w:hint="eastAsia" w:ascii="宋体" w:hAnsi="宋体" w:eastAsia="宋体" w:cs="宋体"/>
                <w:snapToGrid w:val="0"/>
                <w:color w:val="auto"/>
                <w:spacing w:val="0"/>
                <w:kern w:val="0"/>
                <w:sz w:val="21"/>
                <w:szCs w:val="21"/>
                <w:highlight w:val="none"/>
              </w:rPr>
              <w:t>加速： 在2秒内达到最大速度。减速： 在2秒内达到最低速度。</w:t>
            </w:r>
          </w:p>
          <w:p w14:paraId="6806AAA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8.13 </w:t>
            </w:r>
            <w:r>
              <w:rPr>
                <w:rFonts w:hint="eastAsia" w:ascii="宋体" w:hAnsi="宋体" w:eastAsia="宋体" w:cs="宋体"/>
                <w:snapToGrid w:val="0"/>
                <w:color w:val="auto"/>
                <w:spacing w:val="0"/>
                <w:kern w:val="0"/>
                <w:sz w:val="21"/>
                <w:szCs w:val="21"/>
                <w:highlight w:val="none"/>
              </w:rPr>
              <w:t>采用“多种物质粉碎提取”和“快速研磨功能的细胞粉碎装置”技术，对于将任何来源(包括土壤、植物和动物组织)采用进口原装脉冲式马达驱动发生系统，性能稳定；</w:t>
            </w:r>
          </w:p>
          <w:p w14:paraId="1848F77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8.14 </w:t>
            </w:r>
            <w:r>
              <w:rPr>
                <w:rFonts w:hint="eastAsia" w:ascii="宋体" w:hAnsi="宋体" w:eastAsia="宋体" w:cs="宋体"/>
                <w:snapToGrid w:val="0"/>
                <w:color w:val="auto"/>
                <w:spacing w:val="0"/>
                <w:kern w:val="0"/>
                <w:sz w:val="21"/>
                <w:szCs w:val="21"/>
                <w:highlight w:val="none"/>
              </w:rPr>
              <w:t>具有升级成超低温液氮冷冻或空气制冷的能力。</w:t>
            </w:r>
          </w:p>
          <w:p w14:paraId="6212E970">
            <w:pPr>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spacing w:val="0"/>
                <w:kern w:val="0"/>
                <w:sz w:val="21"/>
                <w:szCs w:val="21"/>
                <w:highlight w:val="none"/>
              </w:rPr>
            </w:pPr>
            <w:r>
              <w:rPr>
                <w:rFonts w:hint="eastAsia" w:ascii="宋体" w:hAnsi="宋体" w:eastAsia="宋体" w:cs="宋体"/>
                <w:b/>
                <w:bCs/>
                <w:snapToGrid w:val="0"/>
                <w:color w:val="auto"/>
                <w:spacing w:val="0"/>
                <w:kern w:val="0"/>
                <w:sz w:val="21"/>
                <w:szCs w:val="21"/>
                <w:highlight w:val="none"/>
              </w:rPr>
              <w:t>9、鼓风干燥箱：</w:t>
            </w:r>
          </w:p>
          <w:p w14:paraId="2C37AD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1）、电源电压：220V  50Hz</w:t>
            </w:r>
          </w:p>
          <w:p w14:paraId="259898D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2）、控温范围：RT +10~300℃</w:t>
            </w:r>
          </w:p>
          <w:p w14:paraId="3C045C0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3）、恒温波动度：±1℃</w:t>
            </w:r>
          </w:p>
          <w:p w14:paraId="514A2A2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4）、温度分辨率：0.1℃</w:t>
            </w:r>
          </w:p>
          <w:p w14:paraId="6AD07DA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5）、工作环境温度：+5~40℃</w:t>
            </w:r>
          </w:p>
          <w:p w14:paraId="68B705A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6）、输入功率：1670W</w:t>
            </w:r>
          </w:p>
          <w:p w14:paraId="4ABC025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7）、内胆尺寸（mm） W×D×H：</w:t>
            </w:r>
            <w:r>
              <w:rPr>
                <w:rFonts w:hint="eastAsia" w:ascii="宋体" w:hAnsi="宋体" w:eastAsia="宋体" w:cs="宋体"/>
                <w:snapToGrid w:val="0"/>
                <w:color w:val="auto"/>
                <w:spacing w:val="0"/>
                <w:kern w:val="0"/>
                <w:sz w:val="21"/>
                <w:szCs w:val="21"/>
                <w:highlight w:val="none"/>
                <w:lang w:val="en-US" w:eastAsia="zh-CN"/>
              </w:rPr>
              <w:t>约</w:t>
            </w:r>
            <w:r>
              <w:rPr>
                <w:rFonts w:hint="eastAsia" w:ascii="宋体" w:hAnsi="宋体" w:eastAsia="宋体" w:cs="宋体"/>
                <w:snapToGrid w:val="0"/>
                <w:color w:val="auto"/>
                <w:spacing w:val="0"/>
                <w:kern w:val="0"/>
                <w:sz w:val="21"/>
                <w:szCs w:val="21"/>
                <w:highlight w:val="none"/>
              </w:rPr>
              <w:t>450×400×450</w:t>
            </w:r>
          </w:p>
          <w:p w14:paraId="2AF3EDC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8）、外形尺寸(mm) W×D×H：</w:t>
            </w:r>
            <w:r>
              <w:rPr>
                <w:rFonts w:hint="eastAsia" w:ascii="宋体" w:hAnsi="宋体" w:eastAsia="宋体" w:cs="宋体"/>
                <w:snapToGrid w:val="0"/>
                <w:color w:val="auto"/>
                <w:spacing w:val="0"/>
                <w:kern w:val="0"/>
                <w:sz w:val="21"/>
                <w:szCs w:val="21"/>
                <w:highlight w:val="none"/>
                <w:lang w:val="en-US" w:eastAsia="zh-CN"/>
              </w:rPr>
              <w:t>约</w:t>
            </w:r>
            <w:r>
              <w:rPr>
                <w:rFonts w:hint="eastAsia" w:ascii="宋体" w:hAnsi="宋体" w:eastAsia="宋体" w:cs="宋体"/>
                <w:snapToGrid w:val="0"/>
                <w:color w:val="auto"/>
                <w:spacing w:val="0"/>
                <w:kern w:val="0"/>
                <w:sz w:val="21"/>
                <w:szCs w:val="21"/>
                <w:highlight w:val="none"/>
              </w:rPr>
              <w:t>740×580×630</w:t>
            </w:r>
          </w:p>
          <w:p w14:paraId="047B8D7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9）、载物托架（标配）：2块(pcs)</w:t>
            </w:r>
          </w:p>
          <w:p w14:paraId="2483294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10）、定时范围：1-9999 minutes</w:t>
            </w:r>
          </w:p>
          <w:p w14:paraId="289F5C5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10、仪器配置清单：</w:t>
            </w:r>
          </w:p>
          <w:p w14:paraId="3CFF7BE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 全自动凯氏定氮仪主机  1台；</w:t>
            </w:r>
          </w:p>
          <w:p w14:paraId="2DF0788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10.2 定氮操作系统软件   1套；</w:t>
            </w:r>
          </w:p>
          <w:p w14:paraId="4E5EDC7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10.3 20孔石墨消解仪  1台；</w:t>
            </w:r>
          </w:p>
          <w:p w14:paraId="46040D4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10.4 300ML消化管   20支；</w:t>
            </w:r>
          </w:p>
          <w:p w14:paraId="634D4DC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10.5 消化管架       2个；</w:t>
            </w:r>
          </w:p>
          <w:p w14:paraId="070C302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10.6 消解排废系统   1个；</w:t>
            </w:r>
          </w:p>
          <w:p w14:paraId="093A54C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10.7 催化剂片  1箱（1000片）；</w:t>
            </w:r>
          </w:p>
          <w:p w14:paraId="0C3E3D4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10.8 密封消化管  10支；</w:t>
            </w:r>
          </w:p>
          <w:p w14:paraId="21AE23F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10.9 24位自动进样器  1台；</w:t>
            </w:r>
          </w:p>
          <w:p w14:paraId="1C74230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10.10 万分之一电子天平 1台；</w:t>
            </w:r>
          </w:p>
          <w:p w14:paraId="5269E43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10.11 样品研磨仪 1台；</w:t>
            </w:r>
          </w:p>
          <w:p w14:paraId="1F770E4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10.12 鼓风干燥箱  1台；</w:t>
            </w:r>
          </w:p>
          <w:p w14:paraId="41F9528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10.13 土壤筛(10目、60目)  3套；</w:t>
            </w:r>
          </w:p>
          <w:p w14:paraId="08C3CB3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10.14 扩散皿  5个；</w:t>
            </w:r>
          </w:p>
          <w:p w14:paraId="68AC839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10.15 移液管 5ml和10ml各2支；</w:t>
            </w:r>
          </w:p>
          <w:p w14:paraId="3BB7D90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10.16 滴定管  5ml 2支；</w:t>
            </w:r>
          </w:p>
          <w:p w14:paraId="6060B220">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snapToGrid w:val="0"/>
                <w:color w:val="auto"/>
                <w:spacing w:val="0"/>
                <w:kern w:val="0"/>
                <w:sz w:val="21"/>
                <w:szCs w:val="21"/>
                <w:highlight w:val="none"/>
              </w:rPr>
              <w:t>10.17 恒温培养箱 50L左右。</w:t>
            </w:r>
          </w:p>
        </w:tc>
        <w:tc>
          <w:tcPr>
            <w:tcW w:w="276" w:type="pct"/>
            <w:shd w:val="clear" w:color="auto" w:fill="auto"/>
            <w:vAlign w:val="center"/>
          </w:tcPr>
          <w:p w14:paraId="21DD5252">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077C8E82">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2E1381F8">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Cs w:val="21"/>
                <w:highlight w:val="none"/>
                <w:lang w:bidi="zh-CN"/>
              </w:rPr>
              <w:t>工业</w:t>
            </w:r>
          </w:p>
        </w:tc>
      </w:tr>
      <w:tr w14:paraId="118D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gridSpan w:val="7"/>
            <w:tcMar>
              <w:top w:w="13" w:type="dxa"/>
              <w:left w:w="57" w:type="dxa"/>
              <w:bottom w:w="0" w:type="dxa"/>
              <w:right w:w="57" w:type="dxa"/>
            </w:tcMar>
            <w:vAlign w:val="center"/>
          </w:tcPr>
          <w:p w14:paraId="0902D844">
            <w:pPr>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▲二、商务要求</w:t>
            </w:r>
          </w:p>
        </w:tc>
      </w:tr>
      <w:tr w14:paraId="220D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0D7AE633">
            <w:pPr>
              <w:spacing w:line="360" w:lineRule="auto"/>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合同签订时间</w:t>
            </w:r>
          </w:p>
        </w:tc>
        <w:tc>
          <w:tcPr>
            <w:tcW w:w="4232" w:type="pct"/>
            <w:gridSpan w:val="4"/>
            <w:vAlign w:val="center"/>
          </w:tcPr>
          <w:p w14:paraId="003D663C">
            <w:pPr>
              <w:spacing w:line="360" w:lineRule="auto"/>
              <w:jc w:val="left"/>
              <w:rPr>
                <w:rFonts w:ascii="宋体" w:hAnsi="宋体" w:eastAsia="宋体" w:cs="宋体"/>
                <w:color w:val="auto"/>
                <w:sz w:val="21"/>
                <w:szCs w:val="21"/>
                <w:highlight w:val="none"/>
              </w:rPr>
            </w:pPr>
            <w:r>
              <w:rPr>
                <w:rFonts w:hint="eastAsia" w:ascii="宋体" w:hAnsi="宋体" w:cs="宋体"/>
                <w:color w:val="auto"/>
                <w:kern w:val="0"/>
                <w:szCs w:val="21"/>
                <w:highlight w:val="none"/>
                <w:lang w:eastAsia="zh-CN" w:bidi="ar"/>
              </w:rPr>
              <w:t>自中标通知书发出之日起25日内。</w:t>
            </w:r>
          </w:p>
        </w:tc>
      </w:tr>
      <w:tr w14:paraId="5921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24B8A9E2">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报价要求</w:t>
            </w:r>
          </w:p>
        </w:tc>
        <w:tc>
          <w:tcPr>
            <w:tcW w:w="4232" w:type="pct"/>
            <w:gridSpan w:val="4"/>
            <w:vAlign w:val="center"/>
          </w:tcPr>
          <w:p w14:paraId="67204ACC">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w:t>
            </w:r>
            <w:r>
              <w:rPr>
                <w:rFonts w:ascii="宋体" w:hAnsi="宋体" w:eastAsia="宋体" w:cs="宋体"/>
                <w:color w:val="auto"/>
                <w:sz w:val="21"/>
                <w:szCs w:val="21"/>
                <w:highlight w:val="none"/>
              </w:rPr>
              <w:t>价为采购人指定地点的现场</w:t>
            </w:r>
            <w:r>
              <w:rPr>
                <w:rFonts w:hint="eastAsia" w:ascii="宋体" w:hAnsi="宋体" w:eastAsia="宋体" w:cs="宋体"/>
                <w:color w:val="auto"/>
                <w:sz w:val="21"/>
                <w:szCs w:val="21"/>
                <w:highlight w:val="none"/>
              </w:rPr>
              <w:t>交付价格</w:t>
            </w:r>
            <w:r>
              <w:rPr>
                <w:rFonts w:ascii="宋体" w:hAnsi="宋体" w:eastAsia="宋体" w:cs="宋体"/>
                <w:color w:val="auto"/>
                <w:sz w:val="21"/>
                <w:szCs w:val="21"/>
                <w:highlight w:val="none"/>
              </w:rPr>
              <w:t>，包括但不限于：</w:t>
            </w:r>
          </w:p>
          <w:p w14:paraId="075911D2">
            <w:pP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w:t>
            </w:r>
            <w:r>
              <w:rPr>
                <w:rFonts w:hint="eastAsia" w:ascii="宋体" w:hAnsi="宋体" w:cs="宋体"/>
                <w:color w:val="auto"/>
                <w:sz w:val="21"/>
                <w:szCs w:val="21"/>
                <w:highlight w:val="none"/>
                <w:lang w:eastAsia="zh-CN"/>
              </w:rPr>
              <w:t>标的</w:t>
            </w:r>
            <w:r>
              <w:rPr>
                <w:rFonts w:hint="eastAsia" w:ascii="宋体" w:hAnsi="宋体" w:eastAsia="宋体" w:cs="宋体"/>
                <w:color w:val="auto"/>
                <w:sz w:val="21"/>
                <w:szCs w:val="21"/>
                <w:highlight w:val="none"/>
              </w:rPr>
              <w:t>中所有</w:t>
            </w:r>
            <w:r>
              <w:rPr>
                <w:rFonts w:ascii="宋体" w:hAnsi="宋体" w:eastAsia="宋体" w:cs="宋体"/>
                <w:color w:val="auto"/>
                <w:sz w:val="21"/>
                <w:szCs w:val="21"/>
                <w:highlight w:val="none"/>
              </w:rPr>
              <w:t>货物</w:t>
            </w:r>
            <w:r>
              <w:rPr>
                <w:rFonts w:hint="eastAsia" w:ascii="宋体" w:hAnsi="宋体" w:eastAsia="宋体" w:cs="宋体"/>
                <w:color w:val="auto"/>
                <w:sz w:val="21"/>
                <w:szCs w:val="21"/>
                <w:highlight w:val="none"/>
              </w:rPr>
              <w:t>和</w:t>
            </w:r>
            <w:r>
              <w:rPr>
                <w:rFonts w:ascii="宋体" w:hAnsi="宋体" w:eastAsia="宋体" w:cs="宋体"/>
                <w:color w:val="auto"/>
                <w:sz w:val="21"/>
                <w:szCs w:val="21"/>
                <w:highlight w:val="none"/>
              </w:rPr>
              <w:t>服务的价格；</w:t>
            </w:r>
          </w:p>
          <w:p w14:paraId="66D1B535">
            <w:pP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ascii="宋体" w:hAnsi="宋体" w:eastAsia="宋体" w:cs="宋体"/>
                <w:color w:val="auto"/>
                <w:sz w:val="21"/>
                <w:szCs w:val="21"/>
                <w:highlight w:val="none"/>
              </w:rPr>
              <w:t>货物的标准附件、备品备件、专用工具的价格；</w:t>
            </w:r>
          </w:p>
          <w:p w14:paraId="57CE02DD">
            <w:pP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ascii="宋体" w:hAnsi="宋体" w:eastAsia="宋体" w:cs="宋体"/>
                <w:color w:val="auto"/>
                <w:sz w:val="21"/>
                <w:szCs w:val="21"/>
                <w:highlight w:val="none"/>
              </w:rPr>
              <w:t>运输、装卸、</w:t>
            </w:r>
            <w:r>
              <w:rPr>
                <w:rFonts w:hint="eastAsia" w:ascii="宋体" w:hAnsi="宋体" w:eastAsia="宋体" w:cs="宋体"/>
                <w:color w:val="auto"/>
                <w:sz w:val="21"/>
                <w:szCs w:val="21"/>
                <w:highlight w:val="none"/>
              </w:rPr>
              <w:t>安装（含安装材料）、</w:t>
            </w:r>
            <w:r>
              <w:rPr>
                <w:rFonts w:ascii="宋体" w:hAnsi="宋体" w:eastAsia="宋体" w:cs="宋体"/>
                <w:color w:val="auto"/>
                <w:sz w:val="21"/>
                <w:szCs w:val="21"/>
                <w:highlight w:val="none"/>
              </w:rPr>
              <w:t>调试、培训、技术支持、售后服务</w:t>
            </w:r>
            <w:r>
              <w:rPr>
                <w:rFonts w:hint="eastAsia" w:ascii="宋体" w:hAnsi="宋体" w:eastAsia="宋体" w:cs="宋体"/>
                <w:color w:val="auto"/>
                <w:sz w:val="21"/>
                <w:szCs w:val="21"/>
                <w:highlight w:val="none"/>
              </w:rPr>
              <w:t>的费用，</w:t>
            </w:r>
            <w:r>
              <w:rPr>
                <w:rFonts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rPr>
              <w:t>维修、</w:t>
            </w:r>
            <w:r>
              <w:rPr>
                <w:rFonts w:hint="eastAsia" w:ascii="宋体" w:hAnsi="宋体" w:cs="宋体"/>
                <w:color w:val="auto"/>
                <w:sz w:val="21"/>
                <w:szCs w:val="21"/>
                <w:highlight w:val="none"/>
                <w:lang w:eastAsia="zh-CN"/>
              </w:rPr>
              <w:t>更换、</w:t>
            </w:r>
            <w:r>
              <w:rPr>
                <w:rFonts w:hint="eastAsia" w:ascii="宋体" w:hAnsi="宋体" w:eastAsia="宋体" w:cs="宋体"/>
                <w:color w:val="auto"/>
                <w:sz w:val="21"/>
                <w:szCs w:val="21"/>
                <w:highlight w:val="none"/>
              </w:rPr>
              <w:t>养</w:t>
            </w:r>
            <w:r>
              <w:rPr>
                <w:rFonts w:ascii="宋体" w:hAnsi="宋体" w:eastAsia="宋体" w:cs="宋体"/>
                <w:color w:val="auto"/>
                <w:sz w:val="21"/>
                <w:szCs w:val="21"/>
                <w:highlight w:val="none"/>
              </w:rPr>
              <w:t>护</w:t>
            </w:r>
            <w:r>
              <w:rPr>
                <w:rFonts w:hint="eastAsia" w:ascii="宋体" w:hAnsi="宋体" w:eastAsia="宋体" w:cs="宋体"/>
                <w:color w:val="auto"/>
                <w:sz w:val="21"/>
                <w:szCs w:val="21"/>
                <w:highlight w:val="none"/>
              </w:rPr>
              <w:t>、软件升级</w:t>
            </w:r>
            <w:r>
              <w:rPr>
                <w:rFonts w:ascii="宋体" w:hAnsi="宋体" w:eastAsia="宋体" w:cs="宋体"/>
                <w:color w:val="auto"/>
                <w:sz w:val="21"/>
                <w:szCs w:val="21"/>
                <w:highlight w:val="none"/>
              </w:rPr>
              <w:t>等费用；</w:t>
            </w:r>
          </w:p>
          <w:p w14:paraId="71F7D269">
            <w:pPr>
              <w:spacing w:line="360" w:lineRule="auto"/>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ascii="宋体" w:hAnsi="宋体" w:eastAsia="宋体" w:cs="宋体"/>
                <w:color w:val="auto"/>
                <w:sz w:val="21"/>
                <w:szCs w:val="21"/>
                <w:highlight w:val="none"/>
              </w:rPr>
              <w:t>必要的保险</w:t>
            </w:r>
            <w:r>
              <w:rPr>
                <w:rFonts w:hint="eastAsia" w:ascii="宋体" w:hAnsi="宋体" w:eastAsia="宋体" w:cs="宋体"/>
                <w:color w:val="auto"/>
                <w:sz w:val="21"/>
                <w:szCs w:val="21"/>
                <w:highlight w:val="none"/>
              </w:rPr>
              <w:t>、检测</w:t>
            </w:r>
            <w:r>
              <w:rPr>
                <w:rFonts w:ascii="宋体" w:hAnsi="宋体" w:eastAsia="宋体" w:cs="宋体"/>
                <w:color w:val="auto"/>
                <w:sz w:val="21"/>
                <w:szCs w:val="21"/>
                <w:highlight w:val="none"/>
              </w:rPr>
              <w:t>费用和各项税费</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eastAsia="zh-CN"/>
              </w:rPr>
              <w:t>所有费用</w:t>
            </w:r>
            <w:r>
              <w:rPr>
                <w:rFonts w:hint="eastAsia" w:ascii="宋体" w:hAnsi="宋体" w:eastAsia="宋体" w:cs="宋体"/>
                <w:color w:val="auto"/>
                <w:sz w:val="21"/>
                <w:szCs w:val="21"/>
                <w:highlight w:val="none"/>
              </w:rPr>
              <w:t>。</w:t>
            </w:r>
          </w:p>
        </w:tc>
      </w:tr>
      <w:tr w14:paraId="5AFD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2C34E6C6">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质保期</w:t>
            </w:r>
          </w:p>
        </w:tc>
        <w:tc>
          <w:tcPr>
            <w:tcW w:w="4232" w:type="pct"/>
            <w:gridSpan w:val="4"/>
            <w:vAlign w:val="center"/>
          </w:tcPr>
          <w:p w14:paraId="3A28CEE6">
            <w:pPr>
              <w:spacing w:line="360" w:lineRule="auto"/>
              <w:jc w:val="left"/>
              <w:rPr>
                <w:rFonts w:ascii="宋体" w:hAnsi="宋体" w:eastAsia="宋体" w:cs="宋体"/>
                <w:color w:val="auto"/>
                <w:sz w:val="21"/>
                <w:szCs w:val="21"/>
                <w:highlight w:val="none"/>
              </w:rPr>
            </w:pPr>
            <w:r>
              <w:rPr>
                <w:rFonts w:ascii="宋体" w:hAnsi="宋体" w:eastAsia="宋体" w:cs="宋体"/>
                <w:b/>
                <w:color w:val="auto"/>
                <w:sz w:val="21"/>
                <w:szCs w:val="21"/>
                <w:highlight w:val="none"/>
              </w:rPr>
              <w:t>1.</w:t>
            </w:r>
            <w:r>
              <w:rPr>
                <w:rFonts w:hint="eastAsia" w:ascii="宋体" w:hAnsi="宋体" w:eastAsia="宋体" w:cs="宋体"/>
                <w:b/>
                <w:color w:val="auto"/>
                <w:sz w:val="21"/>
                <w:szCs w:val="21"/>
                <w:highlight w:val="none"/>
              </w:rPr>
              <w:t>质保期</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年。</w:t>
            </w:r>
            <w:r>
              <w:rPr>
                <w:rFonts w:hint="eastAsia" w:ascii="宋体" w:hAnsi="宋体" w:eastAsia="宋体" w:cs="宋体"/>
                <w:color w:val="auto"/>
                <w:sz w:val="21"/>
                <w:szCs w:val="21"/>
                <w:highlight w:val="none"/>
              </w:rPr>
              <w:t>（分项货物服务要求中有特别注明的，按特别注明的执行）</w:t>
            </w:r>
          </w:p>
          <w:p w14:paraId="7D345C8C">
            <w:pPr>
              <w:spacing w:line="360" w:lineRule="auto"/>
              <w:jc w:val="left"/>
              <w:rPr>
                <w:rFonts w:hint="default" w:eastAsia="宋体"/>
                <w:color w:val="auto"/>
                <w:highlight w:val="none"/>
                <w:lang w:val="en-US" w:eastAsia="zh-CN"/>
              </w:rPr>
            </w:pPr>
            <w:r>
              <w:rPr>
                <w:rFonts w:hint="eastAsia" w:ascii="宋体" w:hAnsi="宋体" w:eastAsia="宋体" w:cs="宋体"/>
                <w:color w:val="auto"/>
                <w:sz w:val="21"/>
                <w:szCs w:val="21"/>
                <w:highlight w:val="none"/>
              </w:rPr>
              <w:t>2.所有货物服务</w:t>
            </w:r>
            <w:r>
              <w:rPr>
                <w:rFonts w:ascii="宋体" w:hAnsi="宋体" w:eastAsia="宋体" w:cs="宋体"/>
                <w:color w:val="auto"/>
                <w:sz w:val="21"/>
                <w:szCs w:val="21"/>
                <w:highlight w:val="none"/>
              </w:rPr>
              <w:t>按</w:t>
            </w:r>
            <w:r>
              <w:rPr>
                <w:rFonts w:hint="eastAsia" w:ascii="宋体" w:hAnsi="宋体" w:eastAsia="宋体" w:cs="宋体"/>
                <w:color w:val="auto"/>
                <w:sz w:val="21"/>
                <w:szCs w:val="21"/>
                <w:highlight w:val="none"/>
              </w:rPr>
              <w:t>国家</w:t>
            </w:r>
            <w:r>
              <w:rPr>
                <w:rFonts w:ascii="宋体" w:hAnsi="宋体" w:eastAsia="宋体" w:cs="宋体"/>
                <w:color w:val="auto"/>
                <w:sz w:val="21"/>
                <w:szCs w:val="21"/>
                <w:highlight w:val="none"/>
              </w:rPr>
              <w:t>“三包”</w:t>
            </w:r>
            <w:r>
              <w:rPr>
                <w:rFonts w:hint="eastAsia" w:ascii="宋体" w:hAnsi="宋体" w:eastAsia="宋体" w:cs="宋体"/>
                <w:color w:val="auto"/>
                <w:sz w:val="21"/>
                <w:szCs w:val="21"/>
                <w:highlight w:val="none"/>
              </w:rPr>
              <w:t>有关</w:t>
            </w:r>
            <w:r>
              <w:rPr>
                <w:rFonts w:ascii="宋体" w:hAnsi="宋体" w:eastAsia="宋体" w:cs="宋体"/>
                <w:color w:val="auto"/>
                <w:sz w:val="21"/>
                <w:szCs w:val="21"/>
                <w:highlight w:val="none"/>
              </w:rPr>
              <w:t>规定执行“三包”</w:t>
            </w:r>
            <w:r>
              <w:rPr>
                <w:rFonts w:hint="eastAsia" w:ascii="宋体" w:hAnsi="宋体" w:eastAsia="宋体" w:cs="宋体"/>
                <w:color w:val="auto"/>
                <w:sz w:val="21"/>
                <w:szCs w:val="21"/>
                <w:highlight w:val="none"/>
              </w:rPr>
              <w:t>。质保期自交付验收合格之日起计算，质保期内</w:t>
            </w:r>
            <w:r>
              <w:rPr>
                <w:rFonts w:hint="eastAsia" w:ascii="宋体" w:hAnsi="宋体" w:cs="宋体"/>
                <w:color w:val="auto"/>
                <w:sz w:val="21"/>
                <w:szCs w:val="21"/>
                <w:highlight w:val="none"/>
                <w:lang w:eastAsia="zh-CN"/>
              </w:rPr>
              <w:t>每年</w:t>
            </w:r>
            <w:r>
              <w:rPr>
                <w:rFonts w:hint="eastAsia" w:ascii="宋体" w:hAnsi="宋体" w:eastAsia="宋体" w:cs="宋体"/>
                <w:color w:val="auto"/>
                <w:sz w:val="21"/>
                <w:szCs w:val="21"/>
                <w:highlight w:val="none"/>
              </w:rPr>
              <w:t>提供上门维修、更换和软件升级服务；质保期结束后，提供终身维护，并优惠提供相关零配件。</w:t>
            </w:r>
          </w:p>
        </w:tc>
      </w:tr>
      <w:tr w14:paraId="6892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50E17C79">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产品及售后服务要求</w:t>
            </w:r>
          </w:p>
        </w:tc>
        <w:tc>
          <w:tcPr>
            <w:tcW w:w="4232" w:type="pct"/>
            <w:gridSpan w:val="4"/>
            <w:vAlign w:val="center"/>
          </w:tcPr>
          <w:p w14:paraId="2F7A0314">
            <w:pPr>
              <w:kinsoku w:val="0"/>
              <w:autoSpaceDE w:val="0"/>
              <w:autoSpaceDN w:val="0"/>
              <w:adjustRightInd w:val="0"/>
              <w:snapToGrid w:val="0"/>
              <w:jc w:val="left"/>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ascii="宋体" w:hAnsi="宋体" w:eastAsia="宋体" w:cs="宋体"/>
                <w:color w:val="auto"/>
                <w:sz w:val="21"/>
                <w:szCs w:val="21"/>
                <w:highlight w:val="none"/>
              </w:rPr>
              <w:t>交付的所有</w:t>
            </w:r>
            <w:r>
              <w:rPr>
                <w:rFonts w:ascii="宋体" w:hAnsi="宋体" w:eastAsia="宋体" w:cs="宋体"/>
                <w:b/>
                <w:color w:val="auto"/>
                <w:sz w:val="21"/>
                <w:szCs w:val="21"/>
                <w:highlight w:val="none"/>
              </w:rPr>
              <w:t>设备</w:t>
            </w:r>
            <w:r>
              <w:rPr>
                <w:rFonts w:ascii="宋体" w:hAnsi="宋体" w:eastAsia="宋体" w:cs="宋体"/>
                <w:color w:val="auto"/>
                <w:sz w:val="21"/>
                <w:szCs w:val="21"/>
                <w:highlight w:val="none"/>
              </w:rPr>
              <w:t>必须是签订合同之日</w:t>
            </w:r>
            <w:r>
              <w:rPr>
                <w:rFonts w:ascii="宋体" w:hAnsi="宋体" w:eastAsia="宋体" w:cs="宋体"/>
                <w:b/>
                <w:color w:val="auto"/>
                <w:sz w:val="21"/>
                <w:szCs w:val="21"/>
                <w:highlight w:val="none"/>
              </w:rPr>
              <w:t>前</w:t>
            </w:r>
            <w:r>
              <w:rPr>
                <w:rFonts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rPr>
              <w:t>1</w:t>
            </w:r>
            <w:r>
              <w:rPr>
                <w:rFonts w:ascii="宋体" w:hAnsi="宋体" w:eastAsia="宋体" w:cs="宋体"/>
                <w:b/>
                <w:color w:val="auto"/>
                <w:sz w:val="21"/>
                <w:szCs w:val="21"/>
                <w:highlight w:val="none"/>
                <w:u w:val="single"/>
              </w:rPr>
              <w:t xml:space="preserve">  </w:t>
            </w:r>
            <w:r>
              <w:rPr>
                <w:rFonts w:ascii="宋体" w:hAnsi="宋体" w:eastAsia="宋体" w:cs="宋体"/>
                <w:b/>
                <w:color w:val="auto"/>
                <w:sz w:val="21"/>
                <w:szCs w:val="21"/>
                <w:highlight w:val="none"/>
              </w:rPr>
              <w:t>年</w:t>
            </w:r>
            <w:r>
              <w:rPr>
                <w:rFonts w:ascii="宋体" w:hAnsi="宋体" w:eastAsia="宋体" w:cs="宋体"/>
                <w:color w:val="auto"/>
                <w:sz w:val="21"/>
                <w:szCs w:val="21"/>
                <w:highlight w:val="none"/>
              </w:rPr>
              <w:t>内生产的产品。</w:t>
            </w:r>
          </w:p>
          <w:p w14:paraId="1D2A675C">
            <w:pPr>
              <w:kinsoku w:val="0"/>
              <w:autoSpaceDE w:val="0"/>
              <w:autoSpaceDN w:val="0"/>
              <w:adjustRightInd w:val="0"/>
              <w:snapToGrid w:val="0"/>
              <w:jc w:val="left"/>
              <w:textAlignment w:val="baseline"/>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送货至采购人指定地点，协助进行安装场地设计，完成安装和调试。所有安装应符合国家、行业相关标准及规范。</w:t>
            </w:r>
            <w:r>
              <w:rPr>
                <w:rFonts w:hint="eastAsia" w:ascii="宋体" w:hAnsi="宋体" w:eastAsia="宋体" w:cs="宋体"/>
                <w:b/>
                <w:color w:val="auto"/>
                <w:sz w:val="21"/>
                <w:szCs w:val="21"/>
                <w:highlight w:val="none"/>
              </w:rPr>
              <w:t>（所有货物仅接受现场交付，不接受邮递）</w:t>
            </w:r>
          </w:p>
          <w:p w14:paraId="35DBDFF6">
            <w:pPr>
              <w:kinsoku w:val="0"/>
              <w:autoSpaceDE w:val="0"/>
              <w:autoSpaceDN w:val="0"/>
              <w:adjustRightInd w:val="0"/>
              <w:snapToGrid w:val="0"/>
              <w:jc w:val="left"/>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rPr>
              <w:t>3.为采购</w:t>
            </w:r>
            <w:r>
              <w:rPr>
                <w:rFonts w:hint="eastAsia" w:ascii="宋体" w:hAnsi="宋体" w:eastAsia="宋体" w:cs="宋体"/>
                <w:color w:val="auto"/>
                <w:sz w:val="21"/>
                <w:szCs w:val="21"/>
                <w:highlight w:val="none"/>
              </w:rPr>
              <w:t>人</w:t>
            </w:r>
            <w:r>
              <w:rPr>
                <w:rFonts w:ascii="宋体" w:hAnsi="宋体" w:eastAsia="宋体" w:cs="宋体"/>
                <w:color w:val="auto"/>
                <w:sz w:val="21"/>
                <w:szCs w:val="21"/>
                <w:highlight w:val="none"/>
              </w:rPr>
              <w:t>提供</w:t>
            </w:r>
            <w:r>
              <w:rPr>
                <w:rFonts w:hint="eastAsia" w:ascii="宋体" w:hAnsi="宋体" w:eastAsia="宋体" w:cs="宋体"/>
                <w:color w:val="auto"/>
                <w:sz w:val="21"/>
                <w:szCs w:val="21"/>
                <w:highlight w:val="none"/>
              </w:rPr>
              <w:t>产品</w:t>
            </w:r>
            <w:r>
              <w:rPr>
                <w:rFonts w:ascii="宋体" w:hAnsi="宋体" w:eastAsia="宋体" w:cs="宋体"/>
                <w:color w:val="auto"/>
                <w:sz w:val="21"/>
                <w:szCs w:val="21"/>
                <w:highlight w:val="none"/>
              </w:rPr>
              <w:t>操作</w:t>
            </w:r>
            <w:r>
              <w:rPr>
                <w:rFonts w:hint="eastAsia" w:ascii="宋体" w:hAnsi="宋体" w:eastAsia="宋体" w:cs="宋体"/>
                <w:color w:val="auto"/>
                <w:sz w:val="21"/>
                <w:szCs w:val="21"/>
                <w:highlight w:val="none"/>
              </w:rPr>
              <w:t>、维修、日常养护等方面的</w:t>
            </w:r>
            <w:r>
              <w:rPr>
                <w:rFonts w:ascii="宋体" w:hAnsi="宋体" w:eastAsia="宋体" w:cs="宋体"/>
                <w:color w:val="auto"/>
                <w:sz w:val="21"/>
                <w:szCs w:val="21"/>
                <w:highlight w:val="none"/>
              </w:rPr>
              <w:t>培训，确保</w:t>
            </w:r>
            <w:r>
              <w:rPr>
                <w:rFonts w:hint="eastAsia" w:ascii="宋体" w:hAnsi="宋体" w:eastAsia="宋体" w:cs="宋体"/>
                <w:color w:val="auto"/>
                <w:sz w:val="21"/>
                <w:szCs w:val="21"/>
                <w:highlight w:val="none"/>
              </w:rPr>
              <w:t>采购方使用人员</w:t>
            </w:r>
            <w:r>
              <w:rPr>
                <w:rFonts w:ascii="宋体" w:hAnsi="宋体" w:eastAsia="宋体" w:cs="宋体"/>
                <w:color w:val="auto"/>
                <w:sz w:val="21"/>
                <w:szCs w:val="21"/>
                <w:highlight w:val="none"/>
              </w:rPr>
              <w:t>能独立操作使用</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培训人数</w:t>
            </w:r>
            <w:r>
              <w:rPr>
                <w:rFonts w:hint="eastAsia" w:ascii="宋体" w:hAnsi="宋体" w:eastAsia="宋体" w:cs="宋体"/>
                <w:color w:val="auto"/>
                <w:sz w:val="21"/>
                <w:szCs w:val="21"/>
                <w:highlight w:val="none"/>
              </w:rPr>
              <w:t>、时间、地点等</w:t>
            </w:r>
            <w:r>
              <w:rPr>
                <w:rFonts w:ascii="宋体" w:hAnsi="宋体" w:eastAsia="宋体" w:cs="宋体"/>
                <w:color w:val="auto"/>
                <w:sz w:val="21"/>
                <w:szCs w:val="21"/>
                <w:highlight w:val="none"/>
              </w:rPr>
              <w:t>由采购</w:t>
            </w:r>
            <w:r>
              <w:rPr>
                <w:rFonts w:hint="eastAsia" w:ascii="宋体" w:hAnsi="宋体" w:eastAsia="宋体" w:cs="宋体"/>
                <w:color w:val="auto"/>
                <w:sz w:val="21"/>
                <w:szCs w:val="21"/>
                <w:highlight w:val="none"/>
              </w:rPr>
              <w:t>人指定</w:t>
            </w:r>
            <w:r>
              <w:rPr>
                <w:rFonts w:ascii="宋体" w:hAnsi="宋体" w:eastAsia="宋体" w:cs="宋体"/>
                <w:color w:val="auto"/>
                <w:sz w:val="21"/>
                <w:szCs w:val="21"/>
                <w:highlight w:val="none"/>
              </w:rPr>
              <w:t>。</w:t>
            </w:r>
          </w:p>
          <w:p w14:paraId="13E304ED">
            <w:pPr>
              <w:kinsoku w:val="0"/>
              <w:autoSpaceDE w:val="0"/>
              <w:autoSpaceDN w:val="0"/>
              <w:adjustRightInd w:val="0"/>
              <w:snapToGrid w:val="0"/>
              <w:jc w:val="left"/>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rPr>
              <w:t>4.故障响应时间：在使用过程中</w:t>
            </w:r>
            <w:r>
              <w:rPr>
                <w:rFonts w:hint="eastAsia" w:ascii="宋体" w:hAnsi="宋体" w:eastAsia="宋体" w:cs="宋体"/>
                <w:color w:val="auto"/>
                <w:sz w:val="21"/>
                <w:szCs w:val="21"/>
                <w:highlight w:val="none"/>
              </w:rPr>
              <w:t>出现</w:t>
            </w:r>
            <w:r>
              <w:rPr>
                <w:rFonts w:ascii="宋体" w:hAnsi="宋体" w:eastAsia="宋体" w:cs="宋体"/>
                <w:color w:val="auto"/>
                <w:sz w:val="21"/>
                <w:szCs w:val="21"/>
                <w:highlight w:val="none"/>
              </w:rPr>
              <w:t>质量问题，</w:t>
            </w:r>
            <w:r>
              <w:rPr>
                <w:rFonts w:hint="eastAsia" w:ascii="宋体" w:hAnsi="宋体" w:eastAsia="宋体" w:cs="宋体"/>
                <w:color w:val="auto"/>
                <w:sz w:val="21"/>
                <w:szCs w:val="21"/>
                <w:highlight w:val="none"/>
                <w:lang w:eastAsia="zh-CN"/>
              </w:rPr>
              <w:t>中标人</w:t>
            </w:r>
            <w:r>
              <w:rPr>
                <w:rFonts w:ascii="宋体" w:hAnsi="宋体" w:eastAsia="宋体" w:cs="宋体"/>
                <w:color w:val="auto"/>
                <w:sz w:val="21"/>
                <w:szCs w:val="21"/>
                <w:highlight w:val="none"/>
              </w:rPr>
              <w:t>在接到</w:t>
            </w:r>
            <w:r>
              <w:rPr>
                <w:rFonts w:hint="eastAsia" w:ascii="宋体" w:hAnsi="宋体" w:eastAsia="宋体" w:cs="宋体"/>
                <w:color w:val="auto"/>
                <w:sz w:val="21"/>
                <w:szCs w:val="21"/>
                <w:highlight w:val="none"/>
              </w:rPr>
              <w:t>采购人</w:t>
            </w:r>
            <w:r>
              <w:rPr>
                <w:rFonts w:ascii="宋体" w:hAnsi="宋体" w:eastAsia="宋体" w:cs="宋体"/>
                <w:color w:val="auto"/>
                <w:sz w:val="21"/>
                <w:szCs w:val="21"/>
                <w:highlight w:val="none"/>
              </w:rPr>
              <w:t>通知后1小时</w:t>
            </w:r>
            <w:r>
              <w:rPr>
                <w:rFonts w:hint="eastAsia" w:ascii="宋体" w:hAnsi="宋体" w:eastAsia="宋体" w:cs="宋体"/>
                <w:color w:val="auto"/>
                <w:sz w:val="21"/>
                <w:szCs w:val="21"/>
                <w:highlight w:val="none"/>
              </w:rPr>
              <w:t>作出</w:t>
            </w:r>
            <w:r>
              <w:rPr>
                <w:rFonts w:ascii="宋体" w:hAnsi="宋体" w:eastAsia="宋体" w:cs="宋体"/>
                <w:color w:val="auto"/>
                <w:sz w:val="21"/>
                <w:szCs w:val="21"/>
                <w:highlight w:val="none"/>
              </w:rPr>
              <w:t>响应</w:t>
            </w:r>
            <w:r>
              <w:rPr>
                <w:rFonts w:hint="eastAsia" w:ascii="宋体" w:hAnsi="宋体" w:eastAsia="宋体" w:cs="宋体"/>
                <w:color w:val="auto"/>
                <w:sz w:val="21"/>
                <w:szCs w:val="21"/>
                <w:highlight w:val="none"/>
              </w:rPr>
              <w:t>；如需到达现场解决的，在</w:t>
            </w:r>
            <w:r>
              <w:rPr>
                <w:rFonts w:ascii="宋体" w:hAnsi="宋体" w:eastAsia="宋体" w:cs="宋体"/>
                <w:color w:val="auto"/>
                <w:sz w:val="21"/>
                <w:szCs w:val="21"/>
                <w:highlight w:val="none"/>
              </w:rPr>
              <w:t>8小时内</w:t>
            </w:r>
            <w:r>
              <w:rPr>
                <w:rFonts w:hint="eastAsia" w:ascii="宋体" w:hAnsi="宋体" w:eastAsia="宋体" w:cs="宋体"/>
                <w:color w:val="auto"/>
                <w:sz w:val="21"/>
                <w:szCs w:val="21"/>
                <w:highlight w:val="none"/>
              </w:rPr>
              <w:t>应</w:t>
            </w:r>
            <w:r>
              <w:rPr>
                <w:rFonts w:ascii="宋体" w:hAnsi="宋体" w:eastAsia="宋体" w:cs="宋体"/>
                <w:color w:val="auto"/>
                <w:sz w:val="21"/>
                <w:szCs w:val="21"/>
                <w:highlight w:val="none"/>
              </w:rPr>
              <w:t>到达现场。</w:t>
            </w:r>
          </w:p>
          <w:p w14:paraId="04A5159E">
            <w:pPr>
              <w:kinsoku w:val="0"/>
              <w:autoSpaceDE w:val="0"/>
              <w:autoSpaceDN w:val="0"/>
              <w:adjustRightInd w:val="0"/>
              <w:snapToGrid w:val="0"/>
              <w:spacing w:line="240" w:lineRule="auto"/>
              <w:jc w:val="left"/>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须遵守校园出入规定，在供货、安装过程中确保相关人员安全。</w:t>
            </w:r>
            <w:r>
              <w:rPr>
                <w:rFonts w:ascii="宋体" w:hAnsi="宋体" w:eastAsia="宋体" w:cs="宋体"/>
                <w:color w:val="auto"/>
                <w:sz w:val="21"/>
                <w:szCs w:val="21"/>
                <w:highlight w:val="none"/>
              </w:rPr>
              <w:t>供货</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安装过程中产生的残留物或垃圾，</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w:t>
            </w:r>
            <w:r>
              <w:rPr>
                <w:rFonts w:ascii="宋体" w:hAnsi="宋体" w:eastAsia="宋体" w:cs="宋体"/>
                <w:color w:val="auto"/>
                <w:sz w:val="21"/>
                <w:szCs w:val="21"/>
                <w:highlight w:val="none"/>
              </w:rPr>
              <w:t>自行清理至校外。</w:t>
            </w:r>
          </w:p>
          <w:p w14:paraId="2B8431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6.</w:t>
            </w:r>
            <w:r>
              <w:rPr>
                <w:rFonts w:hint="eastAsia" w:ascii="宋体" w:hAnsi="宋体" w:eastAsia="宋体" w:cs="宋体"/>
                <w:snapToGrid w:val="0"/>
                <w:color w:val="auto"/>
                <w:spacing w:val="0"/>
                <w:kern w:val="0"/>
                <w:sz w:val="21"/>
                <w:szCs w:val="21"/>
                <w:highlight w:val="none"/>
              </w:rPr>
              <w:t>售后服务：</w:t>
            </w:r>
          </w:p>
          <w:p w14:paraId="336E6397">
            <w:pPr>
              <w:kinsoku w:val="0"/>
              <w:autoSpaceDE w:val="0"/>
              <w:autoSpaceDN w:val="0"/>
              <w:adjustRightInd w:val="0"/>
              <w:snapToGrid w:val="0"/>
              <w:spacing w:line="240" w:lineRule="auto"/>
              <w:jc w:val="left"/>
              <w:textAlignment w:val="baseline"/>
              <w:rPr>
                <w:rFonts w:ascii="宋体" w:hAnsi="宋体" w:eastAsia="宋体" w:cs="宋体"/>
                <w:color w:val="auto"/>
                <w:sz w:val="21"/>
                <w:szCs w:val="21"/>
                <w:highlight w:val="none"/>
              </w:rPr>
            </w:pPr>
            <w:r>
              <w:rPr>
                <w:rFonts w:hint="eastAsia" w:ascii="宋体" w:hAnsi="宋体" w:cs="宋体"/>
                <w:snapToGrid w:val="0"/>
                <w:color w:val="auto"/>
                <w:spacing w:val="0"/>
                <w:kern w:val="0"/>
                <w:sz w:val="21"/>
                <w:szCs w:val="21"/>
                <w:highlight w:val="none"/>
                <w:lang w:eastAsia="zh-CN"/>
              </w:rPr>
              <w:t>中标人提供专职</w:t>
            </w:r>
            <w:r>
              <w:rPr>
                <w:rFonts w:hint="eastAsia" w:ascii="宋体" w:hAnsi="宋体" w:eastAsia="宋体" w:cs="宋体"/>
                <w:snapToGrid w:val="0"/>
                <w:color w:val="auto"/>
                <w:spacing w:val="0"/>
                <w:kern w:val="0"/>
                <w:sz w:val="21"/>
                <w:szCs w:val="21"/>
                <w:highlight w:val="none"/>
              </w:rPr>
              <w:t>技术应用支持工程师</w:t>
            </w:r>
            <w:r>
              <w:rPr>
                <w:rFonts w:hint="eastAsia" w:ascii="宋体" w:hAnsi="宋体" w:cs="宋体"/>
                <w:snapToGrid w:val="0"/>
                <w:color w:val="auto"/>
                <w:spacing w:val="0"/>
                <w:kern w:val="0"/>
                <w:sz w:val="21"/>
                <w:szCs w:val="21"/>
                <w:highlight w:val="none"/>
                <w:lang w:eastAsia="zh-CN"/>
              </w:rPr>
              <w:t>进行售后服务</w:t>
            </w:r>
            <w:r>
              <w:rPr>
                <w:rFonts w:hint="eastAsia" w:ascii="宋体" w:hAnsi="宋体" w:eastAsia="宋体" w:cs="宋体"/>
                <w:snapToGrid w:val="0"/>
                <w:color w:val="auto"/>
                <w:spacing w:val="0"/>
                <w:kern w:val="0"/>
                <w:sz w:val="21"/>
                <w:szCs w:val="21"/>
                <w:highlight w:val="none"/>
              </w:rPr>
              <w:t>。</w:t>
            </w:r>
            <w:r>
              <w:rPr>
                <w:rFonts w:hint="eastAsia" w:ascii="宋体" w:hAnsi="宋体" w:cs="宋体"/>
                <w:snapToGrid w:val="0"/>
                <w:color w:val="auto"/>
                <w:spacing w:val="0"/>
                <w:kern w:val="0"/>
                <w:sz w:val="21"/>
                <w:szCs w:val="21"/>
                <w:highlight w:val="none"/>
                <w:lang w:eastAsia="zh-CN"/>
              </w:rPr>
              <w:t>质保</w:t>
            </w:r>
            <w:r>
              <w:rPr>
                <w:rFonts w:hint="eastAsia" w:ascii="宋体" w:hAnsi="宋体" w:eastAsia="宋体" w:cs="宋体"/>
                <w:snapToGrid w:val="0"/>
                <w:color w:val="auto"/>
                <w:spacing w:val="0"/>
                <w:kern w:val="0"/>
                <w:sz w:val="21"/>
                <w:szCs w:val="21"/>
                <w:highlight w:val="none"/>
              </w:rPr>
              <w:t>期后，保证长期供应零备件和正常的售后服务。 安装验收期间，对用户进行仪器的基本操作和日常维护的现场培训，内容包括仪器原理，使用方法和维护方法等，厂家需要最终用户指定地点提供上门安装调试并对用户指定的</w:t>
            </w:r>
            <w:r>
              <w:rPr>
                <w:rFonts w:hint="eastAsia" w:ascii="宋体" w:hAnsi="宋体" w:cs="宋体"/>
                <w:snapToGrid w:val="0"/>
                <w:color w:val="auto"/>
                <w:spacing w:val="0"/>
                <w:kern w:val="0"/>
                <w:sz w:val="21"/>
                <w:szCs w:val="21"/>
                <w:highlight w:val="none"/>
                <w:lang w:val="en-US" w:eastAsia="zh-CN"/>
              </w:rPr>
              <w:t>2</w:t>
            </w:r>
            <w:r>
              <w:rPr>
                <w:rFonts w:hint="eastAsia" w:ascii="宋体" w:hAnsi="宋体" w:eastAsia="宋体" w:cs="宋体"/>
                <w:snapToGrid w:val="0"/>
                <w:color w:val="auto"/>
                <w:spacing w:val="0"/>
                <w:kern w:val="0"/>
                <w:sz w:val="21"/>
                <w:szCs w:val="21"/>
                <w:highlight w:val="none"/>
              </w:rPr>
              <w:t>名操作人员进行操作使用培训</w:t>
            </w:r>
            <w:r>
              <w:rPr>
                <w:rFonts w:hint="eastAsia" w:ascii="宋体" w:hAnsi="宋体" w:cs="宋体"/>
                <w:snapToGrid w:val="0"/>
                <w:color w:val="auto"/>
                <w:spacing w:val="0"/>
                <w:kern w:val="0"/>
                <w:sz w:val="21"/>
                <w:szCs w:val="21"/>
                <w:highlight w:val="none"/>
                <w:lang w:eastAsia="zh-CN"/>
              </w:rPr>
              <w:t>。</w:t>
            </w:r>
          </w:p>
        </w:tc>
      </w:tr>
      <w:tr w14:paraId="0E0C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78267B98">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交付时间、交付地点</w:t>
            </w:r>
          </w:p>
        </w:tc>
        <w:tc>
          <w:tcPr>
            <w:tcW w:w="4232" w:type="pct"/>
            <w:gridSpan w:val="4"/>
            <w:vAlign w:val="center"/>
          </w:tcPr>
          <w:p w14:paraId="36F01058">
            <w:pP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1.交</w:t>
            </w:r>
            <w:r>
              <w:rPr>
                <w:rFonts w:hint="eastAsia" w:ascii="宋体" w:hAnsi="宋体" w:eastAsia="宋体" w:cs="宋体"/>
                <w:color w:val="auto"/>
                <w:spacing w:val="-2"/>
                <w:sz w:val="21"/>
                <w:szCs w:val="21"/>
                <w:highlight w:val="none"/>
              </w:rPr>
              <w:t>付</w:t>
            </w:r>
            <w:r>
              <w:rPr>
                <w:rFonts w:ascii="宋体" w:hAnsi="宋体" w:eastAsia="宋体" w:cs="宋体"/>
                <w:color w:val="auto"/>
                <w:spacing w:val="-2"/>
                <w:sz w:val="21"/>
                <w:szCs w:val="21"/>
                <w:highlight w:val="none"/>
              </w:rPr>
              <w:t>时间：自签订合同之日起</w:t>
            </w:r>
            <w:r>
              <w:rPr>
                <w:rFonts w:ascii="宋体" w:hAnsi="宋体" w:eastAsia="宋体" w:cs="宋体"/>
                <w:b/>
                <w:color w:val="auto"/>
                <w:spacing w:val="-2"/>
                <w:sz w:val="21"/>
                <w:szCs w:val="21"/>
                <w:highlight w:val="none"/>
                <w:u w:val="single"/>
              </w:rPr>
              <w:t xml:space="preserve">  </w:t>
            </w:r>
            <w:r>
              <w:rPr>
                <w:rFonts w:hint="eastAsia" w:ascii="宋体" w:hAnsi="宋体" w:eastAsia="宋体" w:cs="宋体"/>
                <w:b/>
                <w:color w:val="auto"/>
                <w:spacing w:val="-2"/>
                <w:sz w:val="21"/>
                <w:szCs w:val="21"/>
                <w:highlight w:val="none"/>
                <w:u w:val="single"/>
                <w:lang w:val="en-US" w:eastAsia="zh-CN"/>
              </w:rPr>
              <w:t>60</w:t>
            </w:r>
            <w:r>
              <w:rPr>
                <w:rFonts w:ascii="宋体" w:hAnsi="宋体" w:eastAsia="宋体" w:cs="宋体"/>
                <w:b/>
                <w:color w:val="auto"/>
                <w:spacing w:val="-2"/>
                <w:sz w:val="21"/>
                <w:szCs w:val="21"/>
                <w:highlight w:val="none"/>
                <w:u w:val="single"/>
              </w:rPr>
              <w:t xml:space="preserve">  </w:t>
            </w:r>
            <w:r>
              <w:rPr>
                <w:rFonts w:hint="eastAsia" w:ascii="宋体" w:hAnsi="宋体" w:eastAsia="宋体" w:cs="宋体"/>
                <w:b/>
                <w:color w:val="auto"/>
                <w:spacing w:val="-2"/>
                <w:sz w:val="21"/>
                <w:szCs w:val="21"/>
                <w:highlight w:val="none"/>
              </w:rPr>
              <w:t>日历日</w:t>
            </w:r>
            <w:r>
              <w:rPr>
                <w:rFonts w:hint="eastAsia" w:ascii="宋体" w:hAnsi="宋体" w:eastAsia="宋体" w:cs="宋体"/>
                <w:color w:val="auto"/>
                <w:spacing w:val="-2"/>
                <w:sz w:val="21"/>
                <w:szCs w:val="21"/>
                <w:highlight w:val="none"/>
              </w:rPr>
              <w:t>内全部交付完成并验收合格。</w:t>
            </w:r>
          </w:p>
          <w:p w14:paraId="1E8BDBC9">
            <w:pPr>
              <w:spacing w:line="360" w:lineRule="auto"/>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2.交</w:t>
            </w:r>
            <w:r>
              <w:rPr>
                <w:rFonts w:hint="eastAsia" w:ascii="宋体" w:hAnsi="宋体" w:eastAsia="宋体" w:cs="宋体"/>
                <w:color w:val="auto"/>
                <w:sz w:val="21"/>
                <w:szCs w:val="21"/>
                <w:highlight w:val="none"/>
              </w:rPr>
              <w:t>付</w:t>
            </w:r>
            <w:r>
              <w:rPr>
                <w:rFonts w:ascii="宋体" w:hAnsi="宋体" w:eastAsia="宋体" w:cs="宋体"/>
                <w:color w:val="auto"/>
                <w:sz w:val="21"/>
                <w:szCs w:val="21"/>
                <w:highlight w:val="none"/>
              </w:rPr>
              <w:t>地点：广西农业职业技术</w:t>
            </w:r>
            <w:r>
              <w:rPr>
                <w:rFonts w:hint="eastAsia" w:ascii="宋体" w:hAnsi="宋体" w:eastAsia="宋体" w:cs="宋体"/>
                <w:color w:val="auto"/>
                <w:sz w:val="21"/>
                <w:szCs w:val="21"/>
                <w:highlight w:val="none"/>
              </w:rPr>
              <w:t>大学</w:t>
            </w:r>
            <w:r>
              <w:rPr>
                <w:rFonts w:ascii="宋体" w:hAnsi="宋体" w:eastAsia="宋体" w:cs="宋体"/>
                <w:color w:val="auto"/>
                <w:sz w:val="21"/>
                <w:szCs w:val="21"/>
                <w:highlight w:val="none"/>
              </w:rPr>
              <w:t>。</w:t>
            </w:r>
          </w:p>
        </w:tc>
      </w:tr>
      <w:tr w14:paraId="019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67267493">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验收标准</w:t>
            </w:r>
          </w:p>
        </w:tc>
        <w:tc>
          <w:tcPr>
            <w:tcW w:w="4232" w:type="pct"/>
            <w:gridSpan w:val="4"/>
            <w:vAlign w:val="center"/>
          </w:tcPr>
          <w:p w14:paraId="6E2E9582">
            <w:pPr>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1．检查供货范围或服务范围</w:t>
            </w:r>
          </w:p>
          <w:p w14:paraId="6EA07867">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5EE61254">
            <w:pPr>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2．中标人应提供完备的技术或服务资料、装箱单和合格证等，并派遣专业人员进行现场安装调试。验收合格条件如下：</w:t>
            </w:r>
          </w:p>
          <w:p w14:paraId="6569ECF7">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2.1货物或服务技术参数与投标文件中响应表（偏离表）或证明材料一致，性能或指标达到规定的标准。否则，以实际货物或服务技术参数与投标文件响应表（偏离表）参数或证明材料比较，按如下情况处理：</w:t>
            </w:r>
          </w:p>
          <w:p w14:paraId="286E4B2A">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（1）投标文件响应表（偏离表）或证明材料中满足或优于的技术参数，在验收时实际不满足技术参数要求的，视为中标人违约，采购人有权终止合同拒收货物，并追究供应商责任，同时报财政部门备案。</w:t>
            </w:r>
          </w:p>
          <w:p w14:paraId="648B6590">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（2）投标文件响应表（偏离表）或证明材料中优于的技术参数，在验收时实际仅满足并未优于技术参数要求的，视为中标人违约，采购人有权终止合同拒收货物，并追究供应商责任，同时报财政部门备案。</w:t>
            </w:r>
          </w:p>
          <w:p w14:paraId="2EC8D5D1">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（3）投标文件响应表（偏离表）或证明材料中满足的技术参数，在验收时实际优于技术参数的要求，以满足技术参数的要求验收。</w:t>
            </w:r>
          </w:p>
          <w:p w14:paraId="2436ED86">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文件响应表（偏离表）或证明材料中优于的技术参数，在验收时实际也优于技术参数的要求，但没有达到响应表（偏离表）或证明材料中优于的程度，视为中标人违约，按合同约定违约条款处理，并由采购人与供应商协商按是否满足要求验收。</w:t>
            </w:r>
          </w:p>
          <w:p w14:paraId="47B436D2">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14:paraId="5AE31F46">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2.2技术或资料、装箱单、合格证等资料齐全。</w:t>
            </w:r>
          </w:p>
          <w:p w14:paraId="78642B71">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2.3在测试或试运行期间所出现的问题得到解决，并运行或工作正常。</w:t>
            </w:r>
          </w:p>
          <w:p w14:paraId="50DCF3D9">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2.4在规定时间内完成交货及验收，并经采购人确认。</w:t>
            </w:r>
          </w:p>
          <w:p w14:paraId="7AEF1951">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3．产品或服务在安装调试并试运行符合要求后，才作为最终验收。</w:t>
            </w:r>
          </w:p>
          <w:p w14:paraId="716F5A60">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4．中标人提供的货物或服务未达到招标文件规定要求，且对采购人造成损失的，由中标人承担一切责任，并赔偿所造成的损失。</w:t>
            </w:r>
          </w:p>
          <w:p w14:paraId="64EAD730">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5．采购人需要制造商对中标人交付的产品或服务（包括质量、参数等）进行确认的，制造商应予以配合并出具书面意见，相关配合事项由中标人与制造商协调。</w:t>
            </w:r>
          </w:p>
          <w:p w14:paraId="3714914B">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6．产品包装材料归采购人所有。</w:t>
            </w:r>
          </w:p>
        </w:tc>
      </w:tr>
      <w:tr w14:paraId="2712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7EF207A2">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付款条件</w:t>
            </w:r>
          </w:p>
        </w:tc>
        <w:tc>
          <w:tcPr>
            <w:tcW w:w="4232" w:type="pct"/>
            <w:gridSpan w:val="4"/>
            <w:vAlign w:val="center"/>
          </w:tcPr>
          <w:p w14:paraId="242FD153">
            <w:pPr>
              <w:spacing w:line="360" w:lineRule="auto"/>
              <w:jc w:val="left"/>
              <w:rPr>
                <w:rFonts w:hint="eastAsia" w:ascii="宋体" w:hAnsi="宋体" w:eastAsia="宋体" w:cs="宋体"/>
                <w:bCs/>
                <w:color w:val="auto"/>
                <w:sz w:val="21"/>
                <w:szCs w:val="21"/>
                <w:highlight w:val="none"/>
              </w:rPr>
            </w:pPr>
            <w:r>
              <w:rPr>
                <w:rFonts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rPr>
              <w:t>合同签订后</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个工作日内</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人向中标人支付合同总额的30%作为预付款。中标人按合同中列明的所有货物完成供货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并送达至</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指定地点</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对货物清点无误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初步验收合格后</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人向中标人支付合同总额的50%作为进度款。所有货物安装调试完成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达到正常使用标准</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人组织验收合格后</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15个</w:t>
            </w:r>
            <w:r>
              <w:rPr>
                <w:rFonts w:hint="eastAsia" w:ascii="宋体" w:hAnsi="宋体" w:cs="宋体"/>
                <w:bCs/>
                <w:color w:val="auto"/>
                <w:sz w:val="21"/>
                <w:szCs w:val="21"/>
                <w:highlight w:val="none"/>
                <w:lang w:eastAsia="zh-CN"/>
              </w:rPr>
              <w:t>工</w:t>
            </w:r>
            <w:r>
              <w:rPr>
                <w:rFonts w:hint="eastAsia" w:ascii="宋体" w:hAnsi="宋体" w:eastAsia="宋体" w:cs="宋体"/>
                <w:bCs/>
                <w:color w:val="auto"/>
                <w:sz w:val="21"/>
                <w:szCs w:val="21"/>
                <w:highlight w:val="none"/>
              </w:rPr>
              <w:t>作日内</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人向中标人支付完成至合同总价款的100%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付款前中标人均须开具符合国家规定以及符合</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人财务管理要求的相应发票给</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。如</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未按国家要求开具发票，或未按合同履约的，视为违约，采购人有权扣减履约保证金，或要求解除合同，并追究</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法律责任。</w:t>
            </w:r>
          </w:p>
          <w:p w14:paraId="42EA1BD8">
            <w:pPr>
              <w:spacing w:line="360" w:lineRule="auto"/>
              <w:jc w:val="left"/>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2.项目收取履约保证金，</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须在合同签订前向采购人账户转付</w:t>
            </w:r>
            <w:r>
              <w:rPr>
                <w:rFonts w:hint="eastAsia" w:ascii="宋体" w:hAnsi="宋体" w:eastAsia="宋体" w:cs="宋体"/>
                <w:bCs/>
                <w:color w:val="auto"/>
                <w:sz w:val="21"/>
                <w:szCs w:val="21"/>
                <w:highlight w:val="none"/>
                <w:lang w:eastAsia="zh-CN"/>
              </w:rPr>
              <w:t>中标</w:t>
            </w:r>
            <w:r>
              <w:rPr>
                <w:rFonts w:hint="eastAsia" w:ascii="宋体" w:hAnsi="宋体" w:eastAsia="宋体" w:cs="宋体"/>
                <w:bCs/>
                <w:color w:val="auto"/>
                <w:sz w:val="21"/>
                <w:szCs w:val="21"/>
                <w:highlight w:val="none"/>
              </w:rPr>
              <w:t>金额</w:t>
            </w:r>
            <w:r>
              <w:rPr>
                <w:rFonts w:ascii="宋体" w:hAnsi="宋体" w:eastAsia="宋体" w:cs="宋体"/>
                <w:bCs/>
                <w:color w:val="auto"/>
                <w:sz w:val="21"/>
                <w:szCs w:val="21"/>
                <w:highlight w:val="none"/>
              </w:rPr>
              <w:t>2%的履约保证金，否则不予签订合同</w:t>
            </w:r>
            <w:r>
              <w:rPr>
                <w:rFonts w:hint="eastAsia" w:ascii="宋体" w:hAnsi="宋体" w:eastAsia="宋体" w:cs="宋体"/>
                <w:bCs/>
                <w:color w:val="auto"/>
                <w:sz w:val="21"/>
                <w:szCs w:val="21"/>
                <w:highlight w:val="none"/>
              </w:rPr>
              <w:t>。</w:t>
            </w:r>
            <w:r>
              <w:rPr>
                <w:rFonts w:ascii="宋体" w:hAnsi="宋体" w:eastAsia="宋体" w:cs="宋体"/>
                <w:bCs/>
                <w:color w:val="auto"/>
                <w:sz w:val="21"/>
                <w:szCs w:val="21"/>
                <w:highlight w:val="none"/>
              </w:rPr>
              <w:t>履约保证金在</w:t>
            </w: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eastAsia="zh-CN"/>
              </w:rPr>
              <w:t>标的</w:t>
            </w:r>
            <w:r>
              <w:rPr>
                <w:rFonts w:hint="eastAsia" w:ascii="宋体" w:hAnsi="宋体" w:eastAsia="宋体" w:cs="宋体"/>
                <w:bCs/>
                <w:color w:val="auto"/>
                <w:sz w:val="21"/>
                <w:szCs w:val="21"/>
                <w:highlight w:val="none"/>
              </w:rPr>
              <w:t>全部交付</w:t>
            </w:r>
            <w:r>
              <w:rPr>
                <w:rFonts w:ascii="宋体" w:hAnsi="宋体" w:eastAsia="宋体" w:cs="宋体"/>
                <w:bCs/>
                <w:color w:val="auto"/>
                <w:sz w:val="21"/>
                <w:szCs w:val="21"/>
                <w:highlight w:val="none"/>
              </w:rPr>
              <w:t>验收</w:t>
            </w:r>
            <w:r>
              <w:rPr>
                <w:rFonts w:hint="eastAsia" w:ascii="宋体" w:hAnsi="宋体" w:eastAsia="宋体" w:cs="宋体"/>
                <w:bCs/>
                <w:color w:val="auto"/>
                <w:sz w:val="21"/>
                <w:szCs w:val="21"/>
                <w:highlight w:val="none"/>
              </w:rPr>
              <w:t>完成</w:t>
            </w:r>
            <w:r>
              <w:rPr>
                <w:rFonts w:ascii="宋体" w:hAnsi="宋体" w:eastAsia="宋体" w:cs="宋体"/>
                <w:bCs/>
                <w:color w:val="auto"/>
                <w:sz w:val="21"/>
                <w:szCs w:val="21"/>
                <w:highlight w:val="none"/>
              </w:rPr>
              <w:t>之后无息退付。</w:t>
            </w:r>
          </w:p>
        </w:tc>
      </w:tr>
      <w:tr w14:paraId="6DE5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gridSpan w:val="7"/>
            <w:tcMar>
              <w:top w:w="13" w:type="dxa"/>
              <w:left w:w="57" w:type="dxa"/>
              <w:bottom w:w="0" w:type="dxa"/>
              <w:right w:w="57" w:type="dxa"/>
            </w:tcMar>
            <w:vAlign w:val="center"/>
          </w:tcPr>
          <w:p w14:paraId="7C67A99A">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三、其他要求</w:t>
            </w:r>
          </w:p>
        </w:tc>
      </w:tr>
      <w:tr w14:paraId="1873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2CC4FE24">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核心产品</w:t>
            </w:r>
          </w:p>
        </w:tc>
        <w:tc>
          <w:tcPr>
            <w:tcW w:w="4232" w:type="pct"/>
            <w:gridSpan w:val="4"/>
            <w:tcMar>
              <w:top w:w="13" w:type="dxa"/>
              <w:left w:w="57" w:type="dxa"/>
              <w:bottom w:w="0" w:type="dxa"/>
              <w:right w:w="57" w:type="dxa"/>
            </w:tcMar>
            <w:vAlign w:val="center"/>
          </w:tcPr>
          <w:p w14:paraId="65043BAD">
            <w:pPr>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本项目选择第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项“</w:t>
            </w:r>
            <w:r>
              <w:rPr>
                <w:rFonts w:hint="eastAsia" w:ascii="宋体" w:hAnsi="宋体" w:eastAsia="宋体" w:cs="宋体"/>
                <w:color w:val="auto"/>
                <w:sz w:val="21"/>
                <w:szCs w:val="21"/>
                <w:highlight w:val="none"/>
                <w:u w:val="single"/>
              </w:rPr>
              <w:t>现代农业自动化生产实训平台</w:t>
            </w:r>
            <w:r>
              <w:rPr>
                <w:rFonts w:hint="eastAsia" w:ascii="宋体" w:hAnsi="宋体" w:eastAsia="宋体" w:cs="宋体"/>
                <w:color w:val="auto"/>
                <w:sz w:val="21"/>
                <w:szCs w:val="21"/>
                <w:highlight w:val="none"/>
              </w:rPr>
              <w:t>”作为核心产品。</w:t>
            </w:r>
          </w:p>
        </w:tc>
      </w:tr>
      <w:tr w14:paraId="7C83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53F9E159">
            <w:pPr>
              <w:spacing w:line="360" w:lineRule="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其他说明</w:t>
            </w:r>
          </w:p>
        </w:tc>
        <w:tc>
          <w:tcPr>
            <w:tcW w:w="4232" w:type="pct"/>
            <w:gridSpan w:val="4"/>
            <w:tcMar>
              <w:top w:w="13" w:type="dxa"/>
              <w:left w:w="57" w:type="dxa"/>
              <w:bottom w:w="0" w:type="dxa"/>
              <w:right w:w="57" w:type="dxa"/>
            </w:tcMar>
            <w:vAlign w:val="center"/>
          </w:tcPr>
          <w:p w14:paraId="1A40C182">
            <w:pPr>
              <w:keepNext w:val="0"/>
              <w:keepLines w:val="0"/>
              <w:pageBreakBefore w:val="0"/>
              <w:widowControl/>
              <w:wordWrap/>
              <w:overflowPunct/>
              <w:topLinePunct w:val="0"/>
              <w:bidi w:val="0"/>
              <w:snapToGrid/>
              <w:spacing w:line="420" w:lineRule="exact"/>
              <w:jc w:val="both"/>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进口产品说明</w:t>
            </w:r>
            <w:r>
              <w:rPr>
                <w:rFonts w:hint="eastAsia" w:ascii="宋体" w:hAnsi="宋体" w:cs="宋体"/>
                <w:color w:val="auto"/>
                <w:kern w:val="0"/>
                <w:szCs w:val="21"/>
                <w:highlight w:val="none"/>
                <w:lang w:eastAsia="zh-CN" w:bidi="ar"/>
              </w:rPr>
              <w:t>：本项目</w:t>
            </w:r>
            <w:r>
              <w:rPr>
                <w:rFonts w:hint="eastAsia" w:ascii="宋体" w:hAnsi="宋体" w:cs="宋体"/>
                <w:color w:val="auto"/>
                <w:szCs w:val="21"/>
                <w:highlight w:val="none"/>
                <w:lang w:val="en-US" w:eastAsia="zh-CN"/>
              </w:rPr>
              <w:t>采购标的</w:t>
            </w:r>
            <w:r>
              <w:rPr>
                <w:rFonts w:hint="eastAsia" w:ascii="宋体" w:hAnsi="宋体" w:cs="宋体"/>
                <w:color w:val="auto"/>
                <w:szCs w:val="21"/>
                <w:highlight w:val="none"/>
              </w:rPr>
              <w:t>所涉及的</w:t>
            </w:r>
            <w:r>
              <w:rPr>
                <w:rFonts w:hint="eastAsia" w:ascii="宋体" w:hAnsi="宋体" w:cs="宋体"/>
                <w:color w:val="auto"/>
                <w:kern w:val="0"/>
                <w:szCs w:val="21"/>
                <w:highlight w:val="none"/>
                <w:lang w:eastAsia="zh-CN" w:bidi="ar"/>
              </w:rPr>
              <w:t>货物</w:t>
            </w:r>
            <w:r>
              <w:rPr>
                <w:rFonts w:hint="eastAsia" w:ascii="宋体" w:hAnsi="宋体" w:cs="宋体"/>
                <w:b/>
                <w:bCs/>
                <w:color w:val="auto"/>
                <w:kern w:val="0"/>
                <w:szCs w:val="21"/>
                <w:highlight w:val="none"/>
                <w:lang w:eastAsia="zh-CN" w:bidi="ar"/>
              </w:rPr>
              <w:t>不接受</w:t>
            </w:r>
            <w:r>
              <w:rPr>
                <w:rFonts w:hint="eastAsia" w:ascii="宋体" w:hAnsi="宋体" w:cs="宋体"/>
                <w:color w:val="auto"/>
                <w:kern w:val="0"/>
                <w:szCs w:val="21"/>
                <w:highlight w:val="none"/>
                <w:lang w:eastAsia="zh-CN" w:bidi="ar"/>
              </w:rPr>
              <w:t>进口产品（即通过中国海关报关验放进入中国境内且产自关境外的产品）参与投标，</w:t>
            </w:r>
            <w:r>
              <w:rPr>
                <w:rFonts w:hint="eastAsia" w:ascii="宋体" w:hAnsi="宋体" w:cs="宋体"/>
                <w:b/>
                <w:bCs/>
                <w:color w:val="auto"/>
                <w:kern w:val="0"/>
                <w:szCs w:val="21"/>
                <w:highlight w:val="none"/>
                <w:lang w:eastAsia="zh-CN" w:bidi="ar"/>
              </w:rPr>
              <w:t>如有进口产品参与投标的作无效标处理</w:t>
            </w:r>
            <w:r>
              <w:rPr>
                <w:rFonts w:hint="eastAsia" w:ascii="宋体" w:hAnsi="宋体" w:cs="宋体"/>
                <w:color w:val="auto"/>
                <w:kern w:val="0"/>
                <w:szCs w:val="21"/>
                <w:highlight w:val="none"/>
                <w:lang w:eastAsia="zh-CN" w:bidi="ar"/>
              </w:rPr>
              <w:t>。</w:t>
            </w:r>
          </w:p>
          <w:p w14:paraId="0CD0C739">
            <w:p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Cs w:val="21"/>
                <w:highlight w:val="none"/>
                <w:lang w:val="en-US" w:eastAsia="zh-CN" w:bidi="ar"/>
              </w:rPr>
              <w:t>2.</w:t>
            </w:r>
            <w:r>
              <w:rPr>
                <w:rFonts w:hint="eastAsia" w:ascii="宋体" w:hAnsi="宋体" w:cs="宋体"/>
                <w:color w:val="auto"/>
                <w:szCs w:val="21"/>
                <w:highlight w:val="none"/>
                <w:lang w:val="en-US" w:eastAsia="zh-CN"/>
              </w:rPr>
              <w:t>根据</w:t>
            </w:r>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r>
              <w:rPr>
                <w:rFonts w:hint="eastAsia" w:ascii="宋体" w:hAnsi="宋体" w:cs="宋体"/>
                <w:color w:val="auto"/>
                <w:szCs w:val="21"/>
                <w:highlight w:val="none"/>
              </w:rPr>
              <w:t>的规定</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政府采购活动中既有本国产品又有非本国产品参与竞争的，依法对</w:t>
            </w:r>
            <w:r>
              <w:rPr>
                <w:rFonts w:hint="eastAsia" w:ascii="宋体" w:hAnsi="宋体" w:cs="宋体"/>
                <w:i w:val="0"/>
                <w:iCs w:val="0"/>
                <w:caps w:val="0"/>
                <w:color w:val="auto"/>
                <w:spacing w:val="0"/>
                <w:sz w:val="21"/>
                <w:szCs w:val="21"/>
                <w:highlight w:val="none"/>
                <w:shd w:val="clear" w:color="auto" w:fill="FFFFFF"/>
                <w:lang w:val="en-US" w:eastAsia="zh-CN"/>
              </w:rPr>
              <w:t>符合政策要求的</w:t>
            </w:r>
            <w:r>
              <w:rPr>
                <w:rFonts w:hint="eastAsia" w:ascii="宋体" w:hAnsi="宋体" w:eastAsia="宋体" w:cs="宋体"/>
                <w:i w:val="0"/>
                <w:iCs w:val="0"/>
                <w:caps w:val="0"/>
                <w:color w:val="auto"/>
                <w:spacing w:val="0"/>
                <w:sz w:val="21"/>
                <w:szCs w:val="21"/>
                <w:highlight w:val="none"/>
                <w:shd w:val="clear" w:color="auto" w:fill="FFFFFF"/>
              </w:rPr>
              <w:t>本国产品给予价格评审优惠</w:t>
            </w:r>
            <w:r>
              <w:rPr>
                <w:rFonts w:hint="eastAsia" w:ascii="宋体" w:hAnsi="宋体" w:cs="宋体"/>
                <w:i w:val="0"/>
                <w:iCs w:val="0"/>
                <w:caps w:val="0"/>
                <w:color w:val="auto"/>
                <w:spacing w:val="0"/>
                <w:sz w:val="21"/>
                <w:szCs w:val="21"/>
                <w:highlight w:val="none"/>
                <w:shd w:val="clear" w:color="auto" w:fill="FFFFFF"/>
                <w:lang w:eastAsia="zh-CN"/>
              </w:rPr>
              <w:t>，</w:t>
            </w:r>
            <w:r>
              <w:rPr>
                <w:rFonts w:hint="eastAsia" w:ascii="宋体" w:hAnsi="宋体" w:cs="宋体"/>
                <w:b/>
                <w:bCs/>
                <w:color w:val="auto"/>
                <w:szCs w:val="21"/>
                <w:highlight w:val="none"/>
              </w:rPr>
              <w:t xml:space="preserve">具体详见“第四章 </w:t>
            </w:r>
            <w:r>
              <w:rPr>
                <w:rFonts w:hint="eastAsia" w:ascii="宋体" w:hAnsi="宋体" w:cs="宋体"/>
                <w:b/>
                <w:bCs/>
                <w:color w:val="auto"/>
                <w:szCs w:val="21"/>
                <w:highlight w:val="none"/>
                <w:lang w:eastAsia="zh-CN"/>
              </w:rPr>
              <w:t>评标方法和评标标准</w:t>
            </w:r>
            <w:r>
              <w:rPr>
                <w:rFonts w:hint="eastAsia" w:ascii="宋体" w:hAnsi="宋体" w:cs="宋体"/>
                <w:b/>
                <w:bCs/>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产品在中国境内生产的组件成本，按照《中国境内生产的组件成本核算基本规则》（见附件</w:t>
            </w:r>
            <w:r>
              <w:rPr>
                <w:rFonts w:hint="eastAsia" w:ascii="宋体" w:hAnsi="宋体" w:cs="宋体"/>
                <w:i w:val="0"/>
                <w:iCs w:val="0"/>
                <w:caps w:val="0"/>
                <w:color w:val="auto"/>
                <w:spacing w:val="0"/>
                <w:sz w:val="21"/>
                <w:szCs w:val="21"/>
                <w:highlight w:val="none"/>
                <w:shd w:val="clear" w:color="auto" w:fill="auto"/>
                <w:lang w:val="en-US" w:eastAsia="zh-CN"/>
              </w:rPr>
              <w:t>3</w:t>
            </w:r>
            <w:r>
              <w:rPr>
                <w:rFonts w:hint="eastAsia" w:ascii="宋体" w:hAnsi="宋体" w:eastAsia="宋体" w:cs="宋体"/>
                <w:i w:val="0"/>
                <w:iCs w:val="0"/>
                <w:caps w:val="0"/>
                <w:color w:val="auto"/>
                <w:spacing w:val="0"/>
                <w:sz w:val="21"/>
                <w:szCs w:val="21"/>
                <w:highlight w:val="none"/>
                <w:shd w:val="clear" w:color="auto" w:fill="auto"/>
              </w:rPr>
              <w:t>）计算。</w:t>
            </w:r>
          </w:p>
        </w:tc>
      </w:tr>
    </w:tbl>
    <w:p w14:paraId="51944C9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F6F7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4FC48">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2874FC48">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84CAE"/>
    <w:multiLevelType w:val="singleLevel"/>
    <w:tmpl w:val="92984CAE"/>
    <w:lvl w:ilvl="0" w:tentative="0">
      <w:start w:val="1"/>
      <w:numFmt w:val="decimal"/>
      <w:suff w:val="nothing"/>
      <w:lvlText w:val="（%1）"/>
      <w:lvlJc w:val="left"/>
      <w:pPr>
        <w:ind w:left="0" w:leftChars="0" w:firstLine="0" w:firstLineChars="0"/>
      </w:pPr>
      <w:rPr>
        <w:rFonts w:hint="default"/>
      </w:rPr>
    </w:lvl>
  </w:abstractNum>
  <w:abstractNum w:abstractNumId="1">
    <w:nsid w:val="94370AC3"/>
    <w:multiLevelType w:val="singleLevel"/>
    <w:tmpl w:val="94370AC3"/>
    <w:lvl w:ilvl="0" w:tentative="0">
      <w:start w:val="1"/>
      <w:numFmt w:val="decimal"/>
      <w:suff w:val="nothing"/>
      <w:lvlText w:val="%1)"/>
      <w:lvlJc w:val="left"/>
      <w:pPr>
        <w:ind w:left="0" w:leftChars="0" w:firstLine="0" w:firstLineChars="0"/>
      </w:pPr>
      <w:rPr>
        <w:rFonts w:hint="default"/>
      </w:rPr>
    </w:lvl>
  </w:abstractNum>
  <w:abstractNum w:abstractNumId="2">
    <w:nsid w:val="9CB7C8EF"/>
    <w:multiLevelType w:val="singleLevel"/>
    <w:tmpl w:val="9CB7C8EF"/>
    <w:lvl w:ilvl="0" w:tentative="0">
      <w:start w:val="1"/>
      <w:numFmt w:val="decimal"/>
      <w:suff w:val="nothing"/>
      <w:lvlText w:val="%1)"/>
      <w:lvlJc w:val="left"/>
      <w:pPr>
        <w:ind w:left="0" w:leftChars="0" w:firstLine="0" w:firstLineChars="0"/>
      </w:pPr>
      <w:rPr>
        <w:rFonts w:hint="default"/>
      </w:rPr>
    </w:lvl>
  </w:abstractNum>
  <w:abstractNum w:abstractNumId="3">
    <w:nsid w:val="AD662939"/>
    <w:multiLevelType w:val="multilevel"/>
    <w:tmpl w:val="AD662939"/>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AFCFEAEC"/>
    <w:multiLevelType w:val="singleLevel"/>
    <w:tmpl w:val="AFCFEAEC"/>
    <w:lvl w:ilvl="0" w:tentative="0">
      <w:start w:val="1"/>
      <w:numFmt w:val="decimal"/>
      <w:suff w:val="nothing"/>
      <w:lvlText w:val="%1)"/>
      <w:lvlJc w:val="left"/>
      <w:pPr>
        <w:ind w:left="0" w:leftChars="0" w:firstLine="0" w:firstLineChars="0"/>
      </w:pPr>
      <w:rPr>
        <w:rFonts w:hint="default"/>
      </w:rPr>
    </w:lvl>
  </w:abstractNum>
  <w:abstractNum w:abstractNumId="5">
    <w:nsid w:val="B8C7E226"/>
    <w:multiLevelType w:val="multilevel"/>
    <w:tmpl w:val="B8C7E226"/>
    <w:lvl w:ilvl="0" w:tentative="0">
      <w:start w:val="1"/>
      <w:numFmt w:val="lowerLetter"/>
      <w:lvlText w:val="%1)"/>
      <w:lvlJc w:val="left"/>
      <w:pPr>
        <w:ind w:left="1160" w:hanging="440"/>
      </w:pPr>
    </w:lvl>
    <w:lvl w:ilvl="1" w:tentative="0">
      <w:start w:val="1"/>
      <w:numFmt w:val="lowerLetter"/>
      <w:suff w:val="nothing"/>
      <w:lvlText w:val="%2)"/>
      <w:lvlJc w:val="left"/>
      <w:pPr>
        <w:ind w:left="0" w:leftChars="0" w:firstLine="0" w:firstLineChars="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6">
    <w:nsid w:val="B9A0E48C"/>
    <w:multiLevelType w:val="multilevel"/>
    <w:tmpl w:val="B9A0E48C"/>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BCF0EA6C"/>
    <w:multiLevelType w:val="singleLevel"/>
    <w:tmpl w:val="BCF0EA6C"/>
    <w:lvl w:ilvl="0" w:tentative="0">
      <w:start w:val="1"/>
      <w:numFmt w:val="decimal"/>
      <w:suff w:val="nothing"/>
      <w:lvlText w:val="（%1）"/>
      <w:lvlJc w:val="left"/>
      <w:pPr>
        <w:ind w:left="0" w:leftChars="0" w:firstLine="0" w:firstLineChars="0"/>
      </w:pPr>
      <w:rPr>
        <w:rFonts w:hint="default"/>
      </w:rPr>
    </w:lvl>
  </w:abstractNum>
  <w:abstractNum w:abstractNumId="8">
    <w:nsid w:val="C35FDA38"/>
    <w:multiLevelType w:val="multilevel"/>
    <w:tmpl w:val="C35FDA38"/>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C5DB9FE2"/>
    <w:multiLevelType w:val="multilevel"/>
    <w:tmpl w:val="C5DB9FE2"/>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10">
    <w:nsid w:val="CA884AD0"/>
    <w:multiLevelType w:val="singleLevel"/>
    <w:tmpl w:val="CA884AD0"/>
    <w:lvl w:ilvl="0" w:tentative="0">
      <w:start w:val="1"/>
      <w:numFmt w:val="decimal"/>
      <w:suff w:val="nothing"/>
      <w:lvlText w:val="（%1）"/>
      <w:lvlJc w:val="left"/>
      <w:pPr>
        <w:ind w:left="0" w:leftChars="0" w:firstLine="0" w:firstLineChars="0"/>
      </w:pPr>
      <w:rPr>
        <w:rFonts w:hint="default"/>
      </w:rPr>
    </w:lvl>
  </w:abstractNum>
  <w:abstractNum w:abstractNumId="11">
    <w:nsid w:val="D5123CEE"/>
    <w:multiLevelType w:val="singleLevel"/>
    <w:tmpl w:val="D5123CEE"/>
    <w:lvl w:ilvl="0" w:tentative="0">
      <w:start w:val="1"/>
      <w:numFmt w:val="decimal"/>
      <w:suff w:val="nothing"/>
      <w:lvlText w:val="（%1）"/>
      <w:lvlJc w:val="left"/>
      <w:pPr>
        <w:ind w:left="0" w:leftChars="0" w:firstLine="0" w:firstLineChars="0"/>
      </w:pPr>
      <w:rPr>
        <w:rFonts w:hint="default"/>
      </w:rPr>
    </w:lvl>
  </w:abstractNum>
  <w:abstractNum w:abstractNumId="1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0000000D"/>
    <w:multiLevelType w:val="multilevel"/>
    <w:tmpl w:val="0000000D"/>
    <w:lvl w:ilvl="0" w:tentative="0">
      <w:start w:val="1"/>
      <w:numFmt w:val="decimal"/>
      <w:lvlText w:val="%1."/>
      <w:lvlJc w:val="left"/>
      <w:pPr>
        <w:tabs>
          <w:tab w:val="left" w:pos="0"/>
        </w:tabs>
        <w:ind w:left="0" w:hanging="360"/>
      </w:pPr>
    </w:lvl>
    <w:lvl w:ilvl="1" w:tentative="0">
      <w:start w:val="1"/>
      <w:numFmt w:val="decimal"/>
      <w:lvlText w:val="%2)"/>
      <w:lvlJc w:val="left"/>
      <w:pPr>
        <w:ind w:left="800" w:hanging="44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2160"/>
        </w:tabs>
        <w:ind w:left="2160" w:hanging="360"/>
      </w:pPr>
    </w:lvl>
    <w:lvl w:ilvl="4" w:tentative="0">
      <w:start w:val="1"/>
      <w:numFmt w:val="decimal"/>
      <w:lvlText w:val="%5."/>
      <w:lvlJc w:val="left"/>
      <w:pPr>
        <w:tabs>
          <w:tab w:val="left" w:pos="2880"/>
        </w:tabs>
        <w:ind w:left="2880" w:hanging="360"/>
      </w:pPr>
    </w:lvl>
    <w:lvl w:ilvl="5" w:tentative="0">
      <w:start w:val="1"/>
      <w:numFmt w:val="decimal"/>
      <w:lvlText w:val="%6."/>
      <w:lvlJc w:val="left"/>
      <w:pPr>
        <w:tabs>
          <w:tab w:val="left" w:pos="3600"/>
        </w:tabs>
        <w:ind w:left="3600" w:hanging="360"/>
      </w:pPr>
    </w:lvl>
    <w:lvl w:ilvl="6" w:tentative="0">
      <w:start w:val="1"/>
      <w:numFmt w:val="decimal"/>
      <w:lvlText w:val="%7."/>
      <w:lvlJc w:val="left"/>
      <w:pPr>
        <w:tabs>
          <w:tab w:val="left" w:pos="4320"/>
        </w:tabs>
        <w:ind w:left="4320" w:hanging="360"/>
      </w:pPr>
    </w:lvl>
    <w:lvl w:ilvl="7" w:tentative="0">
      <w:start w:val="1"/>
      <w:numFmt w:val="decimal"/>
      <w:lvlText w:val="%8."/>
      <w:lvlJc w:val="left"/>
      <w:pPr>
        <w:tabs>
          <w:tab w:val="left" w:pos="5040"/>
        </w:tabs>
        <w:ind w:left="5040" w:hanging="360"/>
      </w:pPr>
    </w:lvl>
    <w:lvl w:ilvl="8" w:tentative="0">
      <w:start w:val="1"/>
      <w:numFmt w:val="decimal"/>
      <w:lvlText w:val="%9."/>
      <w:lvlJc w:val="left"/>
      <w:pPr>
        <w:tabs>
          <w:tab w:val="left" w:pos="5760"/>
        </w:tabs>
        <w:ind w:left="5760" w:hanging="360"/>
      </w:pPr>
    </w:lvl>
  </w:abstractNum>
  <w:abstractNum w:abstractNumId="14">
    <w:nsid w:val="0000000F"/>
    <w:multiLevelType w:val="multilevel"/>
    <w:tmpl w:val="0000000F"/>
    <w:lvl w:ilvl="0" w:tentative="0">
      <w:start w:val="1"/>
      <w:numFmt w:val="decimal"/>
      <w:lvlText w:val="%1."/>
      <w:lvlJc w:val="left"/>
      <w:pPr>
        <w:tabs>
          <w:tab w:val="left" w:pos="0"/>
        </w:tabs>
        <w:ind w:left="0" w:hanging="360"/>
      </w:pPr>
    </w:lvl>
    <w:lvl w:ilvl="1" w:tentative="0">
      <w:start w:val="1"/>
      <w:numFmt w:val="decimal"/>
      <w:lvlText w:val="%2)"/>
      <w:lvlJc w:val="left"/>
      <w:pPr>
        <w:ind w:left="800" w:hanging="44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2160"/>
        </w:tabs>
        <w:ind w:left="2160" w:hanging="360"/>
      </w:pPr>
    </w:lvl>
    <w:lvl w:ilvl="4" w:tentative="0">
      <w:start w:val="1"/>
      <w:numFmt w:val="decimal"/>
      <w:lvlText w:val="%5."/>
      <w:lvlJc w:val="left"/>
      <w:pPr>
        <w:tabs>
          <w:tab w:val="left" w:pos="2880"/>
        </w:tabs>
        <w:ind w:left="2880" w:hanging="360"/>
      </w:pPr>
    </w:lvl>
    <w:lvl w:ilvl="5" w:tentative="0">
      <w:start w:val="1"/>
      <w:numFmt w:val="decimal"/>
      <w:lvlText w:val="%6."/>
      <w:lvlJc w:val="left"/>
      <w:pPr>
        <w:tabs>
          <w:tab w:val="left" w:pos="3600"/>
        </w:tabs>
        <w:ind w:left="3600" w:hanging="360"/>
      </w:pPr>
    </w:lvl>
    <w:lvl w:ilvl="6" w:tentative="0">
      <w:start w:val="1"/>
      <w:numFmt w:val="decimal"/>
      <w:lvlText w:val="%7."/>
      <w:lvlJc w:val="left"/>
      <w:pPr>
        <w:tabs>
          <w:tab w:val="left" w:pos="4320"/>
        </w:tabs>
        <w:ind w:left="4320" w:hanging="360"/>
      </w:pPr>
    </w:lvl>
    <w:lvl w:ilvl="7" w:tentative="0">
      <w:start w:val="1"/>
      <w:numFmt w:val="decimal"/>
      <w:lvlText w:val="%8."/>
      <w:lvlJc w:val="left"/>
      <w:pPr>
        <w:tabs>
          <w:tab w:val="left" w:pos="5040"/>
        </w:tabs>
        <w:ind w:left="5040" w:hanging="360"/>
      </w:pPr>
    </w:lvl>
    <w:lvl w:ilvl="8" w:tentative="0">
      <w:start w:val="1"/>
      <w:numFmt w:val="decimal"/>
      <w:lvlText w:val="%9."/>
      <w:lvlJc w:val="left"/>
      <w:pPr>
        <w:tabs>
          <w:tab w:val="left" w:pos="5760"/>
        </w:tabs>
        <w:ind w:left="5760" w:hanging="360"/>
      </w:pPr>
    </w:lvl>
  </w:abstractNum>
  <w:abstractNum w:abstractNumId="15">
    <w:nsid w:val="00000011"/>
    <w:multiLevelType w:val="multilevel"/>
    <w:tmpl w:val="00000011"/>
    <w:lvl w:ilvl="0" w:tentative="0">
      <w:start w:val="1"/>
      <w:numFmt w:val="decimal"/>
      <w:lvlText w:val="%1."/>
      <w:lvlJc w:val="left"/>
      <w:pPr>
        <w:tabs>
          <w:tab w:val="left" w:pos="0"/>
        </w:tabs>
        <w:ind w:left="0" w:hanging="360"/>
      </w:pPr>
    </w:lvl>
    <w:lvl w:ilvl="1" w:tentative="0">
      <w:start w:val="1"/>
      <w:numFmt w:val="decimal"/>
      <w:lvlText w:val="%2)"/>
      <w:lvlJc w:val="left"/>
      <w:pPr>
        <w:ind w:left="800" w:hanging="44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2160"/>
        </w:tabs>
        <w:ind w:left="2160" w:hanging="360"/>
      </w:pPr>
    </w:lvl>
    <w:lvl w:ilvl="4" w:tentative="0">
      <w:start w:val="1"/>
      <w:numFmt w:val="decimal"/>
      <w:lvlText w:val="%5."/>
      <w:lvlJc w:val="left"/>
      <w:pPr>
        <w:tabs>
          <w:tab w:val="left" w:pos="2880"/>
        </w:tabs>
        <w:ind w:left="2880" w:hanging="360"/>
      </w:pPr>
    </w:lvl>
    <w:lvl w:ilvl="5" w:tentative="0">
      <w:start w:val="1"/>
      <w:numFmt w:val="decimal"/>
      <w:lvlText w:val="%6."/>
      <w:lvlJc w:val="left"/>
      <w:pPr>
        <w:tabs>
          <w:tab w:val="left" w:pos="3600"/>
        </w:tabs>
        <w:ind w:left="3600" w:hanging="360"/>
      </w:pPr>
    </w:lvl>
    <w:lvl w:ilvl="6" w:tentative="0">
      <w:start w:val="1"/>
      <w:numFmt w:val="decimal"/>
      <w:lvlText w:val="%7."/>
      <w:lvlJc w:val="left"/>
      <w:pPr>
        <w:tabs>
          <w:tab w:val="left" w:pos="4320"/>
        </w:tabs>
        <w:ind w:left="4320" w:hanging="360"/>
      </w:pPr>
    </w:lvl>
    <w:lvl w:ilvl="7" w:tentative="0">
      <w:start w:val="1"/>
      <w:numFmt w:val="decimal"/>
      <w:lvlText w:val="%8."/>
      <w:lvlJc w:val="left"/>
      <w:pPr>
        <w:tabs>
          <w:tab w:val="left" w:pos="5040"/>
        </w:tabs>
        <w:ind w:left="5040" w:hanging="360"/>
      </w:pPr>
    </w:lvl>
    <w:lvl w:ilvl="8" w:tentative="0">
      <w:start w:val="1"/>
      <w:numFmt w:val="decimal"/>
      <w:lvlText w:val="%9."/>
      <w:lvlJc w:val="left"/>
      <w:pPr>
        <w:tabs>
          <w:tab w:val="left" w:pos="5760"/>
        </w:tabs>
        <w:ind w:left="5760" w:hanging="360"/>
      </w:pPr>
    </w:lvl>
  </w:abstractNum>
  <w:abstractNum w:abstractNumId="16">
    <w:nsid w:val="00000013"/>
    <w:multiLevelType w:val="multilevel"/>
    <w:tmpl w:val="00000013"/>
    <w:lvl w:ilvl="0" w:tentative="0">
      <w:start w:val="1"/>
      <w:numFmt w:val="decimal"/>
      <w:lvlText w:val="%1)"/>
      <w:lvlJc w:val="left"/>
      <w:pPr>
        <w:ind w:left="800" w:hanging="440"/>
      </w:pPr>
    </w:lvl>
    <w:lvl w:ilvl="1" w:tentative="0">
      <w:start w:val="1"/>
      <w:numFmt w:val="decimal"/>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17">
    <w:nsid w:val="00000015"/>
    <w:multiLevelType w:val="multilevel"/>
    <w:tmpl w:val="00000015"/>
    <w:lvl w:ilvl="0" w:tentative="0">
      <w:start w:val="1"/>
      <w:numFmt w:val="decimal"/>
      <w:lvlText w:val="%1."/>
      <w:lvlJc w:val="left"/>
      <w:pPr>
        <w:tabs>
          <w:tab w:val="left" w:pos="0"/>
        </w:tabs>
        <w:ind w:left="0" w:hanging="360"/>
      </w:pPr>
    </w:lvl>
    <w:lvl w:ilvl="1" w:tentative="0">
      <w:start w:val="1"/>
      <w:numFmt w:val="decimal"/>
      <w:lvlText w:val="%2)"/>
      <w:lvlJc w:val="left"/>
      <w:pPr>
        <w:ind w:left="800" w:hanging="44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2160"/>
        </w:tabs>
        <w:ind w:left="2160" w:hanging="360"/>
      </w:pPr>
    </w:lvl>
    <w:lvl w:ilvl="4" w:tentative="0">
      <w:start w:val="1"/>
      <w:numFmt w:val="decimal"/>
      <w:lvlText w:val="%5."/>
      <w:lvlJc w:val="left"/>
      <w:pPr>
        <w:tabs>
          <w:tab w:val="left" w:pos="2880"/>
        </w:tabs>
        <w:ind w:left="2880" w:hanging="360"/>
      </w:pPr>
    </w:lvl>
    <w:lvl w:ilvl="5" w:tentative="0">
      <w:start w:val="1"/>
      <w:numFmt w:val="decimal"/>
      <w:lvlText w:val="%6."/>
      <w:lvlJc w:val="left"/>
      <w:pPr>
        <w:tabs>
          <w:tab w:val="left" w:pos="3600"/>
        </w:tabs>
        <w:ind w:left="3600" w:hanging="360"/>
      </w:pPr>
    </w:lvl>
    <w:lvl w:ilvl="6" w:tentative="0">
      <w:start w:val="1"/>
      <w:numFmt w:val="decimal"/>
      <w:lvlText w:val="%7."/>
      <w:lvlJc w:val="left"/>
      <w:pPr>
        <w:tabs>
          <w:tab w:val="left" w:pos="4320"/>
        </w:tabs>
        <w:ind w:left="4320" w:hanging="360"/>
      </w:pPr>
    </w:lvl>
    <w:lvl w:ilvl="7" w:tentative="0">
      <w:start w:val="1"/>
      <w:numFmt w:val="decimal"/>
      <w:lvlText w:val="%8."/>
      <w:lvlJc w:val="left"/>
      <w:pPr>
        <w:tabs>
          <w:tab w:val="left" w:pos="5040"/>
        </w:tabs>
        <w:ind w:left="5040" w:hanging="360"/>
      </w:pPr>
    </w:lvl>
    <w:lvl w:ilvl="8" w:tentative="0">
      <w:start w:val="1"/>
      <w:numFmt w:val="decimal"/>
      <w:lvlText w:val="%9."/>
      <w:lvlJc w:val="left"/>
      <w:pPr>
        <w:tabs>
          <w:tab w:val="left" w:pos="5760"/>
        </w:tabs>
        <w:ind w:left="5760" w:hanging="360"/>
      </w:pPr>
    </w:lvl>
  </w:abstractNum>
  <w:abstractNum w:abstractNumId="18">
    <w:nsid w:val="00000016"/>
    <w:multiLevelType w:val="multilevel"/>
    <w:tmpl w:val="00000016"/>
    <w:lvl w:ilvl="0" w:tentative="0">
      <w:start w:val="1"/>
      <w:numFmt w:val="decimal"/>
      <w:suff w:val="nothing"/>
      <w:lvlText w:val="（%1）"/>
      <w:lvlJc w:val="left"/>
      <w:pPr>
        <w:ind w:left="360" w:hanging="360"/>
      </w:pPr>
      <w:rPr>
        <w:rFonts w:hint="default"/>
      </w:rPr>
    </w:lvl>
    <w:lvl w:ilvl="1" w:tentative="0">
      <w:start w:val="1"/>
      <w:numFmt w:val="lowerLetter"/>
      <w:suff w:val="nothing"/>
      <w:lvlText w:val="%2)"/>
      <w:lvlJc w:val="left"/>
      <w:pPr>
        <w:ind w:left="1200" w:hanging="420"/>
      </w:pPr>
      <w:rPr>
        <w:rFonts w:hint="eastAsia"/>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9">
    <w:nsid w:val="0000001B"/>
    <w:multiLevelType w:val="multilevel"/>
    <w:tmpl w:val="0000001B"/>
    <w:lvl w:ilvl="0" w:tentative="0">
      <w:start w:val="1"/>
      <w:numFmt w:val="decimal"/>
      <w:lvlText w:val="%1."/>
      <w:lvlJc w:val="left"/>
      <w:pPr>
        <w:tabs>
          <w:tab w:val="left" w:pos="0"/>
        </w:tabs>
        <w:ind w:left="0" w:hanging="360"/>
      </w:pPr>
    </w:lvl>
    <w:lvl w:ilvl="1" w:tentative="0">
      <w:start w:val="1"/>
      <w:numFmt w:val="decimal"/>
      <w:lvlText w:val="%2)"/>
      <w:lvlJc w:val="left"/>
      <w:pPr>
        <w:ind w:left="800" w:hanging="44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2160"/>
        </w:tabs>
        <w:ind w:left="2160" w:hanging="360"/>
      </w:pPr>
    </w:lvl>
    <w:lvl w:ilvl="4" w:tentative="0">
      <w:start w:val="1"/>
      <w:numFmt w:val="decimal"/>
      <w:lvlText w:val="%5."/>
      <w:lvlJc w:val="left"/>
      <w:pPr>
        <w:tabs>
          <w:tab w:val="left" w:pos="2880"/>
        </w:tabs>
        <w:ind w:left="2880" w:hanging="360"/>
      </w:pPr>
    </w:lvl>
    <w:lvl w:ilvl="5" w:tentative="0">
      <w:start w:val="1"/>
      <w:numFmt w:val="decimal"/>
      <w:lvlText w:val="%6."/>
      <w:lvlJc w:val="left"/>
      <w:pPr>
        <w:tabs>
          <w:tab w:val="left" w:pos="3600"/>
        </w:tabs>
        <w:ind w:left="3600" w:hanging="360"/>
      </w:pPr>
    </w:lvl>
    <w:lvl w:ilvl="6" w:tentative="0">
      <w:start w:val="1"/>
      <w:numFmt w:val="decimal"/>
      <w:lvlText w:val="%7."/>
      <w:lvlJc w:val="left"/>
      <w:pPr>
        <w:tabs>
          <w:tab w:val="left" w:pos="4320"/>
        </w:tabs>
        <w:ind w:left="4320" w:hanging="360"/>
      </w:pPr>
    </w:lvl>
    <w:lvl w:ilvl="7" w:tentative="0">
      <w:start w:val="1"/>
      <w:numFmt w:val="decimal"/>
      <w:lvlText w:val="%8."/>
      <w:lvlJc w:val="left"/>
      <w:pPr>
        <w:tabs>
          <w:tab w:val="left" w:pos="5040"/>
        </w:tabs>
        <w:ind w:left="5040" w:hanging="360"/>
      </w:pPr>
    </w:lvl>
    <w:lvl w:ilvl="8" w:tentative="0">
      <w:start w:val="1"/>
      <w:numFmt w:val="decimal"/>
      <w:lvlText w:val="%9."/>
      <w:lvlJc w:val="left"/>
      <w:pPr>
        <w:tabs>
          <w:tab w:val="left" w:pos="5760"/>
        </w:tabs>
        <w:ind w:left="5760" w:hanging="360"/>
      </w:pPr>
    </w:lvl>
  </w:abstractNum>
  <w:abstractNum w:abstractNumId="20">
    <w:nsid w:val="25E40605"/>
    <w:multiLevelType w:val="multilevel"/>
    <w:tmpl w:val="25E40605"/>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21">
    <w:nsid w:val="2CC16CB7"/>
    <w:multiLevelType w:val="singleLevel"/>
    <w:tmpl w:val="2CC16CB7"/>
    <w:lvl w:ilvl="0" w:tentative="0">
      <w:start w:val="1"/>
      <w:numFmt w:val="decimal"/>
      <w:suff w:val="nothing"/>
      <w:lvlText w:val="%1)"/>
      <w:lvlJc w:val="left"/>
      <w:pPr>
        <w:ind w:left="0" w:leftChars="0" w:firstLine="0" w:firstLineChars="0"/>
      </w:pPr>
      <w:rPr>
        <w:rFonts w:hint="default"/>
      </w:rPr>
    </w:lvl>
  </w:abstractNum>
  <w:abstractNum w:abstractNumId="22">
    <w:nsid w:val="32141DCB"/>
    <w:multiLevelType w:val="singleLevel"/>
    <w:tmpl w:val="32141DCB"/>
    <w:lvl w:ilvl="0" w:tentative="0">
      <w:start w:val="1"/>
      <w:numFmt w:val="decimal"/>
      <w:suff w:val="nothing"/>
      <w:lvlText w:val="（%1）"/>
      <w:lvlJc w:val="left"/>
      <w:pPr>
        <w:ind w:left="0" w:leftChars="0" w:firstLine="0" w:firstLineChars="0"/>
      </w:pPr>
      <w:rPr>
        <w:rFonts w:hint="default"/>
      </w:rPr>
    </w:lvl>
  </w:abstractNum>
  <w:abstractNum w:abstractNumId="23">
    <w:nsid w:val="321EC15B"/>
    <w:multiLevelType w:val="multilevel"/>
    <w:tmpl w:val="321EC15B"/>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4">
    <w:nsid w:val="43B301F0"/>
    <w:multiLevelType w:val="singleLevel"/>
    <w:tmpl w:val="43B301F0"/>
    <w:lvl w:ilvl="0" w:tentative="0">
      <w:start w:val="1"/>
      <w:numFmt w:val="decimal"/>
      <w:suff w:val="nothing"/>
      <w:lvlText w:val="（%1）"/>
      <w:lvlJc w:val="left"/>
      <w:pPr>
        <w:ind w:left="0" w:leftChars="0" w:firstLine="0" w:firstLineChars="0"/>
      </w:pPr>
      <w:rPr>
        <w:rFonts w:hint="default"/>
      </w:rPr>
    </w:lvl>
  </w:abstractNum>
  <w:abstractNum w:abstractNumId="25">
    <w:nsid w:val="4B57367B"/>
    <w:multiLevelType w:val="multilevel"/>
    <w:tmpl w:val="4B57367B"/>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6">
    <w:nsid w:val="4CF2A315"/>
    <w:multiLevelType w:val="multilevel"/>
    <w:tmpl w:val="4CF2A315"/>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7">
    <w:nsid w:val="4FD43214"/>
    <w:multiLevelType w:val="multilevel"/>
    <w:tmpl w:val="4FD43214"/>
    <w:lvl w:ilvl="0" w:tentative="0">
      <w:start w:val="1"/>
      <w:numFmt w:val="decimal"/>
      <w:suff w:val="nothing"/>
      <w:lvlText w:val="%1)"/>
      <w:lvlJc w:val="left"/>
      <w:pPr>
        <w:ind w:left="0" w:leftChars="0" w:firstLine="0" w:firstLineChars="0"/>
      </w:pPr>
    </w:lvl>
    <w:lvl w:ilvl="1" w:tentative="0">
      <w:start w:val="1"/>
      <w:numFmt w:val="decimal"/>
      <w:lvlText w:val="%2、"/>
      <w:lvlJc w:val="left"/>
      <w:pPr>
        <w:ind w:left="1640" w:hanging="360"/>
      </w:pPr>
      <w:rPr>
        <w:rFonts w:hint="default" w:ascii="Calibri" w:hAnsi="Calibri" w:cs="Times New Roman"/>
        <w:color w:val="auto"/>
      </w:r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28">
    <w:nsid w:val="61A7B683"/>
    <w:multiLevelType w:val="multilevel"/>
    <w:tmpl w:val="61A7B683"/>
    <w:lvl w:ilvl="0" w:tentative="0">
      <w:start w:val="1"/>
      <w:numFmt w:val="decimal"/>
      <w:suff w:val="nothing"/>
      <w:lvlText w:val="%1)"/>
      <w:lvlJc w:val="left"/>
      <w:pPr>
        <w:ind w:left="0" w:leftChars="0" w:firstLine="0" w:firstLineChars="0"/>
      </w:pPr>
      <w:rPr>
        <w:rFonts w:hint="default"/>
        <w:b w:val="0"/>
        <w:bCs w:val="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9">
    <w:nsid w:val="6317D095"/>
    <w:multiLevelType w:val="multilevel"/>
    <w:tmpl w:val="6317D095"/>
    <w:lvl w:ilvl="0" w:tentative="0">
      <w:start w:val="1"/>
      <w:numFmt w:val="decimal"/>
      <w:suff w:val="nothing"/>
      <w:lvlText w:val="%1)"/>
      <w:lvlJc w:val="left"/>
      <w:pPr>
        <w:ind w:left="0" w:leftChars="0" w:firstLine="0" w:firstLineChars="0"/>
      </w:pPr>
    </w:lvl>
    <w:lvl w:ilvl="1" w:tentative="0">
      <w:start w:val="2"/>
      <w:numFmt w:val="decimal"/>
      <w:lvlText w:val="%2、"/>
      <w:lvlJc w:val="left"/>
      <w:pPr>
        <w:ind w:left="2060" w:hanging="360"/>
      </w:pPr>
      <w:rPr>
        <w:rFonts w:hint="default"/>
      </w:rPr>
    </w:lvl>
    <w:lvl w:ilvl="2" w:tentative="0">
      <w:start w:val="1"/>
      <w:numFmt w:val="lowerRoman"/>
      <w:lvlText w:val="%3."/>
      <w:lvlJc w:val="right"/>
      <w:pPr>
        <w:ind w:left="2580" w:hanging="440"/>
      </w:pPr>
    </w:lvl>
    <w:lvl w:ilvl="3" w:tentative="0">
      <w:start w:val="1"/>
      <w:numFmt w:val="decimal"/>
      <w:lvlText w:val="%4."/>
      <w:lvlJc w:val="left"/>
      <w:pPr>
        <w:ind w:left="3020" w:hanging="440"/>
      </w:pPr>
    </w:lvl>
    <w:lvl w:ilvl="4" w:tentative="0">
      <w:start w:val="1"/>
      <w:numFmt w:val="lowerLetter"/>
      <w:lvlText w:val="%5)"/>
      <w:lvlJc w:val="left"/>
      <w:pPr>
        <w:ind w:left="3460" w:hanging="440"/>
      </w:pPr>
    </w:lvl>
    <w:lvl w:ilvl="5" w:tentative="0">
      <w:start w:val="1"/>
      <w:numFmt w:val="lowerRoman"/>
      <w:lvlText w:val="%6."/>
      <w:lvlJc w:val="right"/>
      <w:pPr>
        <w:ind w:left="3900" w:hanging="440"/>
      </w:pPr>
    </w:lvl>
    <w:lvl w:ilvl="6" w:tentative="0">
      <w:start w:val="1"/>
      <w:numFmt w:val="decimal"/>
      <w:lvlText w:val="%7."/>
      <w:lvlJc w:val="left"/>
      <w:pPr>
        <w:ind w:left="4340" w:hanging="440"/>
      </w:pPr>
    </w:lvl>
    <w:lvl w:ilvl="7" w:tentative="0">
      <w:start w:val="1"/>
      <w:numFmt w:val="lowerLetter"/>
      <w:lvlText w:val="%8)"/>
      <w:lvlJc w:val="left"/>
      <w:pPr>
        <w:ind w:left="4780" w:hanging="440"/>
      </w:pPr>
    </w:lvl>
    <w:lvl w:ilvl="8" w:tentative="0">
      <w:start w:val="1"/>
      <w:numFmt w:val="lowerRoman"/>
      <w:lvlText w:val="%9."/>
      <w:lvlJc w:val="right"/>
      <w:pPr>
        <w:ind w:left="5220" w:hanging="440"/>
      </w:pPr>
    </w:lvl>
  </w:abstractNum>
  <w:abstractNum w:abstractNumId="30">
    <w:nsid w:val="648854ED"/>
    <w:multiLevelType w:val="multilevel"/>
    <w:tmpl w:val="648854ED"/>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6905508E"/>
    <w:multiLevelType w:val="multilevel"/>
    <w:tmpl w:val="6905508E"/>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2">
    <w:nsid w:val="76E2CF20"/>
    <w:multiLevelType w:val="singleLevel"/>
    <w:tmpl w:val="76E2CF20"/>
    <w:lvl w:ilvl="0" w:tentative="0">
      <w:start w:val="1"/>
      <w:numFmt w:val="decimal"/>
      <w:suff w:val="nothing"/>
      <w:lvlText w:val="%1)"/>
      <w:lvlJc w:val="left"/>
      <w:pPr>
        <w:ind w:left="0" w:leftChars="0" w:firstLine="0" w:firstLineChars="0"/>
      </w:pPr>
      <w:rPr>
        <w:rFonts w:hint="default"/>
      </w:rPr>
    </w:lvl>
  </w:abstractNum>
  <w:abstractNum w:abstractNumId="33">
    <w:nsid w:val="7880CFFD"/>
    <w:multiLevelType w:val="multilevel"/>
    <w:tmpl w:val="7880CFFD"/>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2"/>
  </w:num>
  <w:num w:numId="2">
    <w:abstractNumId w:val="15"/>
  </w:num>
  <w:num w:numId="3">
    <w:abstractNumId w:val="17"/>
  </w:num>
  <w:num w:numId="4">
    <w:abstractNumId w:val="13"/>
  </w:num>
  <w:num w:numId="5">
    <w:abstractNumId w:val="16"/>
  </w:num>
  <w:num w:numId="6">
    <w:abstractNumId w:val="19"/>
  </w:num>
  <w:num w:numId="7">
    <w:abstractNumId w:val="14"/>
  </w:num>
  <w:num w:numId="8">
    <w:abstractNumId w:val="9"/>
  </w:num>
  <w:num w:numId="9">
    <w:abstractNumId w:val="6"/>
  </w:num>
  <w:num w:numId="10">
    <w:abstractNumId w:val="3"/>
  </w:num>
  <w:num w:numId="11">
    <w:abstractNumId w:val="8"/>
  </w:num>
  <w:num w:numId="12">
    <w:abstractNumId w:val="26"/>
  </w:num>
  <w:num w:numId="13">
    <w:abstractNumId w:val="25"/>
  </w:num>
  <w:num w:numId="14">
    <w:abstractNumId w:val="33"/>
  </w:num>
  <w:num w:numId="15">
    <w:abstractNumId w:val="31"/>
  </w:num>
  <w:num w:numId="16">
    <w:abstractNumId w:val="30"/>
  </w:num>
  <w:num w:numId="17">
    <w:abstractNumId w:val="23"/>
  </w:num>
  <w:num w:numId="18">
    <w:abstractNumId w:val="27"/>
  </w:num>
  <w:num w:numId="19">
    <w:abstractNumId w:val="20"/>
  </w:num>
  <w:num w:numId="20">
    <w:abstractNumId w:val="5"/>
  </w:num>
  <w:num w:numId="21">
    <w:abstractNumId w:val="29"/>
  </w:num>
  <w:num w:numId="22">
    <w:abstractNumId w:val="28"/>
  </w:num>
  <w:num w:numId="23">
    <w:abstractNumId w:val="21"/>
  </w:num>
  <w:num w:numId="24">
    <w:abstractNumId w:val="18"/>
  </w:num>
  <w:num w:numId="25">
    <w:abstractNumId w:val="32"/>
  </w:num>
  <w:num w:numId="26">
    <w:abstractNumId w:val="1"/>
  </w:num>
  <w:num w:numId="27">
    <w:abstractNumId w:val="2"/>
  </w:num>
  <w:num w:numId="28">
    <w:abstractNumId w:val="4"/>
  </w:num>
  <w:num w:numId="29">
    <w:abstractNumId w:val="11"/>
  </w:num>
  <w:num w:numId="30">
    <w:abstractNumId w:val="24"/>
  </w:num>
  <w:num w:numId="31">
    <w:abstractNumId w:val="22"/>
  </w:num>
  <w:num w:numId="32">
    <w:abstractNumId w:val="7"/>
  </w:num>
  <w:num w:numId="33">
    <w:abstractNumId w:val="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878DD"/>
    <w:rsid w:val="0B925982"/>
    <w:rsid w:val="74187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Body Text"/>
    <w:basedOn w:val="1"/>
    <w:unhideWhenUsed/>
    <w:qFormat/>
    <w:uiPriority w:val="0"/>
    <w:pPr>
      <w:spacing w:after="120"/>
    </w:pPr>
  </w:style>
  <w:style w:type="paragraph" w:styleId="4">
    <w:name w:val="Plain Text"/>
    <w:basedOn w:val="1"/>
    <w:next w:val="2"/>
    <w:unhideWhenUsed/>
    <w:qFormat/>
    <w:uiPriority w:val="0"/>
    <w:rPr>
      <w:rFonts w:ascii="宋体" w:hAnsi="Courier New"/>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Body Text First Indent"/>
    <w:basedOn w:val="3"/>
    <w:unhideWhenUsed/>
    <w:qFormat/>
    <w:uiPriority w:val="99"/>
    <w:pPr>
      <w:ind w:firstLine="420" w:firstLineChars="100"/>
    </w:p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2026-04-03T08:52:00Z</dcterms:created>
  <dc:creator>KL</dc:creator>
  <cp:lastModifiedBy>KL</cp:lastModifiedBy>
  <dcterms:modified xsi:type="dcterms:W3CDTF">2026-04-03T09:02:02Z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B3E3DC5F3D29412E808BDBB4767A64F7_11</vt:lpwstr>
  </property>
  <property fmtid="{D5CDD505-2E9C-101B-9397-08002B2CF9AE}" pid="4" name="KSOTemplateDocerSaveRecord">
    <vt:lpwstr>eyJoZGlkIjoiODkyZTgyNWQ2OGRjOTRhYTYxYjU0NTBkODZkNmUxYmEiLCJ1c2VySWQiOiIxNTkyNzIwOTYwIn0=</vt:lpwstr>
  </property>
</Properties>
</file>