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line="360" w:lineRule="auto"/>
        <w:jc w:val="center"/>
        <w:rPr>
          <w:rFonts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南宁市政府采购</w:t>
      </w:r>
    </w:p>
    <w:p>
      <w:pPr>
        <w:spacing w:beforeLines="50" w:line="360" w:lineRule="auto"/>
        <w:jc w:val="center"/>
        <w:rPr>
          <w:rFonts w:asciiTheme="minorEastAsia" w:hAnsiTheme="minorEastAsia" w:eastAsiaTheme="minorEastAsia" w:cstheme="minorEastAsia"/>
          <w:color w:val="auto"/>
          <w:sz w:val="52"/>
          <w:szCs w:val="52"/>
          <w:highlight w:val="none"/>
        </w:rPr>
      </w:pPr>
      <w:r>
        <w:rPr>
          <w:rFonts w:hint="eastAsia" w:asciiTheme="minorEastAsia" w:hAnsiTheme="minorEastAsia" w:eastAsiaTheme="minorEastAsia" w:cstheme="minorEastAsia"/>
          <w:color w:val="auto"/>
          <w:sz w:val="52"/>
          <w:szCs w:val="52"/>
          <w:highlight w:val="none"/>
        </w:rPr>
        <w:t>公开招标文件（服务类）</w:t>
      </w:r>
    </w:p>
    <w:p>
      <w:pPr>
        <w:spacing w:beforeLines="50" w:line="360" w:lineRule="auto"/>
        <w:jc w:val="center"/>
        <w:rPr>
          <w:rFonts w:asciiTheme="minorEastAsia" w:hAnsiTheme="minorEastAsia" w:eastAsiaTheme="minorEastAsia" w:cstheme="minorEastAsia"/>
          <w:b/>
          <w:color w:val="auto"/>
          <w:sz w:val="48"/>
          <w:szCs w:val="48"/>
          <w:highlight w:val="none"/>
        </w:rPr>
      </w:pPr>
    </w:p>
    <w:p>
      <w:pPr>
        <w:spacing w:beforeLines="50" w:line="360" w:lineRule="auto"/>
        <w:jc w:val="center"/>
        <w:rPr>
          <w:rFonts w:asciiTheme="minorEastAsia" w:hAnsiTheme="minorEastAsia" w:eastAsiaTheme="minorEastAsia" w:cstheme="minorEastAsia"/>
          <w:b/>
          <w:color w:val="auto"/>
          <w:sz w:val="48"/>
          <w:szCs w:val="48"/>
          <w:highlight w:val="none"/>
        </w:rPr>
      </w:pPr>
    </w:p>
    <w:p>
      <w:pPr>
        <w:snapToGrid w:val="0"/>
        <w:spacing w:beforeLines="50" w:line="360" w:lineRule="auto"/>
        <w:jc w:val="center"/>
        <w:rPr>
          <w:rFonts w:asciiTheme="minorEastAsia" w:hAnsiTheme="minorEastAsia" w:eastAsiaTheme="minorEastAsia" w:cstheme="minorEastAsia"/>
          <w:color w:val="auto"/>
          <w:sz w:val="72"/>
          <w:szCs w:val="72"/>
          <w:highlight w:val="none"/>
        </w:rPr>
      </w:pPr>
      <w:r>
        <w:rPr>
          <w:rFonts w:hint="eastAsia" w:asciiTheme="minorEastAsia" w:hAnsiTheme="minorEastAsia" w:eastAsiaTheme="minorEastAsia" w:cstheme="minorEastAsia"/>
          <w:color w:val="auto"/>
          <w:sz w:val="72"/>
          <w:szCs w:val="72"/>
          <w:highlight w:val="none"/>
        </w:rPr>
        <w:t>招 标 文 件</w:t>
      </w:r>
    </w:p>
    <w:p>
      <w:pPr>
        <w:snapToGrid w:val="0"/>
        <w:spacing w:beforeLines="50" w:line="360" w:lineRule="auto"/>
        <w:jc w:val="center"/>
        <w:rPr>
          <w:rFonts w:asciiTheme="minorEastAsia" w:hAnsiTheme="minorEastAsia" w:eastAsiaTheme="minorEastAsia" w:cstheme="minorEastAsia"/>
          <w:color w:val="auto"/>
          <w:sz w:val="30"/>
          <w:szCs w:val="72"/>
          <w:highlight w:val="none"/>
        </w:rPr>
      </w:pPr>
      <w:r>
        <w:rPr>
          <w:rFonts w:hint="eastAsia" w:asciiTheme="minorEastAsia" w:hAnsiTheme="minorEastAsia" w:eastAsiaTheme="minorEastAsia" w:cstheme="minorEastAsia"/>
          <w:color w:val="auto"/>
          <w:sz w:val="30"/>
          <w:szCs w:val="72"/>
          <w:highlight w:val="none"/>
        </w:rPr>
        <w:t>（全流程电子化评标）</w:t>
      </w:r>
    </w:p>
    <w:p>
      <w:pPr>
        <w:snapToGrid w:val="0"/>
        <w:spacing w:beforeLines="50" w:line="360" w:lineRule="auto"/>
        <w:rPr>
          <w:rFonts w:asciiTheme="minorEastAsia" w:hAnsiTheme="minorEastAsia" w:eastAsiaTheme="minorEastAsia" w:cstheme="minorEastAsia"/>
          <w:color w:val="auto"/>
          <w:sz w:val="30"/>
          <w:szCs w:val="72"/>
          <w:highlight w:val="none"/>
        </w:rPr>
      </w:pPr>
    </w:p>
    <w:p>
      <w:pPr>
        <w:pStyle w:val="13"/>
        <w:snapToGrid w:val="0"/>
        <w:spacing w:before="50" w:after="120" w:line="360" w:lineRule="auto"/>
        <w:ind w:firstLine="1145" w:firstLineChars="400"/>
        <w:rPr>
          <w:rFonts w:hint="eastAsia" w:asciiTheme="minorEastAsia" w:hAnsiTheme="minorEastAsia" w:eastAsiaTheme="minorEastAsia" w:cstheme="minorEastAsia"/>
          <w:b/>
          <w:bCs/>
          <w:color w:val="auto"/>
          <w:w w:val="95"/>
          <w:kern w:val="2"/>
          <w:sz w:val="30"/>
          <w:szCs w:val="30"/>
          <w:highlight w:val="none"/>
          <w:lang w:val="en-US" w:eastAsia="zh-CN" w:bidi="ar-SA"/>
        </w:rPr>
      </w:pPr>
      <w:r>
        <w:rPr>
          <w:rFonts w:hint="eastAsia" w:asciiTheme="minorEastAsia" w:hAnsiTheme="minorEastAsia" w:eastAsiaTheme="minorEastAsia" w:cstheme="minorEastAsia"/>
          <w:b/>
          <w:bCs/>
          <w:color w:val="auto"/>
          <w:w w:val="95"/>
          <w:kern w:val="2"/>
          <w:sz w:val="30"/>
          <w:szCs w:val="30"/>
          <w:highlight w:val="none"/>
          <w:lang w:val="en-US" w:eastAsia="zh-CN" w:bidi="ar-SA"/>
        </w:rPr>
        <w:t>项目名称：2025年西乡塘区糖料蔗病虫害绿色防控项目</w:t>
      </w:r>
    </w:p>
    <w:p>
      <w:pPr>
        <w:snapToGrid w:val="0"/>
        <w:spacing w:beforeLines="50" w:line="360" w:lineRule="auto"/>
        <w:ind w:firstLine="1145" w:firstLineChars="400"/>
        <w:rPr>
          <w:rFonts w:hint="eastAsia" w:asciiTheme="minorEastAsia" w:hAnsiTheme="minorEastAsia" w:eastAsiaTheme="minorEastAsia" w:cstheme="minorEastAsia"/>
          <w:b/>
          <w:color w:val="auto"/>
          <w:sz w:val="30"/>
          <w:szCs w:val="48"/>
          <w:highlight w:val="none"/>
          <w:lang w:eastAsia="zh-CN"/>
        </w:rPr>
      </w:pPr>
      <w:r>
        <w:rPr>
          <w:rFonts w:hint="eastAsia" w:asciiTheme="minorEastAsia" w:hAnsiTheme="minorEastAsia" w:eastAsiaTheme="minorEastAsia" w:cstheme="minorEastAsia"/>
          <w:b/>
          <w:bCs/>
          <w:color w:val="auto"/>
          <w:w w:val="95"/>
          <w:sz w:val="30"/>
          <w:szCs w:val="30"/>
          <w:highlight w:val="none"/>
        </w:rPr>
        <w:t>项目</w:t>
      </w:r>
      <w:r>
        <w:rPr>
          <w:rFonts w:hint="eastAsia" w:asciiTheme="minorEastAsia" w:hAnsiTheme="minorEastAsia" w:eastAsiaTheme="minorEastAsia" w:cstheme="minorEastAsia"/>
          <w:b/>
          <w:bCs/>
          <w:color w:val="auto"/>
          <w:sz w:val="30"/>
          <w:szCs w:val="30"/>
          <w:highlight w:val="none"/>
        </w:rPr>
        <w:t>编号</w:t>
      </w:r>
      <w:r>
        <w:rPr>
          <w:rFonts w:hint="eastAsia" w:asciiTheme="minorEastAsia" w:hAnsiTheme="minorEastAsia" w:eastAsiaTheme="minorEastAsia" w:cstheme="minorEastAsia"/>
          <w:b/>
          <w:bCs/>
          <w:color w:val="auto"/>
          <w:w w:val="95"/>
          <w:sz w:val="30"/>
          <w:szCs w:val="30"/>
          <w:highlight w:val="none"/>
        </w:rPr>
        <w:t>：</w:t>
      </w:r>
      <w:r>
        <w:rPr>
          <w:rFonts w:hint="eastAsia" w:asciiTheme="minorEastAsia" w:hAnsiTheme="minorEastAsia" w:eastAsiaTheme="minorEastAsia" w:cstheme="minorEastAsia"/>
          <w:b/>
          <w:color w:val="auto"/>
          <w:sz w:val="30"/>
          <w:szCs w:val="48"/>
          <w:highlight w:val="none"/>
          <w:lang w:eastAsia="zh-CN"/>
        </w:rPr>
        <w:t>NNZC2026-G3-070001-GXYG</w:t>
      </w:r>
    </w:p>
    <w:p>
      <w:pPr>
        <w:snapToGrid w:val="0"/>
        <w:spacing w:beforeLines="50" w:line="360" w:lineRule="auto"/>
        <w:ind w:firstLine="1205" w:firstLineChars="400"/>
        <w:rPr>
          <w:rFonts w:asciiTheme="minorEastAsia" w:hAnsiTheme="minorEastAsia" w:eastAsiaTheme="minorEastAsia" w:cstheme="minorEastAsia"/>
          <w:b/>
          <w:color w:val="auto"/>
          <w:sz w:val="30"/>
          <w:szCs w:val="48"/>
          <w:highlight w:val="none"/>
        </w:rPr>
      </w:pPr>
      <w:r>
        <w:rPr>
          <w:rFonts w:hint="eastAsia" w:asciiTheme="minorEastAsia" w:hAnsiTheme="minorEastAsia" w:eastAsiaTheme="minorEastAsia" w:cstheme="minorEastAsia"/>
          <w:b/>
          <w:color w:val="auto"/>
          <w:sz w:val="30"/>
          <w:szCs w:val="48"/>
          <w:highlight w:val="none"/>
        </w:rPr>
        <w:t>项目所属区划：</w:t>
      </w:r>
      <w:r>
        <w:rPr>
          <w:rFonts w:hint="eastAsia" w:asciiTheme="minorEastAsia" w:hAnsiTheme="minorEastAsia" w:eastAsiaTheme="minorEastAsia" w:cstheme="minorEastAsia"/>
          <w:b/>
          <w:color w:val="auto"/>
          <w:sz w:val="30"/>
          <w:szCs w:val="48"/>
          <w:highlight w:val="none"/>
          <w:u w:val="none"/>
        </w:rPr>
        <w:t>南宁市本级</w:t>
      </w:r>
    </w:p>
    <w:p>
      <w:pPr>
        <w:pStyle w:val="13"/>
        <w:snapToGrid w:val="0"/>
        <w:spacing w:before="50" w:after="120" w:line="360" w:lineRule="auto"/>
        <w:ind w:firstLine="1125" w:firstLineChars="393"/>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采 购 人：</w:t>
      </w:r>
      <w:r>
        <w:rPr>
          <w:rFonts w:hint="eastAsia" w:asciiTheme="minorEastAsia" w:hAnsiTheme="minorEastAsia" w:eastAsiaTheme="minorEastAsia" w:cstheme="minorEastAsia"/>
          <w:b/>
          <w:bCs/>
          <w:color w:val="auto"/>
          <w:w w:val="95"/>
          <w:sz w:val="30"/>
          <w:szCs w:val="30"/>
          <w:highlight w:val="none"/>
          <w:lang w:eastAsia="zh-CN"/>
        </w:rPr>
        <w:t>南宁市西乡塘区农业农村局</w:t>
      </w:r>
    </w:p>
    <w:p>
      <w:pPr>
        <w:pStyle w:val="13"/>
        <w:snapToGrid w:val="0"/>
        <w:spacing w:before="50" w:after="120" w:line="360" w:lineRule="auto"/>
        <w:ind w:firstLine="1125" w:firstLineChars="393"/>
        <w:rPr>
          <w:rFonts w:hint="eastAsia" w:asciiTheme="minorEastAsia" w:hAnsiTheme="minorEastAsia" w:eastAsiaTheme="minorEastAsia" w:cstheme="minorEastAsia"/>
          <w:b/>
          <w:bCs/>
          <w:color w:val="auto"/>
          <w:w w:val="95"/>
          <w:sz w:val="30"/>
          <w:szCs w:val="30"/>
          <w:highlight w:val="none"/>
          <w:lang w:eastAsia="zh-CN"/>
        </w:rPr>
      </w:pPr>
      <w:r>
        <w:rPr>
          <w:rFonts w:hint="eastAsia" w:asciiTheme="minorEastAsia" w:hAnsiTheme="minorEastAsia" w:eastAsiaTheme="minorEastAsia" w:cstheme="minorEastAsia"/>
          <w:b/>
          <w:bCs/>
          <w:color w:val="auto"/>
          <w:w w:val="95"/>
          <w:sz w:val="30"/>
          <w:szCs w:val="30"/>
          <w:highlight w:val="none"/>
        </w:rPr>
        <w:t>采购代理机构：</w:t>
      </w:r>
      <w:r>
        <w:rPr>
          <w:rFonts w:hint="eastAsia" w:asciiTheme="minorEastAsia" w:hAnsiTheme="minorEastAsia" w:eastAsiaTheme="minorEastAsia" w:cstheme="minorEastAsia"/>
          <w:b/>
          <w:bCs/>
          <w:color w:val="auto"/>
          <w:w w:val="95"/>
          <w:sz w:val="30"/>
          <w:szCs w:val="30"/>
          <w:highlight w:val="none"/>
          <w:lang w:eastAsia="zh-CN"/>
        </w:rPr>
        <w:t>广西阳光采购服务公司</w:t>
      </w:r>
    </w:p>
    <w:p>
      <w:pPr>
        <w:pStyle w:val="13"/>
        <w:snapToGrid w:val="0"/>
        <w:spacing w:before="50" w:after="120" w:line="360" w:lineRule="auto"/>
        <w:ind w:firstLine="841" w:firstLineChars="294"/>
        <w:rPr>
          <w:rFonts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 xml:space="preserve">                </w:t>
      </w:r>
    </w:p>
    <w:p>
      <w:pPr>
        <w:pStyle w:val="13"/>
        <w:snapToGrid w:val="0"/>
        <w:spacing w:before="50" w:after="120" w:line="360" w:lineRule="auto"/>
        <w:jc w:val="center"/>
        <w:rPr>
          <w:rFonts w:asciiTheme="minorEastAsia" w:hAnsiTheme="minorEastAsia" w:eastAsiaTheme="minorEastAsia" w:cstheme="minorEastAsia"/>
          <w:b/>
          <w:bCs/>
          <w:color w:val="auto"/>
          <w:w w:val="95"/>
          <w:sz w:val="30"/>
          <w:szCs w:val="30"/>
          <w:highlight w:val="none"/>
        </w:rPr>
      </w:pPr>
      <w:r>
        <w:rPr>
          <w:rFonts w:hint="eastAsia" w:asciiTheme="minorEastAsia" w:hAnsiTheme="minorEastAsia" w:eastAsiaTheme="minorEastAsia" w:cstheme="minorEastAsia"/>
          <w:b/>
          <w:bCs/>
          <w:color w:val="auto"/>
          <w:w w:val="95"/>
          <w:sz w:val="30"/>
          <w:szCs w:val="30"/>
          <w:highlight w:val="none"/>
        </w:rPr>
        <w:t>202</w:t>
      </w:r>
      <w:r>
        <w:rPr>
          <w:rFonts w:hint="eastAsia" w:asciiTheme="minorEastAsia" w:hAnsiTheme="minorEastAsia" w:eastAsiaTheme="minorEastAsia" w:cstheme="minorEastAsia"/>
          <w:b/>
          <w:bCs/>
          <w:color w:val="auto"/>
          <w:w w:val="95"/>
          <w:sz w:val="30"/>
          <w:szCs w:val="30"/>
          <w:highlight w:val="none"/>
          <w:lang w:val="en-US" w:eastAsia="zh-CN"/>
        </w:rPr>
        <w:t>6</w:t>
      </w:r>
      <w:r>
        <w:rPr>
          <w:rFonts w:hint="eastAsia" w:asciiTheme="minorEastAsia" w:hAnsiTheme="minorEastAsia" w:eastAsiaTheme="minorEastAsia" w:cstheme="minorEastAsia"/>
          <w:b/>
          <w:bCs/>
          <w:color w:val="auto"/>
          <w:w w:val="95"/>
          <w:sz w:val="30"/>
          <w:szCs w:val="30"/>
          <w:highlight w:val="none"/>
        </w:rPr>
        <w:t>年</w:t>
      </w:r>
      <w:r>
        <w:rPr>
          <w:rFonts w:hint="eastAsia" w:asciiTheme="minorEastAsia" w:hAnsiTheme="minorEastAsia" w:eastAsiaTheme="minorEastAsia" w:cstheme="minorEastAsia"/>
          <w:b/>
          <w:bCs/>
          <w:color w:val="auto"/>
          <w:w w:val="95"/>
          <w:sz w:val="30"/>
          <w:szCs w:val="30"/>
          <w:highlight w:val="none"/>
          <w:lang w:val="en-US" w:eastAsia="zh-CN"/>
        </w:rPr>
        <w:t>1</w:t>
      </w:r>
      <w:r>
        <w:rPr>
          <w:rFonts w:hint="eastAsia" w:asciiTheme="minorEastAsia" w:hAnsiTheme="minorEastAsia" w:eastAsiaTheme="minorEastAsia" w:cstheme="minorEastAsia"/>
          <w:b/>
          <w:bCs/>
          <w:color w:val="auto"/>
          <w:w w:val="95"/>
          <w:sz w:val="30"/>
          <w:szCs w:val="30"/>
          <w:highlight w:val="none"/>
        </w:rPr>
        <w:t>月</w:t>
      </w:r>
      <w:r>
        <w:rPr>
          <w:rFonts w:hint="eastAsia" w:asciiTheme="minorEastAsia" w:hAnsiTheme="minorEastAsia" w:eastAsiaTheme="minorEastAsia" w:cstheme="minorEastAsia"/>
          <w:b/>
          <w:bCs/>
          <w:color w:val="auto"/>
          <w:w w:val="95"/>
          <w:sz w:val="30"/>
          <w:szCs w:val="30"/>
          <w:highlight w:val="none"/>
          <w:lang w:val="en-US" w:eastAsia="zh-CN"/>
        </w:rPr>
        <w:t xml:space="preserve">  </w:t>
      </w:r>
      <w:r>
        <w:rPr>
          <w:rFonts w:hint="eastAsia" w:asciiTheme="minorEastAsia" w:hAnsiTheme="minorEastAsia" w:eastAsiaTheme="minorEastAsia" w:cstheme="minorEastAsia"/>
          <w:b/>
          <w:bCs/>
          <w:color w:val="auto"/>
          <w:w w:val="95"/>
          <w:sz w:val="30"/>
          <w:szCs w:val="30"/>
          <w:highlight w:val="none"/>
        </w:rPr>
        <w:t>日</w:t>
      </w:r>
    </w:p>
    <w:p>
      <w:pPr>
        <w:widowControl/>
        <w:spacing w:line="360" w:lineRule="auto"/>
        <w:jc w:val="left"/>
        <w:rPr>
          <w:rFonts w:asciiTheme="minorEastAsia" w:hAnsiTheme="minorEastAsia" w:eastAsiaTheme="minorEastAsia" w:cstheme="minorEastAsia"/>
          <w:b/>
          <w:bCs/>
          <w:color w:val="auto"/>
          <w:w w:val="95"/>
          <w:sz w:val="30"/>
          <w:szCs w:val="30"/>
          <w:highlight w:val="none"/>
        </w:rPr>
        <w:sectPr>
          <w:headerReference r:id="rId3" w:type="default"/>
          <w:footerReference r:id="rId4" w:type="default"/>
          <w:pgSz w:w="11906" w:h="16838"/>
          <w:pgMar w:top="1134" w:right="1134" w:bottom="1134" w:left="1134" w:header="720" w:footer="720" w:gutter="0"/>
          <w:pgNumType w:start="1"/>
          <w:cols w:space="720" w:num="1"/>
          <w:docGrid w:type="lines" w:linePitch="331" w:charSpace="0"/>
        </w:sectPr>
      </w:pPr>
    </w:p>
    <w:p>
      <w:pPr>
        <w:pStyle w:val="13"/>
        <w:jc w:val="center"/>
        <w:rPr>
          <w:rFonts w:asciiTheme="minorEastAsia" w:hAnsiTheme="minorEastAsia" w:eastAsiaTheme="minorEastAsia" w:cstheme="minorEastAsia"/>
          <w:b/>
          <w:color w:val="auto"/>
          <w:sz w:val="48"/>
          <w:szCs w:val="48"/>
          <w:highlight w:val="none"/>
        </w:rPr>
      </w:pPr>
      <w:r>
        <w:rPr>
          <w:rFonts w:hint="eastAsia" w:asciiTheme="minorEastAsia" w:hAnsiTheme="minorEastAsia" w:eastAsiaTheme="minorEastAsia" w:cstheme="minorEastAsia"/>
          <w:b/>
          <w:color w:val="auto"/>
          <w:sz w:val="48"/>
          <w:szCs w:val="48"/>
          <w:highlight w:val="none"/>
        </w:rPr>
        <w:t>目     录</w:t>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val="0"/>
          <w:bCs w:val="0"/>
          <w:caps w:val="0"/>
          <w:color w:val="auto"/>
          <w:sz w:val="28"/>
          <w:szCs w:val="28"/>
          <w:highlight w:val="none"/>
        </w:rPr>
        <w:fldChar w:fldCharType="begin"/>
      </w:r>
      <w:r>
        <w:rPr>
          <w:rFonts w:hint="eastAsia" w:asciiTheme="minorEastAsia" w:hAnsiTheme="minorEastAsia" w:eastAsiaTheme="minorEastAsia" w:cstheme="minorEastAsia"/>
          <w:b w:val="0"/>
          <w:bCs w:val="0"/>
          <w:caps w:val="0"/>
          <w:color w:val="auto"/>
          <w:sz w:val="28"/>
          <w:szCs w:val="28"/>
          <w:highlight w:val="none"/>
        </w:rPr>
        <w:instrText xml:space="preserve"> TOC \o "1-3" \h \z \u </w:instrText>
      </w:r>
      <w:r>
        <w:rPr>
          <w:rFonts w:hint="eastAsia" w:asciiTheme="minorEastAsia" w:hAnsiTheme="minorEastAsia" w:eastAsiaTheme="minorEastAsia" w:cstheme="minorEastAsia"/>
          <w:b w:val="0"/>
          <w:bCs w:val="0"/>
          <w:caps w:val="0"/>
          <w:color w:val="auto"/>
          <w:sz w:val="28"/>
          <w:szCs w:val="28"/>
          <w:highlight w:val="none"/>
        </w:rPr>
        <w:fldChar w:fldCharType="separate"/>
      </w:r>
      <w:r>
        <w:rPr>
          <w:color w:val="auto"/>
          <w:highlight w:val="none"/>
        </w:rPr>
        <w:fldChar w:fldCharType="begin"/>
      </w:r>
      <w:r>
        <w:rPr>
          <w:color w:val="auto"/>
          <w:highlight w:val="none"/>
        </w:rPr>
        <w:instrText xml:space="preserve"> HYPERLINK \l "_Toc26972" </w:instrText>
      </w:r>
      <w:r>
        <w:rPr>
          <w:color w:val="auto"/>
          <w:highlight w:val="none"/>
        </w:rPr>
        <w:fldChar w:fldCharType="separate"/>
      </w:r>
      <w:r>
        <w:rPr>
          <w:rFonts w:hint="eastAsia" w:asciiTheme="minorEastAsia" w:hAnsiTheme="minorEastAsia" w:eastAsiaTheme="minorEastAsia" w:cstheme="minorEastAsia"/>
          <w:color w:val="auto"/>
          <w:highlight w:val="none"/>
        </w:rPr>
        <w:t>第一章  招标公告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_Toc26972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"_Toc4033" </w:instrText>
      </w:r>
      <w:r>
        <w:rPr>
          <w:color w:val="auto"/>
          <w:highlight w:val="none"/>
        </w:rPr>
        <w:fldChar w:fldCharType="separate"/>
      </w:r>
      <w:r>
        <w:rPr>
          <w:rFonts w:hint="eastAsia" w:asciiTheme="minorEastAsia" w:hAnsiTheme="minorEastAsia" w:eastAsiaTheme="minorEastAsia" w:cstheme="minorEastAsia"/>
          <w:color w:val="auto"/>
          <w:highlight w:val="none"/>
        </w:rPr>
        <w:t>第二章  采购需求</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_Toc4033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"_Toc25544" </w:instrText>
      </w:r>
      <w:r>
        <w:rPr>
          <w:color w:val="auto"/>
          <w:highlight w:val="none"/>
        </w:rPr>
        <w:fldChar w:fldCharType="separate"/>
      </w:r>
      <w:r>
        <w:rPr>
          <w:rFonts w:hint="eastAsia" w:asciiTheme="minorEastAsia" w:hAnsiTheme="minorEastAsia" w:eastAsiaTheme="minorEastAsia" w:cstheme="minorEastAsia"/>
          <w:color w:val="auto"/>
          <w:highlight w:val="none"/>
        </w:rPr>
        <w:t>第三章  投标人须知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_Toc25544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"_Toc7747" </w:instrText>
      </w:r>
      <w:r>
        <w:rPr>
          <w:color w:val="auto"/>
          <w:highlight w:val="none"/>
        </w:rPr>
        <w:fldChar w:fldCharType="separate"/>
      </w:r>
      <w:r>
        <w:rPr>
          <w:rFonts w:hint="eastAsia" w:asciiTheme="minorEastAsia" w:hAnsiTheme="minorEastAsia" w:eastAsiaTheme="minorEastAsia" w:cstheme="minorEastAsia"/>
          <w:color w:val="auto"/>
          <w:szCs w:val="30"/>
          <w:highlight w:val="none"/>
        </w:rPr>
        <w:t>第一节 投标人须知前附表</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_Toc7747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"_Toc26256" </w:instrText>
      </w:r>
      <w:r>
        <w:rPr>
          <w:color w:val="auto"/>
          <w:highlight w:val="none"/>
        </w:rPr>
        <w:fldChar w:fldCharType="separate"/>
      </w:r>
      <w:r>
        <w:rPr>
          <w:rFonts w:hint="eastAsia" w:asciiTheme="minorEastAsia" w:hAnsiTheme="minorEastAsia" w:eastAsiaTheme="minorEastAsia" w:cstheme="minorEastAsia"/>
          <w:color w:val="auto"/>
          <w:highlight w:val="none"/>
        </w:rPr>
        <w:t>第二节 投标人须知正文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_Toc26256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"_Toc5147" </w:instrText>
      </w:r>
      <w:r>
        <w:rPr>
          <w:color w:val="auto"/>
          <w:highlight w:val="none"/>
        </w:rPr>
        <w:fldChar w:fldCharType="separate"/>
      </w:r>
      <w:r>
        <w:rPr>
          <w:rFonts w:hint="eastAsia" w:asciiTheme="minorEastAsia" w:hAnsiTheme="minorEastAsia" w:eastAsiaTheme="minorEastAsia" w:cstheme="minorEastAsia"/>
          <w:color w:val="auto"/>
          <w:highlight w:val="none"/>
        </w:rPr>
        <w:t>一、总  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_Toc5147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"_Toc28438" </w:instrText>
      </w:r>
      <w:r>
        <w:rPr>
          <w:color w:val="auto"/>
          <w:highlight w:val="none"/>
        </w:rPr>
        <w:fldChar w:fldCharType="separate"/>
      </w:r>
      <w:r>
        <w:rPr>
          <w:rFonts w:hint="eastAsia" w:asciiTheme="minorEastAsia" w:hAnsiTheme="minorEastAsia" w:eastAsiaTheme="minorEastAsia" w:cstheme="minorEastAsia"/>
          <w:color w:val="auto"/>
          <w:highlight w:val="none"/>
        </w:rPr>
        <w:t>二、招标文件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_Toc28438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"_Toc3710" </w:instrText>
      </w:r>
      <w:r>
        <w:rPr>
          <w:color w:val="auto"/>
          <w:highlight w:val="none"/>
        </w:rPr>
        <w:fldChar w:fldCharType="separate"/>
      </w:r>
      <w:r>
        <w:rPr>
          <w:rFonts w:hint="eastAsia" w:asciiTheme="minorEastAsia" w:hAnsiTheme="minorEastAsia" w:eastAsiaTheme="minorEastAsia" w:cstheme="minorEastAsia"/>
          <w:color w:val="auto"/>
          <w:highlight w:val="none"/>
        </w:rPr>
        <w:t>三、投标文件的编制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_Toc3710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"_Toc19885" </w:instrText>
      </w:r>
      <w:r>
        <w:rPr>
          <w:color w:val="auto"/>
          <w:highlight w:val="none"/>
        </w:rPr>
        <w:fldChar w:fldCharType="separate"/>
      </w:r>
      <w:r>
        <w:rPr>
          <w:rFonts w:hint="eastAsia" w:asciiTheme="minorEastAsia" w:hAnsiTheme="minorEastAsia" w:eastAsiaTheme="minorEastAsia" w:cstheme="minorEastAsia"/>
          <w:color w:val="auto"/>
          <w:highlight w:val="none"/>
        </w:rPr>
        <w:t>四、开    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_Toc19885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"_Toc27807" </w:instrText>
      </w:r>
      <w:r>
        <w:rPr>
          <w:color w:val="auto"/>
          <w:highlight w:val="none"/>
        </w:rPr>
        <w:fldChar w:fldCharType="separate"/>
      </w:r>
      <w:r>
        <w:rPr>
          <w:rFonts w:hint="eastAsia" w:asciiTheme="minorEastAsia" w:hAnsiTheme="minorEastAsia" w:eastAsiaTheme="minorEastAsia" w:cstheme="minorEastAsia"/>
          <w:color w:val="auto"/>
          <w:highlight w:val="none"/>
        </w:rPr>
        <w:t>五、资格审查</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_Toc27807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"_Toc7226" </w:instrText>
      </w:r>
      <w:r>
        <w:rPr>
          <w:color w:val="auto"/>
          <w:highlight w:val="none"/>
        </w:rPr>
        <w:fldChar w:fldCharType="separate"/>
      </w:r>
      <w:r>
        <w:rPr>
          <w:rFonts w:hint="eastAsia" w:asciiTheme="minorEastAsia" w:hAnsiTheme="minorEastAsia" w:eastAsiaTheme="minorEastAsia" w:cstheme="minorEastAsia"/>
          <w:color w:val="auto"/>
          <w:highlight w:val="none"/>
        </w:rPr>
        <w:t>六、评   标</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_Toc7226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"_Toc16966" </w:instrText>
      </w:r>
      <w:r>
        <w:rPr>
          <w:color w:val="auto"/>
          <w:highlight w:val="none"/>
        </w:rPr>
        <w:fldChar w:fldCharType="separate"/>
      </w:r>
      <w:r>
        <w:rPr>
          <w:rFonts w:hint="eastAsia" w:asciiTheme="minorEastAsia" w:hAnsiTheme="minorEastAsia" w:eastAsiaTheme="minorEastAsia" w:cstheme="minorEastAsia"/>
          <w:color w:val="auto"/>
          <w:highlight w:val="none"/>
        </w:rPr>
        <w:t>七、中标和合同</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_Toc16966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27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"_Toc25336" </w:instrText>
      </w:r>
      <w:r>
        <w:rPr>
          <w:color w:val="auto"/>
          <w:highlight w:val="none"/>
        </w:rPr>
        <w:fldChar w:fldCharType="separate"/>
      </w:r>
      <w:r>
        <w:rPr>
          <w:rFonts w:hint="eastAsia" w:asciiTheme="minorEastAsia" w:hAnsiTheme="minorEastAsia" w:eastAsiaTheme="minorEastAsia" w:cstheme="minorEastAsia"/>
          <w:bCs/>
          <w:color w:val="auto"/>
          <w:szCs w:val="32"/>
          <w:highlight w:val="none"/>
        </w:rPr>
        <w:t>八、验收</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_Toc25336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2"/>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"_Toc29710" </w:instrText>
      </w:r>
      <w:r>
        <w:rPr>
          <w:color w:val="auto"/>
          <w:highlight w:val="none"/>
        </w:rPr>
        <w:fldChar w:fldCharType="separate"/>
      </w:r>
      <w:r>
        <w:rPr>
          <w:rFonts w:hint="eastAsia" w:asciiTheme="minorEastAsia" w:hAnsiTheme="minorEastAsia" w:eastAsiaTheme="minorEastAsia" w:cstheme="minorEastAsia"/>
          <w:color w:val="auto"/>
          <w:highlight w:val="none"/>
        </w:rPr>
        <w:t>九、其他事项</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_Toc29710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"_Toc9276" </w:instrText>
      </w:r>
      <w:r>
        <w:rPr>
          <w:color w:val="auto"/>
          <w:highlight w:val="none"/>
        </w:rPr>
        <w:fldChar w:fldCharType="separate"/>
      </w:r>
      <w:r>
        <w:rPr>
          <w:rFonts w:hint="eastAsia" w:asciiTheme="minorEastAsia" w:hAnsiTheme="minorEastAsia" w:eastAsiaTheme="minorEastAsia" w:cstheme="minorEastAsia"/>
          <w:color w:val="auto"/>
          <w:highlight w:val="none"/>
        </w:rPr>
        <w:t>第四章  评标方法及评分标准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_Toc9276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"_Toc29328" </w:instrText>
      </w:r>
      <w:r>
        <w:rPr>
          <w:color w:val="auto"/>
          <w:highlight w:val="none"/>
        </w:rPr>
        <w:fldChar w:fldCharType="separate"/>
      </w:r>
      <w:r>
        <w:rPr>
          <w:rFonts w:hint="eastAsia" w:asciiTheme="minorEastAsia" w:hAnsiTheme="minorEastAsia" w:eastAsiaTheme="minorEastAsia" w:cstheme="minorEastAsia"/>
          <w:color w:val="auto"/>
          <w:szCs w:val="32"/>
          <w:highlight w:val="none"/>
        </w:rPr>
        <w:t>第一节 评标方法</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_Toc29328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"_Toc3945" </w:instrText>
      </w:r>
      <w:r>
        <w:rPr>
          <w:color w:val="auto"/>
          <w:highlight w:val="none"/>
        </w:rPr>
        <w:fldChar w:fldCharType="separate"/>
      </w:r>
      <w:r>
        <w:rPr>
          <w:rFonts w:hint="eastAsia" w:asciiTheme="minorEastAsia" w:hAnsiTheme="minorEastAsia" w:eastAsiaTheme="minorEastAsia" w:cstheme="minorEastAsia"/>
          <w:color w:val="auto"/>
          <w:szCs w:val="32"/>
          <w:highlight w:val="none"/>
        </w:rPr>
        <w:t>第二节 评标程序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_Toc3945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"_Toc29713" </w:instrText>
      </w:r>
      <w:r>
        <w:rPr>
          <w:color w:val="auto"/>
          <w:highlight w:val="none"/>
        </w:rPr>
        <w:fldChar w:fldCharType="separate"/>
      </w:r>
      <w:r>
        <w:rPr>
          <w:rFonts w:hint="eastAsia" w:asciiTheme="minorEastAsia" w:hAnsiTheme="minorEastAsia" w:eastAsiaTheme="minorEastAsia" w:cstheme="minorEastAsia"/>
          <w:color w:val="auto"/>
          <w:szCs w:val="30"/>
          <w:highlight w:val="none"/>
        </w:rPr>
        <w:t>第三节 评分标准</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_Toc29713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39</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"_Toc23668" </w:instrText>
      </w:r>
      <w:r>
        <w:rPr>
          <w:color w:val="auto"/>
          <w:highlight w:val="none"/>
        </w:rPr>
        <w:fldChar w:fldCharType="separate"/>
      </w:r>
      <w:r>
        <w:rPr>
          <w:rFonts w:hint="eastAsia" w:asciiTheme="minorEastAsia" w:hAnsiTheme="minorEastAsia" w:eastAsiaTheme="minorEastAsia" w:cstheme="minorEastAsia"/>
          <w:color w:val="auto"/>
          <w:szCs w:val="30"/>
          <w:highlight w:val="none"/>
        </w:rPr>
        <w:t>第四节 中标候选人推荐原则</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_Toc23668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"_Toc18534" </w:instrText>
      </w:r>
      <w:r>
        <w:rPr>
          <w:color w:val="auto"/>
          <w:highlight w:val="none"/>
        </w:rPr>
        <w:fldChar w:fldCharType="separate"/>
      </w:r>
      <w:r>
        <w:rPr>
          <w:rFonts w:hint="eastAsia" w:asciiTheme="minorEastAsia" w:hAnsiTheme="minorEastAsia" w:eastAsiaTheme="minorEastAsia" w:cstheme="minorEastAsia"/>
          <w:color w:val="auto"/>
          <w:szCs w:val="30"/>
          <w:highlight w:val="none"/>
        </w:rPr>
        <w:t>第五节 评标报告</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_Toc18534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43</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"_Toc7342" </w:instrText>
      </w:r>
      <w:r>
        <w:rPr>
          <w:color w:val="auto"/>
          <w:highlight w:val="none"/>
        </w:rPr>
        <w:fldChar w:fldCharType="separate"/>
      </w:r>
      <w:r>
        <w:rPr>
          <w:rFonts w:hint="eastAsia" w:asciiTheme="minorEastAsia" w:hAnsiTheme="minorEastAsia" w:eastAsiaTheme="minorEastAsia" w:cstheme="minorEastAsia"/>
          <w:color w:val="auto"/>
          <w:highlight w:val="none"/>
        </w:rPr>
        <w:t>第五章 拟签订的合同文本</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_Toc7342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44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"_Toc298" </w:instrText>
      </w:r>
      <w:r>
        <w:rPr>
          <w:color w:val="auto"/>
          <w:highlight w:val="none"/>
        </w:rPr>
        <w:fldChar w:fldCharType="separate"/>
      </w:r>
      <w:r>
        <w:rPr>
          <w:rFonts w:hint="eastAsia" w:asciiTheme="minorEastAsia" w:hAnsiTheme="minorEastAsia" w:eastAsiaTheme="minorEastAsia" w:cstheme="minorEastAsia"/>
          <w:color w:val="auto"/>
          <w:highlight w:val="none"/>
        </w:rPr>
        <w:t>第六章 投标文件格式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_Toc298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64</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"_Toc29354" </w:instrText>
      </w:r>
      <w:r>
        <w:rPr>
          <w:color w:val="auto"/>
          <w:highlight w:val="none"/>
        </w:rPr>
        <w:fldChar w:fldCharType="separate"/>
      </w:r>
      <w:r>
        <w:rPr>
          <w:rFonts w:hint="eastAsia" w:asciiTheme="minorEastAsia" w:hAnsiTheme="minorEastAsia" w:eastAsiaTheme="minorEastAsia" w:cstheme="minorEastAsia"/>
          <w:color w:val="auto"/>
          <w:szCs w:val="28"/>
          <w:highlight w:val="none"/>
        </w:rPr>
        <w:t>第一节 投标文件外层包装封面</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_Toc29354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"_Toc14463" </w:instrText>
      </w:r>
      <w:r>
        <w:rPr>
          <w:color w:val="auto"/>
          <w:highlight w:val="none"/>
        </w:rPr>
        <w:fldChar w:fldCharType="separate"/>
      </w:r>
      <w:r>
        <w:rPr>
          <w:rFonts w:hint="eastAsia" w:asciiTheme="minorEastAsia" w:hAnsiTheme="minorEastAsia" w:eastAsiaTheme="minorEastAsia" w:cstheme="minorEastAsia"/>
          <w:color w:val="auto"/>
          <w:szCs w:val="28"/>
          <w:highlight w:val="none"/>
        </w:rPr>
        <w:t>第二节 资格证明文件格式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_Toc14463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66</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"_Toc29299" </w:instrText>
      </w:r>
      <w:r>
        <w:rPr>
          <w:color w:val="auto"/>
          <w:highlight w:val="none"/>
        </w:rPr>
        <w:fldChar w:fldCharType="separate"/>
      </w:r>
      <w:r>
        <w:rPr>
          <w:rFonts w:hint="eastAsia" w:asciiTheme="minorEastAsia" w:hAnsiTheme="minorEastAsia" w:eastAsiaTheme="minorEastAsia" w:cstheme="minorEastAsia"/>
          <w:color w:val="auto"/>
          <w:szCs w:val="28"/>
          <w:highlight w:val="none"/>
        </w:rPr>
        <w:t>第三节 商务文件格式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_Toc29299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77</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"_Toc21227" </w:instrText>
      </w:r>
      <w:r>
        <w:rPr>
          <w:color w:val="auto"/>
          <w:highlight w:val="none"/>
        </w:rPr>
        <w:fldChar w:fldCharType="separate"/>
      </w:r>
      <w:r>
        <w:rPr>
          <w:rFonts w:hint="eastAsia" w:asciiTheme="minorEastAsia" w:hAnsiTheme="minorEastAsia" w:eastAsiaTheme="minorEastAsia" w:cstheme="minorEastAsia"/>
          <w:color w:val="auto"/>
          <w:szCs w:val="28"/>
          <w:highlight w:val="none"/>
        </w:rPr>
        <w:t>第四节 技术文件格式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_Toc21227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88</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"_Toc13435" </w:instrText>
      </w:r>
      <w:r>
        <w:rPr>
          <w:color w:val="auto"/>
          <w:highlight w:val="none"/>
        </w:rPr>
        <w:fldChar w:fldCharType="separate"/>
      </w:r>
      <w:r>
        <w:rPr>
          <w:rFonts w:hint="eastAsia" w:asciiTheme="minorEastAsia" w:hAnsiTheme="minorEastAsia" w:eastAsiaTheme="minorEastAsia" w:cstheme="minorEastAsia"/>
          <w:color w:val="auto"/>
          <w:szCs w:val="28"/>
          <w:highlight w:val="none"/>
        </w:rPr>
        <w:t>第五节 报价文件格式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_Toc13435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95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"_Toc15635" </w:instrText>
      </w:r>
      <w:r>
        <w:rPr>
          <w:color w:val="auto"/>
          <w:highlight w:val="none"/>
        </w:rPr>
        <w:fldChar w:fldCharType="separate"/>
      </w:r>
      <w:r>
        <w:rPr>
          <w:rFonts w:hint="eastAsia" w:asciiTheme="minorEastAsia" w:hAnsiTheme="minorEastAsia" w:eastAsiaTheme="minorEastAsia" w:cstheme="minorEastAsia"/>
          <w:color w:val="auto"/>
          <w:szCs w:val="28"/>
          <w:highlight w:val="none"/>
        </w:rPr>
        <w:t>第六节 其他文书、文件格式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_Toc15635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100</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7"/>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"_Toc14561" </w:instrText>
      </w:r>
      <w:r>
        <w:rPr>
          <w:color w:val="auto"/>
          <w:highlight w:val="none"/>
        </w:rPr>
        <w:fldChar w:fldCharType="separate"/>
      </w:r>
      <w:r>
        <w:rPr>
          <w:rFonts w:hint="eastAsia" w:asciiTheme="minorEastAsia" w:hAnsiTheme="minorEastAsia" w:eastAsiaTheme="minorEastAsia" w:cstheme="minorEastAsia"/>
          <w:color w:val="auto"/>
          <w:highlight w:val="none"/>
        </w:rPr>
        <w:t>第七章 质疑、投诉证明材料格式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_Toc14561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101</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"_Toc27750" </w:instrText>
      </w:r>
      <w:r>
        <w:rPr>
          <w:color w:val="auto"/>
          <w:highlight w:val="none"/>
        </w:rPr>
        <w:fldChar w:fldCharType="separate"/>
      </w:r>
      <w:r>
        <w:rPr>
          <w:rFonts w:hint="eastAsia" w:asciiTheme="minorEastAsia" w:hAnsiTheme="minorEastAsia" w:eastAsiaTheme="minorEastAsia" w:cstheme="minorEastAsia"/>
          <w:bCs w:val="0"/>
          <w:color w:val="auto"/>
          <w:highlight w:val="none"/>
        </w:rPr>
        <w:t>第一节 质疑函（格式）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_Toc27750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102</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9"/>
        <w:tabs>
          <w:tab w:val="right" w:leader="dot" w:pos="9638"/>
        </w:tabs>
        <w:snapToGrid w:val="0"/>
        <w:spacing w:line="160" w:lineRule="atLeast"/>
        <w:rPr>
          <w:rFonts w:asciiTheme="minorEastAsia" w:hAnsiTheme="minorEastAsia" w:eastAsiaTheme="minorEastAsia" w:cstheme="minorEastAsia"/>
          <w:color w:val="auto"/>
          <w:highlight w:val="none"/>
        </w:rPr>
      </w:pPr>
      <w:r>
        <w:rPr>
          <w:color w:val="auto"/>
          <w:highlight w:val="none"/>
        </w:rPr>
        <w:fldChar w:fldCharType="begin"/>
      </w:r>
      <w:r>
        <w:rPr>
          <w:color w:val="auto"/>
          <w:highlight w:val="none"/>
        </w:rPr>
        <w:instrText xml:space="preserve"> HYPERLINK \l "_Toc26110" </w:instrText>
      </w:r>
      <w:r>
        <w:rPr>
          <w:color w:val="auto"/>
          <w:highlight w:val="none"/>
        </w:rPr>
        <w:fldChar w:fldCharType="separate"/>
      </w:r>
      <w:r>
        <w:rPr>
          <w:rFonts w:hint="eastAsia" w:asciiTheme="minorEastAsia" w:hAnsiTheme="minorEastAsia" w:eastAsiaTheme="minorEastAsia" w:cstheme="minorEastAsia"/>
          <w:bCs w:val="0"/>
          <w:color w:val="auto"/>
          <w:highlight w:val="none"/>
        </w:rPr>
        <w:t>第二节 投诉书（格式）</w:t>
      </w:r>
      <w:r>
        <w:rPr>
          <w:rFonts w:hint="eastAsia" w:asciiTheme="minorEastAsia" w:hAnsiTheme="minorEastAsia" w:eastAsiaTheme="minorEastAsia" w:cstheme="minorEastAsia"/>
          <w:color w:val="auto"/>
          <w:highlight w:val="none"/>
        </w:rPr>
        <w:tab/>
      </w:r>
      <w:r>
        <w:rPr>
          <w:rFonts w:hint="eastAsia" w:asciiTheme="minorEastAsia" w:hAnsiTheme="minorEastAsia" w:eastAsiaTheme="minorEastAsia" w:cstheme="minorEastAsia"/>
          <w:color w:val="auto"/>
          <w:highlight w:val="none"/>
        </w:rPr>
        <w:fldChar w:fldCharType="begin"/>
      </w:r>
      <w:r>
        <w:rPr>
          <w:rFonts w:hint="eastAsia" w:asciiTheme="minorEastAsia" w:hAnsiTheme="minorEastAsia" w:eastAsiaTheme="minorEastAsia" w:cstheme="minorEastAsia"/>
          <w:color w:val="auto"/>
          <w:highlight w:val="none"/>
        </w:rPr>
        <w:instrText xml:space="preserve"> PAGEREF _Toc26110 \h </w:instrText>
      </w:r>
      <w:r>
        <w:rPr>
          <w:rFonts w:hint="eastAsia" w:asciiTheme="minorEastAsia" w:hAnsiTheme="minorEastAsia" w:eastAsiaTheme="minorEastAsia" w:cstheme="minorEastAsia"/>
          <w:color w:val="auto"/>
          <w:highlight w:val="none"/>
        </w:rPr>
        <w:fldChar w:fldCharType="separate"/>
      </w:r>
      <w:r>
        <w:rPr>
          <w:rFonts w:hint="eastAsia" w:asciiTheme="minorEastAsia" w:hAnsiTheme="minorEastAsia" w:eastAsiaTheme="minorEastAsia" w:cstheme="minorEastAsia"/>
          <w:color w:val="auto"/>
          <w:highlight w:val="none"/>
        </w:rPr>
        <w:t>105</w:t>
      </w:r>
      <w:r>
        <w:rPr>
          <w:rFonts w:hint="eastAsia" w:asciiTheme="minorEastAsia" w:hAnsiTheme="minorEastAsia" w:eastAsiaTheme="minorEastAsia" w:cstheme="minorEastAsia"/>
          <w:color w:val="auto"/>
          <w:highlight w:val="none"/>
        </w:rPr>
        <w:fldChar w:fldCharType="end"/>
      </w:r>
      <w:r>
        <w:rPr>
          <w:rFonts w:hint="eastAsia" w:asciiTheme="minorEastAsia" w:hAnsiTheme="minorEastAsia" w:eastAsiaTheme="minorEastAsia" w:cstheme="minorEastAsia"/>
          <w:color w:val="auto"/>
          <w:highlight w:val="none"/>
        </w:rPr>
        <w:fldChar w:fldCharType="end"/>
      </w:r>
    </w:p>
    <w:p>
      <w:pPr>
        <w:pStyle w:val="13"/>
        <w:snapToGrid w:val="0"/>
        <w:spacing w:line="160" w:lineRule="atLeast"/>
        <w:jc w:val="center"/>
        <w:outlineLvl w:val="0"/>
        <w:rPr>
          <w:rFonts w:asciiTheme="minorEastAsia" w:hAnsiTheme="minorEastAsia" w:eastAsiaTheme="minorEastAsia" w:cstheme="minorEastAsia"/>
          <w:bCs/>
          <w:caps/>
          <w:color w:val="auto"/>
          <w:szCs w:val="28"/>
          <w:highlight w:val="none"/>
          <w:u w:val="single"/>
        </w:rPr>
      </w:pPr>
      <w:r>
        <w:rPr>
          <w:rFonts w:hint="eastAsia" w:asciiTheme="minorEastAsia" w:hAnsiTheme="minorEastAsia" w:eastAsiaTheme="minorEastAsia" w:cstheme="minorEastAsia"/>
          <w:bCs/>
          <w:caps/>
          <w:color w:val="auto"/>
          <w:szCs w:val="28"/>
          <w:highlight w:val="none"/>
          <w:u w:val="single"/>
        </w:rPr>
        <w:fldChar w:fldCharType="end"/>
      </w:r>
    </w:p>
    <w:p>
      <w:pPr>
        <w:rPr>
          <w:rFonts w:asciiTheme="minorEastAsia" w:hAnsiTheme="minorEastAsia" w:eastAsiaTheme="minorEastAsia" w:cstheme="minorEastAsia"/>
          <w:bCs/>
          <w:caps/>
          <w:color w:val="auto"/>
          <w:szCs w:val="28"/>
          <w:highlight w:val="none"/>
          <w:u w:val="single"/>
        </w:rPr>
      </w:pPr>
      <w:r>
        <w:rPr>
          <w:rFonts w:hint="eastAsia" w:asciiTheme="minorEastAsia" w:hAnsiTheme="minorEastAsia" w:eastAsiaTheme="minorEastAsia" w:cstheme="minorEastAsia"/>
          <w:bCs/>
          <w:caps/>
          <w:color w:val="auto"/>
          <w:szCs w:val="28"/>
          <w:highlight w:val="none"/>
          <w:u w:val="single"/>
        </w:rPr>
        <w:br w:type="page"/>
      </w:r>
    </w:p>
    <w:p>
      <w:pPr>
        <w:pStyle w:val="13"/>
        <w:jc w:val="center"/>
        <w:outlineLvl w:val="0"/>
        <w:rPr>
          <w:rFonts w:asciiTheme="minorEastAsia" w:hAnsiTheme="minorEastAsia" w:eastAsiaTheme="minorEastAsia" w:cstheme="minorEastAsia"/>
          <w:b/>
          <w:color w:val="auto"/>
          <w:sz w:val="36"/>
          <w:highlight w:val="none"/>
        </w:rPr>
      </w:pPr>
      <w:bookmarkStart w:id="0" w:name="_Toc26972"/>
      <w:r>
        <w:rPr>
          <w:rFonts w:hint="eastAsia" w:asciiTheme="minorEastAsia" w:hAnsiTheme="minorEastAsia" w:eastAsiaTheme="minorEastAsia" w:cstheme="minorEastAsia"/>
          <w:b/>
          <w:color w:val="auto"/>
          <w:sz w:val="36"/>
          <w:highlight w:val="none"/>
        </w:rPr>
        <w:t>第一章  招标公告</w:t>
      </w:r>
      <w:bookmarkEnd w:id="0"/>
    </w:p>
    <w:p>
      <w:pPr>
        <w:pStyle w:val="13"/>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公开招标公告</w:t>
      </w:r>
    </w:p>
    <w:p>
      <w:pPr>
        <w:pBdr>
          <w:top w:val="single" w:color="auto" w:sz="4" w:space="1"/>
          <w:left w:val="single" w:color="auto" w:sz="4" w:space="4"/>
          <w:bottom w:val="single" w:color="auto" w:sz="4" w:space="1"/>
          <w:right w:val="single" w:color="auto" w:sz="4" w:space="4"/>
        </w:pBd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项目概况</w:t>
      </w:r>
    </w:p>
    <w:p>
      <w:pPr>
        <w:pBdr>
          <w:top w:val="single" w:color="auto" w:sz="4" w:space="1"/>
          <w:left w:val="single" w:color="auto" w:sz="4" w:space="4"/>
          <w:bottom w:val="single" w:color="auto" w:sz="4" w:space="1"/>
          <w:right w:val="single" w:color="auto" w:sz="4" w:space="4"/>
        </w:pBdr>
        <w:spacing w:line="360" w:lineRule="auto"/>
        <w:ind w:firstLine="525" w:firstLineChars="250"/>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u w:val="single"/>
          <w:lang w:eastAsia="zh-CN"/>
        </w:rPr>
        <w:t>2025年西乡塘区糖料蔗病虫害绿色防控项目</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招标项目的潜在投标人应在广西政府采购云平台（https://www.gcy.zfcg.gxzf.gov.cn/）获取（下载）招标文件，并于</w:t>
      </w:r>
      <w:bookmarkStart w:id="1" w:name="PO_3000001866_PM015"/>
      <w:r>
        <w:rPr>
          <w:rFonts w:hint="eastAsia" w:asciiTheme="minorEastAsia" w:hAnsiTheme="minorEastAsia" w:eastAsiaTheme="minorEastAsia" w:cstheme="minorEastAsia"/>
          <w:color w:val="auto"/>
          <w:szCs w:val="21"/>
          <w:highlight w:val="none"/>
          <w:u w:val="single"/>
        </w:rPr>
        <w:t>2025年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 xml:space="preserve">日上午9时30分 </w:t>
      </w:r>
      <w:bookmarkEnd w:id="1"/>
      <w:r>
        <w:rPr>
          <w:rFonts w:hint="eastAsia" w:asciiTheme="minorEastAsia" w:hAnsiTheme="minorEastAsia" w:eastAsiaTheme="minorEastAsia" w:cstheme="minorEastAsia"/>
          <w:bCs/>
          <w:color w:val="auto"/>
          <w:szCs w:val="21"/>
          <w:highlight w:val="none"/>
        </w:rPr>
        <w:t>（北京时间）前</w:t>
      </w:r>
      <w:r>
        <w:rPr>
          <w:rFonts w:hint="eastAsia" w:asciiTheme="minorEastAsia" w:hAnsiTheme="minorEastAsia" w:eastAsiaTheme="minorEastAsia" w:cstheme="minorEastAsia"/>
          <w:color w:val="auto"/>
          <w:szCs w:val="21"/>
          <w:highlight w:val="none"/>
        </w:rPr>
        <w:t>递交（上传）投标文件。</w:t>
      </w:r>
    </w:p>
    <w:p>
      <w:pPr>
        <w:spacing w:line="380" w:lineRule="exact"/>
        <w:ind w:firstLine="211" w:firstLineChars="100"/>
        <w:rPr>
          <w:rFonts w:asciiTheme="minorEastAsia" w:hAnsiTheme="minorEastAsia" w:eastAsiaTheme="minorEastAsia" w:cstheme="minorEastAsia"/>
          <w:b/>
          <w:bCs/>
          <w:color w:val="auto"/>
          <w:sz w:val="24"/>
          <w:highlight w:val="none"/>
        </w:rPr>
      </w:pPr>
      <w:bookmarkStart w:id="2" w:name="_Toc35393790"/>
      <w:bookmarkStart w:id="3" w:name="_Toc28359079"/>
      <w:bookmarkStart w:id="4" w:name="_Toc28359002"/>
      <w:bookmarkStart w:id="5" w:name="_Toc35393621"/>
      <w:bookmarkStart w:id="6" w:name="_Hlk24379207"/>
      <w:r>
        <w:rPr>
          <w:rFonts w:hint="eastAsia" w:asciiTheme="minorEastAsia" w:hAnsiTheme="minorEastAsia" w:eastAsiaTheme="minorEastAsia" w:cstheme="minorEastAsia"/>
          <w:b/>
          <w:bCs/>
          <w:color w:val="auto"/>
          <w:szCs w:val="21"/>
          <w:highlight w:val="none"/>
        </w:rPr>
        <w:t>一、项目基本情况</w:t>
      </w:r>
      <w:bookmarkEnd w:id="2"/>
      <w:bookmarkEnd w:id="3"/>
      <w:bookmarkEnd w:id="4"/>
      <w:bookmarkEnd w:id="5"/>
    </w:p>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项目编号：</w:t>
      </w:r>
      <w:r>
        <w:rPr>
          <w:rFonts w:hint="eastAsia" w:asciiTheme="minorEastAsia" w:hAnsiTheme="minorEastAsia" w:eastAsiaTheme="minorEastAsia" w:cstheme="minorEastAsia"/>
          <w:color w:val="auto"/>
          <w:szCs w:val="21"/>
          <w:highlight w:val="none"/>
          <w:lang w:eastAsia="zh-CN"/>
        </w:rPr>
        <w:t>NNZC2026-G3-070001-GXYG</w:t>
      </w:r>
    </w:p>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项目名称：</w:t>
      </w:r>
      <w:r>
        <w:rPr>
          <w:rFonts w:hint="eastAsia" w:asciiTheme="minorEastAsia" w:hAnsiTheme="minorEastAsia" w:eastAsiaTheme="minorEastAsia" w:cstheme="minorEastAsia"/>
          <w:color w:val="auto"/>
          <w:szCs w:val="21"/>
          <w:highlight w:val="none"/>
          <w:lang w:eastAsia="zh-CN"/>
        </w:rPr>
        <w:t>2025年西乡塘区糖料蔗病虫害绿色防控项目</w:t>
      </w:r>
    </w:p>
    <w:bookmarkEnd w:id="6"/>
    <w:p>
      <w:pPr>
        <w:spacing w:line="360" w:lineRule="auto"/>
        <w:ind w:firstLine="420" w:firstLineChars="200"/>
        <w:rPr>
          <w:rFonts w:hint="default" w:asciiTheme="minorEastAsia" w:hAnsiTheme="minorEastAsia" w:eastAsiaTheme="minorEastAsia" w:cstheme="minorEastAsia"/>
          <w:color w:val="auto"/>
          <w:szCs w:val="21"/>
          <w:highlight w:val="none"/>
          <w:u w:val="single"/>
          <w:lang w:val="en-US" w:eastAsia="zh-CN"/>
        </w:rPr>
      </w:pPr>
      <w:r>
        <w:rPr>
          <w:rFonts w:hint="eastAsia" w:asciiTheme="minorEastAsia" w:hAnsiTheme="minorEastAsia" w:eastAsiaTheme="minorEastAsia" w:cstheme="minorEastAsia"/>
          <w:color w:val="auto"/>
          <w:szCs w:val="21"/>
          <w:highlight w:val="none"/>
        </w:rPr>
        <w:t>预算总金额（元）：</w:t>
      </w:r>
      <w:r>
        <w:rPr>
          <w:rFonts w:hint="eastAsia" w:asciiTheme="minorEastAsia" w:hAnsiTheme="minorEastAsia" w:eastAsiaTheme="minorEastAsia" w:cstheme="minorEastAsia"/>
          <w:color w:val="auto"/>
          <w:szCs w:val="21"/>
          <w:highlight w:val="none"/>
          <w:lang w:val="en-US" w:eastAsia="zh-CN"/>
        </w:rPr>
        <w:t>25000000.00</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采购需求：</w:t>
      </w:r>
      <w:bookmarkStart w:id="7" w:name="PO_3000001866_PM004"/>
      <w:r>
        <w:rPr>
          <w:rFonts w:hint="eastAsia" w:asciiTheme="minorEastAsia" w:hAnsiTheme="minorEastAsia" w:eastAsiaTheme="minorEastAsia" w:cstheme="minorEastAsia"/>
          <w:color w:val="auto"/>
          <w:szCs w:val="21"/>
          <w:highlight w:val="none"/>
        </w:rPr>
        <w:t xml:space="preserve"> </w:t>
      </w:r>
    </w:p>
    <w:bookmarkEnd w:id="7"/>
    <w:p>
      <w:pPr>
        <w:spacing w:line="360" w:lineRule="auto"/>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标项名称:</w:t>
      </w:r>
      <w:r>
        <w:rPr>
          <w:rFonts w:hint="eastAsia" w:asciiTheme="minorEastAsia" w:hAnsiTheme="minorEastAsia" w:eastAsiaTheme="minorEastAsia" w:cstheme="minorEastAsia"/>
          <w:color w:val="auto"/>
          <w:szCs w:val="21"/>
          <w:highlight w:val="none"/>
          <w:lang w:eastAsia="zh-CN"/>
        </w:rPr>
        <w:t>2025年西乡塘区糖料蔗病虫害绿色防控项目</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数量:1</w:t>
      </w:r>
    </w:p>
    <w:p>
      <w:pPr>
        <w:spacing w:line="360" w:lineRule="auto"/>
        <w:ind w:firstLine="420" w:firstLineChars="200"/>
        <w:rPr>
          <w:rFonts w:hint="default" w:asciiTheme="minorEastAsia" w:hAnsiTheme="minorEastAsia" w:eastAsiaTheme="minorEastAsia" w:cstheme="minorEastAsia"/>
          <w:color w:val="auto"/>
          <w:szCs w:val="21"/>
          <w:highlight w:val="none"/>
          <w:lang w:val="en-US"/>
        </w:rPr>
      </w:pPr>
      <w:r>
        <w:rPr>
          <w:rFonts w:hint="eastAsia" w:asciiTheme="minorEastAsia" w:hAnsiTheme="minorEastAsia" w:eastAsiaTheme="minorEastAsia" w:cstheme="minorEastAsia"/>
          <w:color w:val="auto"/>
          <w:szCs w:val="21"/>
          <w:highlight w:val="none"/>
        </w:rPr>
        <w:t>预算金额（元）:</w:t>
      </w:r>
      <w:r>
        <w:rPr>
          <w:rFonts w:hint="eastAsia" w:asciiTheme="minorEastAsia" w:hAnsiTheme="minorEastAsia" w:eastAsiaTheme="minorEastAsia" w:cstheme="minorEastAsia"/>
          <w:color w:val="auto"/>
          <w:szCs w:val="21"/>
          <w:highlight w:val="none"/>
          <w:lang w:val="en-US" w:eastAsia="zh-CN"/>
        </w:rPr>
        <w:t>25000000.00</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简要规格描述或项目基本概况介绍、用途：</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宋体" w:hAnsi="宋体" w:eastAsia="宋体" w:cs="Times New Roman"/>
          <w:color w:val="auto"/>
          <w:sz w:val="21"/>
          <w:szCs w:val="21"/>
          <w:highlight w:val="none"/>
          <w:lang w:val="en-US" w:eastAsia="zh-CN"/>
        </w:rPr>
        <w:t>（一）</w:t>
      </w:r>
      <w:r>
        <w:rPr>
          <w:rFonts w:hint="eastAsia" w:ascii="宋体" w:hAnsi="宋体" w:cs="Times New Roman"/>
          <w:color w:val="auto"/>
          <w:sz w:val="21"/>
          <w:szCs w:val="21"/>
          <w:highlight w:val="none"/>
          <w:lang w:val="en-US" w:eastAsia="zh-CN"/>
        </w:rPr>
        <w:t>提供</w:t>
      </w:r>
      <w:r>
        <w:rPr>
          <w:rFonts w:hint="eastAsia" w:ascii="宋体" w:hAnsi="宋体" w:eastAsia="宋体" w:cs="Times New Roman"/>
          <w:color w:val="auto"/>
          <w:sz w:val="21"/>
          <w:szCs w:val="21"/>
          <w:highlight w:val="none"/>
          <w:lang w:val="en-US" w:eastAsia="zh-CN"/>
        </w:rPr>
        <w:t>甘蔗螟害螟黄赤眼蜂(米蛾卵)生物防治；（二）提供甘蔗病虫害预测预报。</w:t>
      </w:r>
      <w:r>
        <w:rPr>
          <w:rFonts w:hint="eastAsia" w:ascii="宋体" w:hAnsi="宋体" w:eastAsia="宋体" w:cs="Times New Roman"/>
          <w:color w:val="auto"/>
          <w:szCs w:val="21"/>
          <w:highlight w:val="none"/>
        </w:rPr>
        <w:t>详见</w:t>
      </w:r>
      <w:r>
        <w:rPr>
          <w:rFonts w:hint="eastAsia" w:ascii="宋体" w:hAnsi="宋体" w:cs="Times New Roman"/>
          <w:color w:val="auto"/>
          <w:szCs w:val="21"/>
          <w:highlight w:val="none"/>
          <w:lang w:val="en-US" w:eastAsia="zh-CN"/>
        </w:rPr>
        <w:t>招标</w:t>
      </w:r>
      <w:r>
        <w:rPr>
          <w:rFonts w:hint="eastAsia" w:ascii="宋体" w:hAnsi="宋体" w:cs="Times New Roman"/>
          <w:color w:val="auto"/>
          <w:szCs w:val="21"/>
          <w:highlight w:val="none"/>
          <w:lang w:eastAsia="zh-CN"/>
        </w:rPr>
        <w:t>文件</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最高限价（如有）：</w:t>
      </w:r>
      <w:r>
        <w:rPr>
          <w:rFonts w:hint="eastAsia" w:asciiTheme="minorEastAsia" w:hAnsiTheme="minorEastAsia" w:eastAsiaTheme="minorEastAsia" w:cstheme="minorEastAsia"/>
          <w:color w:val="auto"/>
          <w:szCs w:val="21"/>
          <w:highlight w:val="none"/>
          <w:lang w:val="en-US" w:eastAsia="zh-CN"/>
        </w:rPr>
        <w:t>25000000</w:t>
      </w:r>
    </w:p>
    <w:p>
      <w:pPr>
        <w:spacing w:line="360" w:lineRule="auto"/>
        <w:ind w:firstLine="420" w:firstLineChars="200"/>
        <w:rPr>
          <w:rFonts w:hint="eastAsia" w:ascii="宋体" w:hAnsi="宋体" w:cs="宋体"/>
          <w:color w:val="auto"/>
          <w:szCs w:val="21"/>
          <w:highlight w:val="none"/>
        </w:rPr>
      </w:pPr>
      <w:r>
        <w:rPr>
          <w:rFonts w:hint="eastAsia" w:asciiTheme="minorEastAsia" w:hAnsiTheme="minorEastAsia" w:eastAsiaTheme="minorEastAsia" w:cstheme="minorEastAsia"/>
          <w:color w:val="auto"/>
          <w:szCs w:val="21"/>
          <w:highlight w:val="none"/>
        </w:rPr>
        <w:t>合同履约期限：</w:t>
      </w:r>
      <w:r>
        <w:rPr>
          <w:rFonts w:hint="eastAsia" w:ascii="宋体" w:hAnsi="宋体" w:cs="宋体"/>
          <w:color w:val="auto"/>
          <w:szCs w:val="21"/>
          <w:highlight w:val="none"/>
        </w:rPr>
        <w:t>自合同签订之日起</w:t>
      </w:r>
      <w:r>
        <w:rPr>
          <w:rFonts w:hint="eastAsia"/>
          <w:color w:val="auto"/>
          <w:highlight w:val="none"/>
        </w:rPr>
        <w:t>1</w:t>
      </w:r>
      <w:r>
        <w:rPr>
          <w:rFonts w:hint="eastAsia" w:ascii="宋体" w:hAnsi="宋体" w:cs="宋体"/>
          <w:color w:val="auto"/>
          <w:szCs w:val="21"/>
          <w:highlight w:val="none"/>
        </w:rPr>
        <w:t>年。</w:t>
      </w:r>
    </w:p>
    <w:p>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rPr>
        <w:t>本标项</w:t>
      </w:r>
      <w:r>
        <w:rPr>
          <w:rFonts w:hint="eastAsia" w:ascii="宋体" w:hAnsi="宋体" w:eastAsia="宋体" w:cs="Times New Roman"/>
          <w:color w:val="auto"/>
          <w:szCs w:val="21"/>
          <w:highlight w:val="none"/>
          <w:lang w:val="en-US" w:eastAsia="zh-CN"/>
        </w:rPr>
        <w:t>是否</w:t>
      </w:r>
      <w:r>
        <w:rPr>
          <w:rFonts w:hint="eastAsia" w:ascii="宋体" w:hAnsi="宋体" w:eastAsia="宋体" w:cs="Times New Roman"/>
          <w:color w:val="auto"/>
          <w:szCs w:val="21"/>
          <w:highlight w:val="none"/>
        </w:rPr>
        <w:t>接受联合体投标</w:t>
      </w:r>
      <w:r>
        <w:rPr>
          <w:rFonts w:hint="eastAsia" w:ascii="宋体" w:hAnsi="宋体" w:eastAsia="宋体" w:cs="Times New Roman"/>
          <w:color w:val="auto"/>
          <w:szCs w:val="21"/>
          <w:highlight w:val="none"/>
          <w:lang w:eastAsia="zh-CN"/>
        </w:rPr>
        <w:t>：</w:t>
      </w:r>
      <w:r>
        <w:rPr>
          <w:rFonts w:hint="eastAsia" w:ascii="宋体" w:hAnsi="宋体"/>
          <w:color w:val="auto"/>
          <w:szCs w:val="21"/>
          <w:highlight w:val="none"/>
        </w:rPr>
        <w:t>□是，☑否</w:t>
      </w:r>
      <w:r>
        <w:rPr>
          <w:rFonts w:hint="eastAsia" w:ascii="宋体" w:hAnsi="宋体"/>
          <w:color w:val="auto"/>
          <w:szCs w:val="21"/>
          <w:highlight w:val="none"/>
          <w:lang w:eastAsia="zh-CN"/>
        </w:rPr>
        <w:t>。</w:t>
      </w:r>
    </w:p>
    <w:p>
      <w:pPr>
        <w:spacing w:line="360" w:lineRule="auto"/>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本标项（否）接受联合体投标</w:t>
      </w:r>
    </w:p>
    <w:p>
      <w:pPr>
        <w:spacing w:line="380" w:lineRule="exact"/>
        <w:rPr>
          <w:rFonts w:asciiTheme="minorEastAsia" w:hAnsiTheme="minorEastAsia" w:eastAsiaTheme="minorEastAsia" w:cstheme="minorEastAsia"/>
          <w:b/>
          <w:bCs/>
          <w:color w:val="auto"/>
          <w:sz w:val="24"/>
          <w:highlight w:val="none"/>
        </w:rPr>
      </w:pPr>
      <w:bookmarkStart w:id="8" w:name="_Toc28359080"/>
      <w:bookmarkStart w:id="9" w:name="_Toc35393622"/>
      <w:bookmarkStart w:id="10" w:name="_Toc35393791"/>
      <w:bookmarkStart w:id="11" w:name="_Toc28359003"/>
      <w:r>
        <w:rPr>
          <w:rFonts w:hint="eastAsia" w:asciiTheme="minorEastAsia" w:hAnsiTheme="minorEastAsia" w:eastAsiaTheme="minorEastAsia" w:cstheme="minorEastAsia"/>
          <w:b/>
          <w:bCs/>
          <w:color w:val="auto"/>
          <w:szCs w:val="21"/>
          <w:highlight w:val="none"/>
        </w:rPr>
        <w:t>二、投标人的资格要求：</w:t>
      </w:r>
      <w:r>
        <w:rPr>
          <w:rFonts w:hint="eastAsia" w:asciiTheme="minorEastAsia" w:hAnsiTheme="minorEastAsia" w:eastAsiaTheme="minorEastAsia" w:cstheme="minorEastAsia"/>
          <w:b/>
          <w:bCs/>
          <w:color w:val="auto"/>
          <w:sz w:val="24"/>
          <w:highlight w:val="none"/>
        </w:rPr>
        <w:t>资格要求：</w:t>
      </w:r>
      <w:bookmarkEnd w:id="8"/>
      <w:bookmarkEnd w:id="9"/>
      <w:bookmarkEnd w:id="10"/>
      <w:bookmarkEnd w:id="11"/>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1.满足《中华人民共和国政府采购法》第二十二条规定</w:t>
      </w:r>
      <w:r>
        <w:rPr>
          <w:rFonts w:hint="eastAsia" w:asciiTheme="minorEastAsia" w:hAnsiTheme="minorEastAsia" w:eastAsiaTheme="minorEastAsia" w:cstheme="minorEastAsia"/>
          <w:color w:val="auto"/>
          <w:szCs w:val="21"/>
          <w:highlight w:val="none"/>
          <w:lang w:eastAsia="zh-CN"/>
        </w:rPr>
        <w:t>。</w:t>
      </w:r>
    </w:p>
    <w:p>
      <w:pPr>
        <w:spacing w:line="360" w:lineRule="auto"/>
        <w:ind w:firstLine="420" w:firstLineChars="200"/>
        <w:rPr>
          <w:rFonts w:asciiTheme="minorEastAsia" w:hAnsiTheme="minorEastAsia" w:eastAsiaTheme="minorEastAsia" w:cstheme="minorEastAsia"/>
          <w:color w:val="auto"/>
          <w:szCs w:val="21"/>
          <w:highlight w:val="none"/>
        </w:rPr>
      </w:pPr>
      <w:bookmarkStart w:id="12" w:name="_Toc28359004"/>
      <w:bookmarkStart w:id="13" w:name="_Toc28359081"/>
      <w:r>
        <w:rPr>
          <w:rFonts w:hint="eastAsia" w:asciiTheme="minorEastAsia" w:hAnsiTheme="minorEastAsia" w:eastAsiaTheme="minorEastAsia" w:cstheme="minorEastAsia"/>
          <w:color w:val="auto"/>
          <w:szCs w:val="21"/>
          <w:highlight w:val="none"/>
        </w:rPr>
        <w:t>2.落实政府采购政策需满足的资格要求：</w:t>
      </w:r>
    </w:p>
    <w:p>
      <w:pPr>
        <w:spacing w:line="360" w:lineRule="auto"/>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☑专门面向中小企业采购的项目（供应商应为中小微企业、监狱企业、残疾人福利性单位)</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□非专门面向中小企业采购的项目</w:t>
      </w:r>
    </w:p>
    <w:p>
      <w:pPr>
        <w:spacing w:line="360" w:lineRule="auto"/>
        <w:ind w:firstLine="420" w:firstLineChars="200"/>
        <w:rPr>
          <w:rFonts w:hint="eastAsia" w:eastAsia="宋体" w:asciiTheme="minorEastAsia" w:hAnsi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3.本项目的特定资格要求：</w:t>
      </w:r>
      <w:r>
        <w:rPr>
          <w:rFonts w:hint="eastAsia" w:ascii="宋体" w:hAnsi="宋体"/>
          <w:color w:val="auto"/>
          <w:szCs w:val="21"/>
          <w:highlight w:val="none"/>
        </w:rPr>
        <w:t>在全国投资项目在线审批监管平台完成备案工作的咨询服务机构</w:t>
      </w:r>
      <w:r>
        <w:rPr>
          <w:rFonts w:hint="eastAsia" w:ascii="宋体" w:hAnsi="宋体"/>
          <w:color w:val="auto"/>
          <w:szCs w:val="21"/>
          <w:highlight w:val="none"/>
          <w:lang w:eastAsia="zh-CN"/>
        </w:rPr>
        <w:t>，</w:t>
      </w:r>
      <w:r>
        <w:rPr>
          <w:rFonts w:hint="eastAsia" w:ascii="宋体" w:hAnsi="宋体"/>
          <w:color w:val="auto"/>
          <w:szCs w:val="21"/>
          <w:highlight w:val="none"/>
        </w:rPr>
        <w:t>备案专业含“综合经济”或“工程技术经济”，服务范围含“评估咨询”</w:t>
      </w:r>
      <w:r>
        <w:rPr>
          <w:rFonts w:hint="eastAsia" w:ascii="宋体" w:hAnsi="宋体"/>
          <w:color w:val="auto"/>
          <w:szCs w:val="21"/>
          <w:highlight w:val="none"/>
          <w:lang w:eastAsia="zh-CN"/>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 本项目的特定条件：无</w:t>
      </w:r>
    </w:p>
    <w:p>
      <w:pPr>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w:t>
      </w:r>
      <w:r>
        <w:rPr>
          <w:rFonts w:hint="eastAsia" w:ascii="宋体" w:hAnsi="宋体"/>
          <w:color w:val="auto"/>
          <w:szCs w:val="21"/>
          <w:highlight w:val="none"/>
        </w:rPr>
        <w:t>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bookmarkEnd w:id="12"/>
    <w:bookmarkEnd w:id="13"/>
    <w:p>
      <w:pPr>
        <w:spacing w:line="38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三、获取招标文件</w:t>
      </w:r>
    </w:p>
    <w:p>
      <w:pPr>
        <w:snapToGrid w:val="0"/>
        <w:spacing w:line="38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时间：自公告发布之日起。</w:t>
      </w:r>
    </w:p>
    <w:p>
      <w:pPr>
        <w:spacing w:line="38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地点：广西政府采购云平台（https://www.gcy.zfcg.gxzf.gov.cn/）</w:t>
      </w:r>
    </w:p>
    <w:p>
      <w:pPr>
        <w:spacing w:line="380" w:lineRule="exact"/>
        <w:ind w:firstLine="420"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方式：网上下载。本项目不提供纸质文件，潜在供应商需在广西政府采购云平台（https://www.gcy.zfcg.gxzf.gov.cn/）-进入“项目采购”应用，在获取采购文件菜单中选择项目，获取招标文件。电子投标文件制作需要基于广西政府采购云平台获取的招标文件编制，通过其他方式获取招标文件的，将有可能导致供应商无法在广西政府采购云平台编制及上传投标文件。</w:t>
      </w:r>
    </w:p>
    <w:p>
      <w:pPr>
        <w:snapToGrid w:val="0"/>
        <w:spacing w:line="380" w:lineRule="exact"/>
        <w:ind w:firstLine="472" w:firstLineChars="225"/>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售价：0元。</w:t>
      </w:r>
    </w:p>
    <w:p>
      <w:pPr>
        <w:spacing w:line="38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四、提交投标文件截止时间、开标时间和地点</w:t>
      </w:r>
    </w:p>
    <w:p>
      <w:pPr>
        <w:spacing w:line="38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提交投标文件截止时间</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202</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9时30分（北京时间）</w:t>
      </w:r>
    </w:p>
    <w:p>
      <w:pPr>
        <w:snapToGrid w:val="0"/>
        <w:spacing w:line="3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投标地点</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网址</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：广西政府采购云平台（https://www.gcy.zfcg.gxzf.gov.cn/）</w:t>
      </w:r>
    </w:p>
    <w:p>
      <w:pPr>
        <w:snapToGrid w:val="0"/>
        <w:spacing w:line="380" w:lineRule="exact"/>
        <w:ind w:firstLine="420" w:firstLineChars="200"/>
        <w:rPr>
          <w:rFonts w:hint="eastAsia"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lang w:val="en-US" w:eastAsia="zh-CN"/>
        </w:rPr>
        <w:t>开标时间：</w:t>
      </w:r>
      <w:r>
        <w:rPr>
          <w:rFonts w:hint="eastAsia" w:asciiTheme="minorEastAsia" w:hAnsiTheme="minorEastAsia" w:eastAsiaTheme="minorEastAsia" w:cstheme="minorEastAsia"/>
          <w:bCs/>
          <w:color w:val="auto"/>
          <w:szCs w:val="21"/>
          <w:highlight w:val="none"/>
        </w:rPr>
        <w:t>202</w:t>
      </w:r>
      <w:r>
        <w:rPr>
          <w:rFonts w:hint="eastAsia" w:asciiTheme="minorEastAsia" w:hAnsiTheme="minorEastAsia" w:eastAsiaTheme="minorEastAsia" w:cstheme="minorEastAsia"/>
          <w:bCs/>
          <w:color w:val="auto"/>
          <w:szCs w:val="21"/>
          <w:highlight w:val="none"/>
          <w:lang w:val="en-US" w:eastAsia="zh-CN"/>
        </w:rPr>
        <w:t>6</w:t>
      </w:r>
      <w:r>
        <w:rPr>
          <w:rFonts w:hint="eastAsia" w:asciiTheme="minorEastAsia" w:hAnsiTheme="minorEastAsia" w:eastAsiaTheme="minorEastAsia" w:cstheme="minorEastAsia"/>
          <w:bCs/>
          <w:color w:val="auto"/>
          <w:szCs w:val="21"/>
          <w:highlight w:val="none"/>
        </w:rPr>
        <w:t>年</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月</w:t>
      </w:r>
      <w:r>
        <w:rPr>
          <w:rFonts w:hint="eastAsia" w:asciiTheme="minorEastAsia" w:hAnsiTheme="minorEastAsia" w:eastAsiaTheme="minorEastAsia" w:cstheme="minorEastAsia"/>
          <w:bCs/>
          <w:color w:val="auto"/>
          <w:szCs w:val="21"/>
          <w:highlight w:val="none"/>
          <w:lang w:val="en-US" w:eastAsia="zh-CN"/>
        </w:rPr>
        <w:t xml:space="preserve">  </w:t>
      </w:r>
      <w:r>
        <w:rPr>
          <w:rFonts w:hint="eastAsia" w:asciiTheme="minorEastAsia" w:hAnsiTheme="minorEastAsia" w:eastAsiaTheme="minorEastAsia" w:cstheme="minorEastAsia"/>
          <w:bCs/>
          <w:color w:val="auto"/>
          <w:szCs w:val="21"/>
          <w:highlight w:val="none"/>
        </w:rPr>
        <w:t>日</w:t>
      </w:r>
      <w:r>
        <w:rPr>
          <w:rFonts w:hint="eastAsia" w:asciiTheme="minorEastAsia" w:hAnsiTheme="minorEastAsia" w:eastAsiaTheme="minorEastAsia" w:cstheme="minorEastAsia"/>
          <w:bCs/>
          <w:color w:val="auto"/>
          <w:szCs w:val="21"/>
          <w:highlight w:val="none"/>
          <w:lang w:val="en-US" w:eastAsia="zh-CN"/>
        </w:rPr>
        <w:t>0</w:t>
      </w:r>
      <w:r>
        <w:rPr>
          <w:rFonts w:hint="eastAsia" w:asciiTheme="minorEastAsia" w:hAnsiTheme="minorEastAsia" w:eastAsiaTheme="minorEastAsia" w:cstheme="minorEastAsia"/>
          <w:bCs/>
          <w:color w:val="auto"/>
          <w:szCs w:val="21"/>
          <w:highlight w:val="none"/>
        </w:rPr>
        <w:t>9</w:t>
      </w:r>
      <w:r>
        <w:rPr>
          <w:rFonts w:hint="eastAsia" w:asciiTheme="minorEastAsia" w:hAnsiTheme="minorEastAsia" w:eastAsiaTheme="minorEastAsia" w:cstheme="minorEastAsia"/>
          <w:bCs/>
          <w:color w:val="auto"/>
          <w:szCs w:val="21"/>
          <w:highlight w:val="none"/>
          <w:lang w:eastAsia="zh-CN"/>
        </w:rPr>
        <w:t>：</w:t>
      </w:r>
      <w:r>
        <w:rPr>
          <w:rFonts w:hint="eastAsia" w:asciiTheme="minorEastAsia" w:hAnsiTheme="minorEastAsia" w:eastAsiaTheme="minorEastAsia" w:cstheme="minorEastAsia"/>
          <w:bCs/>
          <w:color w:val="auto"/>
          <w:szCs w:val="21"/>
          <w:highlight w:val="none"/>
        </w:rPr>
        <w:t>30</w:t>
      </w:r>
    </w:p>
    <w:p>
      <w:pPr>
        <w:snapToGrid w:val="0"/>
        <w:spacing w:line="38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开标地点：广西政府采购云平台电子开标大厅</w:t>
      </w:r>
    </w:p>
    <w:p>
      <w:pPr>
        <w:spacing w:line="38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五、公告期限</w:t>
      </w:r>
    </w:p>
    <w:p>
      <w:pPr>
        <w:spacing w:line="38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自本公告发布之日起5个工作日。</w:t>
      </w:r>
    </w:p>
    <w:p>
      <w:pPr>
        <w:spacing w:line="38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六、其他补充事宜</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1.投标保证金：本项目不收取投标保证金</w:t>
      </w:r>
    </w:p>
    <w:p>
      <w:pPr>
        <w:spacing w:line="380" w:lineRule="exact"/>
        <w:ind w:left="210" w:leftChars="100" w:firstLine="105" w:firstLineChars="50"/>
        <w:jc w:val="left"/>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kern w:val="0"/>
          <w:szCs w:val="21"/>
          <w:highlight w:val="none"/>
        </w:rPr>
        <w:t>2.采购意向公开链接：</w:t>
      </w:r>
      <w:r>
        <w:rPr>
          <w:rFonts w:hint="eastAsia" w:asciiTheme="minorEastAsia" w:hAnsiTheme="minorEastAsia" w:eastAsiaTheme="minorEastAsia" w:cstheme="minorEastAsia"/>
          <w:color w:val="auto"/>
          <w:highlight w:val="none"/>
        </w:rPr>
        <w:t xml:space="preserve"> </w:t>
      </w:r>
    </w:p>
    <w:p>
      <w:pPr>
        <w:spacing w:line="380" w:lineRule="exact"/>
        <w:ind w:left="210" w:leftChars="100" w:firstLine="105" w:firstLineChars="50"/>
        <w:jc w:val="left"/>
        <w:rPr>
          <w:rFonts w:asciiTheme="minorEastAsia" w:hAnsiTheme="minorEastAsia" w:eastAsiaTheme="minorEastAsia" w:cstheme="minorEastAsia"/>
          <w:color w:val="auto"/>
          <w:kern w:val="0"/>
          <w:szCs w:val="21"/>
          <w:highlight w:val="none"/>
          <w:u w:val="single"/>
        </w:rPr>
      </w:pPr>
      <w:r>
        <w:rPr>
          <w:rFonts w:hint="eastAsia" w:asciiTheme="minorEastAsia" w:hAnsiTheme="minorEastAsia" w:eastAsiaTheme="minorEastAsia" w:cstheme="minorEastAsia"/>
          <w:color w:val="auto"/>
          <w:kern w:val="0"/>
          <w:szCs w:val="21"/>
          <w:highlight w:val="none"/>
          <w:u w:val="single"/>
        </w:rPr>
        <w:t>https://zfcg.gxzf.gov.cn/luban/detail?parentId=66485&amp;articleId=ann_c/3LucbM+FboDu+kw3YbWdD5ndTMr3NGt5TILBJnhQo=</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3.网上查询地址</w:t>
      </w:r>
      <w:bookmarkStart w:id="14" w:name="PO_3000001867_PM023"/>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中国政府采购网（http://www.ccgp.gov.cn）,广西壮族自治区政府采购网（http://zfcg.gxzf.gov.cn）, 全国公共资源交易平台（广西.南宁）（http://ggzy.jgswj.gxzf.gov.cn/nnggzy/）、</w:t>
      </w:r>
      <w:r>
        <w:rPr>
          <w:rFonts w:hint="eastAsia" w:asciiTheme="minorEastAsia" w:hAnsiTheme="minorEastAsia" w:eastAsiaTheme="minorEastAsia" w:cstheme="minorEastAsia"/>
          <w:color w:val="auto"/>
          <w:szCs w:val="21"/>
          <w:highlight w:val="none"/>
          <w:lang w:val="en-US" w:eastAsia="zh-CN"/>
        </w:rPr>
        <w:t>广西阳光采购服务平台</w:t>
      </w:r>
      <w:r>
        <w:rPr>
          <w:rFonts w:hint="eastAsia" w:asciiTheme="minorEastAsia" w:hAnsiTheme="minorEastAsia" w:eastAsiaTheme="minorEastAsia" w:cstheme="minorEastAsia"/>
          <w:color w:val="auto"/>
          <w:szCs w:val="21"/>
          <w:highlight w:val="none"/>
        </w:rPr>
        <w:t>（http://www.</w:t>
      </w:r>
      <w:r>
        <w:rPr>
          <w:rFonts w:hint="eastAsia" w:asciiTheme="minorEastAsia" w:hAnsiTheme="minorEastAsia" w:eastAsiaTheme="minorEastAsia" w:cstheme="minorEastAsia"/>
          <w:color w:val="auto"/>
          <w:szCs w:val="21"/>
          <w:highlight w:val="none"/>
          <w:lang w:val="en-US" w:eastAsia="zh-CN"/>
        </w:rPr>
        <w:t>gxygcg</w:t>
      </w:r>
      <w:r>
        <w:rPr>
          <w:rFonts w:hint="eastAsia" w:asciiTheme="minorEastAsia" w:hAnsiTheme="minorEastAsia" w:eastAsiaTheme="minorEastAsia" w:cstheme="minorEastAsia"/>
          <w:color w:val="auto"/>
          <w:szCs w:val="21"/>
          <w:highlight w:val="none"/>
        </w:rPr>
        <w:t>.com/）</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zCs w:val="21"/>
          <w:highlight w:val="none"/>
        </w:rPr>
        <w:t>4.</w:t>
      </w:r>
      <w:r>
        <w:rPr>
          <w:rFonts w:hint="eastAsia" w:asciiTheme="minorEastAsia" w:hAnsiTheme="minorEastAsia" w:eastAsiaTheme="minorEastAsia" w:cstheme="minorEastAsia"/>
          <w:color w:val="auto"/>
          <w:kern w:val="0"/>
          <w:szCs w:val="21"/>
          <w:highlight w:val="none"/>
        </w:rPr>
        <w:t>本项目需要落实的政府采购政策：</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（1）政府采购促进中小企业发展。</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（2）政府采购支持采用本国产品的政策。</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（3）强制采购节能产品；优先采购节能产品、环境标志产品。</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（4）政府采购促进残疾人就业政策。</w:t>
      </w:r>
    </w:p>
    <w:p>
      <w:pPr>
        <w:spacing w:line="38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（5）政府采购支持监狱企业发展。</w:t>
      </w:r>
      <w:bookmarkEnd w:id="14"/>
    </w:p>
    <w:p>
      <w:pPr>
        <w:spacing w:line="36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5.投标人投标注意事项</w:t>
      </w:r>
    </w:p>
    <w:p>
      <w:pPr>
        <w:spacing w:line="36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1）本项目为全流程电子化采购项目，通过广西政府采购云平台（https://www.gcy.zfcg.gxzf.gov.cn/）实行在线电子投标，投标人应按照本项目招标文件和广西政府采购云平台的要求编制、加密后在投标截止时间前通过网络上传至广西政府采购云平台（加密的电子投标文件是指后缀名为“jmbs”的文件），投标人在广西政府采购云平台提交电子投标文件时，请填写参加远程开标活动经办人联系方式。投标人登录广西政府采购云平台，依次进入“服务中心-项目采购-操作流程-电子招投标-政府采购项目电子交易管理操作指南-供应商”查看电子投标具体操作流程。</w:t>
      </w:r>
    </w:p>
    <w:p>
      <w:pPr>
        <w:spacing w:line="36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依次进入“服务中心-入驻与配置”中查看CA数字证书办理操作流程。如在操作过程中遇到问题或者需要技术支持，请致电客服热线：95763）。</w:t>
      </w:r>
    </w:p>
    <w:p>
      <w:pPr>
        <w:spacing w:line="360" w:lineRule="exact"/>
        <w:ind w:firstLine="315"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kern w:val="0"/>
          <w:szCs w:val="21"/>
          <w:highlight w:val="none"/>
        </w:rPr>
        <w:t>（3）CA证书在线解密：投标人投标时，需凭制作投标文件时用来加密的有效数字证书（CA认证）登录广西政府采购云平台电子开标大厅现场按规定时间对加密的投标文件进行解密，否则后果自负。</w:t>
      </w:r>
    </w:p>
    <w:p>
      <w:pPr>
        <w:spacing w:line="380" w:lineRule="exact"/>
        <w:ind w:firstLine="297" w:firstLineChars="15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color w:val="auto"/>
          <w:spacing w:val="-6"/>
          <w:kern w:val="0"/>
          <w:szCs w:val="21"/>
          <w:highlight w:val="none"/>
        </w:rPr>
        <w:t>注：1）为确保网上操作合法、有效和安全，请投标人确保在电子投标过程中能够对相关数据电文进行加密和使用电子签章，妥善保管CA数字证书并使用有效的CA数字证书参与整个招标活动。2）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pPr>
        <w:spacing w:line="380" w:lineRule="exact"/>
        <w:rPr>
          <w:rFonts w:hint="eastAsia" w:asciiTheme="minorEastAsia" w:hAnsiTheme="minorEastAsia" w:eastAsiaTheme="minorEastAsia" w:cstheme="minorEastAsia"/>
          <w:b/>
          <w:bCs/>
          <w:color w:val="auto"/>
          <w:szCs w:val="21"/>
          <w:highlight w:val="none"/>
          <w:lang w:val="en-US" w:eastAsia="zh-CN"/>
        </w:rPr>
      </w:pPr>
      <w:bookmarkStart w:id="15" w:name="_Toc35393627"/>
      <w:bookmarkStart w:id="16" w:name="_Toc28359085"/>
      <w:bookmarkStart w:id="17" w:name="_Toc28359008"/>
      <w:bookmarkStart w:id="18" w:name="_Toc35393796"/>
      <w:r>
        <w:rPr>
          <w:rFonts w:hint="eastAsia" w:asciiTheme="minorEastAsia" w:hAnsiTheme="minorEastAsia" w:eastAsiaTheme="minorEastAsia" w:cstheme="minorEastAsia"/>
          <w:b/>
          <w:bCs/>
          <w:color w:val="auto"/>
          <w:szCs w:val="21"/>
          <w:highlight w:val="none"/>
        </w:rPr>
        <w:t>七、对本次招标提出询问，请按以下方式联系</w:t>
      </w:r>
    </w:p>
    <w:p>
      <w:pPr>
        <w:spacing w:line="380" w:lineRule="exact"/>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1.采购人信息</w:t>
      </w:r>
    </w:p>
    <w:p>
      <w:pPr>
        <w:spacing w:line="360" w:lineRule="exact"/>
        <w:ind w:firstLine="420"/>
        <w:jc w:val="left"/>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南宁市西乡塘区农业农村局</w:t>
      </w:r>
    </w:p>
    <w:p>
      <w:pPr>
        <w:spacing w:line="360" w:lineRule="exact"/>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地址：南宁市西乡塘区秀灵路东三里30号</w:t>
      </w:r>
    </w:p>
    <w:p>
      <w:pPr>
        <w:spacing w:line="360" w:lineRule="exact"/>
        <w:ind w:firstLine="420"/>
        <w:jc w:val="left"/>
        <w:rPr>
          <w:rFonts w:hint="eastAsia" w:asciiTheme="minorEastAsia" w:hAnsiTheme="minorEastAsia" w:eastAsiaTheme="minorEastAsia" w:cstheme="minorEastAsia"/>
          <w:color w:val="0000FF"/>
          <w:szCs w:val="21"/>
          <w:highlight w:val="none"/>
          <w:lang w:eastAsia="zh-CN"/>
        </w:rPr>
      </w:pPr>
      <w:r>
        <w:rPr>
          <w:rFonts w:hint="eastAsia" w:asciiTheme="minorEastAsia" w:hAnsiTheme="minorEastAsia" w:eastAsiaTheme="minorEastAsia" w:cstheme="minorEastAsia"/>
          <w:color w:val="0000FF"/>
          <w:szCs w:val="21"/>
          <w:highlight w:val="none"/>
        </w:rPr>
        <w:t>项目联系人：</w:t>
      </w:r>
      <w:r>
        <w:rPr>
          <w:rFonts w:hint="eastAsia" w:asciiTheme="minorEastAsia" w:hAnsiTheme="minorEastAsia" w:eastAsiaTheme="minorEastAsia" w:cstheme="minorEastAsia"/>
          <w:color w:val="0000FF"/>
          <w:szCs w:val="21"/>
          <w:highlight w:val="none"/>
          <w:lang w:val="en-US" w:eastAsia="zh-CN"/>
        </w:rPr>
        <w:t xml:space="preserve">陈工 </w:t>
      </w:r>
    </w:p>
    <w:p>
      <w:pPr>
        <w:spacing w:line="360" w:lineRule="exact"/>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联系电话：0771-2318506</w:t>
      </w:r>
    </w:p>
    <w:p>
      <w:pPr>
        <w:spacing w:line="380" w:lineRule="exact"/>
        <w:ind w:firstLine="42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2.采购代理机构信息</w:t>
      </w:r>
    </w:p>
    <w:p>
      <w:pPr>
        <w:shd w:val="clear" w:color="auto" w:fill="FFFFFF"/>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名 称：</w:t>
      </w:r>
      <w:r>
        <w:rPr>
          <w:rFonts w:hint="eastAsia" w:asciiTheme="minorEastAsia" w:hAnsiTheme="minorEastAsia" w:eastAsiaTheme="minorEastAsia" w:cstheme="minorEastAsia"/>
          <w:color w:val="auto"/>
          <w:szCs w:val="21"/>
          <w:highlight w:val="none"/>
          <w:lang w:eastAsia="zh-CN"/>
        </w:rPr>
        <w:t>广西阳光采购服务公司</w:t>
      </w:r>
    </w:p>
    <w:p>
      <w:pPr>
        <w:shd w:val="clear" w:color="auto" w:fill="FFFFFF"/>
        <w:spacing w:line="40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地　址：南宁市青秀区枫林路18号广西国控集团（枫林路办公区）裙楼三层</w:t>
      </w:r>
    </w:p>
    <w:p>
      <w:pPr>
        <w:shd w:val="clear" w:color="auto" w:fill="FFFFFF"/>
        <w:spacing w:line="400" w:lineRule="exact"/>
        <w:ind w:firstLine="420" w:firstLineChars="200"/>
        <w:rPr>
          <w:rFonts w:hint="eastAsia" w:asciiTheme="minorEastAsia" w:hAnsiTheme="minorEastAsia" w:eastAsiaTheme="minorEastAsia" w:cstheme="minorEastAsia"/>
          <w:color w:val="auto"/>
          <w:szCs w:val="21"/>
          <w:highlight w:val="none"/>
          <w:lang w:eastAsia="zh-CN"/>
        </w:rPr>
      </w:pPr>
      <w:r>
        <w:rPr>
          <w:rFonts w:hint="eastAsia" w:asciiTheme="minorEastAsia" w:hAnsiTheme="minorEastAsia" w:eastAsiaTheme="minorEastAsia" w:cstheme="minorEastAsia"/>
          <w:color w:val="auto"/>
          <w:szCs w:val="21"/>
          <w:highlight w:val="none"/>
        </w:rPr>
        <w:t>项目联系人：</w:t>
      </w:r>
      <w:r>
        <w:rPr>
          <w:rFonts w:hint="eastAsia" w:asciiTheme="minorEastAsia" w:hAnsiTheme="minorEastAsia" w:eastAsiaTheme="minorEastAsia" w:cstheme="minorEastAsia"/>
          <w:color w:val="auto"/>
          <w:szCs w:val="21"/>
          <w:highlight w:val="none"/>
          <w:lang w:val="en-US" w:eastAsia="zh-CN"/>
        </w:rPr>
        <w:t>鞠丰泽</w:t>
      </w:r>
    </w:p>
    <w:p>
      <w:pPr>
        <w:shd w:val="clear" w:color="auto" w:fill="FFFFFF"/>
        <w:spacing w:line="400" w:lineRule="exact"/>
        <w:ind w:firstLine="420" w:firstLineChars="200"/>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联系电话：</w:t>
      </w:r>
      <w:bookmarkStart w:id="19" w:name="PO_3000001868_PM033"/>
      <w:r>
        <w:rPr>
          <w:rFonts w:hint="eastAsia" w:asciiTheme="minorEastAsia" w:hAnsiTheme="minorEastAsia" w:eastAsiaTheme="minorEastAsia" w:cstheme="minorEastAsia"/>
          <w:color w:val="auto"/>
          <w:szCs w:val="21"/>
          <w:highlight w:val="none"/>
        </w:rPr>
        <w:t>0771-</w:t>
      </w:r>
      <w:bookmarkEnd w:id="19"/>
      <w:r>
        <w:rPr>
          <w:rFonts w:hint="eastAsia" w:asciiTheme="minorEastAsia" w:hAnsiTheme="minorEastAsia" w:eastAsiaTheme="minorEastAsia" w:cstheme="minorEastAsia"/>
          <w:color w:val="auto"/>
          <w:szCs w:val="21"/>
          <w:highlight w:val="none"/>
          <w:lang w:val="en-US" w:eastAsia="zh-CN"/>
        </w:rPr>
        <w:t>5581680</w:t>
      </w:r>
    </w:p>
    <w:bookmarkEnd w:id="15"/>
    <w:bookmarkEnd w:id="16"/>
    <w:bookmarkEnd w:id="17"/>
    <w:bookmarkEnd w:id="18"/>
    <w:p>
      <w:pPr>
        <w:spacing w:line="360" w:lineRule="auto"/>
        <w:jc w:val="right"/>
        <w:rPr>
          <w:rFonts w:hint="eastAsia" w:asciiTheme="minorEastAsia" w:hAnsiTheme="minorEastAsia" w:eastAsiaTheme="minorEastAsia" w:cstheme="minorEastAsia"/>
          <w:color w:val="auto"/>
          <w:szCs w:val="21"/>
          <w:highlight w:val="none"/>
          <w:u w:val="single"/>
          <w:lang w:eastAsia="zh-CN"/>
        </w:rPr>
      </w:pPr>
      <w:r>
        <w:rPr>
          <w:rFonts w:hint="eastAsia" w:asciiTheme="minorEastAsia" w:hAnsiTheme="minorEastAsia" w:eastAsiaTheme="minorEastAsia" w:cstheme="minorEastAsia"/>
          <w:color w:val="auto"/>
          <w:szCs w:val="21"/>
          <w:highlight w:val="none"/>
          <w:u w:val="single"/>
          <w:lang w:eastAsia="zh-CN"/>
        </w:rPr>
        <w:t>广西阳光采购服务公司</w:t>
      </w:r>
    </w:p>
    <w:p>
      <w:pPr>
        <w:spacing w:line="360" w:lineRule="auto"/>
        <w:ind w:firstLine="210" w:firstLineChars="100"/>
        <w:jc w:val="right"/>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szCs w:val="21"/>
          <w:highlight w:val="none"/>
          <w:u w:val="single"/>
        </w:rPr>
        <w:t>202</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u w:val="single"/>
        </w:rPr>
        <w:t>年</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月</w:t>
      </w:r>
      <w:r>
        <w:rPr>
          <w:rFonts w:hint="eastAsia" w:asciiTheme="minorEastAsia" w:hAnsiTheme="minorEastAsia" w:eastAsiaTheme="minorEastAsia" w:cstheme="minorEastAsia"/>
          <w:color w:val="auto"/>
          <w:szCs w:val="21"/>
          <w:highlight w:val="none"/>
          <w:u w:val="single"/>
          <w:lang w:val="en-US" w:eastAsia="zh-CN"/>
        </w:rPr>
        <w:t xml:space="preserve">  </w:t>
      </w:r>
      <w:r>
        <w:rPr>
          <w:rFonts w:hint="eastAsia" w:asciiTheme="minorEastAsia" w:hAnsiTheme="minorEastAsia" w:eastAsiaTheme="minorEastAsia" w:cstheme="minorEastAsia"/>
          <w:color w:val="auto"/>
          <w:szCs w:val="21"/>
          <w:highlight w:val="none"/>
          <w:u w:val="single"/>
        </w:rPr>
        <w:t>日</w:t>
      </w:r>
    </w:p>
    <w:p>
      <w:pPr>
        <w:widowControl/>
        <w:spacing w:line="360" w:lineRule="auto"/>
        <w:jc w:val="left"/>
        <w:rPr>
          <w:rFonts w:asciiTheme="minorEastAsia" w:hAnsiTheme="minorEastAsia" w:eastAsiaTheme="minorEastAsia" w:cstheme="minorEastAsia"/>
          <w:color w:val="auto"/>
          <w:sz w:val="24"/>
          <w:highlight w:val="none"/>
          <w:lang w:val="zh-CN"/>
        </w:rPr>
        <w:sectPr>
          <w:pgSz w:w="11906" w:h="16838"/>
          <w:pgMar w:top="1134" w:right="1134" w:bottom="1134" w:left="1134" w:header="720" w:footer="720" w:gutter="0"/>
          <w:pgNumType w:start="1"/>
          <w:cols w:space="720" w:num="1"/>
          <w:docGrid w:type="lines" w:linePitch="331" w:charSpace="0"/>
        </w:sectPr>
      </w:pPr>
    </w:p>
    <w:p>
      <w:pPr>
        <w:pStyle w:val="13"/>
        <w:jc w:val="center"/>
        <w:outlineLvl w:val="0"/>
        <w:rPr>
          <w:rFonts w:asciiTheme="minorEastAsia" w:hAnsiTheme="minorEastAsia" w:eastAsiaTheme="minorEastAsia" w:cstheme="minorEastAsia"/>
          <w:b/>
          <w:color w:val="auto"/>
          <w:sz w:val="36"/>
          <w:highlight w:val="none"/>
        </w:rPr>
      </w:pPr>
      <w:bookmarkStart w:id="20" w:name="_Toc532545042"/>
      <w:bookmarkStart w:id="21" w:name="_Toc4033"/>
      <w:r>
        <w:rPr>
          <w:rFonts w:hint="eastAsia" w:asciiTheme="minorEastAsia" w:hAnsiTheme="minorEastAsia" w:eastAsiaTheme="minorEastAsia" w:cstheme="minorEastAsia"/>
          <w:b/>
          <w:color w:val="auto"/>
          <w:sz w:val="36"/>
          <w:highlight w:val="none"/>
        </w:rPr>
        <w:t xml:space="preserve">第二章  </w:t>
      </w:r>
      <w:bookmarkEnd w:id="20"/>
      <w:r>
        <w:rPr>
          <w:rFonts w:hint="eastAsia" w:asciiTheme="minorEastAsia" w:hAnsiTheme="minorEastAsia" w:eastAsiaTheme="minorEastAsia" w:cstheme="minorEastAsia"/>
          <w:b/>
          <w:color w:val="auto"/>
          <w:sz w:val="36"/>
          <w:highlight w:val="none"/>
        </w:rPr>
        <w:t>采购需求</w:t>
      </w:r>
      <w:bookmarkEnd w:id="21"/>
    </w:p>
    <w:p>
      <w:pPr>
        <w:adjustRightInd w:val="0"/>
        <w:spacing w:line="340" w:lineRule="exact"/>
        <w:rPr>
          <w:rFonts w:asciiTheme="minorEastAsia" w:hAnsiTheme="minorEastAsia" w:eastAsiaTheme="minorEastAsia" w:cstheme="minorEastAsia"/>
          <w:b/>
          <w:color w:val="auto"/>
          <w:szCs w:val="21"/>
          <w:highlight w:val="none"/>
        </w:rPr>
      </w:pPr>
    </w:p>
    <w:p>
      <w:pPr>
        <w:adjustRightInd w:val="0"/>
        <w:spacing w:line="34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说明：</w:t>
      </w:r>
    </w:p>
    <w:p>
      <w:pPr>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 为落实政府采购政策需满足的要求（根据项目实际情况填写内容）</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（1）本招标文件所称中小企业必须符合《政府采购促进中小企业发展管理办法》（财库〔2020〕46号）的规定。</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2.“实质性要求”是指招标文件中已经指明不满足则投标无效的条款，或者不能负偏离的条款，或者采购需求中带“▲”的条款。</w:t>
      </w:r>
    </w:p>
    <w:p>
      <w:pPr>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3.不需要投标人对采购需求响应为具体数值的，此采购需求的数值后将以◆号标注。</w:t>
      </w:r>
    </w:p>
    <w:p>
      <w:pPr>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4.如投标人投标产品存在侵犯他人的知识产权或者专利成果行为的，应承担相应法律责任。</w:t>
      </w:r>
    </w:p>
    <w:p>
      <w:pPr>
        <w:pStyle w:val="2"/>
        <w:spacing w:line="360" w:lineRule="auto"/>
        <w:ind w:left="424" w:leftChars="202"/>
        <w:rPr>
          <w:rFonts w:asciiTheme="minorEastAsia" w:hAnsiTheme="minorEastAsia" w:eastAsiaTheme="minorEastAsia" w:cstheme="minorEastAsia"/>
          <w:color w:val="auto"/>
          <w:sz w:val="21"/>
          <w:szCs w:val="24"/>
          <w:highlight w:val="none"/>
        </w:rPr>
      </w:pPr>
      <w:r>
        <w:rPr>
          <w:rFonts w:hint="eastAsia" w:asciiTheme="minorEastAsia" w:hAnsiTheme="minorEastAsia" w:eastAsiaTheme="minorEastAsia" w:cstheme="minorEastAsia"/>
          <w:color w:val="auto"/>
          <w:sz w:val="21"/>
          <w:szCs w:val="24"/>
          <w:highlight w:val="none"/>
        </w:rPr>
        <w:t>5.中小企业划分标准所属行业名称（行业名称及划分见本章附件2）：</w:t>
      </w:r>
    </w:p>
    <w:p>
      <w:pPr>
        <w:pStyle w:val="2"/>
        <w:spacing w:line="360" w:lineRule="auto"/>
        <w:ind w:left="424" w:leftChars="202" w:firstLine="211" w:firstLineChars="100"/>
        <w:rPr>
          <w:rFonts w:asciiTheme="minorEastAsia" w:hAnsiTheme="minorEastAsia" w:eastAsiaTheme="minorEastAsia" w:cstheme="minorEastAsia"/>
          <w:b/>
          <w:bCs/>
          <w:color w:val="auto"/>
          <w:sz w:val="21"/>
          <w:szCs w:val="24"/>
          <w:highlight w:val="none"/>
        </w:rPr>
      </w:pPr>
      <w:r>
        <w:rPr>
          <w:rFonts w:hint="eastAsia" w:asciiTheme="minorEastAsia" w:hAnsiTheme="minorEastAsia" w:eastAsiaTheme="minorEastAsia" w:cstheme="minorEastAsia"/>
          <w:b/>
          <w:bCs/>
          <w:color w:val="auto"/>
          <w:sz w:val="21"/>
          <w:szCs w:val="24"/>
          <w:highlight w:val="none"/>
        </w:rPr>
        <w:t>本项目标的所属行业</w:t>
      </w:r>
      <w:r>
        <w:rPr>
          <w:rFonts w:hint="eastAsia" w:asciiTheme="minorEastAsia" w:hAnsiTheme="minorEastAsia" w:eastAsiaTheme="minorEastAsia" w:cstheme="minorEastAsia"/>
          <w:b/>
          <w:bCs/>
          <w:color w:val="auto"/>
          <w:sz w:val="21"/>
          <w:szCs w:val="24"/>
          <w:highlight w:val="none"/>
          <w:lang w:eastAsia="zh-CN"/>
        </w:rPr>
        <w:t>——</w:t>
      </w:r>
      <w:r>
        <w:rPr>
          <w:rFonts w:hint="eastAsia" w:asciiTheme="minorEastAsia" w:hAnsiTheme="minorEastAsia" w:eastAsiaTheme="minorEastAsia" w:cstheme="minorEastAsia"/>
          <w:b/>
          <w:bCs/>
          <w:color w:val="auto"/>
          <w:sz w:val="21"/>
          <w:szCs w:val="24"/>
          <w:highlight w:val="none"/>
        </w:rPr>
        <w:t>其他未列明行业。</w:t>
      </w:r>
    </w:p>
    <w:p>
      <w:pPr>
        <w:pStyle w:val="2"/>
        <w:rPr>
          <w:rFonts w:asciiTheme="minorEastAsia" w:hAnsiTheme="minorEastAsia" w:eastAsiaTheme="minorEastAsia" w:cstheme="minorEastAsia"/>
          <w:color w:val="auto"/>
          <w:highlight w:val="none"/>
        </w:rPr>
      </w:pPr>
    </w:p>
    <w:p>
      <w:pPr>
        <w:spacing w:line="428" w:lineRule="exact"/>
        <w:rPr>
          <w:rFonts w:asciiTheme="minorEastAsia" w:hAnsiTheme="minorEastAsia" w:eastAsiaTheme="minorEastAsia" w:cstheme="minorEastAsia"/>
          <w:color w:val="auto"/>
          <w:highlight w:val="none"/>
        </w:rPr>
      </w:pPr>
    </w:p>
    <w:tbl>
      <w:tblPr>
        <w:tblStyle w:val="23"/>
        <w:tblW w:w="101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402"/>
        <w:gridCol w:w="459"/>
        <w:gridCol w:w="553"/>
        <w:gridCol w:w="5288"/>
        <w:gridCol w:w="13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121" w:type="dxa"/>
            <w:gridSpan w:val="7"/>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服务需求一览表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90" w:type="dxa"/>
            <w:gridSpan w:val="2"/>
            <w:tcBorders>
              <w:top w:val="single" w:color="auto" w:sz="4" w:space="0"/>
              <w:left w:val="single" w:color="auto" w:sz="4" w:space="0"/>
              <w:bottom w:val="nil"/>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标段</w:t>
            </w:r>
          </w:p>
        </w:tc>
        <w:tc>
          <w:tcPr>
            <w:tcW w:w="9031" w:type="dxa"/>
            <w:gridSpan w:val="5"/>
            <w:tcBorders>
              <w:top w:val="single" w:color="auto" w:sz="4" w:space="0"/>
              <w:left w:val="single" w:color="auto" w:sz="4" w:space="0"/>
              <w:bottom w:val="nil"/>
              <w:right w:val="single" w:color="auto" w:sz="4" w:space="0"/>
            </w:tcBorders>
            <w:noWrap w:val="0"/>
            <w:vAlign w:val="center"/>
          </w:tcPr>
          <w:p>
            <w:pPr>
              <w:spacing w:line="360" w:lineRule="auto"/>
              <w:jc w:val="left"/>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无</w:t>
            </w:r>
            <w:r>
              <w:rPr>
                <w:rFonts w:hint="eastAsia" w:ascii="宋体" w:hAnsi="宋体" w:eastAsia="宋体" w:cs="宋体"/>
                <w:b/>
                <w:bCs/>
                <w:color w:val="auto"/>
                <w:sz w:val="21"/>
                <w:szCs w:val="21"/>
                <w:highlight w:val="none"/>
              </w:rPr>
              <w:t>分标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bottom w:val="single" w:color="auto" w:sz="4" w:space="0"/>
              <w:right w:val="single" w:color="auto" w:sz="4" w:space="0"/>
            </w:tcBorders>
            <w:noWrap w:val="0"/>
            <w:vAlign w:val="top"/>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标的的名称</w:t>
            </w:r>
          </w:p>
        </w:tc>
        <w:tc>
          <w:tcPr>
            <w:tcW w:w="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单位</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数量</w:t>
            </w:r>
          </w:p>
        </w:tc>
        <w:tc>
          <w:tcPr>
            <w:tcW w:w="5288"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服务参数</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中小企业划分标准所属行业名称（行业名称及划分见本章附件）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4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outlineLvl w:val="9"/>
              <w:rPr>
                <w:rFonts w:hint="eastAsia" w:ascii="宋体" w:hAnsi="宋体" w:eastAsia="宋体" w:cs="宋体"/>
                <w:color w:val="auto"/>
                <w:sz w:val="21"/>
                <w:szCs w:val="21"/>
                <w:highlight w:val="none"/>
              </w:rPr>
            </w:pPr>
          </w:p>
        </w:tc>
        <w:tc>
          <w:tcPr>
            <w:tcW w:w="54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40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eastAsia="zh-CN"/>
              </w:rPr>
              <w:t>2025年西乡塘区糖料蔗病虫害绿色防控项目</w:t>
            </w:r>
          </w:p>
        </w:tc>
        <w:tc>
          <w:tcPr>
            <w:tcW w:w="45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项</w:t>
            </w:r>
          </w:p>
        </w:tc>
        <w:tc>
          <w:tcPr>
            <w:tcW w:w="5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5288" w:type="dxa"/>
            <w:tcBorders>
              <w:top w:val="single" w:color="auto" w:sz="4" w:space="0"/>
              <w:left w:val="single" w:color="auto" w:sz="4" w:space="0"/>
              <w:bottom w:val="single" w:color="auto" w:sz="4" w:space="0"/>
              <w:right w:val="single" w:color="auto" w:sz="4" w:space="0"/>
            </w:tcBorders>
            <w:noWrap w:val="0"/>
            <w:vAlign w:val="top"/>
          </w:tcPr>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一、总体目标任务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围绕糖料蔗绿色高产高效目标，聚焦关键环节，集成推广绿色防控技术措施（包括但不限于生物防治、物理防治和科学用药、病虫害预测预报，推广应用螟黄赤眼蜂(米蛾卵)、生物农药、杀虫灯、诱捕器等绿色技术和物资），本次项目重点支持甘蔗螟害螟黄赤眼蜂(米蛾卵)生物防治技术以及甘蔗病虫害预测预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通过项目实施，在糖料蔗主产区集中力量集成推广一批绿色防控技术模式，着力提升病虫害专业化统防统治水平，力争项目区亩产比当地平均水平高5%以上，化学农药使用量减少30%以上，为保障国家食糖安全、促进蔗农持续增收提供有力支撑。</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w:t>
            </w:r>
            <w:r>
              <w:rPr>
                <w:rFonts w:hint="eastAsia" w:ascii="宋体" w:hAnsi="宋体" w:eastAsia="宋体" w:cs="宋体"/>
                <w:color w:val="auto"/>
                <w:kern w:val="2"/>
                <w:sz w:val="21"/>
                <w:szCs w:val="21"/>
                <w:highlight w:val="none"/>
                <w:lang w:val="en-US" w:eastAsia="zh-CN" w:bidi="ar-SA"/>
              </w:rPr>
              <w:t>二、项目实施内容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（一）甘蔗螟害螟黄赤眼蜂(米蛾卵)生物防治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 计划在西乡塘甘蔗种植区域开展不低于2万亩的甘蔗螟害螟黄赤眼蜂(米蛾卵)生物防治服务工作。</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防治技术要求：在2026年3-6月份于西乡塘辖区内实施释放螟黄赤眼蜂(米蛾卵)防治甘蔗螟虫危害防控技术至少5次以上，实施面积2万亩以上。根据虫情监测在第一代甘蔗螟虫螟蛾始见期、始盛期、高蜂期各采用植保无人机投放螟黄赤眼蜂(米蛾卵)1次，第二代甘蔗螟虫螟蛾发生期投放2次，若因天气等特殊原因导致防治效果不佳需及时进行补放。每次放蜂每亩均匀投放蜂球5个，每亩合计使用蜂球25个，每个蜂球含本地优势品系螟黄赤眼蜂(米蛾卵)不少于1000头，整个甘蔗生产季节每亩合计释放螟黄赤眼蜂(米蛾卵)不少于25000头。同时在2026年对释放螟黄赤眼蜂(米蛾卵)生物防治甘蔗螟虫示范蔗区及常规化学农药防治对照蔗区共同进行全面、专业的螟黄赤眼蜂(米蛾卵)防治效果和蔗区甘蔗生长情况田间调查，内容包括甘蔗苗期枯心率、中后期螟害节率、螟害株率;甘蔗收获前有效茎、断尾率、平均株高、茎径等</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2.防治目标效果：经过开展甘蔗螟害螟黄赤眼蜂(米蛾卵)生物防治技术，2026年放蜂治螟蔗区甘蔗平均亩产(理论)将较常规化学农药防治对照区增加5%-10%;平均螟害节率将较常规化学农药防治对照区下降5%-10%。</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（二）甘蔗病虫害预测预报</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计划在西乡塘甘蔗种植区域开展甘蔗病虫害预测预报，监测甘蔗病虫害覆盖面积不少于3万亩，在项目区科学的收集病虫害动态监测预测预报数据，推动绿色防控发展。</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1.预测预报技术要求：在西乡塘辖区内投放安装10套测报设备（主要是蔗螟诱捕器和螟虫计数设备），对西乡塘辖区内蔗区开展甘蔗病虫害预测预报。通过对覆盖区域进行监测，捕获螟虫数量信息，</w:t>
            </w:r>
            <w:r>
              <w:rPr>
                <w:rFonts w:hint="eastAsia" w:ascii="宋体" w:hAnsi="宋体" w:eastAsia="宋体" w:cs="宋体"/>
                <w:color w:val="auto"/>
                <w:kern w:val="2"/>
                <w:sz w:val="21"/>
                <w:szCs w:val="21"/>
                <w:highlight w:val="none"/>
                <w:lang w:val="en-US" w:eastAsia="zh-CN" w:bidi="ar-SA"/>
              </w:rPr>
              <w:t>再通过物联网传送数据及可视化处理数据</w:t>
            </w:r>
            <w:r>
              <w:rPr>
                <w:rFonts w:hint="eastAsia" w:ascii="宋体" w:hAnsi="宋体" w:eastAsia="宋体" w:cs="宋体"/>
                <w:color w:val="auto"/>
                <w:kern w:val="2"/>
                <w:sz w:val="21"/>
                <w:szCs w:val="21"/>
                <w:highlight w:val="none"/>
                <w:lang w:val="en-US" w:eastAsia="zh-CN" w:bidi="ar-SA"/>
              </w:rPr>
              <w:t>，每周汇总上报一次实时测报数据至农业农村局。</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2.预测预报目标效果：通过智能测报系统，实现对覆盖区的病虫害动态监测并形成准确的预测预报数据，以便对覆盖区域进行更科学的防控工作以及为制定防控方案提供基础数据参考。</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三、螟黄赤眼蜂主要性能及要求：</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1.螟黄赤眼蜂是甘蔗螟虫的卵寄生蜂，是甘蔗螟虫的天敌，其专一性强，具有主动寻找螟虫卵寄生的特点。</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2.要求定向采集、筛选、扩繁、纯化的本地优势品系。全程使用无人机进行释放。每亩每次投放5个蜂球（每个蜂球含蜂卡1张，赤眼蜂≥1000头/卡），整个生产季节投放5次。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3.产品须经过广西农业植保系统大面积试验示范应用。</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4.使用技术和操作要求及安全性符合广西地方标准。</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四、主要技术指标：</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1.蜂种：螟黄赤眼蜂，采用本地优势品系；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2.中间寄主：米蛾卵；</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3.寄生率：≥70%；</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4.羽化率：≥85%；</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5.弱蜂率：≤3% ；</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6.有效蜂量：≥1000头/卡；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7.蜂卡质地：具备防蚂蚁功能，纸质，可降解；</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8.供应量：≥ 100万张蜂卡/次；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9.时间：蜂卡从出厂到放蜂点≤6小时。</w:t>
            </w:r>
          </w:p>
        </w:tc>
        <w:tc>
          <w:tcPr>
            <w:tcW w:w="1329"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其他未列明行业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7" w:hRule="atLeast"/>
          <w:jc w:val="center"/>
        </w:trPr>
        <w:tc>
          <w:tcPr>
            <w:tcW w:w="1090" w:type="dxa"/>
            <w:gridSpan w:val="2"/>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outlineLvl w:val="9"/>
              <w:rPr>
                <w:rFonts w:hint="eastAsia" w:ascii="宋体" w:hAnsi="宋体" w:eastAsia="宋体" w:cs="宋体"/>
                <w:color w:val="auto"/>
                <w:sz w:val="21"/>
                <w:szCs w:val="21"/>
                <w:highlight w:val="none"/>
              </w:rPr>
            </w:pPr>
          </w:p>
          <w:p>
            <w:pPr>
              <w:spacing w:line="360" w:lineRule="auto"/>
              <w:jc w:val="center"/>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商务条款</w:t>
            </w:r>
          </w:p>
        </w:tc>
        <w:tc>
          <w:tcPr>
            <w:tcW w:w="9031" w:type="dxa"/>
            <w:gridSpan w:val="5"/>
            <w:tcBorders>
              <w:top w:val="single" w:color="auto" w:sz="4" w:space="0"/>
              <w:left w:val="single" w:color="auto" w:sz="4" w:space="0"/>
              <w:bottom w:val="single" w:color="auto" w:sz="4" w:space="0"/>
              <w:right w:val="single" w:color="auto" w:sz="4" w:space="0"/>
            </w:tcBorders>
            <w:noWrap w:val="0"/>
            <w:vAlign w:val="top"/>
          </w:tcPr>
          <w:p>
            <w:pPr>
              <w:shd w:val="clear"/>
              <w:spacing w:before="156" w:beforeLines="50"/>
              <w:ind w:firstLine="420"/>
              <w:rPr>
                <w:rFonts w:hint="eastAsia" w:ascii="宋体" w:hAnsi="宋体" w:eastAsia="宋体" w:cs="宋体"/>
                <w:color w:val="auto"/>
                <w:sz w:val="21"/>
                <w:szCs w:val="21"/>
                <w:highlight w:val="none"/>
                <w:lang w:eastAsia="zh-CN"/>
              </w:rPr>
            </w:pPr>
            <w:r>
              <w:rPr>
                <w:rFonts w:hint="eastAsia" w:ascii="宋体" w:hAnsi="宋体" w:cs="宋体"/>
                <w:b/>
                <w:bCs/>
                <w:color w:val="auto"/>
                <w:szCs w:val="21"/>
                <w:highlight w:val="none"/>
              </w:rPr>
              <w:t>▲</w:t>
            </w:r>
            <w:r>
              <w:rPr>
                <w:rFonts w:hint="eastAsia" w:ascii="宋体" w:hAnsi="宋体" w:eastAsia="宋体" w:cs="宋体"/>
                <w:b/>
                <w:bCs/>
                <w:color w:val="auto"/>
                <w:sz w:val="21"/>
                <w:szCs w:val="21"/>
                <w:highlight w:val="none"/>
                <w:lang w:val="en-US" w:eastAsia="zh-CN"/>
              </w:rPr>
              <w:t>1.</w:t>
            </w:r>
            <w:r>
              <w:rPr>
                <w:rFonts w:hint="eastAsia" w:ascii="宋体" w:hAnsi="宋体" w:eastAsia="宋体" w:cs="宋体"/>
                <w:b/>
                <w:bCs/>
                <w:color w:val="auto"/>
                <w:sz w:val="21"/>
                <w:szCs w:val="21"/>
                <w:highlight w:val="none"/>
                <w:lang w:eastAsia="zh-CN"/>
              </w:rPr>
              <w:t>合同签订期：</w:t>
            </w:r>
            <w:r>
              <w:rPr>
                <w:rFonts w:hint="eastAsia" w:ascii="宋体" w:hAnsi="宋体" w:eastAsia="宋体" w:cs="宋体"/>
                <w:color w:val="auto"/>
                <w:sz w:val="21"/>
                <w:szCs w:val="21"/>
                <w:highlight w:val="none"/>
                <w:lang w:eastAsia="zh-CN"/>
              </w:rPr>
              <w:t>自</w:t>
            </w:r>
            <w:r>
              <w:rPr>
                <w:rFonts w:hint="eastAsia" w:ascii="宋体" w:hAnsi="宋体" w:cs="宋体"/>
                <w:color w:val="auto"/>
                <w:sz w:val="21"/>
                <w:szCs w:val="21"/>
                <w:highlight w:val="none"/>
                <w:lang w:val="en-US" w:eastAsia="zh-CN"/>
              </w:rPr>
              <w:t>中标</w:t>
            </w:r>
            <w:r>
              <w:rPr>
                <w:rFonts w:hint="eastAsia" w:ascii="宋体" w:hAnsi="宋体" w:eastAsia="宋体" w:cs="宋体"/>
                <w:color w:val="auto"/>
                <w:sz w:val="21"/>
                <w:szCs w:val="21"/>
                <w:highlight w:val="none"/>
                <w:lang w:eastAsia="zh-CN"/>
              </w:rPr>
              <w:t>通知书发出之日起</w:t>
            </w:r>
            <w:r>
              <w:rPr>
                <w:rFonts w:hint="eastAsia" w:ascii="宋体" w:hAnsi="宋体" w:eastAsia="宋体" w:cs="宋体"/>
                <w:color w:val="auto"/>
                <w:sz w:val="21"/>
                <w:szCs w:val="21"/>
                <w:highlight w:val="none"/>
                <w:u w:val="none"/>
                <w:lang w:eastAsia="zh-CN"/>
              </w:rPr>
              <w:t>25</w:t>
            </w:r>
            <w:r>
              <w:rPr>
                <w:rFonts w:hint="eastAsia" w:ascii="宋体" w:hAnsi="宋体" w:eastAsia="宋体" w:cs="宋体"/>
                <w:color w:val="auto"/>
                <w:sz w:val="21"/>
                <w:szCs w:val="21"/>
                <w:highlight w:val="none"/>
                <w:lang w:eastAsia="zh-CN"/>
              </w:rPr>
              <w:t>日内。</w:t>
            </w:r>
          </w:p>
          <w:p>
            <w:pPr>
              <w:shd w:val="clear"/>
              <w:spacing w:before="156" w:beforeLines="50"/>
              <w:ind w:firstLine="422" w:firstLineChars="200"/>
              <w:rPr>
                <w:rFonts w:hint="eastAsia" w:ascii="宋体" w:hAnsi="宋体" w:eastAsia="宋体" w:cs="宋体"/>
                <w:color w:val="auto"/>
                <w:sz w:val="21"/>
                <w:szCs w:val="21"/>
                <w:highlight w:val="none"/>
                <w:lang w:val="en-US" w:eastAsia="zh-CN" w:bidi="ar"/>
              </w:rPr>
            </w:pPr>
            <w:r>
              <w:rPr>
                <w:rFonts w:hint="eastAsia" w:ascii="宋体" w:hAnsi="宋体" w:cs="宋体"/>
                <w:b/>
                <w:bCs/>
                <w:color w:val="auto"/>
                <w:szCs w:val="21"/>
                <w:highlight w:val="none"/>
              </w:rPr>
              <w:t>▲</w:t>
            </w:r>
            <w:r>
              <w:rPr>
                <w:rFonts w:hint="eastAsia" w:ascii="宋体" w:hAnsi="宋体" w:eastAsia="宋体" w:cs="宋体"/>
                <w:b/>
                <w:bCs/>
                <w:color w:val="auto"/>
                <w:sz w:val="21"/>
                <w:szCs w:val="21"/>
                <w:highlight w:val="none"/>
                <w:lang w:val="en-US" w:eastAsia="zh-CN"/>
              </w:rPr>
              <w:t>2.</w:t>
            </w:r>
            <w:r>
              <w:rPr>
                <w:rFonts w:hint="eastAsia" w:ascii="宋体" w:hAnsi="宋体" w:eastAsia="宋体" w:cs="宋体"/>
                <w:b/>
                <w:bCs/>
                <w:color w:val="auto"/>
                <w:sz w:val="21"/>
                <w:szCs w:val="21"/>
                <w:highlight w:val="none"/>
                <w:lang w:eastAsia="zh-CN"/>
              </w:rPr>
              <w:t>服务期限：</w:t>
            </w:r>
            <w:r>
              <w:rPr>
                <w:rFonts w:hint="eastAsia" w:ascii="宋体" w:hAnsi="宋体" w:cs="宋体"/>
                <w:color w:val="auto"/>
                <w:sz w:val="21"/>
                <w:szCs w:val="21"/>
                <w:highlight w:val="none"/>
                <w:lang w:val="en-US" w:eastAsia="zh-CN" w:bidi="ar"/>
              </w:rPr>
              <w:t>2026年6月30日前完成本项目并通过验收；</w:t>
            </w:r>
          </w:p>
          <w:p>
            <w:pPr>
              <w:shd w:val="clear"/>
              <w:spacing w:before="156" w:beforeLines="50"/>
              <w:ind w:firstLine="420"/>
              <w:rPr>
                <w:rFonts w:hint="default" w:ascii="宋体" w:hAnsi="宋体" w:eastAsia="宋体" w:cs="宋体"/>
                <w:b/>
                <w:bCs/>
                <w:color w:val="auto"/>
                <w:sz w:val="21"/>
                <w:szCs w:val="21"/>
                <w:highlight w:val="none"/>
                <w:lang w:val="en-US" w:eastAsia="zh-CN"/>
              </w:rPr>
            </w:pPr>
            <w:r>
              <w:rPr>
                <w:rFonts w:hint="eastAsia" w:ascii="宋体" w:hAnsi="宋体" w:cs="宋体"/>
                <w:b/>
                <w:bCs/>
                <w:color w:val="auto"/>
                <w:szCs w:val="21"/>
                <w:highlight w:val="none"/>
              </w:rPr>
              <w:t>▲</w:t>
            </w:r>
            <w:r>
              <w:rPr>
                <w:rFonts w:hint="eastAsia" w:ascii="宋体" w:hAnsi="宋体" w:eastAsia="宋体" w:cs="宋体"/>
                <w:b/>
                <w:bCs/>
                <w:color w:val="auto"/>
                <w:sz w:val="21"/>
                <w:szCs w:val="21"/>
                <w:highlight w:val="none"/>
                <w:lang w:val="en-US" w:eastAsia="zh-CN"/>
              </w:rPr>
              <w:t>3.</w:t>
            </w:r>
            <w:r>
              <w:rPr>
                <w:rFonts w:hint="eastAsia" w:ascii="宋体" w:hAnsi="宋体" w:cs="宋体"/>
                <w:b/>
                <w:bCs/>
                <w:color w:val="auto"/>
                <w:sz w:val="21"/>
                <w:szCs w:val="21"/>
                <w:highlight w:val="none"/>
                <w:lang w:val="en-US" w:eastAsia="zh-CN"/>
              </w:rPr>
              <w:t>服务地点</w:t>
            </w:r>
            <w:r>
              <w:rPr>
                <w:rFonts w:hint="eastAsia" w:ascii="宋体" w:hAnsi="宋体" w:eastAsia="宋体" w:cs="宋体"/>
                <w:b/>
                <w:bCs/>
                <w:color w:val="auto"/>
                <w:sz w:val="21"/>
                <w:szCs w:val="21"/>
                <w:highlight w:val="none"/>
                <w:lang w:eastAsia="zh-CN"/>
              </w:rPr>
              <w:t>：</w:t>
            </w:r>
            <w:r>
              <w:rPr>
                <w:rFonts w:hint="eastAsia" w:ascii="宋体" w:hAnsi="宋体" w:cs="宋体"/>
                <w:b/>
                <w:bCs/>
                <w:color w:val="auto"/>
                <w:sz w:val="21"/>
                <w:szCs w:val="21"/>
                <w:highlight w:val="none"/>
                <w:lang w:val="en-US" w:eastAsia="zh-CN"/>
              </w:rPr>
              <w:t>采购人指定地点。</w:t>
            </w:r>
          </w:p>
          <w:p>
            <w:pPr>
              <w:shd w:val="clear"/>
              <w:spacing w:before="156" w:beforeLines="50"/>
              <w:ind w:firstLine="420"/>
              <w:rPr>
                <w:rFonts w:hint="eastAsia" w:ascii="宋体" w:hAnsi="宋体" w:eastAsia="宋体" w:cs="宋体"/>
                <w:color w:val="auto"/>
                <w:sz w:val="21"/>
                <w:szCs w:val="21"/>
                <w:highlight w:val="none"/>
                <w:lang w:eastAsia="zh-CN"/>
              </w:rPr>
            </w:pPr>
            <w:r>
              <w:rPr>
                <w:rFonts w:hint="eastAsia" w:ascii="宋体" w:hAnsi="宋体" w:cs="宋体"/>
                <w:b/>
                <w:bCs/>
                <w:color w:val="auto"/>
                <w:szCs w:val="21"/>
                <w:highlight w:val="none"/>
              </w:rPr>
              <w:t>▲</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lang w:eastAsia="zh-CN"/>
              </w:rPr>
              <w:t>验收标准</w:t>
            </w:r>
          </w:p>
          <w:p>
            <w:pPr>
              <w:spacing w:before="156" w:beforeLines="50"/>
              <w:ind w:firstLine="42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（1）项目验收流程</w:t>
            </w:r>
          </w:p>
          <w:p>
            <w:pPr>
              <w:spacing w:before="156" w:beforeLines="50"/>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由</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根据实施内容完成全部项目建设后，提出验收申请，提交申请的同时</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需整理整套项目材料提交农业农村局，由城区农业农村局联合城区财政局、发改局、专家以及种植主体组成的验收组，根据项目实施内容，结合项目绩效目标要求（详见附件），对项目实施情况、项目材料进行验收，并出具验收报告等相关验收材料。</w:t>
            </w:r>
          </w:p>
          <w:p>
            <w:pPr>
              <w:spacing w:before="156" w:beforeLines="50"/>
              <w:ind w:firstLine="42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（2）验收材料要求</w:t>
            </w:r>
          </w:p>
          <w:p>
            <w:pPr>
              <w:spacing w:before="156" w:beforeLines="50"/>
              <w:ind w:firstLine="42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项目验收前，项目实施相关材料需整理成册，包含但不限于以下材料：</w:t>
            </w:r>
          </w:p>
          <w:p>
            <w:pPr>
              <w:pageBreakBefore w:val="0"/>
              <w:widowControl/>
              <w:kinsoku/>
              <w:wordWrap/>
              <w:overflowPunct/>
              <w:topLinePunct w:val="0"/>
              <w:autoSpaceDE/>
              <w:autoSpaceDN/>
              <w:bidi w:val="0"/>
              <w:adjustRightInd/>
              <w:snapToGrid/>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1.由</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提出的验收申请；</w:t>
            </w:r>
          </w:p>
          <w:p>
            <w:pPr>
              <w:pageBreakBefore w:val="0"/>
              <w:widowControl/>
              <w:kinsoku/>
              <w:wordWrap/>
              <w:overflowPunct/>
              <w:topLinePunct w:val="0"/>
              <w:autoSpaceDE/>
              <w:autoSpaceDN/>
              <w:bidi w:val="0"/>
              <w:adjustRightInd/>
              <w:snapToGrid/>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2.防治技术服务合作协议；</w:t>
            </w:r>
          </w:p>
          <w:p>
            <w:pPr>
              <w:pageBreakBefore w:val="0"/>
              <w:widowControl/>
              <w:kinsoku/>
              <w:wordWrap/>
              <w:overflowPunct/>
              <w:topLinePunct w:val="0"/>
              <w:autoSpaceDE/>
              <w:autoSpaceDN/>
              <w:bidi w:val="0"/>
              <w:adjustRightInd/>
              <w:snapToGrid/>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3.防治前后调查原始数据记录、防治效果联合调查报告（需要第三方技术服务公司、验收组成员签字确认）；</w:t>
            </w:r>
          </w:p>
          <w:p>
            <w:pPr>
              <w:pageBreakBefore w:val="0"/>
              <w:widowControl/>
              <w:kinsoku/>
              <w:wordWrap/>
              <w:overflowPunct/>
              <w:topLinePunct w:val="0"/>
              <w:autoSpaceDE/>
              <w:autoSpaceDN/>
              <w:bidi w:val="0"/>
              <w:adjustRightInd/>
              <w:snapToGrid/>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4.枯心苗联合调查报告（需要</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、验收组成员签字确认）；</w:t>
            </w:r>
          </w:p>
          <w:p>
            <w:pPr>
              <w:pageBreakBefore w:val="0"/>
              <w:widowControl/>
              <w:kinsoku/>
              <w:wordWrap/>
              <w:overflowPunct/>
              <w:topLinePunct w:val="0"/>
              <w:autoSpaceDE/>
              <w:autoSpaceDN/>
              <w:bidi w:val="0"/>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5.防治技术服务发票；</w:t>
            </w:r>
          </w:p>
          <w:p>
            <w:pPr>
              <w:pageBreakBefore w:val="0"/>
              <w:widowControl/>
              <w:kinsoku/>
              <w:wordWrap/>
              <w:overflowPunct/>
              <w:topLinePunct w:val="0"/>
              <w:autoSpaceDE/>
              <w:autoSpaceDN/>
              <w:bidi w:val="0"/>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6.防控前、防控中、防控后照片；</w:t>
            </w:r>
          </w:p>
          <w:p>
            <w:pPr>
              <w:pageBreakBefore w:val="0"/>
              <w:widowControl/>
              <w:kinsoku/>
              <w:wordWrap/>
              <w:overflowPunct/>
              <w:topLinePunct w:val="0"/>
              <w:autoSpaceDE/>
              <w:autoSpaceDN/>
              <w:bidi w:val="0"/>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7.防控面积确认书；</w:t>
            </w:r>
          </w:p>
          <w:p>
            <w:pPr>
              <w:pageBreakBefore w:val="0"/>
              <w:widowControl/>
              <w:kinsoku/>
              <w:wordWrap/>
              <w:overflowPunct/>
              <w:topLinePunct w:val="0"/>
              <w:autoSpaceDE/>
              <w:autoSpaceDN/>
              <w:bidi w:val="0"/>
              <w:spacing w:before="156" w:beforeLines="50" w:line="24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8.防控物资应用签收表（包括但不限于螟黄赤眼蜂、生物农药、杀虫灯、诱捕器等绿色技术和物资，由种植主体负责签收确认）；</w:t>
            </w:r>
          </w:p>
          <w:p>
            <w:pPr>
              <w:pageBreakBefore w:val="0"/>
              <w:widowControl/>
              <w:kinsoku/>
              <w:wordWrap/>
              <w:overflowPunct/>
              <w:topLinePunct w:val="0"/>
              <w:autoSpaceDE/>
              <w:autoSpaceDN/>
              <w:bidi w:val="0"/>
              <w:spacing w:before="156" w:beforeLines="50" w:line="24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9.病虫害预测预报服务的预测预报物资采购清单、预测预报设备安装前后照片以及安装点详细地址清单、预测预报数据及预测预报报告等材料；</w:t>
            </w:r>
          </w:p>
          <w:p>
            <w:pPr>
              <w:spacing w:before="156" w:beforeLines="50"/>
              <w:ind w:firstLine="42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10.编制1套可操作性强的适合西乡塘蔗区的绿色防控技术方案。</w:t>
            </w:r>
          </w:p>
          <w:p>
            <w:pPr>
              <w:pageBreakBefore w:val="0"/>
              <w:widowControl/>
              <w:numPr>
                <w:ilvl w:val="-1"/>
                <w:numId w:val="0"/>
              </w:numPr>
              <w:kinsoku/>
              <w:wordWrap/>
              <w:overflowPunct/>
              <w:topLinePunct w:val="0"/>
              <w:autoSpaceDE/>
              <w:autoSpaceDN/>
              <w:bidi w:val="0"/>
              <w:spacing w:before="156" w:beforeLines="50" w:line="240" w:lineRule="auto"/>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（3）验收结果</w:t>
            </w:r>
          </w:p>
          <w:p>
            <w:pPr>
              <w:shd w:val="clear"/>
              <w:spacing w:before="156" w:beforeLines="50"/>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kern w:val="2"/>
                <w:sz w:val="21"/>
                <w:szCs w:val="21"/>
                <w:highlight w:val="none"/>
                <w:lang w:val="en-US" w:eastAsia="zh-CN" w:bidi="ar-SA"/>
              </w:rPr>
              <w:t>经专家组验收合格后，根据合同要求按程序合法合规拨付相关项目款项给予</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。如若经专家组验收不合格，</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需按项目业主要求完成相关整改，并由项目业主再次组织验收，直至验收合格，整改以及再次验收产生的所有费用均由</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负担，项目业主仅负责在验收合格后根据合同要求按程序合法合规拨付中标所涉及的金额给与</w:t>
            </w:r>
            <w:r>
              <w:rPr>
                <w:rFonts w:hint="eastAsia" w:ascii="宋体" w:hAnsi="宋体" w:cs="宋体"/>
                <w:color w:val="auto"/>
                <w:kern w:val="2"/>
                <w:sz w:val="21"/>
                <w:szCs w:val="21"/>
                <w:highlight w:val="none"/>
                <w:lang w:val="en-US" w:eastAsia="zh-CN" w:bidi="ar-SA"/>
              </w:rPr>
              <w:t>成交供应商</w:t>
            </w:r>
            <w:r>
              <w:rPr>
                <w:rFonts w:hint="eastAsia" w:ascii="宋体" w:hAnsi="宋体" w:eastAsia="宋体" w:cs="宋体"/>
                <w:color w:val="auto"/>
                <w:kern w:val="2"/>
                <w:sz w:val="21"/>
                <w:szCs w:val="21"/>
                <w:highlight w:val="none"/>
                <w:lang w:val="en-US" w:eastAsia="zh-CN" w:bidi="ar-SA"/>
              </w:rPr>
              <w:t>（如有结算审计则以结算审计的金额为准）</w:t>
            </w:r>
          </w:p>
          <w:p>
            <w:pPr>
              <w:shd w:val="clear"/>
              <w:spacing w:before="156" w:beforeLines="50"/>
              <w:ind w:firstLine="422" w:firstLineChars="200"/>
              <w:rPr>
                <w:rFonts w:hint="eastAsia" w:ascii="宋体" w:hAnsi="宋体" w:eastAsia="宋体" w:cs="宋体"/>
                <w:b/>
                <w:bCs w:val="0"/>
                <w:color w:val="auto"/>
                <w:sz w:val="21"/>
                <w:szCs w:val="21"/>
                <w:highlight w:val="none"/>
                <w:lang w:eastAsia="zh-CN"/>
              </w:rPr>
            </w:pPr>
            <w:r>
              <w:rPr>
                <w:rFonts w:hint="eastAsia" w:ascii="宋体" w:hAnsi="宋体" w:cs="宋体"/>
                <w:b/>
                <w:bCs/>
                <w:color w:val="auto"/>
                <w:szCs w:val="21"/>
                <w:highlight w:val="none"/>
              </w:rPr>
              <w:t>▲</w:t>
            </w:r>
            <w:r>
              <w:rPr>
                <w:rFonts w:hint="eastAsia" w:ascii="宋体" w:hAnsi="宋体" w:eastAsia="宋体" w:cs="宋体"/>
                <w:b/>
                <w:bCs w:val="0"/>
                <w:color w:val="auto"/>
                <w:spacing w:val="-1"/>
                <w:sz w:val="21"/>
                <w:szCs w:val="21"/>
                <w:highlight w:val="none"/>
                <w:lang w:eastAsia="zh-CN"/>
              </w:rPr>
              <w:t xml:space="preserve"> </w:t>
            </w:r>
            <w:r>
              <w:rPr>
                <w:rFonts w:hint="eastAsia" w:ascii="宋体" w:hAnsi="宋体" w:eastAsia="宋体" w:cs="宋体"/>
                <w:b/>
                <w:bCs w:val="0"/>
                <w:color w:val="auto"/>
                <w:sz w:val="21"/>
                <w:szCs w:val="21"/>
                <w:highlight w:val="none"/>
                <w:lang w:val="en-US" w:eastAsia="zh-CN"/>
              </w:rPr>
              <w:t>5.</w:t>
            </w:r>
            <w:r>
              <w:rPr>
                <w:rFonts w:hint="eastAsia" w:ascii="宋体" w:hAnsi="宋体" w:eastAsia="宋体" w:cs="宋体"/>
                <w:b/>
                <w:bCs w:val="0"/>
                <w:color w:val="auto"/>
                <w:sz w:val="21"/>
                <w:szCs w:val="21"/>
                <w:highlight w:val="none"/>
                <w:lang w:eastAsia="zh-CN"/>
              </w:rPr>
              <w:t>售后服务要求：</w:t>
            </w:r>
          </w:p>
          <w:p>
            <w:pPr>
              <w:shd w:val="clear"/>
              <w:spacing w:before="156" w:beforeLines="50"/>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）成交供应商应严格按照响应文件要求做好项目售后服务，直至项目整体验收完毕为止，由此产生的一切费用由成交供应商负责。</w:t>
            </w:r>
          </w:p>
          <w:p>
            <w:pPr>
              <w:shd w:val="clear"/>
              <w:spacing w:before="156" w:beforeLines="50"/>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）响应时间：接到采购人处理问题通知后</w:t>
            </w:r>
            <w:r>
              <w:rPr>
                <w:rFonts w:hint="eastAsia" w:ascii="宋体" w:hAnsi="宋体" w:eastAsia="宋体" w:cs="宋体"/>
                <w:color w:val="auto"/>
                <w:sz w:val="21"/>
                <w:szCs w:val="21"/>
                <w:highlight w:val="none"/>
                <w:u w:val="none"/>
                <w:lang w:eastAsia="zh-CN"/>
              </w:rPr>
              <w:t>24</w:t>
            </w:r>
            <w:r>
              <w:rPr>
                <w:rFonts w:hint="eastAsia" w:ascii="宋体" w:hAnsi="宋体" w:eastAsia="宋体" w:cs="宋体"/>
                <w:color w:val="auto"/>
                <w:sz w:val="21"/>
                <w:szCs w:val="21"/>
                <w:highlight w:val="none"/>
                <w:lang w:eastAsia="zh-CN"/>
              </w:rPr>
              <w:t>小时内到达采购人指定现场。</w:t>
            </w:r>
          </w:p>
          <w:p>
            <w:pPr>
              <w:shd w:val="clear"/>
              <w:spacing w:before="156" w:beforeLines="50"/>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）根据工作对接会、协调会、验收等意见相应修改完善服务成果。</w:t>
            </w:r>
          </w:p>
          <w:p>
            <w:pPr>
              <w:shd w:val="clear"/>
              <w:spacing w:before="156" w:beforeLines="50"/>
              <w:ind w:firstLine="420"/>
              <w:rPr>
                <w:rFonts w:hint="eastAsia" w:ascii="宋体" w:hAnsi="宋体" w:eastAsia="宋体" w:cs="宋体"/>
                <w:b/>
                <w:bCs/>
                <w:color w:val="auto"/>
                <w:sz w:val="21"/>
                <w:szCs w:val="21"/>
                <w:highlight w:val="none"/>
                <w:lang w:eastAsia="zh-CN"/>
              </w:rPr>
            </w:pPr>
            <w:r>
              <w:rPr>
                <w:rFonts w:hint="eastAsia" w:ascii="宋体" w:hAnsi="宋体" w:cs="宋体"/>
                <w:b/>
                <w:bCs/>
                <w:color w:val="auto"/>
                <w:szCs w:val="21"/>
                <w:highlight w:val="none"/>
              </w:rPr>
              <w:t>▲</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lang w:eastAsia="zh-CN"/>
              </w:rPr>
              <w:t>报价要求：</w:t>
            </w:r>
          </w:p>
          <w:p>
            <w:pPr>
              <w:shd w:val="clear"/>
              <w:spacing w:before="156" w:beforeLines="5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）本项目采用</w:t>
            </w:r>
            <w:r>
              <w:rPr>
                <w:rFonts w:hint="eastAsia" w:ascii="宋体" w:hAnsi="宋体" w:cs="宋体"/>
                <w:color w:val="auto"/>
                <w:sz w:val="21"/>
                <w:szCs w:val="21"/>
                <w:highlight w:val="none"/>
                <w:lang w:val="en-US" w:eastAsia="zh-CN"/>
              </w:rPr>
              <w:t>总价</w:t>
            </w:r>
            <w:r>
              <w:rPr>
                <w:rFonts w:hint="eastAsia" w:ascii="宋体" w:hAnsi="宋体" w:eastAsia="宋体" w:cs="宋体"/>
                <w:color w:val="auto"/>
                <w:sz w:val="21"/>
                <w:szCs w:val="21"/>
                <w:highlight w:val="none"/>
                <w:lang w:eastAsia="zh-CN"/>
              </w:rPr>
              <w:t>报价。</w:t>
            </w:r>
          </w:p>
          <w:p>
            <w:pPr>
              <w:shd w:val="clear"/>
              <w:spacing w:before="156" w:beforeLines="50"/>
              <w:rPr>
                <w:rFonts w:hint="eastAsia" w:ascii="宋体" w:hAnsi="宋体" w:eastAsia="宋体" w:cs="宋体"/>
                <w:color w:val="auto"/>
                <w:sz w:val="21"/>
                <w:szCs w:val="21"/>
                <w:highlight w:val="none"/>
                <w:u w:val="singl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）报价必须含以下部分，包括：①服务的价格；②必要的保险费用和各项税金；③其他：如服务团队人员工资、社保、出差、工作经费、食宿、福利、安全责任等均由供应商负责。</w:t>
            </w:r>
          </w:p>
          <w:p>
            <w:pPr>
              <w:shd w:val="clear"/>
              <w:spacing w:before="156" w:beforeLines="50"/>
              <w:ind w:firstLine="420"/>
              <w:rPr>
                <w:rFonts w:hint="eastAsia" w:ascii="宋体" w:hAnsi="宋体" w:eastAsia="宋体" w:cs="宋体"/>
                <w:b/>
                <w:bCs/>
                <w:color w:val="auto"/>
                <w:sz w:val="21"/>
                <w:szCs w:val="21"/>
                <w:highlight w:val="none"/>
                <w:lang w:eastAsia="zh-CN"/>
              </w:rPr>
            </w:pPr>
            <w:r>
              <w:rPr>
                <w:rFonts w:hint="eastAsia" w:ascii="宋体" w:hAnsi="宋体" w:cs="宋体"/>
                <w:b/>
                <w:bCs/>
                <w:color w:val="auto"/>
                <w:szCs w:val="21"/>
                <w:highlight w:val="none"/>
              </w:rPr>
              <w:t>▲</w:t>
            </w:r>
            <w:r>
              <w:rPr>
                <w:rFonts w:hint="eastAsia" w:ascii="宋体" w:hAnsi="宋体" w:cs="宋体"/>
                <w:b/>
                <w:bCs/>
                <w:color w:val="auto"/>
                <w:sz w:val="21"/>
                <w:szCs w:val="21"/>
                <w:highlight w:val="none"/>
                <w:lang w:val="en-US" w:eastAsia="zh-CN"/>
              </w:rPr>
              <w:t>7</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eastAsia="zh-CN"/>
              </w:rPr>
              <w:t>付款方式：</w:t>
            </w:r>
          </w:p>
          <w:p>
            <w:pPr>
              <w:keepNext w:val="0"/>
              <w:keepLines w:val="0"/>
              <w:pageBreakBefore w:val="0"/>
              <w:widowControl/>
              <w:shd w:val="clear"/>
              <w:kinsoku/>
              <w:wordWrap/>
              <w:overflowPunct/>
              <w:topLinePunct w:val="0"/>
              <w:autoSpaceDE/>
              <w:autoSpaceDN/>
              <w:bidi w:val="0"/>
              <w:adjustRightInd/>
              <w:snapToGrid/>
              <w:spacing w:before="156" w:beforeLines="50" w:line="360" w:lineRule="auto"/>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bidi="ar"/>
              </w:rPr>
              <w:t>（</w:t>
            </w:r>
            <w:r>
              <w:rPr>
                <w:rFonts w:hint="eastAsia" w:ascii="宋体" w:hAnsi="宋体" w:eastAsia="宋体" w:cs="宋体"/>
                <w:color w:val="auto"/>
                <w:sz w:val="21"/>
                <w:szCs w:val="21"/>
                <w:highlight w:val="none"/>
                <w:lang w:val="en-US" w:eastAsia="zh-CN" w:bidi="ar"/>
              </w:rPr>
              <w:t>1</w:t>
            </w:r>
            <w:r>
              <w:rPr>
                <w:rFonts w:hint="eastAsia" w:ascii="宋体" w:hAnsi="宋体" w:eastAsia="宋体" w:cs="宋体"/>
                <w:color w:val="auto"/>
                <w:sz w:val="21"/>
                <w:szCs w:val="21"/>
                <w:highlight w:val="none"/>
                <w:lang w:eastAsia="zh-CN" w:bidi="ar"/>
              </w:rPr>
              <w:t>）本项目无预付款，</w:t>
            </w:r>
            <w:r>
              <w:rPr>
                <w:rFonts w:hint="eastAsia" w:ascii="宋体" w:hAnsi="宋体" w:cs="宋体"/>
                <w:color w:val="auto"/>
                <w:sz w:val="21"/>
                <w:szCs w:val="21"/>
                <w:highlight w:val="none"/>
                <w:lang w:eastAsia="zh-CN" w:bidi="ar"/>
              </w:rPr>
              <w:t>中标人</w:t>
            </w:r>
            <w:r>
              <w:rPr>
                <w:rFonts w:hint="eastAsia" w:ascii="宋体" w:hAnsi="宋体" w:eastAsia="宋体" w:cs="宋体"/>
                <w:color w:val="auto"/>
                <w:sz w:val="21"/>
                <w:szCs w:val="21"/>
                <w:highlight w:val="none"/>
                <w:lang w:eastAsia="zh-CN" w:bidi="ar"/>
              </w:rPr>
              <w:t>提交的服务经采购人书面验收合格后，</w:t>
            </w:r>
            <w:r>
              <w:rPr>
                <w:rFonts w:hint="eastAsia" w:ascii="宋体" w:hAnsi="宋体" w:cs="宋体"/>
                <w:color w:val="auto"/>
                <w:sz w:val="21"/>
                <w:szCs w:val="21"/>
                <w:highlight w:val="none"/>
                <w:lang w:val="en-US" w:eastAsia="zh-CN" w:bidi="ar"/>
              </w:rPr>
              <w:t>2026年12月31日前一次性支付完本项目所有款项</w:t>
            </w:r>
            <w:r>
              <w:rPr>
                <w:rFonts w:hint="eastAsia" w:ascii="宋体" w:hAnsi="宋体" w:eastAsia="宋体" w:cs="宋体"/>
                <w:color w:val="auto"/>
                <w:sz w:val="21"/>
                <w:szCs w:val="21"/>
                <w:highlight w:val="none"/>
                <w:lang w:val="en-US" w:eastAsia="zh-CN" w:bidi="ar"/>
              </w:rPr>
              <w:t>。</w:t>
            </w:r>
          </w:p>
        </w:tc>
      </w:tr>
    </w:tbl>
    <w:p>
      <w:pPr>
        <w:spacing w:line="428" w:lineRule="exact"/>
        <w:rPr>
          <w:rFonts w:asciiTheme="minorEastAsia" w:hAnsiTheme="minorEastAsia" w:eastAsiaTheme="minorEastAsia" w:cstheme="minorEastAsia"/>
          <w:color w:val="auto"/>
          <w:highlight w:val="none"/>
        </w:rPr>
      </w:pPr>
    </w:p>
    <w:p>
      <w:pPr>
        <w:spacing w:line="428"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br w:type="page"/>
      </w:r>
    </w:p>
    <w:p>
      <w:pPr>
        <w:spacing w:line="428" w:lineRule="exac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t xml:space="preserve"> </w:t>
      </w:r>
      <w:r>
        <w:rPr>
          <w:rFonts w:hint="eastAsia" w:asciiTheme="minorEastAsia" w:hAnsiTheme="minorEastAsia" w:eastAsiaTheme="minorEastAsia" w:cstheme="minorEastAsia"/>
          <w:color w:val="auto"/>
          <w:sz w:val="32"/>
          <w:szCs w:val="32"/>
          <w:highlight w:val="none"/>
        </w:rPr>
        <w:t>附件1：</w:t>
      </w:r>
    </w:p>
    <w:p>
      <w:pPr>
        <w:spacing w:before="7"/>
        <w:rPr>
          <w:rFonts w:asciiTheme="minorEastAsia" w:hAnsiTheme="minorEastAsia" w:eastAsiaTheme="minorEastAsia" w:cstheme="minorEastAsia"/>
          <w:color w:val="auto"/>
          <w:sz w:val="17"/>
          <w:szCs w:val="17"/>
          <w:highlight w:val="none"/>
        </w:rPr>
      </w:pPr>
    </w:p>
    <w:p>
      <w:pPr>
        <w:spacing w:line="528" w:lineRule="exact"/>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节能产品政府采购品目清单</w:t>
      </w:r>
    </w:p>
    <w:tbl>
      <w:tblPr>
        <w:tblStyle w:val="23"/>
        <w:tblW w:w="9220" w:type="dxa"/>
        <w:tblInd w:w="93" w:type="dxa"/>
        <w:tblLayout w:type="autofit"/>
        <w:tblCellMar>
          <w:top w:w="0" w:type="dxa"/>
          <w:left w:w="108" w:type="dxa"/>
          <w:bottom w:w="0" w:type="dxa"/>
          <w:right w:w="108" w:type="dxa"/>
        </w:tblCellMar>
      </w:tblPr>
      <w:tblGrid>
        <w:gridCol w:w="660"/>
        <w:gridCol w:w="1116"/>
        <w:gridCol w:w="1516"/>
        <w:gridCol w:w="1620"/>
        <w:gridCol w:w="4540"/>
      </w:tblGrid>
      <w:tr>
        <w:tblPrEx>
          <w:tblCellMar>
            <w:top w:w="0" w:type="dxa"/>
            <w:left w:w="108" w:type="dxa"/>
            <w:bottom w:w="0" w:type="dxa"/>
            <w:right w:w="108" w:type="dxa"/>
          </w:tblCellMar>
        </w:tblPrEx>
        <w:trPr>
          <w:trHeight w:val="555" w:hRule="atLeast"/>
        </w:trPr>
        <w:tc>
          <w:tcPr>
            <w:tcW w:w="660" w:type="dxa"/>
            <w:tcBorders>
              <w:top w:val="single" w:color="000000" w:sz="8" w:space="0"/>
              <w:left w:val="single" w:color="000000" w:sz="8" w:space="0"/>
              <w:bottom w:val="single" w:color="000000" w:sz="8" w:space="0"/>
              <w:right w:val="single" w:color="000000" w:sz="8" w:space="0"/>
            </w:tcBorders>
            <w:noWrap/>
          </w:tcPr>
          <w:p>
            <w:pPr>
              <w:widowControl/>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品目序号</w:t>
            </w:r>
          </w:p>
        </w:tc>
        <w:tc>
          <w:tcPr>
            <w:tcW w:w="4020" w:type="dxa"/>
            <w:gridSpan w:val="3"/>
            <w:tcBorders>
              <w:top w:val="single" w:color="000000" w:sz="8" w:space="0"/>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名称</w:t>
            </w:r>
          </w:p>
        </w:tc>
        <w:tc>
          <w:tcPr>
            <w:tcW w:w="4540" w:type="dxa"/>
            <w:tcBorders>
              <w:top w:val="single" w:color="000000" w:sz="8" w:space="0"/>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b/>
                <w:bCs/>
                <w:color w:val="auto"/>
                <w:kern w:val="0"/>
                <w:sz w:val="22"/>
                <w:szCs w:val="22"/>
                <w:highlight w:val="none"/>
              </w:rPr>
            </w:pPr>
            <w:r>
              <w:rPr>
                <w:rFonts w:hint="eastAsia" w:asciiTheme="minorEastAsia" w:hAnsiTheme="minorEastAsia" w:eastAsiaTheme="minorEastAsia" w:cstheme="minorEastAsia"/>
                <w:b/>
                <w:bCs/>
                <w:color w:val="auto"/>
                <w:kern w:val="0"/>
                <w:sz w:val="22"/>
                <w:szCs w:val="22"/>
                <w:highlight w:val="none"/>
              </w:rPr>
              <w:t>依据的标准</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A020101计算机设备</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★A02010104台式计算机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★A02010105便携式计算机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★A02010107平板式微型计算机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《微型计算机能效限定值及能效等级》（GB28380）</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2</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A020106输入输出设备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A02010601打印设备</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A0201060101喷墨打印机</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★A0201060102激光打印机</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★A0201060104针式打印机</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A02010604显示设备</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★A0201060401液晶显示器</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《计算机显示器能效限定值及能效等级》（GB21520）</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A02010609图形图像输入设备</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A0201060901扫描仪</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参照《复印机、打印机和传真机能效限定值及能效等级》（GB21521中打印速度为15页/分的针式打印机相关要求中打印速度为15页/分的针式打印机相关要求</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3</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A020202投影仪</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《投影机能效限定值及能效等级》（GB32028）</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4</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A020204多功能一体机</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《复印机、打印机和传真机能效限定值及能效等级》（GB21521）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5</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A020519泵</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A02051901离心泵</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《清水离心泵能效限定值及节能评价值》（GB19762）</w:t>
            </w:r>
          </w:p>
        </w:tc>
      </w:tr>
      <w:tr>
        <w:tblPrEx>
          <w:tblCellMar>
            <w:top w:w="0" w:type="dxa"/>
            <w:left w:w="108" w:type="dxa"/>
            <w:bottom w:w="0" w:type="dxa"/>
            <w:right w:w="108" w:type="dxa"/>
          </w:tblCellMar>
        </w:tblPrEx>
        <w:trPr>
          <w:trHeight w:val="73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6</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A020523制冷空调设备</w:t>
            </w: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★A02052301制冷压缩机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《冷水机组能效限定值及能效等级》（GB19577），《低环境温度空气源热泵（冷水）机组能效限定值及能效等级》（GB37480）</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水源热泵机组</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《水（地）源热泵机组能效限定值及能效等级》（GB30721）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《溴化锂吸收式冷水机组能效限定值及能效等级》（GB29540）</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★A02052305空调机组</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单元式空气调节机(制冷量&gt;14000W</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《单元式空气调节机能效限定值及能效等级》（GB19576）《风管送风式空调机组能效限定值及能效等级》（GB37479）</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★A02052309专用制冷、空调设备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机房空调</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《单元式空气调节机能效限定值及能效等级》（GB19576）</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A02052399其他制冷空调设备</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冷却塔</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《机械通风冷却塔第1部分：中小型开式冷却塔》（GB/T7190.1）；《机械通风冷却塔第2部分：大型开式冷却塔》（GB/T7190.2）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7</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A020601电机</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《中小型三相异步电动机能效限定值及能效等级》（GB18613）</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8</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A020602变压器</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配电变压器</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《三相配电变压器能效限定值及能效等级》（GB20052）</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9</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★A020609镇流器</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管型荧光灯镇流器</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《管形荧光灯镇流器能效限定值及能效等级》（GB17896）</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10</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A020618生活用电器</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A0206180101电冰箱</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《家用电冰箱耗电量限定值及能效等级》（GB 12021.2）</w:t>
            </w:r>
          </w:p>
        </w:tc>
      </w:tr>
      <w:tr>
        <w:tblPrEx>
          <w:tblCellMar>
            <w:top w:w="0" w:type="dxa"/>
            <w:left w:w="108" w:type="dxa"/>
            <w:bottom w:w="0" w:type="dxa"/>
            <w:right w:w="108" w:type="dxa"/>
          </w:tblCellMar>
        </w:tblPrEx>
        <w:trPr>
          <w:trHeight w:val="97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★A0206180203空调机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房间空气调节器</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《转速可控型房间空气调节器能效限定值及能效等级》（GB21455-2013），待2019年修订发布后，按《房间空气调节器能效限定值及能效等级》（GB21455-2019实施。</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多联式空调（热泵）机组（制冷量≤ 14000W）</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《多联式空调（热泵）机组能效限定值及能源效率等级》（GB21454）</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单元式空气调节机(制冷量≤14000W)</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《单元式空气调节机能效限定值及能源效率等级》（GB19576）《风管送风式空调机组能效限定值及能效等级》（GB37479）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A0206180301洗衣机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《电动洗衣机能效水效限定值及等级》（GB12021.4）</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A02061808热水器</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★电热水器</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《储水式电热水器能效限定值及能效等级》（GB21519）</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燃气热水器</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《家用燃气快速热水器和燃气采暖热水炉能效限定值及能效等级》（GB20665）</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热泵热水器</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《热泵热水机（器）能效限定值及能效等级》（GB29541）</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太阳能热水系统</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《家用太阳能热水系统能效限定值及能效等级》（GB26969）</w:t>
            </w:r>
          </w:p>
        </w:tc>
      </w:tr>
      <w:tr>
        <w:tblPrEx>
          <w:tblCellMar>
            <w:top w:w="0" w:type="dxa"/>
            <w:left w:w="108" w:type="dxa"/>
            <w:bottom w:w="0" w:type="dxa"/>
            <w:right w:w="108" w:type="dxa"/>
          </w:tblCellMar>
        </w:tblPrEx>
        <w:trPr>
          <w:trHeight w:val="49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11</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A020619照明设备</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《普通照明用双端荧光灯能效限定值及能效等级》（GB19043）</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LED道路/隧道照明产品</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《道路和隧道照明用LED灯具能效限定值及能效等级》（GB37478）</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LED筒灯</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普通照明用非定向自镇流LED灯</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《室内照明用LED产品能效限定值及能效等级》（GB30255）</w:t>
            </w:r>
          </w:p>
        </w:tc>
      </w:tr>
      <w:tr>
        <w:tblPrEx>
          <w:tblCellMar>
            <w:top w:w="0" w:type="dxa"/>
            <w:left w:w="108" w:type="dxa"/>
            <w:bottom w:w="0" w:type="dxa"/>
            <w:right w:w="108" w:type="dxa"/>
          </w:tblCellMar>
        </w:tblPrEx>
        <w:trPr>
          <w:trHeight w:val="73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12</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★A020910电视设备</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A02091001普通电视设备（电视机）</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《平板电视能效限定值及能效等级》（GB24850）</w:t>
            </w:r>
          </w:p>
        </w:tc>
      </w:tr>
      <w:tr>
        <w:tblPrEx>
          <w:tblCellMar>
            <w:top w:w="0" w:type="dxa"/>
            <w:left w:w="108" w:type="dxa"/>
            <w:bottom w:w="0" w:type="dxa"/>
            <w:right w:w="108" w:type="dxa"/>
          </w:tblCellMar>
        </w:tblPrEx>
        <w:trPr>
          <w:trHeight w:val="97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13</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★A020911视频设备</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A02091107视频监控设备</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监视器</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14</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A031210饮食炊事机械</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《商用燃气灶具能效限定值及能效等级》（GB30531）</w:t>
            </w:r>
          </w:p>
        </w:tc>
      </w:tr>
      <w:tr>
        <w:tblPrEx>
          <w:tblCellMar>
            <w:top w:w="0" w:type="dxa"/>
            <w:left w:w="108" w:type="dxa"/>
            <w:bottom w:w="0" w:type="dxa"/>
            <w:right w:w="108" w:type="dxa"/>
          </w:tblCellMar>
        </w:tblPrEx>
        <w:trPr>
          <w:trHeight w:val="285" w:hRule="atLeast"/>
        </w:trPr>
        <w:tc>
          <w:tcPr>
            <w:tcW w:w="66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15</w:t>
            </w:r>
          </w:p>
        </w:tc>
        <w:tc>
          <w:tcPr>
            <w:tcW w:w="1080" w:type="dxa"/>
            <w:vMerge w:val="restart"/>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★A060805便器</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《坐便器水效限定值及水效等级》（GB25502）</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《蹲便器用水效率限定值及用水效率等级》（GB30717）</w:t>
            </w:r>
          </w:p>
        </w:tc>
      </w:tr>
      <w:tr>
        <w:tblPrEx>
          <w:tblCellMar>
            <w:top w:w="0" w:type="dxa"/>
            <w:left w:w="108" w:type="dxa"/>
            <w:bottom w:w="0" w:type="dxa"/>
            <w:right w:w="108" w:type="dxa"/>
          </w:tblCellMar>
        </w:tblPrEx>
        <w:trPr>
          <w:trHeight w:val="495" w:hRule="atLeast"/>
        </w:trPr>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0" w:type="auto"/>
            <w:vMerge w:val="continue"/>
            <w:tcBorders>
              <w:top w:val="nil"/>
              <w:left w:val="single" w:color="000000" w:sz="8" w:space="0"/>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《小便器用水效率限定值及用水效率等级》（GB28377）</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16</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★A060806水嘴</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《水嘴用水效率限定值及用水效率等级》（GB 25501）</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17</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A060807便器冲洗阀</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《便器冲洗阀用水效率限定值及用水效率等级》（GB28379）</w:t>
            </w:r>
          </w:p>
        </w:tc>
      </w:tr>
      <w:tr>
        <w:tblPrEx>
          <w:tblCellMar>
            <w:top w:w="0" w:type="dxa"/>
            <w:left w:w="108" w:type="dxa"/>
            <w:bottom w:w="0" w:type="dxa"/>
            <w:right w:w="108" w:type="dxa"/>
          </w:tblCellMar>
        </w:tblPrEx>
        <w:trPr>
          <w:trHeight w:val="495" w:hRule="atLeast"/>
        </w:trPr>
        <w:tc>
          <w:tcPr>
            <w:tcW w:w="660" w:type="dxa"/>
            <w:tcBorders>
              <w:top w:val="nil"/>
              <w:left w:val="single" w:color="000000" w:sz="8" w:space="0"/>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18</w:t>
            </w:r>
          </w:p>
        </w:tc>
        <w:tc>
          <w:tcPr>
            <w:tcW w:w="108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A060810淋浴器</w:t>
            </w:r>
          </w:p>
        </w:tc>
        <w:tc>
          <w:tcPr>
            <w:tcW w:w="13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1620" w:type="dxa"/>
            <w:tcBorders>
              <w:top w:val="nil"/>
              <w:left w:val="nil"/>
              <w:bottom w:val="single" w:color="000000" w:sz="8" w:space="0"/>
              <w:right w:val="single" w:color="000000" w:sz="8" w:space="0"/>
            </w:tcBorders>
            <w:noWrap/>
            <w:vAlign w:val="center"/>
          </w:tcPr>
          <w:p>
            <w:pPr>
              <w:widowControl/>
              <w:jc w:val="center"/>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　</w:t>
            </w:r>
          </w:p>
        </w:tc>
        <w:tc>
          <w:tcPr>
            <w:tcW w:w="4540" w:type="dxa"/>
            <w:tcBorders>
              <w:top w:val="nil"/>
              <w:left w:val="nil"/>
              <w:bottom w:val="single" w:color="000000" w:sz="8" w:space="0"/>
              <w:right w:val="single" w:color="000000" w:sz="8" w:space="0"/>
            </w:tcBorders>
            <w:noWrap/>
            <w:vAlign w:val="center"/>
          </w:tcPr>
          <w:p>
            <w:pPr>
              <w:widowControl/>
              <w:jc w:val="left"/>
              <w:rPr>
                <w:rFonts w:asciiTheme="minorEastAsia" w:hAnsiTheme="minorEastAsia" w:eastAsiaTheme="minorEastAsia" w:cstheme="minorEastAsia"/>
                <w:color w:val="auto"/>
                <w:kern w:val="0"/>
                <w:sz w:val="20"/>
                <w:szCs w:val="20"/>
                <w:highlight w:val="none"/>
              </w:rPr>
            </w:pPr>
            <w:r>
              <w:rPr>
                <w:rFonts w:hint="eastAsia" w:asciiTheme="minorEastAsia" w:hAnsiTheme="minorEastAsia" w:eastAsiaTheme="minorEastAsia" w:cstheme="minorEastAsia"/>
                <w:color w:val="auto"/>
                <w:kern w:val="0"/>
                <w:sz w:val="20"/>
                <w:szCs w:val="20"/>
                <w:highlight w:val="none"/>
              </w:rPr>
              <w:t>《淋浴器用水效率限定值及用水效率等级》（GB28378）</w:t>
            </w:r>
          </w:p>
        </w:tc>
      </w:tr>
    </w:tbl>
    <w:p>
      <w:pPr>
        <w:pStyle w:val="10"/>
        <w:spacing w:line="360" w:lineRule="auto"/>
        <w:rPr>
          <w:rFonts w:asciiTheme="minorEastAsia" w:hAnsiTheme="minorEastAsia" w:eastAsiaTheme="minorEastAsia" w:cstheme="minorEastAsia"/>
          <w:color w:val="auto"/>
          <w:spacing w:val="-3"/>
          <w:szCs w:val="21"/>
          <w:highlight w:val="none"/>
        </w:rPr>
      </w:pPr>
    </w:p>
    <w:p>
      <w:pPr>
        <w:pStyle w:val="1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pacing w:val="-3"/>
          <w:szCs w:val="21"/>
          <w:highlight w:val="none"/>
        </w:rPr>
        <w:t>注：1.节能产品认证应依据相关国家标准的最新版本，依据国家标准中二级能效（水效）</w:t>
      </w:r>
      <w:r>
        <w:rPr>
          <w:rFonts w:hint="eastAsia" w:asciiTheme="minorEastAsia" w:hAnsiTheme="minorEastAsia" w:eastAsiaTheme="minorEastAsia" w:cstheme="minorEastAsia"/>
          <w:color w:val="auto"/>
          <w:szCs w:val="21"/>
          <w:highlight w:val="none"/>
        </w:rPr>
        <w:t>指标。</w:t>
      </w:r>
    </w:p>
    <w:p>
      <w:pPr>
        <w:pStyle w:val="10"/>
        <w:spacing w:line="360" w:lineRule="auto"/>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color w:val="auto"/>
          <w:szCs w:val="21"/>
          <w:highlight w:val="none"/>
        </w:rPr>
        <w:t xml:space="preserve">    2</w:t>
      </w:r>
      <w:r>
        <w:rPr>
          <w:rFonts w:hint="eastAsia" w:asciiTheme="minorEastAsia" w:hAnsiTheme="minorEastAsia" w:eastAsiaTheme="minorEastAsia" w:cstheme="minorEastAsia"/>
          <w:b/>
          <w:bCs/>
          <w:color w:val="auto"/>
          <w:szCs w:val="21"/>
          <w:highlight w:val="none"/>
        </w:rPr>
        <w:t>.以“★”标注的为政府强制采购产品。</w:t>
      </w:r>
    </w:p>
    <w:p>
      <w:pPr>
        <w:pStyle w:val="13"/>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highlight w:val="none"/>
        </w:rPr>
        <w:br w:type="page"/>
      </w:r>
      <w:r>
        <w:rPr>
          <w:rFonts w:hint="eastAsia" w:asciiTheme="minorEastAsia" w:hAnsiTheme="minorEastAsia" w:eastAsiaTheme="minorEastAsia" w:cstheme="minorEastAsia"/>
          <w:color w:val="auto"/>
          <w:sz w:val="32"/>
          <w:szCs w:val="32"/>
          <w:highlight w:val="none"/>
        </w:rPr>
        <w:t>附件2：</w:t>
      </w:r>
    </w:p>
    <w:p>
      <w:pPr>
        <w:spacing w:line="528" w:lineRule="exact"/>
        <w:ind w:left="1871"/>
        <w:rPr>
          <w:rFonts w:asciiTheme="minorEastAsia" w:hAnsiTheme="minorEastAsia" w:eastAsiaTheme="minorEastAsia" w:cstheme="minorEastAsia"/>
          <w:color w:val="auto"/>
          <w:sz w:val="40"/>
          <w:szCs w:val="40"/>
          <w:highlight w:val="none"/>
        </w:rPr>
      </w:pPr>
      <w:r>
        <w:rPr>
          <w:rFonts w:hint="eastAsia" w:asciiTheme="minorEastAsia" w:hAnsiTheme="minorEastAsia" w:eastAsiaTheme="minorEastAsia" w:cstheme="minorEastAsia"/>
          <w:color w:val="auto"/>
          <w:sz w:val="40"/>
          <w:szCs w:val="40"/>
          <w:highlight w:val="none"/>
        </w:rPr>
        <w:t>中小微企业划型标准</w:t>
      </w:r>
    </w:p>
    <w:tbl>
      <w:tblPr>
        <w:tblStyle w:val="23"/>
        <w:tblW w:w="7980" w:type="dxa"/>
        <w:tblInd w:w="250" w:type="dxa"/>
        <w:tblLayout w:type="fixed"/>
        <w:tblCellMar>
          <w:top w:w="0" w:type="dxa"/>
          <w:left w:w="108" w:type="dxa"/>
          <w:bottom w:w="0" w:type="dxa"/>
          <w:right w:w="108" w:type="dxa"/>
        </w:tblCellMar>
      </w:tblPr>
      <w:tblGrid>
        <w:gridCol w:w="1701"/>
        <w:gridCol w:w="1383"/>
        <w:gridCol w:w="913"/>
        <w:gridCol w:w="1619"/>
        <w:gridCol w:w="1439"/>
        <w:gridCol w:w="925"/>
      </w:tblGrid>
      <w:tr>
        <w:tblPrEx>
          <w:tblCellMar>
            <w:top w:w="0" w:type="dxa"/>
            <w:left w:w="108" w:type="dxa"/>
            <w:bottom w:w="0" w:type="dxa"/>
            <w:right w:w="108" w:type="dxa"/>
          </w:tblCellMar>
        </w:tblPrEx>
        <w:trPr>
          <w:trHeight w:val="285" w:hRule="atLeast"/>
        </w:trPr>
        <w:tc>
          <w:tcPr>
            <w:tcW w:w="1701" w:type="dxa"/>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行业名称</w:t>
            </w:r>
          </w:p>
        </w:tc>
        <w:tc>
          <w:tcPr>
            <w:tcW w:w="1384"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指标名称</w:t>
            </w:r>
          </w:p>
        </w:tc>
        <w:tc>
          <w:tcPr>
            <w:tcW w:w="913"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计量单位</w:t>
            </w:r>
          </w:p>
        </w:tc>
        <w:tc>
          <w:tcPr>
            <w:tcW w:w="1620"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中型</w:t>
            </w:r>
          </w:p>
        </w:tc>
        <w:tc>
          <w:tcPr>
            <w:tcW w:w="1440"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小型</w:t>
            </w:r>
          </w:p>
        </w:tc>
        <w:tc>
          <w:tcPr>
            <w:tcW w:w="925" w:type="dxa"/>
            <w:tcBorders>
              <w:top w:val="single" w:color="auto" w:sz="4" w:space="0"/>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color w:val="auto"/>
                <w:kern w:val="0"/>
                <w:sz w:val="24"/>
                <w:highlight w:val="none"/>
              </w:rPr>
            </w:pPr>
            <w:r>
              <w:rPr>
                <w:rFonts w:hint="eastAsia" w:asciiTheme="minorEastAsia" w:hAnsiTheme="minorEastAsia" w:eastAsiaTheme="minorEastAsia" w:cstheme="minorEastAsia"/>
                <w:b/>
                <w:color w:val="auto"/>
                <w:kern w:val="0"/>
                <w:sz w:val="24"/>
                <w:highlight w:val="none"/>
              </w:rPr>
              <w:t>微型</w:t>
            </w:r>
          </w:p>
        </w:tc>
      </w:tr>
      <w:tr>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50≤Y＜500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300≤Y＜2000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300≤Y＜6000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Y＜300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300≤Z＜5000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Z＜300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20≤X＜200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5≤X＜20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X＜5</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50≤X＜300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10≤X＜50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500≤Y＜20000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100≤Y＜500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200≤Y＜3000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20≤X＜300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X＜20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100≤Y＜2000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100≤X＜2000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100≤Y＜1000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50≤Y＜1000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100≤X＜1000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2000≤Y＜5000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Y＜2000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300≤X＜1000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1000≤Y＜5000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500≤Y＜1000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Y＜500</w:t>
            </w:r>
          </w:p>
        </w:tc>
      </w:tr>
      <w:tr>
        <w:tblPrEx>
          <w:tblCellMar>
            <w:top w:w="0" w:type="dxa"/>
            <w:left w:w="108" w:type="dxa"/>
            <w:bottom w:w="0" w:type="dxa"/>
            <w:right w:w="108" w:type="dxa"/>
          </w:tblCellMar>
        </w:tblPrEx>
        <w:trPr>
          <w:trHeight w:val="225" w:hRule="atLeast"/>
        </w:trPr>
        <w:tc>
          <w:tcPr>
            <w:tcW w:w="1701" w:type="dxa"/>
            <w:vMerge w:val="restart"/>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r>
        <w:tblPrEx>
          <w:tblCellMar>
            <w:top w:w="0" w:type="dxa"/>
            <w:left w:w="108" w:type="dxa"/>
            <w:bottom w:w="0" w:type="dxa"/>
            <w:right w:w="108" w:type="dxa"/>
          </w:tblCellMar>
        </w:tblPrEx>
        <w:trPr>
          <w:trHeight w:val="225" w:hRule="atLeast"/>
        </w:trPr>
        <w:tc>
          <w:tcPr>
            <w:tcW w:w="1701"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b/>
                <w:bCs/>
                <w:color w:val="auto"/>
                <w:kern w:val="0"/>
                <w:sz w:val="18"/>
                <w:szCs w:val="18"/>
                <w:highlight w:val="none"/>
              </w:rPr>
            </w:pP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万元</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100≤Z＜8000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Y＜100</w:t>
            </w:r>
          </w:p>
        </w:tc>
      </w:tr>
      <w:tr>
        <w:tblPrEx>
          <w:tblCellMar>
            <w:top w:w="0" w:type="dxa"/>
            <w:left w:w="108" w:type="dxa"/>
            <w:bottom w:w="0" w:type="dxa"/>
            <w:right w:w="108" w:type="dxa"/>
          </w:tblCellMar>
        </w:tblPrEx>
        <w:trPr>
          <w:trHeight w:val="225" w:hRule="atLeast"/>
        </w:trPr>
        <w:tc>
          <w:tcPr>
            <w:tcW w:w="1701" w:type="dxa"/>
            <w:tcBorders>
              <w:top w:val="nil"/>
              <w:left w:val="single" w:color="auto" w:sz="4" w:space="0"/>
              <w:bottom w:val="single" w:color="auto" w:sz="4" w:space="0"/>
              <w:right w:val="single" w:color="auto" w:sz="4" w:space="0"/>
            </w:tcBorders>
            <w:noWrap/>
            <w:vAlign w:val="bottom"/>
          </w:tcPr>
          <w:p>
            <w:pPr>
              <w:widowControl/>
              <w:jc w:val="center"/>
              <w:rPr>
                <w:rFonts w:asciiTheme="minorEastAsia" w:hAnsiTheme="minorEastAsia" w:eastAsiaTheme="minorEastAsia" w:cstheme="minorEastAsia"/>
                <w:b/>
                <w:bCs/>
                <w:color w:val="auto"/>
                <w:kern w:val="0"/>
                <w:sz w:val="18"/>
                <w:szCs w:val="18"/>
                <w:highlight w:val="none"/>
              </w:rPr>
            </w:pPr>
            <w:r>
              <w:rPr>
                <w:rFonts w:hint="eastAsia" w:asciiTheme="minorEastAsia" w:hAnsiTheme="minorEastAsia" w:eastAsiaTheme="minorEastAsia" w:cstheme="minorEastAsia"/>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人</w:t>
            </w:r>
          </w:p>
        </w:tc>
        <w:tc>
          <w:tcPr>
            <w:tcW w:w="162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100≤X＜300</w:t>
            </w:r>
          </w:p>
        </w:tc>
        <w:tc>
          <w:tcPr>
            <w:tcW w:w="1440"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10≤X＜100</w:t>
            </w:r>
          </w:p>
        </w:tc>
        <w:tc>
          <w:tcPr>
            <w:tcW w:w="925" w:type="dxa"/>
            <w:tcBorders>
              <w:top w:val="nil"/>
              <w:left w:val="nil"/>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kern w:val="0"/>
                <w:sz w:val="18"/>
                <w:szCs w:val="18"/>
                <w:highlight w:val="none"/>
              </w:rPr>
            </w:pPr>
            <w:r>
              <w:rPr>
                <w:rFonts w:hint="eastAsia" w:asciiTheme="minorEastAsia" w:hAnsiTheme="minorEastAsia" w:eastAsiaTheme="minorEastAsia" w:cstheme="minorEastAsia"/>
                <w:color w:val="auto"/>
                <w:kern w:val="0"/>
                <w:sz w:val="18"/>
                <w:szCs w:val="18"/>
                <w:highlight w:val="none"/>
              </w:rPr>
              <w:t>X＜10</w:t>
            </w:r>
          </w:p>
        </w:tc>
      </w:tr>
    </w:tbl>
    <w:p>
      <w:pPr>
        <w:spacing w:line="360" w:lineRule="auto"/>
        <w:ind w:firstLine="525" w:firstLineChars="2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pPr>
        <w:widowControl/>
        <w:jc w:val="left"/>
        <w:rPr>
          <w:rFonts w:asciiTheme="minorEastAsia" w:hAnsiTheme="minorEastAsia" w:eastAsiaTheme="minorEastAsia" w:cstheme="minorEastAsia"/>
          <w:color w:val="auto"/>
          <w:szCs w:val="20"/>
          <w:highlight w:val="none"/>
        </w:rPr>
        <w:sectPr>
          <w:pgSz w:w="11906" w:h="16838"/>
          <w:pgMar w:top="1134" w:right="1134" w:bottom="1134" w:left="1134" w:header="720" w:footer="720" w:gutter="0"/>
          <w:cols w:space="720" w:num="1"/>
          <w:docGrid w:type="lines" w:linePitch="331" w:charSpace="0"/>
        </w:sectPr>
      </w:pPr>
    </w:p>
    <w:p>
      <w:pPr>
        <w:pStyle w:val="13"/>
        <w:jc w:val="center"/>
        <w:outlineLvl w:val="0"/>
        <w:rPr>
          <w:rFonts w:asciiTheme="minorEastAsia" w:hAnsiTheme="minorEastAsia" w:eastAsiaTheme="minorEastAsia" w:cstheme="minorEastAsia"/>
          <w:b/>
          <w:color w:val="auto"/>
          <w:sz w:val="36"/>
          <w:szCs w:val="36"/>
          <w:highlight w:val="none"/>
        </w:rPr>
      </w:pPr>
      <w:bookmarkStart w:id="22" w:name="_Toc25544"/>
      <w:bookmarkStart w:id="23" w:name="_Toc532545044"/>
      <w:r>
        <w:rPr>
          <w:rFonts w:hint="eastAsia" w:asciiTheme="minorEastAsia" w:hAnsiTheme="minorEastAsia" w:eastAsiaTheme="minorEastAsia" w:cstheme="minorEastAsia"/>
          <w:b/>
          <w:color w:val="auto"/>
          <w:sz w:val="36"/>
          <w:highlight w:val="none"/>
        </w:rPr>
        <w:t>第三章  投标人须知</w:t>
      </w:r>
      <w:bookmarkEnd w:id="22"/>
      <w:bookmarkEnd w:id="23"/>
    </w:p>
    <w:p>
      <w:pPr>
        <w:pStyle w:val="13"/>
        <w:spacing w:line="720" w:lineRule="auto"/>
        <w:jc w:val="center"/>
        <w:outlineLvl w:val="1"/>
        <w:rPr>
          <w:rFonts w:asciiTheme="minorEastAsia" w:hAnsiTheme="minorEastAsia" w:eastAsiaTheme="minorEastAsia" w:cstheme="minorEastAsia"/>
          <w:b/>
          <w:color w:val="auto"/>
          <w:sz w:val="30"/>
          <w:szCs w:val="30"/>
          <w:highlight w:val="none"/>
        </w:rPr>
      </w:pPr>
      <w:bookmarkStart w:id="24" w:name="_Toc7747"/>
      <w:r>
        <w:rPr>
          <w:rFonts w:hint="eastAsia" w:asciiTheme="minorEastAsia" w:hAnsiTheme="minorEastAsia" w:eastAsiaTheme="minorEastAsia" w:cstheme="minorEastAsia"/>
          <w:b/>
          <w:color w:val="auto"/>
          <w:sz w:val="30"/>
          <w:szCs w:val="30"/>
          <w:highlight w:val="none"/>
        </w:rPr>
        <w:t>第一节 投标人须知前附表</w:t>
      </w:r>
      <w:bookmarkEnd w:id="24"/>
    </w:p>
    <w:tbl>
      <w:tblPr>
        <w:tblStyle w:val="23"/>
        <w:tblW w:w="10240" w:type="dxa"/>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2268"/>
        <w:gridCol w:w="72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条款号</w:t>
            </w: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项目内容</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25" w:name="_9.2"/>
            <w:bookmarkEnd w:id="25"/>
            <w:bookmarkStart w:id="26" w:name="_5"/>
            <w:bookmarkEnd w:id="26"/>
            <w:bookmarkStart w:id="27" w:name="_8.1"/>
            <w:bookmarkEnd w:id="27"/>
            <w:r>
              <w:rPr>
                <w:rFonts w:hint="eastAsia" w:asciiTheme="minorEastAsia" w:hAnsiTheme="minorEastAsia" w:eastAsiaTheme="minorEastAsia" w:cstheme="minorEastAsia"/>
                <w:color w:val="auto"/>
                <w:szCs w:val="21"/>
                <w:highlight w:val="none"/>
              </w:rPr>
              <w:t>是否接受联合体投标</w:t>
            </w:r>
          </w:p>
        </w:tc>
        <w:tc>
          <w:tcPr>
            <w:tcW w:w="7297" w:type="dxa"/>
            <w:tcBorders>
              <w:top w:val="single" w:color="auto" w:sz="4" w:space="0"/>
              <w:left w:val="single" w:color="auto" w:sz="4" w:space="0"/>
              <w:bottom w:val="single" w:color="auto" w:sz="4" w:space="0"/>
              <w:right w:val="single" w:color="auto" w:sz="4" w:space="0"/>
            </w:tcBorders>
            <w:noWrap/>
            <w:vAlign w:val="center"/>
          </w:tcPr>
          <w:p>
            <w:pPr>
              <w:pStyle w:val="9"/>
              <w:spacing w:line="380" w:lineRule="exact"/>
              <w:rPr>
                <w:rFonts w:asciiTheme="minorEastAsia" w:hAnsiTheme="minorEastAsia" w:eastAsiaTheme="minorEastAsia" w:cstheme="minorEastAsia"/>
                <w:color w:val="auto"/>
                <w:szCs w:val="21"/>
                <w:highlight w:val="none"/>
              </w:rPr>
            </w:pPr>
            <w:bookmarkStart w:id="28" w:name="PO_3000001866_PM007"/>
            <w:r>
              <w:rPr>
                <w:rFonts w:hint="eastAsia" w:asciiTheme="minorEastAsia" w:hAnsiTheme="minorEastAsia" w:eastAsiaTheme="minorEastAsia" w:cstheme="minorEastAsia"/>
                <w:color w:val="auto"/>
                <w:szCs w:val="21"/>
                <w:highlight w:val="none"/>
              </w:rPr>
              <w:t>不允许联合体投标</w:t>
            </w:r>
            <w:bookmarkEnd w:id="28"/>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6.2</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联合体投标要求</w:t>
            </w:r>
          </w:p>
        </w:tc>
        <w:tc>
          <w:tcPr>
            <w:tcW w:w="7297" w:type="dxa"/>
            <w:tcBorders>
              <w:top w:val="single" w:color="auto" w:sz="4" w:space="0"/>
              <w:left w:val="single" w:color="auto" w:sz="4" w:space="0"/>
              <w:bottom w:val="single" w:color="auto" w:sz="4" w:space="0"/>
              <w:right w:val="single" w:color="auto" w:sz="4" w:space="0"/>
            </w:tcBorders>
            <w:noWrap/>
            <w:vAlign w:val="center"/>
          </w:tcPr>
          <w:p>
            <w:pPr>
              <w:pStyle w:val="9"/>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7.2</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是否允许转包/分包</w:t>
            </w:r>
          </w:p>
        </w:tc>
        <w:tc>
          <w:tcPr>
            <w:tcW w:w="7297" w:type="dxa"/>
            <w:tcBorders>
              <w:top w:val="single" w:color="auto" w:sz="4" w:space="0"/>
              <w:left w:val="single" w:color="auto" w:sz="4" w:space="0"/>
              <w:bottom w:val="single" w:color="auto" w:sz="4" w:space="0"/>
              <w:right w:val="single" w:color="auto" w:sz="4" w:space="0"/>
            </w:tcBorders>
            <w:noWrap/>
            <w:vAlign w:val="center"/>
          </w:tcPr>
          <w:p>
            <w:pPr>
              <w:pStyle w:val="9"/>
              <w:spacing w:line="380" w:lineRule="exact"/>
              <w:rPr>
                <w:rFonts w:asciiTheme="minorEastAsia" w:hAnsiTheme="minorEastAsia" w:eastAsiaTheme="minorEastAsia" w:cstheme="minorEastAsia"/>
                <w:color w:val="auto"/>
                <w:szCs w:val="21"/>
                <w:highlight w:val="none"/>
              </w:rPr>
            </w:pPr>
            <w:bookmarkStart w:id="29" w:name="PO_3000001866_PM044"/>
            <w:r>
              <w:rPr>
                <w:rFonts w:hint="eastAsia" w:asciiTheme="minorEastAsia" w:hAnsiTheme="minorEastAsia" w:eastAsiaTheme="minorEastAsia" w:cstheme="minorEastAsia"/>
                <w:color w:val="auto"/>
                <w:szCs w:val="21"/>
                <w:highlight w:val="none"/>
              </w:rPr>
              <w:t>不允许分包</w:t>
            </w:r>
            <w:bookmarkEnd w:id="29"/>
          </w:p>
          <w:p>
            <w:pPr>
              <w:pStyle w:val="9"/>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转包/分包内容：</w:t>
            </w:r>
            <w:r>
              <w:rPr>
                <w:rFonts w:hint="eastAsia" w:asciiTheme="minorEastAsia" w:hAnsiTheme="minorEastAsia" w:eastAsiaTheme="minorEastAsia" w:cstheme="minorEastAsia"/>
                <w:color w:val="auto"/>
                <w:szCs w:val="21"/>
                <w:highlight w:val="none"/>
                <w:u w:val="single"/>
              </w:rPr>
              <w:t xml:space="preserve">      /    。</w:t>
            </w:r>
          </w:p>
          <w:p>
            <w:pPr>
              <w:pStyle w:val="9"/>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转包/分包金额或者比例：</w:t>
            </w:r>
            <w:r>
              <w:rPr>
                <w:rFonts w:hint="eastAsia" w:asciiTheme="minorEastAsia" w:hAnsiTheme="minorEastAsia" w:eastAsiaTheme="minorEastAsia" w:cstheme="minorEastAsia"/>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11.4</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媒体发布渠道</w:t>
            </w:r>
          </w:p>
        </w:tc>
        <w:tc>
          <w:tcPr>
            <w:tcW w:w="729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 w:val="28"/>
                <w:szCs w:val="18"/>
                <w:highlight w:val="none"/>
              </w:rPr>
            </w:pPr>
            <w:r>
              <w:rPr>
                <w:rFonts w:hint="eastAsia" w:asciiTheme="minorEastAsia" w:hAnsiTheme="minorEastAsia" w:eastAsiaTheme="minorEastAsia" w:cstheme="minorEastAsia"/>
                <w:color w:val="auto"/>
                <w:szCs w:val="21"/>
                <w:highlight w:val="none"/>
              </w:rPr>
              <w:t>与本项目相关的政府采购业务澄清、更正及与之相关的事项将在采购公告中“六、其他补充事宜”中网上查询地址上发布</w:t>
            </w:r>
            <w:r>
              <w:rPr>
                <w:rFonts w:hint="eastAsia" w:asciiTheme="minorEastAsia" w:hAnsiTheme="minorEastAsia" w:eastAsiaTheme="minorEastAsia" w:cstheme="minorEastAsia"/>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11.6</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是否组织标前答疑会</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不组织召开开标前答疑会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w:t>
            </w: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bookmarkStart w:id="30" w:name="_13.2"/>
            <w:bookmarkEnd w:id="30"/>
            <w:r>
              <w:rPr>
                <w:rFonts w:hint="eastAsia" w:asciiTheme="minorEastAsia" w:hAnsiTheme="minorEastAsia" w:eastAsiaTheme="minorEastAsia" w:cstheme="minorEastAsia"/>
                <w:color w:val="auto"/>
                <w:szCs w:val="21"/>
                <w:highlight w:val="none"/>
              </w:rPr>
              <w:t>资格证明文件组成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1、投标人为法人或者其他组织的，提供营业执照等证明文件（如营业执照或者事业单位法人证书或者执业许可证等），投标人为自然人的，提供身份证复印件。（</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2、投标人依法缴纳税收的相关材料[</w:t>
            </w:r>
            <w:r>
              <w:rPr>
                <w:rFonts w:hint="eastAsia" w:asciiTheme="minorEastAsia" w:hAnsiTheme="minorEastAsia" w:eastAsiaTheme="minorEastAsia" w:cstheme="minorEastAsia"/>
                <w:color w:val="auto"/>
                <w:szCs w:val="21"/>
                <w:highlight w:val="none"/>
                <w:u w:val="single"/>
                <w:lang w:eastAsia="zh-CN"/>
              </w:rPr>
              <w:t>2025年</w:t>
            </w:r>
            <w:r>
              <w:rPr>
                <w:rFonts w:hint="eastAsia" w:asciiTheme="minorEastAsia" w:hAnsiTheme="minorEastAsia" w:eastAsiaTheme="minorEastAsia" w:cstheme="minorEastAsia"/>
                <w:color w:val="auto"/>
                <w:szCs w:val="21"/>
                <w:highlight w:val="none"/>
                <w:u w:val="single"/>
                <w:lang w:val="en-US" w:eastAsia="zh-CN"/>
              </w:rPr>
              <w:t>6</w:t>
            </w:r>
            <w:r>
              <w:rPr>
                <w:rFonts w:hint="eastAsia" w:asciiTheme="minorEastAsia" w:hAnsiTheme="minorEastAsia" w:eastAsiaTheme="minorEastAsia" w:cstheme="minorEastAsia"/>
                <w:color w:val="auto"/>
                <w:szCs w:val="21"/>
                <w:highlight w:val="none"/>
                <w:u w:val="single"/>
                <w:lang w:eastAsia="zh-CN"/>
              </w:rPr>
              <w:t>月至2025年12月</w:t>
            </w:r>
            <w:r>
              <w:rPr>
                <w:rFonts w:hint="eastAsia" w:asciiTheme="minorEastAsia" w:hAnsiTheme="minorEastAsia" w:eastAsiaTheme="minorEastAsia" w:cstheme="minorEastAsia"/>
                <w:color w:val="auto"/>
                <w:szCs w:val="21"/>
                <w:highlight w:val="none"/>
              </w:rPr>
              <w:t>任意连续</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个月的依法缴纳税收的凭据复印件；依法免税的供应商，必须提供相应文件证明其依法免税。从取得营业执照时间起到投标文件提交截止时间为止不足要求月数的，只需提供从取得营业执照起的依法缴纳税收相应证明文件）。（</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3、投标人依法缴纳社会保障资金的相关材料[</w:t>
            </w:r>
            <w:r>
              <w:rPr>
                <w:rFonts w:hint="eastAsia" w:asciiTheme="minorEastAsia" w:hAnsiTheme="minorEastAsia" w:eastAsiaTheme="minorEastAsia" w:cstheme="minorEastAsia"/>
                <w:color w:val="auto"/>
                <w:szCs w:val="21"/>
                <w:highlight w:val="none"/>
                <w:u w:val="single"/>
                <w:lang w:eastAsia="zh-CN"/>
              </w:rPr>
              <w:t>2025年6月至2025年12月</w:t>
            </w:r>
            <w:r>
              <w:rPr>
                <w:rFonts w:hint="eastAsia" w:asciiTheme="minorEastAsia" w:hAnsiTheme="minorEastAsia" w:eastAsiaTheme="minorEastAsia" w:cstheme="minorEastAsia"/>
                <w:color w:val="auto"/>
                <w:szCs w:val="21"/>
                <w:highlight w:val="none"/>
              </w:rPr>
              <w:t>任意连续</w:t>
            </w:r>
            <w:r>
              <w:rPr>
                <w:rFonts w:hint="eastAsia" w:asciiTheme="minorEastAsia" w:hAnsiTheme="minorEastAsia" w:eastAsiaTheme="minorEastAsia" w:cstheme="minorEastAsia"/>
                <w:color w:val="auto"/>
                <w:szCs w:val="21"/>
                <w:highlight w:val="none"/>
                <w:u w:val="single"/>
              </w:rPr>
              <w:t xml:space="preserve"> 3  </w:t>
            </w:r>
            <w:r>
              <w:rPr>
                <w:rFonts w:hint="eastAsia" w:asciiTheme="minorEastAsia" w:hAnsiTheme="minorEastAsia" w:eastAsiaTheme="minorEastAsia" w:cstheme="minorEastAsia"/>
                <w:color w:val="auto"/>
                <w:szCs w:val="21"/>
                <w:highlight w:val="none"/>
              </w:rPr>
              <w:t>个月的依法缴纳社会保障资金的缴费凭证（专用收据或者社会保险缴纳清单）复印件；依法不需要缴纳社会保障资金的供应商，必须提供相应文件证明不需要缴纳社会保障资金。从取得营业执照时间起到投标文件提交截止时间为止不足要求月数的只需提供从取得营业执照起的依法缴纳社会保障资金的相应证明文件。（</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4、投标人财务状况报告：[</w:t>
            </w:r>
            <w:r>
              <w:rPr>
                <w:rFonts w:hint="eastAsia" w:asciiTheme="minorEastAsia" w:hAnsiTheme="minorEastAsia" w:eastAsiaTheme="minorEastAsia" w:cstheme="minorEastAsia"/>
                <w:color w:val="auto"/>
                <w:szCs w:val="21"/>
                <w:highlight w:val="none"/>
                <w:u w:val="single"/>
              </w:rPr>
              <w:t>2024</w:t>
            </w:r>
            <w:r>
              <w:rPr>
                <w:rFonts w:hint="eastAsia" w:asciiTheme="minorEastAsia" w:hAnsiTheme="minorEastAsia" w:eastAsiaTheme="minorEastAsia" w:cstheme="minorEastAsia"/>
                <w:color w:val="auto"/>
                <w:szCs w:val="21"/>
                <w:highlight w:val="none"/>
              </w:rPr>
              <w:t>年]财务状况报告复印件；供应商成立不满一年的应提供截标之日上一个月的财务状况报告复印件。（上述财务状况报告包括：供应商执行《企业会计准则》的，提供资产负债表、利润表、现金流量表、所有者权益变动表及其附注（以下称“四表一注”）；供应商执行《小企业会计准则》的，提供资产负债表、利润表、现金流量表及其附注（以下称“三表一注”）；供应商执行《政府会计制度》的，提供资产负债表、收入费用表和净资产变动表及其附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5、投标人直接控股股东信息表。（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6、投标人直接管理关系信息表。（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7、投标资格声明。（</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hd w:val="clear" w:color="auto" w:fill="FFFFFF"/>
              <w:spacing w:line="360" w:lineRule="auto"/>
              <w:rPr>
                <w:rFonts w:asciiTheme="minorEastAsia" w:hAnsiTheme="minorEastAsia" w:eastAsiaTheme="minorEastAsia" w:cstheme="minorEastAsia"/>
                <w:color w:val="auto"/>
                <w:szCs w:val="21"/>
                <w:highlight w:val="none"/>
              </w:rPr>
            </w:pPr>
            <w:r>
              <w:rPr>
                <w:rFonts w:hint="eastAsia" w:ascii="宋体" w:hAnsi="宋体" w:cs="宋体"/>
                <w:szCs w:val="21"/>
              </w:rPr>
              <w:t>8.</w:t>
            </w:r>
            <w:r>
              <w:rPr>
                <w:rFonts w:hint="eastAsia" w:asciiTheme="minorEastAsia" w:hAnsiTheme="minorEastAsia" w:eastAsiaTheme="minorEastAsia" w:cstheme="minorEastAsia"/>
                <w:color w:val="auto"/>
                <w:szCs w:val="21"/>
                <w:highlight w:val="none"/>
              </w:rPr>
              <w:t>投标人应为中小微企业/监狱企业/残疾人福利性单位：</w:t>
            </w:r>
          </w:p>
          <w:p>
            <w:pPr>
              <w:shd w:val="clear" w:color="auto" w:fill="FFFFFF"/>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（1）《中小企业声明函》</w:t>
            </w:r>
            <w:r>
              <w:rPr>
                <w:rFonts w:hint="eastAsia" w:asciiTheme="minorEastAsia" w:hAnsiTheme="minorEastAsia" w:eastAsiaTheme="minorEastAsia" w:cstheme="minorEastAsia"/>
                <w:color w:val="auto"/>
                <w:highlight w:val="none"/>
              </w:rPr>
              <w:t>（格式后附）</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bCs/>
                <w:color w:val="auto"/>
                <w:szCs w:val="21"/>
                <w:highlight w:val="none"/>
              </w:rPr>
              <w:t>（除投标人为监狱企业及残疾人福利性单位外，必须提供</w:t>
            </w:r>
            <w:r>
              <w:rPr>
                <w:rFonts w:hint="eastAsia" w:asciiTheme="minorEastAsia" w:hAnsiTheme="minorEastAsia" w:eastAsiaTheme="minorEastAsia" w:cstheme="minorEastAsia"/>
                <w:b/>
                <w:bCs/>
                <w:color w:val="auto"/>
                <w:highlight w:val="none"/>
              </w:rPr>
              <w:t>，否则投标文件按无效响应处理</w:t>
            </w:r>
            <w:r>
              <w:rPr>
                <w:rFonts w:hint="eastAsia" w:asciiTheme="minorEastAsia" w:hAnsiTheme="minorEastAsia" w:eastAsiaTheme="minorEastAsia" w:cstheme="minorEastAsia"/>
                <w:b/>
                <w:bCs/>
                <w:color w:val="auto"/>
                <w:szCs w:val="21"/>
                <w:highlight w:val="none"/>
              </w:rPr>
              <w:t>）</w:t>
            </w:r>
          </w:p>
          <w:p>
            <w:pPr>
              <w:shd w:val="clear" w:color="auto" w:fill="FFFFFF"/>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（2）供应商属于监狱企业的，应当提供由省级以上监狱管理局、戒毒管理局等（含新疆生产建设兵团）出具的属于监狱企业的证明文件；</w:t>
            </w:r>
            <w:r>
              <w:rPr>
                <w:rFonts w:hint="eastAsia" w:asciiTheme="minorEastAsia" w:hAnsiTheme="minorEastAsia" w:eastAsiaTheme="minorEastAsia" w:cstheme="minorEastAsia"/>
                <w:b/>
                <w:bCs/>
                <w:color w:val="auto"/>
                <w:szCs w:val="21"/>
                <w:highlight w:val="none"/>
              </w:rPr>
              <w:t>（如投标人属于监狱企业的，则必须提供</w:t>
            </w:r>
            <w:r>
              <w:rPr>
                <w:rFonts w:hint="eastAsia" w:asciiTheme="minorEastAsia" w:hAnsiTheme="minorEastAsia" w:eastAsiaTheme="minorEastAsia" w:cstheme="minorEastAsia"/>
                <w:b/>
                <w:bCs/>
                <w:color w:val="auto"/>
                <w:highlight w:val="none"/>
              </w:rPr>
              <w:t>，否则投标文件按无效响应处理</w:t>
            </w:r>
            <w:r>
              <w:rPr>
                <w:rFonts w:hint="eastAsia" w:asciiTheme="minorEastAsia" w:hAnsiTheme="minorEastAsia" w:eastAsiaTheme="minorEastAsia" w:cstheme="minorEastAsia"/>
                <w:b/>
                <w:bCs/>
                <w:color w:val="auto"/>
                <w:szCs w:val="21"/>
                <w:highlight w:val="none"/>
              </w:rPr>
              <w:t>）</w:t>
            </w:r>
          </w:p>
          <w:p>
            <w:pPr>
              <w:shd w:val="clear" w:color="auto" w:fill="FFFFFF"/>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（3）符合条件的残疾人福利性单位在参加政府采购活动时，应当提供《残疾人福利性单位声明函》</w:t>
            </w:r>
            <w:r>
              <w:rPr>
                <w:rFonts w:hint="eastAsia" w:asciiTheme="minorEastAsia" w:hAnsiTheme="minorEastAsia" w:eastAsiaTheme="minorEastAsia" w:cstheme="minorEastAsia"/>
                <w:color w:val="auto"/>
                <w:highlight w:val="none"/>
              </w:rPr>
              <w:t>（格式后附）</w:t>
            </w:r>
            <w:r>
              <w:rPr>
                <w:rFonts w:hint="eastAsia" w:asciiTheme="minorEastAsia" w:hAnsiTheme="minorEastAsia" w:eastAsiaTheme="minorEastAsia" w:cstheme="minorEastAsia"/>
                <w:color w:val="auto"/>
                <w:szCs w:val="21"/>
                <w:highlight w:val="none"/>
              </w:rPr>
              <w:t>，并对声明的真实性负责；</w:t>
            </w:r>
            <w:r>
              <w:rPr>
                <w:rFonts w:hint="eastAsia" w:asciiTheme="minorEastAsia" w:hAnsiTheme="minorEastAsia" w:eastAsiaTheme="minorEastAsia" w:cstheme="minorEastAsia"/>
                <w:b/>
                <w:bCs/>
                <w:color w:val="auto"/>
                <w:szCs w:val="21"/>
                <w:highlight w:val="none"/>
              </w:rPr>
              <w:t>（如投标人属于残疾人福利性单位的，则必须提供</w:t>
            </w:r>
            <w:r>
              <w:rPr>
                <w:rFonts w:hint="eastAsia" w:asciiTheme="minorEastAsia" w:hAnsiTheme="minorEastAsia" w:eastAsiaTheme="minorEastAsia" w:cstheme="minorEastAsia"/>
                <w:b/>
                <w:bCs/>
                <w:color w:val="auto"/>
                <w:highlight w:val="none"/>
              </w:rPr>
              <w:t>，否则投标文件按无效响应处理</w:t>
            </w:r>
            <w:r>
              <w:rPr>
                <w:rFonts w:hint="eastAsia" w:asciiTheme="minorEastAsia" w:hAnsiTheme="minorEastAsia" w:eastAsiaTheme="minorEastAsia" w:cstheme="minorEastAsia"/>
                <w:b/>
                <w:bCs/>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10</w:t>
            </w:r>
            <w:r>
              <w:rPr>
                <w:rFonts w:hint="eastAsia" w:asciiTheme="minorEastAsia" w:hAnsiTheme="minorEastAsia" w:eastAsiaTheme="minorEastAsia" w:cstheme="minorEastAsia"/>
                <w:color w:val="auto"/>
                <w:szCs w:val="21"/>
                <w:highlight w:val="none"/>
              </w:rPr>
              <w:t>、除招标文件规定必须提供以外，投标人认为需要提供的其他证明材料。（如有请提供）</w:t>
            </w:r>
          </w:p>
          <w:p>
            <w:pPr>
              <w:snapToGrid w:val="0"/>
              <w:spacing w:line="380" w:lineRule="exact"/>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注：1.</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以上标明“必须提供”的材料</w:t>
            </w:r>
            <w:r>
              <w:rPr>
                <w:rFonts w:hint="eastAsia" w:asciiTheme="minorEastAsia" w:hAnsiTheme="minorEastAsia" w:eastAsiaTheme="minorEastAsia" w:cstheme="minorEastAsia"/>
                <w:b/>
                <w:color w:val="auto"/>
                <w:szCs w:val="21"/>
                <w:highlight w:val="none"/>
              </w:rPr>
              <w:t>属于复印件的扫描件的</w:t>
            </w:r>
            <w:r>
              <w:rPr>
                <w:rFonts w:hint="eastAsia" w:asciiTheme="minorEastAsia" w:hAnsiTheme="minorEastAsia" w:eastAsiaTheme="minorEastAsia" w:cstheme="minorEastAsia"/>
                <w:b/>
                <w:bCs/>
                <w:color w:val="auto"/>
                <w:szCs w:val="21"/>
                <w:highlight w:val="none"/>
              </w:rPr>
              <w:t>，必须加盖投标人电子公章，否则</w:t>
            </w:r>
            <w:r>
              <w:rPr>
                <w:rFonts w:hint="eastAsia" w:asciiTheme="minorEastAsia" w:hAnsiTheme="minorEastAsia" w:eastAsiaTheme="minorEastAsia" w:cstheme="minorEastAsia"/>
                <w:b/>
                <w:color w:val="auto"/>
                <w:szCs w:val="21"/>
                <w:highlight w:val="none"/>
              </w:rPr>
              <w:t>作无效投标处理。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nil"/>
              <w:left w:val="single" w:color="auto" w:sz="4" w:space="0"/>
              <w:bottom w:val="nil"/>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bookmarkStart w:id="31" w:name="_13.3"/>
            <w:bookmarkEnd w:id="31"/>
            <w:r>
              <w:rPr>
                <w:rFonts w:hint="eastAsia" w:asciiTheme="minorEastAsia" w:hAnsiTheme="minorEastAsia" w:eastAsiaTheme="minorEastAsia" w:cstheme="minorEastAsia"/>
                <w:color w:val="auto"/>
                <w:szCs w:val="21"/>
                <w:highlight w:val="none"/>
              </w:rPr>
              <w:t>商务文件组成</w:t>
            </w:r>
          </w:p>
          <w:p>
            <w:pPr>
              <w:spacing w:line="380" w:lineRule="exact"/>
              <w:rPr>
                <w:rFonts w:asciiTheme="minorEastAsia" w:hAnsiTheme="minorEastAsia" w:eastAsiaTheme="minorEastAsia" w:cstheme="minorEastAsia"/>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1、无串通投标行为的承诺函；（</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2、法定代表人身份证明及法定代表人有效身份证正反面复印件；（</w:t>
            </w:r>
            <w:r>
              <w:rPr>
                <w:rFonts w:hint="eastAsia" w:asciiTheme="minorEastAsia" w:hAnsiTheme="minorEastAsia" w:eastAsiaTheme="minorEastAsia" w:cstheme="minorEastAsia"/>
                <w:b/>
                <w:bCs/>
                <w:color w:val="auto"/>
                <w:szCs w:val="21"/>
                <w:highlight w:val="none"/>
              </w:rPr>
              <w:t>除自然人投标外</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3、法定代表人授权委托书及委托代理人有效身份证正反面复印件；（</w:t>
            </w:r>
            <w:r>
              <w:rPr>
                <w:rFonts w:hint="eastAsia" w:asciiTheme="minorEastAsia" w:hAnsiTheme="minorEastAsia" w:eastAsiaTheme="minorEastAsia" w:cstheme="minorEastAsia"/>
                <w:b/>
                <w:color w:val="auto"/>
                <w:szCs w:val="21"/>
                <w:highlight w:val="none"/>
              </w:rPr>
              <w:t>委托时必须提供，否则作无效投标处理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4、商务条款偏离表；（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5、投标人情况介绍；（如有请提供）</w:t>
            </w:r>
          </w:p>
          <w:p>
            <w:pPr>
              <w:snapToGrid w:val="0"/>
              <w:spacing w:line="380" w:lineRule="exact"/>
              <w:jc w:val="left"/>
              <w:rPr>
                <w:rFonts w:hint="default" w:asciiTheme="minorEastAsia" w:hAnsiTheme="minorEastAsia" w:eastAsiaTheme="minorEastAsia" w:cstheme="minorEastAsia"/>
                <w:color w:val="auto"/>
                <w:szCs w:val="21"/>
                <w:highlight w:val="none"/>
                <w:lang w:val="en-US" w:eastAsia="zh-CN"/>
              </w:rPr>
            </w:pPr>
            <w:r>
              <w:rPr>
                <w:rFonts w:hint="eastAsia" w:asciiTheme="minorEastAsia" w:hAnsiTheme="minorEastAsia" w:eastAsiaTheme="minorEastAsia" w:cstheme="minorEastAsia"/>
                <w:color w:val="auto"/>
                <w:szCs w:val="21"/>
                <w:highlight w:val="none"/>
              </w:rPr>
              <w:t>6、</w:t>
            </w:r>
            <w:r>
              <w:rPr>
                <w:rFonts w:hint="eastAsia" w:asciiTheme="minorEastAsia" w:hAnsiTheme="minorEastAsia" w:eastAsiaTheme="minorEastAsia" w:cstheme="minorEastAsia"/>
                <w:color w:val="auto"/>
                <w:szCs w:val="21"/>
                <w:highlight w:val="none"/>
                <w:lang w:val="en-US" w:eastAsia="zh-CN"/>
              </w:rPr>
              <w:t>投标人类似的业绩证明文件；（如有请提供）</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lang w:val="en-US" w:eastAsia="zh-CN"/>
              </w:rPr>
              <w:t>7、</w:t>
            </w:r>
            <w:r>
              <w:rPr>
                <w:rFonts w:hint="eastAsia" w:asciiTheme="minorEastAsia" w:hAnsiTheme="minorEastAsia" w:eastAsiaTheme="minorEastAsia" w:cstheme="minorEastAsia"/>
                <w:color w:val="auto"/>
                <w:szCs w:val="21"/>
                <w:highlight w:val="none"/>
              </w:rPr>
              <w:t>除招标文件规定必须提供以外，投标人认为需要提供的其他证明材料。（投标人根据“第二章 采购需求”及“第四章 评标方法及评标标准”提供有关证明材料）。（如有请提供）</w:t>
            </w:r>
          </w:p>
          <w:p>
            <w:pPr>
              <w:snapToGrid w:val="0"/>
              <w:spacing w:line="380" w:lineRule="exact"/>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 1.法定代表人授权委托书必须由法定代表人及委托代理人签字，并加盖投标人公章，否则作无效投标处理。</w:t>
            </w:r>
          </w:p>
          <w:p>
            <w:pPr>
              <w:snapToGrid w:val="0"/>
              <w:spacing w:line="380" w:lineRule="exact"/>
              <w:ind w:firstLine="422" w:firstLineChars="200"/>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bCs/>
                <w:color w:val="auto"/>
                <w:szCs w:val="21"/>
                <w:highlight w:val="none"/>
              </w:rPr>
              <w:t>2.</w:t>
            </w: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b/>
                <w:bCs/>
                <w:color w:val="auto"/>
                <w:szCs w:val="21"/>
                <w:highlight w:val="none"/>
              </w:rPr>
              <w:t>以上标明“必须提供”的材料</w:t>
            </w:r>
            <w:r>
              <w:rPr>
                <w:rFonts w:hint="eastAsia" w:asciiTheme="minorEastAsia" w:hAnsiTheme="minorEastAsia" w:eastAsiaTheme="minorEastAsia" w:cstheme="minorEastAsia"/>
                <w:b/>
                <w:color w:val="auto"/>
                <w:szCs w:val="21"/>
                <w:highlight w:val="none"/>
              </w:rPr>
              <w:t>属于复印件的扫描件的</w:t>
            </w:r>
            <w:r>
              <w:rPr>
                <w:rFonts w:hint="eastAsia" w:asciiTheme="minorEastAsia" w:hAnsiTheme="minorEastAsia" w:eastAsiaTheme="minorEastAsia" w:cstheme="minorEastAsia"/>
                <w:b/>
                <w:bCs/>
                <w:color w:val="auto"/>
                <w:szCs w:val="21"/>
                <w:highlight w:val="none"/>
              </w:rPr>
              <w:t>，必须加盖投标人电子公章，否则</w:t>
            </w:r>
            <w:r>
              <w:rPr>
                <w:rFonts w:hint="eastAsia" w:asciiTheme="minorEastAsia" w:hAnsiTheme="minorEastAsia" w:eastAsiaTheme="minorEastAsia" w:cstheme="minorEastAsia"/>
                <w:b/>
                <w:color w:val="auto"/>
                <w:szCs w:val="21"/>
                <w:highlight w:val="none"/>
              </w:rPr>
              <w:t>作无效投标处理</w:t>
            </w:r>
            <w:r>
              <w:rPr>
                <w:rFonts w:hint="eastAsia" w:asciiTheme="minorEastAsia" w:hAnsiTheme="minorEastAsia" w:eastAsiaTheme="minorEastAsia" w:cstheme="minorEastAsia"/>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restart"/>
            <w:tcBorders>
              <w:top w:val="nil"/>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bookmarkStart w:id="32" w:name="_13.4"/>
            <w:bookmarkEnd w:id="32"/>
            <w:r>
              <w:rPr>
                <w:rFonts w:hint="eastAsia" w:asciiTheme="minorEastAsia" w:hAnsiTheme="minorEastAsia" w:eastAsiaTheme="minorEastAsia" w:cstheme="minorEastAsia"/>
                <w:color w:val="auto"/>
                <w:szCs w:val="21"/>
                <w:highlight w:val="none"/>
              </w:rPr>
              <w:t>技术文件组成</w:t>
            </w:r>
          </w:p>
          <w:p>
            <w:pPr>
              <w:spacing w:line="380" w:lineRule="exact"/>
              <w:rPr>
                <w:rFonts w:asciiTheme="minorEastAsia" w:hAnsiTheme="minorEastAsia" w:eastAsiaTheme="minorEastAsia" w:cstheme="minorEastAsia"/>
                <w:color w:val="auto"/>
                <w:szCs w:val="21"/>
                <w:highlight w:val="none"/>
              </w:rPr>
            </w:pP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lang w:eastAsia="zh-CN"/>
              </w:rPr>
              <w:t>服务需求偏离表</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lang w:val="en-US" w:eastAsia="zh-CN"/>
              </w:rPr>
              <w:t>实施</w:t>
            </w:r>
            <w:r>
              <w:rPr>
                <w:rFonts w:hint="eastAsia" w:asciiTheme="minorEastAsia" w:hAnsiTheme="minorEastAsia" w:eastAsiaTheme="minorEastAsia" w:cstheme="minorEastAsia"/>
                <w:color w:val="auto"/>
                <w:szCs w:val="21"/>
                <w:highlight w:val="none"/>
              </w:rPr>
              <w:t>方案</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对项目的认知和理解、工作难点和重点、项目实施方案等，各投标人根据自身实际情况编写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3、服务</w:t>
            </w:r>
            <w:r>
              <w:rPr>
                <w:rFonts w:hint="eastAsia" w:asciiTheme="minorEastAsia" w:hAnsiTheme="minorEastAsia" w:eastAsiaTheme="minorEastAsia" w:cstheme="minorEastAsia"/>
                <w:color w:val="auto"/>
                <w:szCs w:val="21"/>
                <w:highlight w:val="none"/>
                <w:lang w:val="en-US" w:eastAsia="zh-CN"/>
              </w:rPr>
              <w:t>保障</w:t>
            </w:r>
            <w:r>
              <w:rPr>
                <w:rFonts w:hint="eastAsia" w:asciiTheme="minorEastAsia" w:hAnsiTheme="minorEastAsia" w:eastAsiaTheme="minorEastAsia" w:cstheme="minorEastAsia"/>
                <w:color w:val="auto"/>
                <w:szCs w:val="21"/>
                <w:highlight w:val="none"/>
              </w:rPr>
              <w:t>方案</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lang w:val="en-US" w:eastAsia="zh-CN"/>
              </w:rPr>
              <w:t>售后服务、廉洁措施、风险防控措施、增值服务等，各投标人根据自身实际情况编写</w:t>
            </w:r>
            <w:r>
              <w:rPr>
                <w:rFonts w:hint="eastAsia" w:asciiTheme="minorEastAsia" w:hAnsiTheme="minorEastAsia" w:eastAsiaTheme="minorEastAsia" w:cstheme="minorEastAsia"/>
                <w:color w:val="auto"/>
                <w:szCs w:val="21"/>
                <w:highlight w:val="none"/>
                <w:lang w:eastAsia="zh-CN"/>
              </w:rPr>
              <w:t>）</w:t>
            </w:r>
            <w:r>
              <w:rPr>
                <w:rFonts w:hint="eastAsia" w:asciiTheme="minorEastAsia" w:hAnsiTheme="minorEastAsia" w:eastAsiaTheme="minorEastAsia" w:cstheme="minorEastAsia"/>
                <w:color w:val="auto"/>
                <w:szCs w:val="21"/>
                <w:highlight w:val="none"/>
              </w:rPr>
              <w:t>；（</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4、项目实施人员一览表；（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5、投标人对本项目的合理化建议和改进措施；（如有请提供）</w:t>
            </w:r>
          </w:p>
          <w:p>
            <w:pPr>
              <w:snapToGrid w:val="0"/>
              <w:spacing w:line="380" w:lineRule="exact"/>
              <w:jc w:val="left"/>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6、除招标文件规定必须提供以外，投标人需要说明的其他文件和说明。（如有请提供）</w:t>
            </w:r>
          </w:p>
          <w:p>
            <w:pPr>
              <w:snapToGrid w:val="0"/>
              <w:spacing w:line="380" w:lineRule="exact"/>
              <w:jc w:val="lef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注：以上标明“必须提供”的材料</w:t>
            </w:r>
            <w:r>
              <w:rPr>
                <w:rFonts w:hint="eastAsia" w:asciiTheme="minorEastAsia" w:hAnsiTheme="minorEastAsia" w:eastAsiaTheme="minorEastAsia" w:cstheme="minorEastAsia"/>
                <w:b/>
                <w:color w:val="auto"/>
                <w:szCs w:val="21"/>
                <w:highlight w:val="none"/>
              </w:rPr>
              <w:t>属于复印件的扫描件的</w:t>
            </w:r>
            <w:r>
              <w:rPr>
                <w:rFonts w:hint="eastAsia" w:asciiTheme="minorEastAsia" w:hAnsiTheme="minorEastAsia" w:eastAsiaTheme="minorEastAsia" w:cstheme="minorEastAsia"/>
                <w:b/>
                <w:bCs/>
                <w:color w:val="auto"/>
                <w:szCs w:val="21"/>
                <w:highlight w:val="none"/>
              </w:rPr>
              <w:t>，必须加盖投标人电子公章，否则</w:t>
            </w:r>
            <w:r>
              <w:rPr>
                <w:rFonts w:hint="eastAsia" w:asciiTheme="minorEastAsia" w:hAnsiTheme="minorEastAsia" w:eastAsiaTheme="minorEastAsia" w:cstheme="minorEastAsia"/>
                <w:b/>
                <w:color w:val="auto"/>
                <w:szCs w:val="21"/>
                <w:highlight w:val="none"/>
              </w:rPr>
              <w:t>作无效投标处理</w:t>
            </w:r>
            <w:r>
              <w:rPr>
                <w:rFonts w:hint="eastAsia" w:asciiTheme="minorEastAsia" w:hAnsiTheme="minorEastAsia" w:eastAsiaTheme="minorEastAsia" w:cstheme="minorEastAsia"/>
                <w:b/>
                <w:bCs/>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vMerge w:val="continue"/>
            <w:tcBorders>
              <w:top w:val="nil"/>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报价文件组成</w:t>
            </w:r>
          </w:p>
        </w:tc>
        <w:tc>
          <w:tcPr>
            <w:tcW w:w="7297" w:type="dxa"/>
            <w:tcBorders>
              <w:top w:val="single" w:color="auto" w:sz="4" w:space="0"/>
              <w:left w:val="single" w:color="auto" w:sz="4" w:space="0"/>
              <w:bottom w:val="single" w:color="auto" w:sz="4" w:space="0"/>
              <w:right w:val="single" w:color="auto" w:sz="4" w:space="0"/>
            </w:tcBorders>
            <w:noWrap/>
            <w:vAlign w:val="center"/>
          </w:tcPr>
          <w:p>
            <w:pPr>
              <w:tabs>
                <w:tab w:val="left" w:pos="459"/>
              </w:tabs>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1、投标函；</w:t>
            </w:r>
            <w:r>
              <w:rPr>
                <w:rFonts w:hint="eastAsia" w:asciiTheme="minorEastAsia" w:hAnsiTheme="minorEastAsia" w:eastAsiaTheme="minorEastAsia" w:cstheme="minorEastAsia"/>
                <w:b/>
                <w:color w:val="auto"/>
                <w:szCs w:val="21"/>
                <w:highlight w:val="none"/>
              </w:rPr>
              <w:t>（必须提供，否则作无效投标处理）</w:t>
            </w:r>
          </w:p>
          <w:p>
            <w:pPr>
              <w:tabs>
                <w:tab w:val="left" w:pos="459"/>
              </w:tabs>
              <w:snapToGrid w:val="0"/>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2、开标一览表；（</w:t>
            </w:r>
            <w:r>
              <w:rPr>
                <w:rFonts w:hint="eastAsia" w:asciiTheme="minorEastAsia" w:hAnsiTheme="minorEastAsia" w:eastAsiaTheme="minorEastAsia" w:cstheme="minorEastAsia"/>
                <w:b/>
                <w:color w:val="auto"/>
                <w:szCs w:val="21"/>
                <w:highlight w:val="none"/>
              </w:rPr>
              <w:t>必须提供，否则作无效投标处理</w:t>
            </w:r>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16.2</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33" w:name="_16.2"/>
            <w:bookmarkEnd w:id="33"/>
            <w:r>
              <w:rPr>
                <w:rFonts w:hint="eastAsia" w:asciiTheme="minorEastAsia" w:hAnsiTheme="minorEastAsia" w:eastAsiaTheme="minorEastAsia" w:cstheme="minorEastAsia"/>
                <w:color w:val="auto"/>
                <w:szCs w:val="21"/>
                <w:highlight w:val="none"/>
              </w:rPr>
              <w:t>投标报价要求</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投标报价是履行合同的最终价格，必须包含满足本次投标全部采购需求所应提供的服务，以及伴随的货物和工程（如有）的价格；包含投标服务、货物、工程的成本、运输（含保险）、安装（如有）、调试、检验、技术服务、培训、税费等所有费用。（采购需求另有约定的，从其约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17.2</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34" w:name="_17.1"/>
            <w:bookmarkEnd w:id="34"/>
            <w:r>
              <w:rPr>
                <w:rFonts w:hint="eastAsia" w:asciiTheme="minorEastAsia" w:hAnsiTheme="minorEastAsia" w:eastAsiaTheme="minorEastAsia" w:cstheme="minorEastAsia"/>
                <w:color w:val="auto"/>
                <w:szCs w:val="21"/>
                <w:highlight w:val="none"/>
              </w:rPr>
              <w:t>投标有效期</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自投标截止之日起</w:t>
            </w:r>
            <w:r>
              <w:rPr>
                <w:rFonts w:hint="eastAsia" w:asciiTheme="minorEastAsia" w:hAnsiTheme="minorEastAsia" w:eastAsiaTheme="minorEastAsia" w:cstheme="minorEastAsia"/>
                <w:color w:val="auto"/>
                <w:szCs w:val="21"/>
                <w:highlight w:val="none"/>
                <w:u w:val="single"/>
              </w:rPr>
              <w:t xml:space="preserve"> </w:t>
            </w:r>
            <w:bookmarkStart w:id="35" w:name="PO_3000001866_PM046"/>
            <w:r>
              <w:rPr>
                <w:rFonts w:hint="eastAsia" w:asciiTheme="minorEastAsia" w:hAnsiTheme="minorEastAsia" w:eastAsiaTheme="minorEastAsia" w:cstheme="minorEastAsia"/>
                <w:color w:val="auto"/>
                <w:szCs w:val="21"/>
                <w:highlight w:val="none"/>
                <w:u w:val="single"/>
              </w:rPr>
              <w:t>90日历日</w:t>
            </w:r>
            <w:bookmarkEnd w:id="35"/>
            <w:r>
              <w:rPr>
                <w:rFonts w:hint="eastAsia" w:asciiTheme="minorEastAsia" w:hAnsiTheme="minorEastAsia" w:eastAsiaTheme="minorEastAsia" w:cstheme="minorEastAsia"/>
                <w:color w:val="auto"/>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18</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36" w:name="_18"/>
            <w:bookmarkEnd w:id="36"/>
            <w:r>
              <w:rPr>
                <w:rFonts w:hint="eastAsia" w:asciiTheme="minorEastAsia" w:hAnsiTheme="minorEastAsia" w:eastAsiaTheme="minorEastAsia" w:cstheme="minorEastAsia"/>
                <w:color w:val="auto"/>
                <w:szCs w:val="21"/>
                <w:highlight w:val="none"/>
              </w:rPr>
              <w:t>投标保证金金额</w:t>
            </w:r>
          </w:p>
        </w:tc>
        <w:tc>
          <w:tcPr>
            <w:tcW w:w="7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80" w:lineRule="exac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本项目不收取投标保证金。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19.1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投标文件编制要求</w:t>
            </w:r>
          </w:p>
        </w:tc>
        <w:tc>
          <w:tcPr>
            <w:tcW w:w="7297"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color w:val="auto"/>
                <w:szCs w:val="21"/>
                <w:highlight w:val="none"/>
              </w:rPr>
              <w:t>投标文件应按报价文件、资格证明文件、商务文件、技术文件分别编制，报价文件、资格证明文件分别生成电子文件，商务文件和技术文件按顺序合并生成电子文件。</w:t>
            </w:r>
            <w:r>
              <w:rPr>
                <w:rFonts w:hint="eastAsia" w:asciiTheme="minorEastAsia" w:hAnsiTheme="minorEastAsia" w:eastAsiaTheme="minorEastAsia" w:cstheme="minorEastAsia"/>
                <w:b/>
                <w:color w:val="auto"/>
                <w:szCs w:val="21"/>
                <w:highlight w:val="none"/>
                <w:u w:val="single"/>
              </w:rPr>
              <w:t>电子版投标文件制作方式见招标公告附件。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20</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备份投标文件</w:t>
            </w:r>
          </w:p>
        </w:tc>
        <w:tc>
          <w:tcPr>
            <w:tcW w:w="7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80" w:lineRule="exac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本项目不接受备份投标文件。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675" w:type="dxa"/>
            <w:vMerge w:val="restart"/>
            <w:tcBorders>
              <w:top w:val="single" w:color="auto" w:sz="4" w:space="0"/>
              <w:left w:val="single" w:color="auto" w:sz="4" w:space="0"/>
              <w:bottom w:val="nil"/>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37" w:name="_21.1"/>
            <w:bookmarkEnd w:id="37"/>
            <w:r>
              <w:rPr>
                <w:rFonts w:hint="eastAsia" w:asciiTheme="minorEastAsia" w:hAnsiTheme="minorEastAsia" w:eastAsiaTheme="minorEastAsia" w:cstheme="minorEastAsia"/>
                <w:color w:val="auto"/>
                <w:szCs w:val="21"/>
                <w:highlight w:val="none"/>
              </w:rPr>
              <w:t>投标截止时间</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675" w:type="dxa"/>
            <w:vMerge w:val="continue"/>
            <w:tcBorders>
              <w:top w:val="single" w:color="auto" w:sz="4" w:space="0"/>
              <w:left w:val="single" w:color="auto" w:sz="4" w:space="0"/>
              <w:bottom w:val="nil"/>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投标文件提交起止时间</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675" w:type="dxa"/>
            <w:vMerge w:val="continue"/>
            <w:tcBorders>
              <w:top w:val="single" w:color="auto" w:sz="4" w:space="0"/>
              <w:left w:val="single" w:color="auto" w:sz="4" w:space="0"/>
              <w:bottom w:val="nil"/>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投标地点</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38" w:name="_23"/>
            <w:bookmarkEnd w:id="38"/>
            <w:r>
              <w:rPr>
                <w:rFonts w:hint="eastAsia" w:asciiTheme="minorEastAsia" w:hAnsiTheme="minorEastAsia" w:eastAsiaTheme="minorEastAsia" w:cstheme="minorEastAsia"/>
                <w:color w:val="auto"/>
                <w:szCs w:val="21"/>
                <w:highlight w:val="none"/>
              </w:rPr>
              <w:t>开标时间、地点</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详见招标公告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7"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25.3（2）</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39" w:name="_25.3"/>
            <w:bookmarkEnd w:id="39"/>
            <w:r>
              <w:rPr>
                <w:rFonts w:hint="eastAsia" w:asciiTheme="minorEastAsia" w:hAnsiTheme="minorEastAsia" w:eastAsiaTheme="minorEastAsia" w:cstheme="minorEastAsia"/>
                <w:color w:val="auto"/>
                <w:szCs w:val="21"/>
                <w:highlight w:val="none"/>
              </w:rPr>
              <w:t>投标人信用查询渠道</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采购人或者采购代理机构在资格审查结束前，对投标人进行信用查询。</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查询渠道：“信用中国”网站(www.creditchina.gov.cn) 、中国政府采购网(www.ccgp.gov.cn)。</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3"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信用查询截止时点</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资格审查结束前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查询记录和证据留存方式</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在查询网站中直接截图查询记录，截图作为在“广西政府采购云平台”</w:t>
            </w:r>
            <w:r>
              <w:rPr>
                <w:rFonts w:hint="eastAsia" w:asciiTheme="minorEastAsia" w:hAnsiTheme="minorEastAsia" w:eastAsiaTheme="minorEastAsia" w:cstheme="minorEastAsia"/>
                <w:color w:val="auto"/>
                <w:szCs w:val="21"/>
                <w:highlight w:val="none"/>
                <w:lang w:eastAsia="zh-CN"/>
              </w:rPr>
              <w:t>的</w:t>
            </w:r>
            <w:r>
              <w:rPr>
                <w:rFonts w:hint="eastAsia" w:asciiTheme="minorEastAsia" w:hAnsiTheme="minorEastAsia" w:eastAsiaTheme="minorEastAsia" w:cstheme="minorEastAsia"/>
                <w:color w:val="auto"/>
                <w:szCs w:val="21"/>
                <w:highlight w:val="none"/>
              </w:rPr>
              <w:t>附件上传保存。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信用信息使用规则</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w:t>
            </w:r>
            <w:r>
              <w:rPr>
                <w:rFonts w:hint="eastAsia" w:asciiTheme="minorEastAsia" w:hAnsiTheme="minorEastAsia" w:eastAsiaTheme="minorEastAsia" w:cstheme="minorEastAsia"/>
                <w:color w:val="auto"/>
                <w:sz w:val="22"/>
                <w:szCs w:val="22"/>
                <w:highlight w:val="none"/>
              </w:rPr>
              <w:t>应当拒绝其参与政府采购活动</w:t>
            </w:r>
            <w:r>
              <w:rPr>
                <w:rFonts w:hint="eastAsia" w:asciiTheme="minorEastAsia" w:hAnsiTheme="minorEastAsia" w:eastAsiaTheme="minorEastAsia" w:cstheme="minorEastAsia"/>
                <w:color w:val="auto"/>
                <w:szCs w:val="21"/>
                <w:highlight w:val="none"/>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40" w:name="_26"/>
            <w:bookmarkEnd w:id="40"/>
            <w:bookmarkStart w:id="41" w:name="_28.3"/>
            <w:bookmarkEnd w:id="41"/>
            <w:r>
              <w:rPr>
                <w:rFonts w:hint="eastAsia" w:asciiTheme="minorEastAsia" w:hAnsiTheme="minorEastAsia" w:eastAsiaTheme="minorEastAsia" w:cstheme="minorEastAsia"/>
                <w:color w:val="auto"/>
                <w:szCs w:val="21"/>
                <w:highlight w:val="none"/>
              </w:rPr>
              <w:t>评标方法</w:t>
            </w:r>
          </w:p>
        </w:tc>
        <w:tc>
          <w:tcPr>
            <w:tcW w:w="7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80" w:lineRule="exac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综合评分法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675" w:type="dxa"/>
            <w:tcBorders>
              <w:top w:val="single" w:color="auto" w:sz="4" w:space="0"/>
              <w:left w:val="single" w:color="auto" w:sz="4" w:space="0"/>
              <w:bottom w:val="nil"/>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29.2</w:t>
            </w:r>
          </w:p>
        </w:tc>
        <w:tc>
          <w:tcPr>
            <w:tcW w:w="2268" w:type="dxa"/>
            <w:tcBorders>
              <w:top w:val="single" w:color="auto" w:sz="4" w:space="0"/>
              <w:left w:val="single" w:color="auto" w:sz="4" w:space="0"/>
              <w:bottom w:val="nil"/>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42" w:name="_29.2.2（2）"/>
            <w:bookmarkEnd w:id="42"/>
            <w:r>
              <w:rPr>
                <w:rFonts w:hint="eastAsia" w:asciiTheme="minorEastAsia" w:hAnsiTheme="minorEastAsia" w:eastAsiaTheme="minorEastAsia" w:cstheme="minorEastAsia"/>
                <w:color w:val="auto"/>
                <w:szCs w:val="21"/>
                <w:highlight w:val="none"/>
              </w:rPr>
              <w:t>允许负偏离项</w:t>
            </w:r>
          </w:p>
        </w:tc>
        <w:tc>
          <w:tcPr>
            <w:tcW w:w="7297" w:type="dxa"/>
            <w:tcBorders>
              <w:top w:val="single" w:color="auto" w:sz="4" w:space="0"/>
              <w:left w:val="single" w:color="auto" w:sz="4" w:space="0"/>
              <w:bottom w:val="nil"/>
              <w:right w:val="single" w:color="auto" w:sz="4" w:space="0"/>
            </w:tcBorders>
            <w:noWrap/>
            <w:vAlign w:val="center"/>
          </w:tcPr>
          <w:p>
            <w:pPr>
              <w:snapToGrid w:val="0"/>
              <w:spacing w:line="380" w:lineRule="exact"/>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商务条款评审中允许负偏离的条款数为</w:t>
            </w:r>
            <w:r>
              <w:rPr>
                <w:rFonts w:hint="eastAsia" w:asciiTheme="minorEastAsia" w:hAnsiTheme="minorEastAsia" w:eastAsiaTheme="minorEastAsia" w:cstheme="minorEastAsia"/>
                <w:b/>
                <w:bCs/>
                <w:color w:val="auto"/>
                <w:szCs w:val="21"/>
                <w:highlight w:val="none"/>
                <w:u w:val="single"/>
              </w:rPr>
              <w:t xml:space="preserve"> 0</w:t>
            </w:r>
            <w:r>
              <w:rPr>
                <w:rFonts w:hint="eastAsia" w:asciiTheme="minorEastAsia" w:hAnsiTheme="minorEastAsia" w:eastAsiaTheme="minorEastAsia" w:cstheme="minorEastAsia"/>
                <w:b/>
                <w:bCs/>
                <w:color w:val="auto"/>
                <w:szCs w:val="21"/>
                <w:highlight w:val="none"/>
              </w:rPr>
              <w:t>项。</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技术需求评审中允许负偏离的条款数为</w:t>
            </w:r>
            <w:r>
              <w:rPr>
                <w:rFonts w:hint="eastAsia" w:asciiTheme="minorEastAsia" w:hAnsiTheme="minorEastAsia" w:eastAsiaTheme="minorEastAsia" w:cstheme="minorEastAsia"/>
                <w:b/>
                <w:bCs/>
                <w:color w:val="auto"/>
                <w:szCs w:val="21"/>
                <w:highlight w:val="none"/>
                <w:u w:val="single"/>
              </w:rPr>
              <w:t xml:space="preserve"> 0</w:t>
            </w:r>
            <w:r>
              <w:rPr>
                <w:rFonts w:hint="eastAsia" w:asciiTheme="minorEastAsia" w:hAnsiTheme="minorEastAsia" w:eastAsiaTheme="minorEastAsia" w:cstheme="minorEastAsia"/>
                <w:b/>
                <w:bCs/>
                <w:color w:val="auto"/>
                <w:szCs w:val="21"/>
                <w:highlight w:val="none"/>
              </w:rPr>
              <w:t>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30.1</w:t>
            </w:r>
          </w:p>
        </w:tc>
        <w:tc>
          <w:tcPr>
            <w:tcW w:w="2268"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80" w:lineRule="exac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确定中标人时，出现中标候选人分数并列的情形，确定中标人方式 </w:t>
            </w:r>
          </w:p>
        </w:tc>
        <w:tc>
          <w:tcPr>
            <w:tcW w:w="7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80" w:lineRule="exact"/>
              <w:textAlignment w:val="bottom"/>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采用综合评分法的，按投标报价由低到高顺序排列。得分且投标报价相同的并列。投标文件满足招标文件全部实质性要求，且按照评审因素的量化指标评审得分最高的投标人为排名第一的中标候选人。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35</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43" w:name="_39.1"/>
            <w:bookmarkEnd w:id="43"/>
            <w:r>
              <w:rPr>
                <w:rFonts w:hint="eastAsia" w:asciiTheme="minorEastAsia" w:hAnsiTheme="minorEastAsia" w:eastAsiaTheme="minorEastAsia" w:cstheme="minorEastAsia"/>
                <w:color w:val="auto"/>
                <w:szCs w:val="21"/>
                <w:highlight w:val="none"/>
              </w:rPr>
              <w:t>履约保证金金额</w:t>
            </w:r>
          </w:p>
        </w:tc>
        <w:tc>
          <w:tcPr>
            <w:tcW w:w="7297" w:type="dxa"/>
            <w:tcBorders>
              <w:top w:val="single" w:color="auto" w:sz="4" w:space="0"/>
              <w:left w:val="single" w:color="auto" w:sz="4" w:space="0"/>
              <w:bottom w:val="single" w:color="auto" w:sz="4" w:space="0"/>
              <w:right w:val="single" w:color="auto" w:sz="4" w:space="0"/>
            </w:tcBorders>
            <w:noWrap/>
            <w:vAlign w:val="bottom"/>
          </w:tcPr>
          <w:p>
            <w:pPr>
              <w:autoSpaceDE w:val="0"/>
              <w:autoSpaceDN w:val="0"/>
              <w:snapToGrid w:val="0"/>
              <w:spacing w:line="380" w:lineRule="exact"/>
              <w:jc w:val="lef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本项目不收取履约保证金。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44" w:name="_40.1"/>
            <w:bookmarkEnd w:id="44"/>
            <w:r>
              <w:rPr>
                <w:rFonts w:hint="eastAsia" w:asciiTheme="minorEastAsia" w:hAnsiTheme="minorEastAsia" w:eastAsiaTheme="minorEastAsia" w:cstheme="minorEastAsia"/>
                <w:color w:val="auto"/>
                <w:szCs w:val="21"/>
                <w:highlight w:val="none"/>
              </w:rPr>
              <w:t>签订电子合同携带的材料</w:t>
            </w:r>
          </w:p>
        </w:tc>
        <w:tc>
          <w:tcPr>
            <w:tcW w:w="7297" w:type="dxa"/>
            <w:tcBorders>
              <w:top w:val="single" w:color="auto" w:sz="4" w:space="0"/>
              <w:left w:val="single" w:color="auto" w:sz="4" w:space="0"/>
              <w:bottom w:val="single" w:color="auto" w:sz="4" w:space="0"/>
              <w:right w:val="single" w:color="auto" w:sz="4" w:space="0"/>
            </w:tcBorders>
            <w:noWrap/>
            <w:vAlign w:val="center"/>
          </w:tcPr>
          <w:p>
            <w:pPr>
              <w:autoSpaceDE w:val="0"/>
              <w:autoSpaceDN w:val="0"/>
              <w:snapToGrid w:val="0"/>
              <w:spacing w:line="380" w:lineRule="exact"/>
              <w:textAlignment w:val="bottom"/>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电子采购合同需要供应商通过有效CA证书进行电子签署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38.2.1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接收质疑函方式</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宋体" w:hAnsi="宋体"/>
                <w:color w:val="auto"/>
                <w:szCs w:val="21"/>
                <w:highlight w:val="none"/>
              </w:rPr>
              <w:t>提交纸质书面材料或通过广西政府采购云平台系统（上传扫描件）提出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质疑联系部门及联系方式</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（1）</w:t>
            </w:r>
            <w:r>
              <w:rPr>
                <w:rFonts w:hint="eastAsia" w:asciiTheme="minorEastAsia" w:hAnsiTheme="minorEastAsia" w:eastAsiaTheme="minorEastAsia" w:cstheme="minorEastAsia"/>
                <w:color w:val="auto"/>
                <w:szCs w:val="21"/>
                <w:highlight w:val="none"/>
                <w:u w:val="single"/>
                <w:lang w:eastAsia="zh-CN"/>
              </w:rPr>
              <w:t>广西阳光采购服务公司</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部门；</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w:t>
            </w:r>
            <w:bookmarkStart w:id="45" w:name="PO_3000001866_PM033_1"/>
            <w:r>
              <w:rPr>
                <w:rFonts w:hint="eastAsia" w:asciiTheme="minorEastAsia" w:hAnsiTheme="minorEastAsia" w:eastAsiaTheme="minorEastAsia" w:cstheme="minorEastAsia"/>
                <w:color w:val="auto"/>
                <w:szCs w:val="21"/>
                <w:highlight w:val="none"/>
              </w:rPr>
              <w:t>0771-</w:t>
            </w:r>
            <w:bookmarkEnd w:id="45"/>
            <w:r>
              <w:rPr>
                <w:rFonts w:hint="eastAsia" w:asciiTheme="minorEastAsia" w:hAnsiTheme="minorEastAsia" w:eastAsiaTheme="minorEastAsia" w:cstheme="minorEastAsia"/>
                <w:color w:val="auto"/>
                <w:szCs w:val="21"/>
                <w:highlight w:val="none"/>
                <w:lang w:val="en-US" w:eastAsia="zh-CN"/>
              </w:rPr>
              <w:t>5581680</w:t>
            </w:r>
            <w:r>
              <w:rPr>
                <w:rFonts w:hint="eastAsia" w:asciiTheme="minorEastAsia" w:hAnsiTheme="minorEastAsia" w:eastAsiaTheme="minorEastAsia" w:cstheme="minorEastAsia"/>
                <w:color w:val="auto"/>
                <w:szCs w:val="21"/>
                <w:highlight w:val="none"/>
              </w:rPr>
              <w:t>，</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通讯地址：南宁市青秀区枫林路18号广西国控集团（枫林路办公区）裙楼三层</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（2）</w:t>
            </w:r>
            <w:r>
              <w:rPr>
                <w:rFonts w:hint="eastAsia" w:asciiTheme="minorEastAsia" w:hAnsiTheme="minorEastAsia" w:eastAsiaTheme="minorEastAsia" w:cstheme="minorEastAsia"/>
                <w:color w:val="auto"/>
                <w:szCs w:val="21"/>
                <w:highlight w:val="none"/>
                <w:u w:val="single"/>
                <w:lang w:eastAsia="zh-CN"/>
              </w:rPr>
              <w:t>南宁市西乡塘区农业农村局</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部门；</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联系电话：0771-2318506，</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通讯地址：南宁市西乡塘区秀灵路东三里30号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现场提交质疑办理业务时间</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质疑期内每个工作日</w:t>
            </w:r>
            <w:r>
              <w:rPr>
                <w:rFonts w:hint="eastAsia" w:asciiTheme="minorEastAsia" w:hAnsiTheme="minorEastAsia" w:eastAsiaTheme="minorEastAsia" w:cstheme="minorEastAsia"/>
                <w:color w:val="auto"/>
                <w:highlight w:val="none"/>
                <w:u w:val="single"/>
              </w:rPr>
              <w:t xml:space="preserve"> 8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30 </w:t>
            </w:r>
            <w:r>
              <w:rPr>
                <w:rFonts w:hint="eastAsia" w:asciiTheme="minorEastAsia" w:hAnsiTheme="minorEastAsia" w:eastAsiaTheme="minorEastAsia" w:cstheme="minorEastAsia"/>
                <w:color w:val="auto"/>
                <w:highlight w:val="none"/>
              </w:rPr>
              <w:t>分到</w:t>
            </w:r>
            <w:r>
              <w:rPr>
                <w:rFonts w:hint="eastAsia" w:asciiTheme="minorEastAsia" w:hAnsiTheme="minorEastAsia" w:eastAsiaTheme="minorEastAsia" w:cstheme="minorEastAsia"/>
                <w:color w:val="auto"/>
                <w:highlight w:val="none"/>
                <w:u w:val="single"/>
              </w:rPr>
              <w:t xml:space="preserve"> 12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00  </w:t>
            </w:r>
            <w:r>
              <w:rPr>
                <w:rFonts w:hint="eastAsia" w:asciiTheme="minorEastAsia" w:hAnsiTheme="minorEastAsia" w:eastAsiaTheme="minorEastAsia" w:cstheme="minorEastAsia"/>
                <w:color w:val="auto"/>
                <w:highlight w:val="none"/>
              </w:rPr>
              <w:t>分，</w:t>
            </w:r>
            <w:r>
              <w:rPr>
                <w:rFonts w:hint="eastAsia" w:asciiTheme="minorEastAsia" w:hAnsiTheme="minorEastAsia" w:eastAsiaTheme="minorEastAsia" w:cstheme="minorEastAsia"/>
                <w:color w:val="auto"/>
                <w:highlight w:val="none"/>
                <w:u w:val="single"/>
              </w:rPr>
              <w:t xml:space="preserve"> 1</w:t>
            </w:r>
            <w:r>
              <w:rPr>
                <w:rFonts w:hint="eastAsia" w:asciiTheme="minorEastAsia" w:hAnsiTheme="minorEastAsia" w:eastAsiaTheme="minorEastAsia" w:cstheme="minorEastAsia"/>
                <w:color w:val="auto"/>
                <w:highlight w:val="none"/>
                <w:u w:val="single"/>
                <w:lang w:val="en-US" w:eastAsia="zh-CN"/>
              </w:rPr>
              <w:t>5</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时</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val="en-US" w:eastAsia="zh-CN"/>
              </w:rPr>
              <w:t>0</w:t>
            </w:r>
            <w:r>
              <w:rPr>
                <w:rFonts w:hint="eastAsia" w:asciiTheme="minorEastAsia" w:hAnsiTheme="minorEastAsia" w:eastAsiaTheme="minorEastAsia" w:cstheme="minorEastAsia"/>
                <w:color w:val="auto"/>
                <w:highlight w:val="none"/>
                <w:u w:val="single"/>
              </w:rPr>
              <w:t xml:space="preserve">0 </w:t>
            </w:r>
            <w:r>
              <w:rPr>
                <w:rFonts w:hint="eastAsia" w:asciiTheme="minorEastAsia" w:hAnsiTheme="minorEastAsia" w:eastAsiaTheme="minorEastAsia" w:cstheme="minorEastAsia"/>
                <w:color w:val="auto"/>
                <w:highlight w:val="none"/>
              </w:rPr>
              <w:t>分到</w:t>
            </w:r>
            <w:r>
              <w:rPr>
                <w:rFonts w:hint="eastAsia" w:asciiTheme="minorEastAsia" w:hAnsiTheme="minorEastAsia" w:eastAsiaTheme="minorEastAsia" w:cstheme="minorEastAsia"/>
                <w:color w:val="auto"/>
                <w:highlight w:val="none"/>
                <w:u w:val="single"/>
              </w:rPr>
              <w:t xml:space="preserve"> 18 </w:t>
            </w:r>
            <w:r>
              <w:rPr>
                <w:rFonts w:hint="eastAsia" w:asciiTheme="minorEastAsia" w:hAnsiTheme="minorEastAsia" w:eastAsiaTheme="minorEastAsia" w:cstheme="minorEastAsia"/>
                <w:color w:val="auto"/>
                <w:highlight w:val="none"/>
              </w:rPr>
              <w:t>时00分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75" w:type="dxa"/>
            <w:tcBorders>
              <w:top w:val="nil"/>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38.3.1</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投诉受理方式</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1、受理方式：纸质方式受理，投诉书正、副本（经过质疑的事项才可投诉）。</w:t>
            </w:r>
          </w:p>
          <w:p>
            <w:pPr>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2、邮寄地址：</w:t>
            </w:r>
          </w:p>
          <w:p>
            <w:pPr>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名称：</w:t>
            </w:r>
            <w:bookmarkStart w:id="46" w:name="PO_3000001866_PM036"/>
            <w:r>
              <w:rPr>
                <w:rFonts w:hint="eastAsia" w:asciiTheme="minorEastAsia" w:hAnsiTheme="minorEastAsia" w:eastAsiaTheme="minorEastAsia" w:cstheme="minorEastAsia"/>
                <w:color w:val="auto"/>
                <w:highlight w:val="none"/>
              </w:rPr>
              <w:t>南宁市财政局政府采购监督管理科</w:t>
            </w:r>
            <w:bookmarkEnd w:id="46"/>
          </w:p>
          <w:p>
            <w:pPr>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地址：南宁市青秀区东葛路129号 </w:t>
            </w:r>
            <w:bookmarkStart w:id="47" w:name="PO_3000001866_PM039"/>
            <w:r>
              <w:rPr>
                <w:rFonts w:hint="eastAsia" w:asciiTheme="minorEastAsia" w:hAnsiTheme="minorEastAsia" w:eastAsiaTheme="minorEastAsia" w:cstheme="minorEastAsia"/>
                <w:color w:val="auto"/>
                <w:highlight w:val="none"/>
              </w:rPr>
              <w:t xml:space="preserve"> </w:t>
            </w:r>
            <w:bookmarkEnd w:id="47"/>
          </w:p>
          <w:p>
            <w:pPr>
              <w:snapToGrid w:val="0"/>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联系电话：</w:t>
            </w:r>
            <w:bookmarkStart w:id="48" w:name="PO_3000001866_PM038_1"/>
            <w:r>
              <w:rPr>
                <w:rFonts w:hint="eastAsia" w:asciiTheme="minorEastAsia" w:hAnsiTheme="minorEastAsia" w:eastAsiaTheme="minorEastAsia" w:cstheme="minorEastAsia"/>
                <w:color w:val="auto"/>
                <w:highlight w:val="none"/>
              </w:rPr>
              <w:t>0771-2189091</w:t>
            </w:r>
            <w:bookmarkEnd w:id="48"/>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79" w:hRule="atLeast"/>
        </w:trPr>
        <w:tc>
          <w:tcPr>
            <w:tcW w:w="675" w:type="dxa"/>
            <w:vMerge w:val="restart"/>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40</w:t>
            </w: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bookmarkStart w:id="49" w:name="_41"/>
            <w:bookmarkEnd w:id="49"/>
            <w:bookmarkStart w:id="50" w:name="_42"/>
            <w:bookmarkEnd w:id="50"/>
            <w:r>
              <w:rPr>
                <w:rFonts w:hint="eastAsia" w:asciiTheme="minorEastAsia" w:hAnsiTheme="minorEastAsia" w:eastAsiaTheme="minorEastAsia" w:cstheme="minorEastAsia"/>
                <w:color w:val="auto"/>
                <w:highlight w:val="none"/>
              </w:rPr>
              <w:t>采购代理费支付方式</w:t>
            </w:r>
          </w:p>
        </w:tc>
        <w:tc>
          <w:tcPr>
            <w:tcW w:w="7297" w:type="dxa"/>
            <w:tcBorders>
              <w:top w:val="single" w:color="auto" w:sz="4" w:space="0"/>
              <w:left w:val="single" w:color="auto" w:sz="4" w:space="0"/>
              <w:bottom w:val="single" w:color="auto" w:sz="4" w:space="0"/>
              <w:right w:val="single" w:color="auto" w:sz="4" w:space="0"/>
            </w:tcBorders>
            <w:noWrap/>
            <w:vAlign w:val="center"/>
          </w:tcPr>
          <w:p>
            <w:pPr>
              <w:pStyle w:val="13"/>
              <w:snapToGrid w:val="0"/>
              <w:spacing w:line="38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本项目代理服务费由</w:t>
            </w:r>
            <w:r>
              <w:rPr>
                <w:rFonts w:hint="eastAsia" w:asciiTheme="minorEastAsia" w:hAnsiTheme="minorEastAsia" w:eastAsiaTheme="minorEastAsia" w:cstheme="minorEastAsia"/>
                <w:color w:val="auto"/>
                <w:highlight w:val="none"/>
                <w:u w:val="single"/>
              </w:rPr>
              <w:t>中标人</w:t>
            </w:r>
            <w:r>
              <w:rPr>
                <w:rFonts w:hint="eastAsia" w:asciiTheme="minorEastAsia" w:hAnsiTheme="minorEastAsia" w:eastAsiaTheme="minorEastAsia" w:cstheme="minorEastAsia"/>
                <w:color w:val="auto"/>
                <w:highlight w:val="none"/>
              </w:rPr>
              <w:t>在领取中标通知书前，一次性向采购代理机构支付。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4"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采购代理费收取标准</w:t>
            </w:r>
          </w:p>
        </w:tc>
        <w:tc>
          <w:tcPr>
            <w:tcW w:w="7297" w:type="dxa"/>
            <w:tcBorders>
              <w:top w:val="single" w:color="auto" w:sz="4" w:space="0"/>
              <w:left w:val="single" w:color="auto" w:sz="4" w:space="0"/>
              <w:bottom w:val="single" w:color="auto" w:sz="4" w:space="0"/>
              <w:right w:val="single" w:color="auto" w:sz="4" w:space="0"/>
            </w:tcBorders>
            <w:noWrap/>
            <w:vAlign w:val="center"/>
          </w:tcPr>
          <w:p>
            <w:pPr>
              <w:pStyle w:val="13"/>
              <w:snapToGrid w:val="0"/>
              <w:spacing w:line="380" w:lineRule="exact"/>
              <w:rPr>
                <w:rFonts w:hint="default" w:asciiTheme="minorEastAsia" w:hAnsiTheme="minorEastAsia" w:eastAsiaTheme="minorEastAsia" w:cstheme="minorEastAsia"/>
                <w:color w:val="auto"/>
                <w:highlight w:val="none"/>
                <w:u w:val="single"/>
                <w:lang w:val="en-US" w:eastAsia="zh-CN"/>
              </w:rPr>
            </w:pPr>
            <w:r>
              <w:rPr>
                <w:rFonts w:hint="eastAsia" w:asciiTheme="minorEastAsia" w:hAnsiTheme="minorEastAsia" w:eastAsiaTheme="minorEastAsia" w:cstheme="minorEastAsia"/>
                <w:color w:val="auto"/>
                <w:highlight w:val="none"/>
                <w:lang w:val="en-US" w:eastAsia="zh-CN"/>
              </w:rPr>
              <w:t>以中标金额为基数，按服务类标准下浮5%收取。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9" w:hRule="atLeast"/>
        </w:trPr>
        <w:tc>
          <w:tcPr>
            <w:tcW w:w="67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2268" w:type="dxa"/>
            <w:tcBorders>
              <w:top w:val="single" w:color="auto" w:sz="4" w:space="0"/>
              <w:left w:val="single" w:color="auto" w:sz="4" w:space="0"/>
              <w:bottom w:val="single" w:color="auto" w:sz="4" w:space="0"/>
              <w:right w:val="single" w:color="auto" w:sz="4" w:space="0"/>
            </w:tcBorders>
            <w:noWrap/>
            <w:vAlign w:val="center"/>
          </w:tcPr>
          <w:p>
            <w:pPr>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highlight w:val="none"/>
              </w:rPr>
              <w:t>代理服务费收款账户信息</w:t>
            </w:r>
          </w:p>
        </w:tc>
        <w:tc>
          <w:tcPr>
            <w:tcW w:w="7297" w:type="dxa"/>
            <w:tcBorders>
              <w:top w:val="single" w:color="auto" w:sz="4" w:space="0"/>
              <w:left w:val="single" w:color="auto" w:sz="4" w:space="0"/>
              <w:bottom w:val="single" w:color="auto" w:sz="4" w:space="0"/>
              <w:right w:val="single" w:color="auto" w:sz="4" w:space="0"/>
            </w:tcBorders>
            <w:noWrap/>
            <w:vAlign w:val="center"/>
          </w:tcPr>
          <w:p>
            <w:pPr>
              <w:pStyle w:val="13"/>
              <w:shd w:val="clear" w:color="auto" w:fill="FFFFFF"/>
              <w:snapToGrid w:val="0"/>
              <w:spacing w:line="400" w:lineRule="exact"/>
              <w:rPr>
                <w:rFonts w:hint="eastAsia" w:hAnsi="宋体" w:eastAsia="宋体"/>
                <w:color w:val="auto"/>
                <w:sz w:val="21"/>
                <w:highlight w:val="none"/>
                <w:lang w:eastAsia="zh-CN"/>
              </w:rPr>
            </w:pPr>
            <w:r>
              <w:rPr>
                <w:rFonts w:hint="eastAsia" w:hAnsi="宋体"/>
                <w:color w:val="auto"/>
                <w:sz w:val="21"/>
                <w:highlight w:val="none"/>
              </w:rPr>
              <w:t>账户名称：</w:t>
            </w:r>
            <w:r>
              <w:rPr>
                <w:rFonts w:hint="eastAsia" w:hAnsi="宋体"/>
                <w:color w:val="auto"/>
                <w:sz w:val="21"/>
                <w:highlight w:val="none"/>
                <w:lang w:eastAsia="zh-CN"/>
              </w:rPr>
              <w:t>广西阳光采购服务有限公司</w:t>
            </w:r>
          </w:p>
          <w:p>
            <w:pPr>
              <w:snapToGrid w:val="0"/>
              <w:spacing w:line="400" w:lineRule="exact"/>
              <w:ind w:firstLine="0" w:firstLine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开户银行：兴业银行股份有限公司凤岭支行 </w:t>
            </w:r>
          </w:p>
          <w:p>
            <w:pPr>
              <w:pStyle w:val="13"/>
              <w:snapToGrid w:val="0"/>
              <w:spacing w:line="380" w:lineRule="exact"/>
              <w:rPr>
                <w:rFonts w:asciiTheme="minorEastAsia" w:hAnsiTheme="minorEastAsia" w:eastAsiaTheme="minorEastAsia" w:cstheme="minorEastAsia"/>
                <w:color w:val="auto"/>
                <w:highlight w:val="none"/>
              </w:rPr>
            </w:pPr>
            <w:r>
              <w:rPr>
                <w:rFonts w:hint="eastAsia" w:ascii="宋体" w:hAnsi="宋体" w:eastAsia="宋体" w:cs="宋体"/>
                <w:color w:val="auto"/>
                <w:szCs w:val="21"/>
                <w:highlight w:val="none"/>
              </w:rPr>
              <w:t>帐    号：5520 8010 0100 2183 63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41.1</w:t>
            </w: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解释</w:t>
            </w:r>
          </w:p>
        </w:tc>
        <w:tc>
          <w:tcPr>
            <w:tcW w:w="7297"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解释权：</w:t>
            </w:r>
            <w:r>
              <w:rPr>
                <w:rFonts w:hint="eastAsia" w:asciiTheme="minorEastAsia" w:hAnsiTheme="minorEastAsia" w:eastAsiaTheme="minorEastAsia" w:cstheme="minorEastAsia"/>
                <w:color w:val="auto"/>
                <w:szCs w:val="21"/>
                <w:highlight w:val="none"/>
              </w:rPr>
              <w:t>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w:t>
            </w:r>
            <w:r>
              <w:rPr>
                <w:rFonts w:hint="eastAsia" w:asciiTheme="minorEastAsia" w:hAnsiTheme="minorEastAsia" w:eastAsiaTheme="minorEastAsia" w:cstheme="minorEastAsia"/>
                <w:b/>
                <w:color w:val="auto"/>
                <w:szCs w:val="21"/>
                <w:highlight w:val="none"/>
              </w:rPr>
              <w:t>，由采购人或者采购代理机构负责解释。</w:t>
            </w:r>
          </w:p>
          <w:p>
            <w:pPr>
              <w:snapToGrid w:val="0"/>
              <w:spacing w:line="380" w:lineRule="exac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法律责任：</w:t>
            </w:r>
          </w:p>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本采购文件根据《中华人民共和国政府采购法》、《中华人民共和国民法典》；《中华人民共和国政府采购法实施条例》、《政府采购货物和服务招标投标管理办法》等有关法律、法规编制，参与本项目的各政府采购当事人依法享有上述法律法规所赋予的权利与义务。</w:t>
            </w:r>
          </w:p>
          <w:p>
            <w:pPr>
              <w:spacing w:line="38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szCs w:val="21"/>
                <w:highlight w:val="none"/>
              </w:rPr>
              <w:t>2.本项目采购代理机构应严格按照广西政府采购云平台项目采购全流程电子化电子开评标规程执行项目采购活动，代理机构在广西政府采购云平台的“项目管理”—“采购文件管理”内开评标规则设置作为本采购文件的组成部分，截标之后不可更改，因代理机构开评标规则设置错误导致采购活动无法开展下去的情况，由代理机构负责解释并承担其后果。</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41.2</w:t>
            </w:r>
          </w:p>
        </w:tc>
        <w:tc>
          <w:tcPr>
            <w:tcW w:w="2268" w:type="dxa"/>
            <w:tcBorders>
              <w:top w:val="single" w:color="auto" w:sz="4" w:space="0"/>
              <w:left w:val="single" w:color="auto" w:sz="4" w:space="0"/>
              <w:bottom w:val="single" w:color="auto" w:sz="4" w:space="0"/>
              <w:right w:val="single" w:color="auto" w:sz="4" w:space="0"/>
            </w:tcBorders>
            <w:noWrap/>
            <w:vAlign w:val="center"/>
          </w:tcPr>
          <w:p>
            <w:pPr>
              <w:snapToGrid w:val="0"/>
              <w:spacing w:line="38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其他释义</w:t>
            </w:r>
          </w:p>
        </w:tc>
        <w:tc>
          <w:tcPr>
            <w:tcW w:w="729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1.本招标文件中描述投标人的“公章”是指根据我国对公章的管理规定，用投标人法定主体行为名称制作的印章（含投标人通过指定电子化政府采购平台办理数字证书（CA认证）获得的以法定主体行为名称制作的电子印章），除本招标文件有特殊规定外，投标人的财务章、部门章、分公司章、工会章、合同章、投标专用章、业务专用章及银行的转账章、现金收讫章、现金付讫章等其他形式印章均不能代替公章。</w:t>
            </w:r>
          </w:p>
          <w:p>
            <w:pPr>
              <w:pStyle w:val="13"/>
              <w:snapToGrid w:val="0"/>
              <w:spacing w:line="3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2.投标人为其他组织或者自然人时，本招标文件规定的法定代表人指负责人或者自然人。本招标文件所称负责人是指参加投标的其他组织营业执照上的负责人，本招标文件所称自然人指参与投标的自然人本人。</w:t>
            </w:r>
          </w:p>
          <w:p>
            <w:pPr>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3.本招标文件中描述投标人的“</w:t>
            </w:r>
            <w:r>
              <w:rPr>
                <w:rFonts w:hint="eastAsia" w:asciiTheme="minorEastAsia" w:hAnsiTheme="minorEastAsia" w:eastAsiaTheme="minorEastAsia" w:cstheme="minorEastAsia"/>
                <w:b/>
                <w:bCs/>
                <w:color w:val="auto"/>
                <w:highlight w:val="none"/>
                <w:lang w:val="en-US" w:eastAsia="zh-CN"/>
              </w:rPr>
              <w:t>签名</w:t>
            </w:r>
            <w:r>
              <w:rPr>
                <w:rFonts w:hint="eastAsia" w:asciiTheme="minorEastAsia" w:hAnsiTheme="minorEastAsia" w:eastAsiaTheme="minorEastAsia" w:cstheme="minorEastAsia"/>
                <w:b/>
                <w:bCs/>
                <w:color w:val="auto"/>
                <w:highlight w:val="none"/>
              </w:rPr>
              <w:t>”是指投标人的法定代表人或者委托代理人亲自在文件规定签署处亲笔写上个人的名字的行为（含投标人通过指定电子化政府采购平台办理数字证书（CA认证）获得的以投标人法定代表人或者委托代理人姓名制作的电子印章或手写</w:t>
            </w:r>
            <w:r>
              <w:rPr>
                <w:rFonts w:hint="eastAsia" w:asciiTheme="minorEastAsia" w:hAnsiTheme="minorEastAsia" w:eastAsiaTheme="minorEastAsia" w:cstheme="minorEastAsia"/>
                <w:b/>
                <w:bCs/>
                <w:color w:val="auto"/>
                <w:highlight w:val="none"/>
                <w:lang w:val="en-US" w:eastAsia="zh-CN"/>
              </w:rPr>
              <w:t>签名</w:t>
            </w:r>
            <w:r>
              <w:rPr>
                <w:rFonts w:hint="eastAsia" w:asciiTheme="minorEastAsia" w:hAnsiTheme="minorEastAsia" w:eastAsiaTheme="minorEastAsia" w:cstheme="minorEastAsia"/>
                <w:b/>
                <w:bCs/>
                <w:color w:val="auto"/>
                <w:highlight w:val="none"/>
              </w:rPr>
              <w:t>），私章、签字章、印鉴、影印等其他形式均不能代替亲笔</w:t>
            </w:r>
            <w:r>
              <w:rPr>
                <w:rFonts w:hint="eastAsia" w:asciiTheme="minorEastAsia" w:hAnsiTheme="minorEastAsia" w:eastAsiaTheme="minorEastAsia" w:cstheme="minorEastAsia"/>
                <w:b/>
                <w:bCs/>
                <w:color w:val="auto"/>
                <w:highlight w:val="none"/>
                <w:lang w:val="en-US" w:eastAsia="zh-CN"/>
              </w:rPr>
              <w:t>签名</w:t>
            </w:r>
            <w:r>
              <w:rPr>
                <w:rFonts w:hint="eastAsia" w:asciiTheme="minorEastAsia" w:hAnsiTheme="minorEastAsia" w:eastAsiaTheme="minorEastAsia" w:cstheme="minorEastAsia"/>
                <w:b/>
                <w:bCs/>
                <w:color w:val="auto"/>
                <w:highlight w:val="none"/>
              </w:rPr>
              <w:t>。</w:t>
            </w:r>
          </w:p>
          <w:p>
            <w:pPr>
              <w:pStyle w:val="13"/>
              <w:snapToGrid w:val="0"/>
              <w:spacing w:line="380" w:lineRule="exact"/>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4.自然人投标的，招标文件规定盖公章处由自然人摁手指指印。</w:t>
            </w:r>
          </w:p>
          <w:p>
            <w:pPr>
              <w:spacing w:line="380" w:lineRule="exact"/>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5.本招标文件所称的“以上”“以下”“以内”“届满”，包括本数；所称的“不满”“超过”“以外”，不包括本数。</w:t>
            </w:r>
          </w:p>
        </w:tc>
      </w:tr>
    </w:tbl>
    <w:p>
      <w:pPr>
        <w:widowControl/>
        <w:spacing w:line="412" w:lineRule="auto"/>
        <w:jc w:val="left"/>
        <w:rPr>
          <w:rFonts w:asciiTheme="minorEastAsia" w:hAnsiTheme="minorEastAsia" w:eastAsiaTheme="minorEastAsia" w:cstheme="minorEastAsia"/>
          <w:b/>
          <w:bCs/>
          <w:color w:val="auto"/>
          <w:sz w:val="32"/>
          <w:szCs w:val="32"/>
          <w:highlight w:val="none"/>
        </w:rPr>
        <w:sectPr>
          <w:pgSz w:w="11906" w:h="16838"/>
          <w:pgMar w:top="1134" w:right="1134" w:bottom="1134" w:left="1134" w:header="720" w:footer="720" w:gutter="0"/>
          <w:cols w:space="720" w:num="1"/>
          <w:docGrid w:type="lines" w:linePitch="331" w:charSpace="0"/>
        </w:sectPr>
      </w:pPr>
    </w:p>
    <w:p>
      <w:pPr>
        <w:pStyle w:val="3"/>
        <w:jc w:val="center"/>
        <w:rPr>
          <w:rFonts w:asciiTheme="minorEastAsia" w:hAnsiTheme="minorEastAsia" w:eastAsiaTheme="minorEastAsia" w:cstheme="minorEastAsia"/>
          <w:color w:val="auto"/>
          <w:highlight w:val="none"/>
        </w:rPr>
      </w:pPr>
      <w:bookmarkStart w:id="51" w:name="_Toc26256"/>
      <w:r>
        <w:rPr>
          <w:rFonts w:hint="eastAsia" w:asciiTheme="minorEastAsia" w:hAnsiTheme="minorEastAsia" w:eastAsiaTheme="minorEastAsia" w:cstheme="minorEastAsia"/>
          <w:color w:val="auto"/>
          <w:highlight w:val="none"/>
          <w:lang w:val="en-US" w:eastAsia="zh-CN"/>
        </w:rPr>
        <w:t xml:space="preserve">第二节 </w:t>
      </w:r>
      <w:r>
        <w:rPr>
          <w:rFonts w:hint="eastAsia" w:asciiTheme="minorEastAsia" w:hAnsiTheme="minorEastAsia" w:eastAsiaTheme="minorEastAsia" w:cstheme="minorEastAsia"/>
          <w:color w:val="auto"/>
          <w:highlight w:val="none"/>
        </w:rPr>
        <w:t>须知正文</w:t>
      </w:r>
      <w:bookmarkEnd w:id="51"/>
    </w:p>
    <w:p>
      <w:pPr>
        <w:pStyle w:val="4"/>
        <w:keepNext w:val="0"/>
        <w:keepLines w:val="0"/>
        <w:spacing w:line="400" w:lineRule="exact"/>
        <w:jc w:val="center"/>
        <w:rPr>
          <w:rFonts w:asciiTheme="minorEastAsia" w:hAnsiTheme="minorEastAsia" w:eastAsiaTheme="minorEastAsia" w:cstheme="minorEastAsia"/>
          <w:color w:val="auto"/>
          <w:highlight w:val="none"/>
        </w:rPr>
      </w:pPr>
      <w:bookmarkStart w:id="52" w:name="_Toc24326"/>
      <w:bookmarkStart w:id="53" w:name="_Toc5147"/>
      <w:r>
        <w:rPr>
          <w:rFonts w:hint="eastAsia" w:asciiTheme="minorEastAsia" w:hAnsiTheme="minorEastAsia" w:eastAsiaTheme="minorEastAsia" w:cstheme="minorEastAsia"/>
          <w:color w:val="auto"/>
          <w:highlight w:val="none"/>
        </w:rPr>
        <w:t>一、总  则</w:t>
      </w:r>
      <w:bookmarkEnd w:id="52"/>
      <w:bookmarkEnd w:id="53"/>
    </w:p>
    <w:p>
      <w:pPr>
        <w:spacing w:line="360" w:lineRule="auto"/>
        <w:ind w:firstLine="480" w:firstLineChars="200"/>
        <w:rPr>
          <w:rFonts w:asciiTheme="minorEastAsia" w:hAnsiTheme="minorEastAsia" w:eastAsiaTheme="minorEastAsia" w:cstheme="minorEastAsia"/>
          <w:color w:val="auto"/>
          <w:sz w:val="24"/>
          <w:highlight w:val="none"/>
        </w:rPr>
      </w:pPr>
      <w:bookmarkStart w:id="54" w:name="_Toc254970527"/>
      <w:bookmarkStart w:id="55" w:name="_Toc254970668"/>
      <w:r>
        <w:rPr>
          <w:rFonts w:hint="eastAsia" w:asciiTheme="minorEastAsia" w:hAnsiTheme="minorEastAsia" w:eastAsiaTheme="minorEastAsia" w:cstheme="minorEastAsia"/>
          <w:color w:val="auto"/>
          <w:sz w:val="24"/>
          <w:highlight w:val="none"/>
        </w:rPr>
        <w:t>1.适用范围</w:t>
      </w:r>
      <w:bookmarkEnd w:id="54"/>
      <w:bookmarkEnd w:id="55"/>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1.2本招标文件</w:t>
      </w:r>
      <w:r>
        <w:rPr>
          <w:rFonts w:hint="eastAsia" w:asciiTheme="minorEastAsia" w:hAnsiTheme="minorEastAsia" w:eastAsiaTheme="minorEastAsia" w:cstheme="minorEastAsia"/>
          <w:color w:val="auto"/>
          <w:spacing w:val="-6"/>
          <w:szCs w:val="21"/>
          <w:highlight w:val="none"/>
        </w:rPr>
        <w:t>适用于本项目的所有采购程序和环节（法律、法规另有规定的，从其规定）。</w:t>
      </w:r>
    </w:p>
    <w:p>
      <w:pPr>
        <w:spacing w:line="360" w:lineRule="auto"/>
        <w:ind w:firstLine="480" w:firstLineChars="200"/>
        <w:rPr>
          <w:rFonts w:asciiTheme="minorEastAsia" w:hAnsiTheme="minorEastAsia" w:eastAsiaTheme="minorEastAsia" w:cstheme="minorEastAsia"/>
          <w:color w:val="auto"/>
          <w:sz w:val="24"/>
          <w:highlight w:val="none"/>
        </w:rPr>
      </w:pPr>
      <w:bookmarkStart w:id="56" w:name="_Toc254970528"/>
      <w:bookmarkStart w:id="57" w:name="_Toc254970669"/>
      <w:r>
        <w:rPr>
          <w:rFonts w:hint="eastAsia" w:asciiTheme="minorEastAsia" w:hAnsiTheme="minorEastAsia" w:eastAsiaTheme="minorEastAsia" w:cstheme="minorEastAsia"/>
          <w:color w:val="auto"/>
          <w:sz w:val="24"/>
          <w:highlight w:val="none"/>
        </w:rPr>
        <w:t>2.定义</w:t>
      </w:r>
      <w:bookmarkEnd w:id="56"/>
      <w:bookmarkEnd w:id="57"/>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2.1“采购人”是指依法进行政府采购的国家机关、事业单位、团体组织。</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2.2“采购代理机构” 指政府采购集中采购机构和集中采购机构以外的采购代理机构。</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2.3“供应商”是指向采购人提供货物、工程或者服务的法人、其他组织或者自然人。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2.4“投标人”是指响应招标、参加投标竞争的法人、非法人组织或者自然人。</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2.5“服务”是指除货物和工程以外的其他政府采购对象。</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2.6“书面形式”是指合同书、信件和数据电文（包括电报、电传、传真、短信、电子数据交换和电子邮件）等可以有形地表现所载内容的形式。</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2.7“实质性要求”是指招标文件中已经指明不满足则投标无效的条款，或者不能负偏离的条款，或者采购需求中带“</w:t>
      </w:r>
      <w:r>
        <w:rPr>
          <w:rFonts w:hint="eastAsia" w:asciiTheme="minorEastAsia" w:hAnsiTheme="minorEastAsia" w:eastAsiaTheme="minorEastAsia" w:cstheme="minorEastAsia"/>
          <w:b/>
          <w:bCs/>
          <w:color w:val="auto"/>
          <w:szCs w:val="21"/>
          <w:highlight w:val="none"/>
        </w:rPr>
        <w:t>▲</w:t>
      </w:r>
      <w:r>
        <w:rPr>
          <w:rFonts w:hint="eastAsia" w:asciiTheme="minorEastAsia" w:hAnsiTheme="minorEastAsia" w:eastAsiaTheme="minorEastAsia" w:cstheme="minorEastAsia"/>
          <w:b/>
          <w:color w:val="auto"/>
          <w:szCs w:val="21"/>
          <w:highlight w:val="none"/>
        </w:rPr>
        <w:t>”的条款。</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2.8“正偏离”，是指投标文件对招标文件“采购需求”中有关条款作出的响应优于条款要求并有利于采购人的情形。</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2.9“负偏离”，是指投标文件对招标文件“采购需求”中有关条款作出的响应不满足条款要求，导致采购人要求不能得到满足的情形。</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2.10“允许负偏离的条款”是指采购需求中的不属于“实质性要求”的条款。</w:t>
      </w:r>
      <w:bookmarkStart w:id="58" w:name="_Toc254970529"/>
      <w:bookmarkStart w:id="59" w:name="_Toc254970670"/>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bookmarkEnd w:id="58"/>
      <w:bookmarkEnd w:id="59"/>
      <w:r>
        <w:rPr>
          <w:rFonts w:hint="eastAsia" w:asciiTheme="minorEastAsia" w:hAnsiTheme="minorEastAsia" w:eastAsiaTheme="minorEastAsia" w:cstheme="minorEastAsia"/>
          <w:color w:val="auto"/>
          <w:sz w:val="24"/>
          <w:highlight w:val="none"/>
        </w:rPr>
        <w:t>投标人的资格要求</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投标人的资格要求详见“招标公告”。</w:t>
      </w:r>
    </w:p>
    <w:p>
      <w:pPr>
        <w:spacing w:line="360" w:lineRule="auto"/>
        <w:ind w:firstLine="480" w:firstLineChars="200"/>
        <w:rPr>
          <w:rFonts w:asciiTheme="minorEastAsia" w:hAnsiTheme="minorEastAsia" w:eastAsiaTheme="minorEastAsia" w:cstheme="minorEastAsia"/>
          <w:color w:val="auto"/>
          <w:sz w:val="24"/>
          <w:highlight w:val="none"/>
        </w:rPr>
      </w:pPr>
      <w:bookmarkStart w:id="60" w:name="_Toc254970530"/>
      <w:bookmarkStart w:id="61" w:name="_Toc254970671"/>
      <w:r>
        <w:rPr>
          <w:rFonts w:hint="eastAsia" w:asciiTheme="minorEastAsia" w:hAnsiTheme="minorEastAsia" w:eastAsiaTheme="minorEastAsia" w:cstheme="minorEastAsia"/>
          <w:color w:val="auto"/>
          <w:sz w:val="24"/>
          <w:highlight w:val="none"/>
        </w:rPr>
        <w:t>4.投标委托</w:t>
      </w:r>
      <w:bookmarkEnd w:id="60"/>
      <w:bookmarkEnd w:id="61"/>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投标人代表参加投标活动过程中必须携带个人有效身份证件。如投标人代表不是法定代表人，须持有法定代表人授权委托书（正本用原件，副本用复印件，按第六章要求格式填写）。</w:t>
      </w:r>
    </w:p>
    <w:p>
      <w:pPr>
        <w:spacing w:line="360" w:lineRule="auto"/>
        <w:ind w:firstLine="480" w:firstLineChars="200"/>
        <w:rPr>
          <w:rFonts w:asciiTheme="minorEastAsia" w:hAnsiTheme="minorEastAsia" w:eastAsiaTheme="minorEastAsia" w:cstheme="minorEastAsia"/>
          <w:color w:val="auto"/>
          <w:sz w:val="24"/>
          <w:highlight w:val="none"/>
        </w:rPr>
      </w:pPr>
      <w:bookmarkStart w:id="62" w:name="_5.投标费用"/>
      <w:bookmarkEnd w:id="62"/>
      <w:bookmarkStart w:id="63" w:name="_Toc254970672"/>
      <w:bookmarkStart w:id="64" w:name="_Toc254970531"/>
      <w:r>
        <w:rPr>
          <w:rFonts w:hint="eastAsia" w:asciiTheme="minorEastAsia" w:hAnsiTheme="minorEastAsia" w:eastAsiaTheme="minorEastAsia" w:cstheme="minorEastAsia"/>
          <w:color w:val="auto"/>
          <w:sz w:val="24"/>
          <w:highlight w:val="none"/>
        </w:rPr>
        <w:t>5.投标费用</w:t>
      </w:r>
      <w:bookmarkEnd w:id="63"/>
      <w:bookmarkEnd w:id="64"/>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投标费用：投标人应承担参与本次采购活动有关的所有费用，包括但不限于勘查现场、编制投标文件、参加澄清说明、签订合同等，不论投标结果如何，均应自行承担。</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6.联合体投标</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6.1本项目</w:t>
      </w:r>
      <w:r>
        <w:rPr>
          <w:rFonts w:hint="eastAsia" w:asciiTheme="minorEastAsia" w:hAnsiTheme="minorEastAsia" w:eastAsiaTheme="minorEastAsia" w:cstheme="minorEastAsia"/>
          <w:color w:val="auto"/>
          <w:szCs w:val="21"/>
          <w:highlight w:val="none"/>
          <w:lang w:val="en-US" w:eastAsia="zh-CN"/>
        </w:rPr>
        <w:t>不</w:t>
      </w:r>
      <w:r>
        <w:rPr>
          <w:rFonts w:hint="eastAsia" w:asciiTheme="minorEastAsia" w:hAnsiTheme="minorEastAsia" w:eastAsiaTheme="minorEastAsia" w:cstheme="minorEastAsia"/>
          <w:color w:val="auto"/>
          <w:szCs w:val="21"/>
          <w:highlight w:val="none"/>
        </w:rPr>
        <w:t>接受联合体投标，详见“投标人须知前附表”。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7.转包与分包             </w:t>
      </w:r>
    </w:p>
    <w:p>
      <w:pPr>
        <w:spacing w:line="360" w:lineRule="auto"/>
        <w:ind w:firstLine="422"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color w:val="auto"/>
          <w:szCs w:val="21"/>
          <w:highlight w:val="none"/>
        </w:rPr>
        <w:t>7.1本项目是否允许分包详见“投标人须知前附表”，本项目不允许违法分包。</w:t>
      </w:r>
    </w:p>
    <w:p>
      <w:pPr>
        <w:spacing w:line="360" w:lineRule="auto"/>
        <w:ind w:firstLine="480" w:firstLineChars="200"/>
        <w:rPr>
          <w:rFonts w:asciiTheme="minorEastAsia" w:hAnsiTheme="minorEastAsia" w:eastAsiaTheme="minorEastAsia" w:cstheme="minorEastAsia"/>
          <w:color w:val="auto"/>
          <w:sz w:val="24"/>
          <w:highlight w:val="none"/>
        </w:rPr>
      </w:pPr>
      <w:bookmarkStart w:id="65" w:name="_Toc254970673"/>
      <w:bookmarkStart w:id="66" w:name="_Toc254970532"/>
      <w:r>
        <w:rPr>
          <w:rFonts w:hint="eastAsia" w:asciiTheme="minorEastAsia" w:hAnsiTheme="minorEastAsia" w:eastAsiaTheme="minorEastAsia" w:cstheme="minorEastAsia"/>
          <w:color w:val="auto"/>
          <w:sz w:val="24"/>
          <w:highlight w:val="none"/>
        </w:rPr>
        <w:t>8.特别说明：</w:t>
      </w:r>
      <w:bookmarkEnd w:id="65"/>
      <w:bookmarkEnd w:id="66"/>
      <w:bookmarkStart w:id="67" w:name="_8.1提供相同品牌产品且通过资格审查、符合性审查的不同投标人参加同一合"/>
      <w:bookmarkEnd w:id="67"/>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8.1如果本招标文件要求投标人提供资格、信誉、荣誉、业绩与企业认证等材料的，则投标人所提供的以上材料必须为投标人所拥有。</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8.2投标人应仔细阅读招标文件的所有内容，按照招标文件的要求提交投标文件，并对所提供的全部资料的真实性承担法律责任。</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8.3投标人在投标活动中提供任何虚假材料，将报监管部门查处；中标后发现的，中标人须依照《中华人民共和国消费者权益保护法》规定赔偿采购人，且民事赔偿并不免除违法投标人的行政与刑事责任。</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9.回避与串通投标</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9.1在政府采购活动中，采购人员及相关人员与供应商有下列利害关系之一的，应当回避：</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（1）参加采购活动前3年内与供应商存在劳动关系；</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（2）参加采购活动前3年内担任供应商的董事、监事；</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（3）参加采购活动前3年内是供应商的控股股东或者实际控制人；</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（4）与供应商的法定代表人或者负责人有夫妻、直系血亲、三代以内旁系血亲或者近姻亲关系；</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（5）与供应商有其他可能影响政府采购活动公平、公正进行的关系。</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9.2有下列情形之一的视为投标人相互串通投标，投标文件将被视为无效：</w:t>
      </w:r>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（1）不同投标人的投标文件由同一单位或者个人编制；或者不同投标人报名的IP地址一致的；或者编制标书硬件设备CPU编号、硬盘编号、网卡地址一致的情况。</w:t>
      </w:r>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（2）不同投标人委托同一单位或者个人办理投标事宜；</w:t>
      </w:r>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（3）不同的投标人的投标文件载明的项目管理员为同一个人；</w:t>
      </w:r>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（4）不同投标人的电子或纸质投标文件异常一致或者投标报价呈规律性差异；</w:t>
      </w:r>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（5）不同投标人的纸质投标文件相互混装；</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9.3供应商有下列情形之一的，属于恶意串通行为，将报同级监督管理部门：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（1）供应商直接或者间接从采购人或者采购代理机构处获得其他供应商的相关信息并修改其投标文件或者投标文件；</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（2）供应商按照采购人或者采购代理机构的授意撤换、修改投标文件或者投标文件；</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（3）供应商之间协商报价、技术方案等投标文件或者投标文件的实质性内容；</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（4）属于同一集团、协会、商会等组织成员的供应商按照该组织要求协同参加政府采购活动；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（5）供应商之间事先约定一致抬高或者压低投标报价，或者在招标项目中事先约定轮流以高价位或者低价位中标，或者事先约定由某一特定供应商中标，然后再参加投标；</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（6）供应商之间商定部分供应商放弃参加政府采购活动或者放弃中标；</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（7）供应商与采购人或者采购代理机构之间、供应商相互之间，为谋求特定供应商中标或者排斥其他供应商的其他串通行为。</w:t>
      </w:r>
    </w:p>
    <w:p>
      <w:pPr>
        <w:pStyle w:val="13"/>
        <w:snapToGrid w:val="0"/>
        <w:spacing w:line="360" w:lineRule="auto"/>
        <w:ind w:left="2" w:leftChars="1" w:firstLine="422" w:firstLineChars="200"/>
        <w:rPr>
          <w:rFonts w:asciiTheme="minorEastAsia" w:hAnsiTheme="minorEastAsia" w:eastAsiaTheme="minorEastAsia" w:cstheme="minorEastAsia"/>
          <w:b/>
          <w:color w:val="auto"/>
          <w:highlight w:val="none"/>
        </w:rPr>
      </w:pPr>
    </w:p>
    <w:p>
      <w:pPr>
        <w:pStyle w:val="4"/>
        <w:keepNext w:val="0"/>
        <w:keepLines w:val="0"/>
        <w:spacing w:line="400" w:lineRule="exact"/>
        <w:jc w:val="center"/>
        <w:rPr>
          <w:rFonts w:asciiTheme="minorEastAsia" w:hAnsiTheme="minorEastAsia" w:eastAsiaTheme="minorEastAsia" w:cstheme="minorEastAsia"/>
          <w:color w:val="auto"/>
          <w:highlight w:val="none"/>
        </w:rPr>
      </w:pPr>
      <w:bookmarkStart w:id="68" w:name="_Toc254970534"/>
      <w:bookmarkStart w:id="69" w:name="_Toc28438"/>
      <w:bookmarkStart w:id="70" w:name="_Toc20943"/>
      <w:bookmarkStart w:id="71" w:name="_Toc254970675"/>
      <w:r>
        <w:rPr>
          <w:rFonts w:hint="eastAsia" w:asciiTheme="minorEastAsia" w:hAnsiTheme="minorEastAsia" w:eastAsiaTheme="minorEastAsia" w:cstheme="minorEastAsia"/>
          <w:color w:val="auto"/>
          <w:highlight w:val="none"/>
        </w:rPr>
        <w:t>二、招标文件</w:t>
      </w:r>
      <w:bookmarkEnd w:id="68"/>
      <w:bookmarkEnd w:id="69"/>
      <w:bookmarkEnd w:id="70"/>
      <w:bookmarkEnd w:id="71"/>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10.招标文件的组成</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第一章 招标公告；</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第二章 采购需求；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第三章 投标人须知；</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第四章 评标方法及评标标准；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第五章 拟签订的合同文本；</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第六章 投标文件格式；</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第七章 质疑、投诉材料格式</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根据本章第11.1项的规定对公开招标文件所做的澄清、修改，构成招标文件的组成部分。当公开招标文件与招标文件的澄清和修改就同一内容的表述不一致时，以最后澄清或修改公告为准。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11.招标文件的澄清、修改 、现场考察和答疑会</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11.2 投标人应认真审阅本公开招标文件，如有疑问，或发现其中有误或有要求不合理的，应在投标人须知前附表规定的</w:t>
      </w:r>
      <w:r>
        <w:rPr>
          <w:rFonts w:hint="eastAsia" w:asciiTheme="minorEastAsia" w:hAnsiTheme="minorEastAsia" w:eastAsiaTheme="minorEastAsia" w:cstheme="minorEastAsia"/>
          <w:color w:val="auto"/>
          <w:kern w:val="0"/>
          <w:szCs w:val="21"/>
          <w:highlight w:val="none"/>
        </w:rPr>
        <w:t>投标截止时间</w:t>
      </w:r>
      <w:r>
        <w:rPr>
          <w:rFonts w:hint="eastAsia" w:asciiTheme="minorEastAsia" w:hAnsiTheme="minorEastAsia" w:eastAsiaTheme="minorEastAsia" w:cstheme="minorEastAsia"/>
          <w:color w:val="auto"/>
          <w:highlight w:val="none"/>
        </w:rPr>
        <w:t>前以书面形式要求采购人或采购代理机构对招标文件予以澄清；否则，由此产生的后果由投标人自行负责。</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11.3 采购人或者采购代理机构可以对已发出的招标文件进行必要的澄清或者修改。澄清或者修改的内容可能影响投标文件编制的，采购人或者采购代理机构应当在投标截止时间至少15日前，以书面形式通知(在“</w:t>
      </w:r>
      <w:r>
        <w:rPr>
          <w:rFonts w:hint="eastAsia" w:asciiTheme="minorEastAsia" w:hAnsiTheme="minorEastAsia" w:eastAsiaTheme="minorEastAsia" w:cstheme="minorEastAsia"/>
          <w:color w:val="auto"/>
          <w:szCs w:val="21"/>
          <w:highlight w:val="none"/>
        </w:rPr>
        <w:t>投标人须知前附表”</w:t>
      </w:r>
      <w:r>
        <w:rPr>
          <w:rFonts w:hint="eastAsia" w:asciiTheme="minorEastAsia" w:hAnsiTheme="minorEastAsia" w:eastAsiaTheme="minorEastAsia" w:cstheme="minorEastAsia"/>
          <w:color w:val="auto"/>
          <w:highlight w:val="none"/>
        </w:rPr>
        <w:t>规定的政府采购信息发布媒体上发布更正公告及平台短信通知)所有获取招标文件的潜在投标人；不足15日的，采购人或者采购代理机构应当顺延提交投标文件的截止时间。发出的澄清或者修改不影响投标文件编制的也应在截标前3日发出。</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11.4 采购人和采购代理机构可以视采购具体情况，变更投标截止时间和开标时间，将变更时间将在“</w:t>
      </w:r>
      <w:r>
        <w:rPr>
          <w:rFonts w:hint="eastAsia" w:asciiTheme="minorEastAsia" w:hAnsiTheme="minorEastAsia" w:eastAsiaTheme="minorEastAsia" w:cstheme="minorEastAsia"/>
          <w:color w:val="auto"/>
          <w:szCs w:val="21"/>
          <w:highlight w:val="none"/>
        </w:rPr>
        <w:t>投标人须知前附表”</w:t>
      </w:r>
      <w:r>
        <w:rPr>
          <w:rFonts w:hint="eastAsia" w:asciiTheme="minorEastAsia" w:hAnsiTheme="minorEastAsia" w:eastAsiaTheme="minorEastAsia" w:cstheme="minorEastAsia"/>
          <w:color w:val="auto"/>
          <w:kern w:val="0"/>
          <w:szCs w:val="21"/>
          <w:highlight w:val="none"/>
        </w:rPr>
        <w:t>规定的政府采购信息发布媒体上</w:t>
      </w:r>
      <w:r>
        <w:rPr>
          <w:rFonts w:hint="eastAsia" w:asciiTheme="minorEastAsia" w:hAnsiTheme="minorEastAsia" w:eastAsiaTheme="minorEastAsia" w:cstheme="minorEastAsia"/>
          <w:color w:val="auto"/>
          <w:highlight w:val="none"/>
        </w:rPr>
        <w:t>发布更正公告。</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w:t>
      </w:r>
      <w:bookmarkStart w:id="72" w:name="_Hlk53134511"/>
      <w:r>
        <w:rPr>
          <w:rFonts w:hint="eastAsia" w:asciiTheme="minorEastAsia" w:hAnsiTheme="minorEastAsia" w:eastAsiaTheme="minorEastAsia" w:cstheme="minorEastAsia"/>
          <w:color w:val="auto"/>
          <w:highlight w:val="none"/>
        </w:rPr>
        <w:t>5采购人或者采购代理机构可以在招标文件提供期限截止后，组织已获取招标文件的潜在投标人现场考察或者召开开标前答疑会，具体详见“投标人须知前附表”。</w:t>
      </w:r>
    </w:p>
    <w:bookmarkEnd w:id="72"/>
    <w:p>
      <w:pPr>
        <w:pStyle w:val="4"/>
        <w:keepNext w:val="0"/>
        <w:keepLines w:val="0"/>
        <w:spacing w:line="400" w:lineRule="exact"/>
        <w:jc w:val="center"/>
        <w:rPr>
          <w:rFonts w:asciiTheme="minorEastAsia" w:hAnsiTheme="minorEastAsia" w:eastAsiaTheme="minorEastAsia" w:cstheme="minorEastAsia"/>
          <w:color w:val="auto"/>
          <w:highlight w:val="none"/>
        </w:rPr>
      </w:pPr>
      <w:bookmarkStart w:id="73" w:name="_Toc3710"/>
      <w:bookmarkStart w:id="74" w:name="_Toc254970535"/>
      <w:bookmarkStart w:id="75" w:name="_Toc5025"/>
      <w:bookmarkStart w:id="76" w:name="_Toc254970676"/>
      <w:r>
        <w:rPr>
          <w:rFonts w:hint="eastAsia" w:asciiTheme="minorEastAsia" w:hAnsiTheme="minorEastAsia" w:eastAsiaTheme="minorEastAsia" w:cstheme="minorEastAsia"/>
          <w:color w:val="auto"/>
          <w:highlight w:val="none"/>
        </w:rPr>
        <w:t>三、投标文件的编制</w:t>
      </w:r>
      <w:bookmarkEnd w:id="73"/>
      <w:bookmarkEnd w:id="74"/>
      <w:bookmarkEnd w:id="75"/>
      <w:bookmarkEnd w:id="76"/>
    </w:p>
    <w:p>
      <w:pPr>
        <w:spacing w:line="360" w:lineRule="auto"/>
        <w:ind w:firstLine="480" w:firstLineChars="200"/>
        <w:rPr>
          <w:rFonts w:asciiTheme="minorEastAsia" w:hAnsiTheme="minorEastAsia" w:eastAsiaTheme="minorEastAsia" w:cstheme="minorEastAsia"/>
          <w:color w:val="auto"/>
          <w:sz w:val="24"/>
          <w:highlight w:val="none"/>
        </w:rPr>
      </w:pPr>
      <w:bookmarkStart w:id="77" w:name="_Toc254970677"/>
      <w:bookmarkStart w:id="78" w:name="_Toc254970536"/>
      <w:r>
        <w:rPr>
          <w:rFonts w:hint="eastAsia" w:asciiTheme="minorEastAsia" w:hAnsiTheme="minorEastAsia" w:eastAsiaTheme="minorEastAsia" w:cstheme="minorEastAsia"/>
          <w:color w:val="auto"/>
          <w:sz w:val="24"/>
          <w:highlight w:val="none"/>
        </w:rPr>
        <w:t>12.投标文件的编制原则</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12.1投标人必须按照招标文件的要求编制投标文件。投标文件必须对招标文件提出的要求和条件作出明确响应。</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12.2投标人应根据自身实际情况如实响应招标文件，不得仅将招标文件内容简单复制粘贴作为投标响应，还应当提供相关证明材料，否则将作无效响应处理（定制采购项目不适用本条款）。对于重要技术条款或技术参数应当在投标文件中提供技术支持资料，技术支持资料以招标文件中规定的形式为准，否则将视为无效技术支持资料。</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13.投标文件的组成</w:t>
      </w:r>
      <w:bookmarkEnd w:id="77"/>
      <w:bookmarkEnd w:id="78"/>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13.1投标文件由报价文件、资格证明文件、商务文件、技术文件四部分组成。</w:t>
      </w:r>
    </w:p>
    <w:p>
      <w:pPr>
        <w:spacing w:line="360" w:lineRule="auto"/>
        <w:ind w:firstLine="420" w:firstLineChars="200"/>
        <w:rPr>
          <w:rFonts w:asciiTheme="minorEastAsia" w:hAnsiTheme="minorEastAsia" w:eastAsiaTheme="minorEastAsia" w:cstheme="minorEastAsia"/>
          <w:bCs/>
          <w:color w:val="auto"/>
          <w:szCs w:val="21"/>
          <w:highlight w:val="none"/>
        </w:rPr>
      </w:pPr>
      <w:bookmarkStart w:id="79" w:name="_13.2资格证明文件：具体材料见“投标人须知前附表”。"/>
      <w:bookmarkEnd w:id="79"/>
      <w:bookmarkStart w:id="80" w:name="_13.1报价文件:_具体材料见“投标人须知前附表”。"/>
      <w:bookmarkEnd w:id="80"/>
      <w:r>
        <w:rPr>
          <w:rFonts w:hint="eastAsia" w:asciiTheme="minorEastAsia" w:hAnsiTheme="minorEastAsia" w:eastAsiaTheme="minorEastAsia" w:cstheme="minorEastAsia"/>
          <w:bCs/>
          <w:color w:val="auto"/>
          <w:szCs w:val="21"/>
          <w:highlight w:val="none"/>
        </w:rPr>
        <w:t>（1）资格证明文件：具体材料见“投标人须知前附表”。</w:t>
      </w:r>
    </w:p>
    <w:p>
      <w:pPr>
        <w:spacing w:line="360" w:lineRule="auto"/>
        <w:ind w:firstLine="420" w:firstLineChars="200"/>
        <w:rPr>
          <w:rFonts w:asciiTheme="minorEastAsia" w:hAnsiTheme="minorEastAsia" w:eastAsiaTheme="minorEastAsia" w:cstheme="minorEastAsia"/>
          <w:bCs/>
          <w:color w:val="auto"/>
          <w:szCs w:val="21"/>
          <w:highlight w:val="none"/>
        </w:rPr>
      </w:pPr>
      <w:bookmarkStart w:id="81" w:name="_13.3商务文件:_具体材料见“投标人须知前附表”。"/>
      <w:bookmarkEnd w:id="81"/>
      <w:r>
        <w:rPr>
          <w:rFonts w:hint="eastAsia" w:asciiTheme="minorEastAsia" w:hAnsiTheme="minorEastAsia" w:eastAsiaTheme="minorEastAsia" w:cstheme="minorEastAsia"/>
          <w:bCs/>
          <w:color w:val="auto"/>
          <w:szCs w:val="21"/>
          <w:highlight w:val="none"/>
        </w:rPr>
        <w:t>（2）商务文件：具体材料见“投标人须知前附表”。</w:t>
      </w:r>
    </w:p>
    <w:p>
      <w:pPr>
        <w:spacing w:line="360" w:lineRule="auto"/>
        <w:ind w:firstLine="420" w:firstLineChars="200"/>
        <w:rPr>
          <w:rFonts w:asciiTheme="minorEastAsia" w:hAnsiTheme="minorEastAsia" w:eastAsiaTheme="minorEastAsia" w:cstheme="minorEastAsia"/>
          <w:bCs/>
          <w:color w:val="auto"/>
          <w:szCs w:val="21"/>
          <w:highlight w:val="none"/>
        </w:rPr>
      </w:pPr>
      <w:bookmarkStart w:id="82" w:name="_13.4技术文件：具体材料见“投标人须知前附表”。"/>
      <w:bookmarkEnd w:id="82"/>
      <w:r>
        <w:rPr>
          <w:rFonts w:hint="eastAsia" w:asciiTheme="minorEastAsia" w:hAnsiTheme="minorEastAsia" w:eastAsiaTheme="minorEastAsia" w:cstheme="minorEastAsia"/>
          <w:bCs/>
          <w:color w:val="auto"/>
          <w:szCs w:val="21"/>
          <w:highlight w:val="none"/>
        </w:rPr>
        <w:t xml:space="preserve">（3）技术文件：具体材料见“投标人须知前附表”。 </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（4）报价文件： 具体材料见“投标人须知前附表”。</w:t>
      </w:r>
    </w:p>
    <w:p>
      <w:pPr>
        <w:spacing w:line="360" w:lineRule="auto"/>
        <w:ind w:firstLine="420" w:firstLineChars="200"/>
        <w:rPr>
          <w:rFonts w:asciiTheme="minorEastAsia" w:hAnsiTheme="minorEastAsia" w:eastAsiaTheme="minorEastAsia" w:cstheme="minorEastAsia"/>
          <w:bCs/>
          <w:color w:val="auto"/>
          <w:szCs w:val="21"/>
          <w:highlight w:val="none"/>
        </w:rPr>
      </w:pPr>
      <w:bookmarkStart w:id="83" w:name="_13.5投标文件电子版：具体材料见“投标人须知前附表”。"/>
      <w:bookmarkEnd w:id="83"/>
      <w:r>
        <w:rPr>
          <w:rFonts w:hint="eastAsia" w:asciiTheme="minorEastAsia" w:hAnsiTheme="minorEastAsia" w:eastAsiaTheme="minorEastAsia" w:cstheme="minorEastAsia"/>
          <w:bCs/>
          <w:color w:val="auto"/>
          <w:szCs w:val="21"/>
          <w:highlight w:val="none"/>
        </w:rPr>
        <w:t>13.2投标文件电子版：具体要求见本节19.投标文件编制。</w:t>
      </w:r>
    </w:p>
    <w:p>
      <w:pPr>
        <w:spacing w:line="360" w:lineRule="auto"/>
        <w:ind w:firstLine="480" w:firstLineChars="200"/>
        <w:rPr>
          <w:rFonts w:asciiTheme="minorEastAsia" w:hAnsiTheme="minorEastAsia" w:eastAsiaTheme="minorEastAsia" w:cstheme="minorEastAsia"/>
          <w:color w:val="auto"/>
          <w:sz w:val="24"/>
          <w:highlight w:val="none"/>
        </w:rPr>
      </w:pPr>
      <w:bookmarkStart w:id="84" w:name="_Toc254970537"/>
      <w:bookmarkStart w:id="85" w:name="_Toc254970678"/>
      <w:r>
        <w:rPr>
          <w:rFonts w:hint="eastAsia" w:asciiTheme="minorEastAsia" w:hAnsiTheme="minorEastAsia" w:eastAsiaTheme="minorEastAsia" w:cstheme="minorEastAsia"/>
          <w:color w:val="auto"/>
          <w:sz w:val="24"/>
          <w:highlight w:val="none"/>
        </w:rPr>
        <w:t>14.投标文件的语言及计量</w:t>
      </w:r>
      <w:bookmarkEnd w:id="84"/>
      <w:bookmarkEnd w:id="85"/>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14.1语言文字</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14.2投标计量单位</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招标文件已有明确规定的，使用招标文件规定的计量单位；招标文件没有规定的，应采用中华人民共和国法定计量单位，货币种类为人民币，否则视同未响应。</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15.投标文件提交的风险</w:t>
      </w:r>
    </w:p>
    <w:p>
      <w:pPr>
        <w:spacing w:line="360" w:lineRule="auto"/>
        <w:ind w:firstLine="420"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color w:val="auto"/>
          <w:highlight w:val="none"/>
        </w:rPr>
        <w:t>投标文件分为资格文件、商务文件、技术文件、报价文件四部分（其中：商务文件与技术文件合并编辑成一个电子文档）。各投标人在编制投标文件时请按照招标文件规定的编排格式进行，不按要求提交齐全的文件、混乱的编排导致投标文件被误读或评标委员会查找不到有效文件是造成投标人投标文件无效的风险。</w:t>
      </w:r>
    </w:p>
    <w:p>
      <w:pPr>
        <w:spacing w:line="360" w:lineRule="auto"/>
        <w:ind w:firstLine="480" w:firstLineChars="200"/>
        <w:rPr>
          <w:rFonts w:asciiTheme="minorEastAsia" w:hAnsiTheme="minorEastAsia" w:eastAsiaTheme="minorEastAsia" w:cstheme="minorEastAsia"/>
          <w:color w:val="auto"/>
          <w:sz w:val="24"/>
          <w:highlight w:val="none"/>
        </w:rPr>
      </w:pPr>
      <w:bookmarkStart w:id="86" w:name="_Toc254970538"/>
      <w:bookmarkStart w:id="87" w:name="_Toc254970679"/>
      <w:r>
        <w:rPr>
          <w:rFonts w:hint="eastAsia" w:asciiTheme="minorEastAsia" w:hAnsiTheme="minorEastAsia" w:eastAsiaTheme="minorEastAsia" w:cstheme="minorEastAsia"/>
          <w:color w:val="auto"/>
          <w:sz w:val="24"/>
          <w:highlight w:val="none"/>
        </w:rPr>
        <w:t>16.投标报价</w:t>
      </w:r>
      <w:bookmarkEnd w:id="86"/>
      <w:bookmarkEnd w:id="87"/>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16.1投标报价应</w:t>
      </w:r>
      <w:r>
        <w:rPr>
          <w:rFonts w:hint="eastAsia" w:asciiTheme="minorEastAsia" w:hAnsiTheme="minorEastAsia" w:eastAsiaTheme="minorEastAsia" w:cstheme="minorEastAsia"/>
          <w:bCs/>
          <w:color w:val="auto"/>
          <w:szCs w:val="20"/>
          <w:highlight w:val="none"/>
        </w:rPr>
        <w:t>按“第六章　投标文件格式”中“开标一览表”格式填写。</w:t>
      </w:r>
    </w:p>
    <w:p>
      <w:pPr>
        <w:spacing w:line="360" w:lineRule="auto"/>
        <w:ind w:firstLine="420" w:firstLineChars="200"/>
        <w:rPr>
          <w:rFonts w:asciiTheme="minorEastAsia" w:hAnsiTheme="minorEastAsia" w:eastAsiaTheme="minorEastAsia" w:cstheme="minorEastAsia"/>
          <w:bCs/>
          <w:color w:val="auto"/>
          <w:szCs w:val="21"/>
          <w:highlight w:val="none"/>
        </w:rPr>
      </w:pPr>
      <w:bookmarkStart w:id="88" w:name="_16.2投标报价具体定义见投标人须知前附表。"/>
      <w:bookmarkEnd w:id="88"/>
      <w:r>
        <w:rPr>
          <w:rFonts w:hint="eastAsia" w:asciiTheme="minorEastAsia" w:hAnsiTheme="minorEastAsia" w:eastAsiaTheme="minorEastAsia" w:cstheme="minorEastAsia"/>
          <w:bCs/>
          <w:color w:val="auto"/>
          <w:szCs w:val="21"/>
          <w:highlight w:val="none"/>
        </w:rPr>
        <w:t>16.2投标报价具体包括内容详见“投标人须知前附表”。</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16.3投标人必须就所投每个分标的全部内容分别作完整唯一总价报价，不得存在漏项报价；投标人必须就所投分标的单项内容作唯一报价。</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17.投标有效期</w:t>
      </w:r>
    </w:p>
    <w:p>
      <w:pPr>
        <w:spacing w:line="360" w:lineRule="auto"/>
        <w:ind w:firstLine="420" w:firstLineChars="200"/>
        <w:rPr>
          <w:rFonts w:asciiTheme="minorEastAsia" w:hAnsiTheme="minorEastAsia" w:eastAsiaTheme="minorEastAsia" w:cstheme="minorEastAsia"/>
          <w:bCs/>
          <w:color w:val="auto"/>
          <w:szCs w:val="21"/>
          <w:highlight w:val="none"/>
        </w:rPr>
      </w:pPr>
      <w:bookmarkStart w:id="89" w:name="_17.1投标有效期应按“投标人须知中的前附表”规定的期限。"/>
      <w:bookmarkEnd w:id="89"/>
      <w:r>
        <w:rPr>
          <w:rFonts w:hint="eastAsia" w:asciiTheme="minorEastAsia" w:hAnsiTheme="minorEastAsia" w:eastAsiaTheme="minorEastAsia" w:cstheme="minorEastAsia"/>
          <w:bCs/>
          <w:color w:val="auto"/>
          <w:szCs w:val="21"/>
          <w:highlight w:val="none"/>
        </w:rPr>
        <w:t>17.1投标有效期是指为保证采购人有足够的时间在开标后完成评标、定标、合同签订等工作而要求投标人提交的投标文件在一定时间内保持有效的期限。</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17.2</w:t>
      </w:r>
      <w:bookmarkStart w:id="90" w:name="_Toc254970540"/>
      <w:bookmarkStart w:id="91" w:name="_Toc254970681"/>
      <w:r>
        <w:rPr>
          <w:rFonts w:hint="eastAsia" w:asciiTheme="minorEastAsia" w:hAnsiTheme="minorEastAsia" w:eastAsiaTheme="minorEastAsia" w:cstheme="minorEastAsia"/>
          <w:bCs/>
          <w:color w:val="auto"/>
          <w:szCs w:val="21"/>
          <w:highlight w:val="none"/>
        </w:rPr>
        <w:t xml:space="preserve"> 投标有效期应按规定的期限作出承诺，具体详见“投标人须知前附表”。</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17.3投标人的投标文件在投标有效期内均保持有效。</w:t>
      </w:r>
      <w:bookmarkEnd w:id="90"/>
      <w:bookmarkEnd w:id="91"/>
    </w:p>
    <w:p>
      <w:pPr>
        <w:spacing w:line="360" w:lineRule="auto"/>
        <w:ind w:firstLine="480" w:firstLineChars="200"/>
        <w:rPr>
          <w:rFonts w:asciiTheme="minorEastAsia" w:hAnsiTheme="minorEastAsia" w:eastAsiaTheme="minorEastAsia" w:cstheme="minorEastAsia"/>
          <w:color w:val="auto"/>
          <w:sz w:val="24"/>
          <w:highlight w:val="none"/>
        </w:rPr>
      </w:pPr>
      <w:bookmarkStart w:id="92" w:name="_18.投标保证金"/>
      <w:bookmarkEnd w:id="92"/>
      <w:bookmarkStart w:id="93" w:name="_Toc254970541"/>
      <w:bookmarkStart w:id="94" w:name="_Toc254970682"/>
      <w:r>
        <w:rPr>
          <w:rFonts w:hint="eastAsia" w:asciiTheme="minorEastAsia" w:hAnsiTheme="minorEastAsia" w:eastAsiaTheme="minorEastAsia" w:cstheme="minorEastAsia"/>
          <w:color w:val="auto"/>
          <w:sz w:val="24"/>
          <w:highlight w:val="none"/>
        </w:rPr>
        <w:t>18.投标保证金</w:t>
      </w:r>
      <w:bookmarkEnd w:id="93"/>
      <w:bookmarkEnd w:id="94"/>
    </w:p>
    <w:p>
      <w:pPr>
        <w:spacing w:line="360" w:lineRule="auto"/>
        <w:ind w:firstLine="420" w:firstLineChars="200"/>
        <w:rPr>
          <w:rFonts w:asciiTheme="minorEastAsia" w:hAnsiTheme="minorEastAsia" w:eastAsiaTheme="minorEastAsia" w:cstheme="minorEastAsia"/>
          <w:color w:val="auto"/>
          <w:szCs w:val="21"/>
          <w:highlight w:val="none"/>
        </w:rPr>
      </w:pPr>
      <w:bookmarkStart w:id="95" w:name="_Toc254970542"/>
      <w:bookmarkStart w:id="96" w:name="_Toc254970683"/>
      <w:r>
        <w:rPr>
          <w:rFonts w:hint="eastAsia" w:asciiTheme="minorEastAsia" w:hAnsiTheme="minorEastAsia" w:eastAsiaTheme="minorEastAsia" w:cstheme="minorEastAsia"/>
          <w:color w:val="auto"/>
          <w:szCs w:val="21"/>
          <w:highlight w:val="none"/>
        </w:rPr>
        <w:t>见“投标人须知前附表”。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19.投标文件的</w:t>
      </w:r>
      <w:bookmarkEnd w:id="95"/>
      <w:bookmarkEnd w:id="96"/>
      <w:r>
        <w:rPr>
          <w:rFonts w:hint="eastAsia" w:asciiTheme="minorEastAsia" w:hAnsiTheme="minorEastAsia" w:eastAsiaTheme="minorEastAsia" w:cstheme="minorEastAsia"/>
          <w:color w:val="auto"/>
          <w:sz w:val="24"/>
          <w:highlight w:val="none"/>
        </w:rPr>
        <w:t>编制</w:t>
      </w:r>
    </w:p>
    <w:p>
      <w:pPr>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19.1投标文件编制要求详见“投标人须知前附表”。投标人应按本招标文件规定的格式和顺序编制、装订投标文件并标注页码，投标文件内容不完整、编排混乱导致投标文件被误读、漏读或者查找不到相关内容的，由此引发的后果由投标人承担。</w:t>
      </w:r>
      <w:bookmarkStart w:id="97" w:name="_19.2投标文件应按报价文件、资格证明文件、商务文件、技术文件分别编制"/>
      <w:bookmarkEnd w:id="97"/>
      <w:r>
        <w:rPr>
          <w:rFonts w:hint="eastAsia" w:asciiTheme="minorEastAsia" w:hAnsiTheme="minorEastAsia" w:eastAsiaTheme="minorEastAsia" w:cstheme="minorEastAsia"/>
          <w:color w:val="auto"/>
          <w:szCs w:val="21"/>
          <w:highlight w:val="none"/>
        </w:rPr>
        <w:t xml:space="preserve"> </w:t>
      </w:r>
    </w:p>
    <w:p>
      <w:pPr>
        <w:pStyle w:val="32"/>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19.2投标文件按照招标文件第六章格式要求在规定位置进行签署、盖章。投标人的投标文件未按照招标文件要求签署、盖章的，</w:t>
      </w:r>
      <w:r>
        <w:rPr>
          <w:rFonts w:hint="eastAsia" w:asciiTheme="minorEastAsia" w:hAnsiTheme="minorEastAsia" w:eastAsiaTheme="minorEastAsia" w:cstheme="minorEastAsia"/>
          <w:b/>
          <w:color w:val="auto"/>
          <w:sz w:val="21"/>
          <w:szCs w:val="21"/>
          <w:highlight w:val="none"/>
        </w:rPr>
        <w:t>其投标无效。</w:t>
      </w:r>
      <w:r>
        <w:rPr>
          <w:rFonts w:hint="eastAsia" w:asciiTheme="minorEastAsia" w:hAnsiTheme="minorEastAsia" w:eastAsiaTheme="minorEastAsia" w:cstheme="minorEastAsia"/>
          <w:color w:val="auto"/>
          <w:sz w:val="21"/>
          <w:szCs w:val="21"/>
          <w:highlight w:val="none"/>
        </w:rPr>
        <w:t>骑缝盖公章不视为在规定位置盖章。</w:t>
      </w:r>
    </w:p>
    <w:p>
      <w:pPr>
        <w:pStyle w:val="32"/>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19.3为确保网上操作合法、有效和安全，投标人应当在投标截止时间前完成在广西政府采购云平台的身份认证，确保在电子投标过程中能够对相关数据电文进行加密和使用电子签名。</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19.4投标文件中标注的投标人名称应与主体资格证明（如营业执照、事业单位法人证书、执业许可证、自然人身份证等）及公章一致，</w:t>
      </w:r>
      <w:r>
        <w:rPr>
          <w:rFonts w:hint="eastAsia" w:asciiTheme="minorEastAsia" w:hAnsiTheme="minorEastAsia" w:eastAsiaTheme="minorEastAsia" w:cstheme="minorEastAsia"/>
          <w:color w:val="auto"/>
          <w:szCs w:val="21"/>
          <w:highlight w:val="none"/>
        </w:rPr>
        <w:t>否则作无效投标处理</w:t>
      </w:r>
      <w:r>
        <w:rPr>
          <w:rFonts w:hint="eastAsia" w:asciiTheme="minorEastAsia" w:hAnsiTheme="minorEastAsia" w:eastAsiaTheme="minorEastAsia" w:cstheme="minorEastAsia"/>
          <w:b/>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19.5投标文件应避免涂改、行间插字或者删除，</w:t>
      </w:r>
      <w:r>
        <w:rPr>
          <w:rFonts w:hint="eastAsia" w:asciiTheme="minorEastAsia" w:hAnsiTheme="minorEastAsia" w:eastAsiaTheme="minorEastAsia" w:cstheme="minorEastAsia"/>
          <w:b/>
          <w:color w:val="auto"/>
          <w:szCs w:val="21"/>
          <w:highlight w:val="none"/>
        </w:rPr>
        <w:t>否则其投标无效。</w:t>
      </w:r>
    </w:p>
    <w:p>
      <w:pPr>
        <w:spacing w:line="360" w:lineRule="auto"/>
        <w:ind w:firstLine="525" w:firstLineChars="2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19.6 对招标文件的实质性要求和条件作出响应是指投标人必须对招标文件中标注为实质性要求和条件的</w:t>
      </w:r>
      <w:r>
        <w:rPr>
          <w:rFonts w:hint="eastAsia" w:asciiTheme="minorEastAsia" w:hAnsiTheme="minorEastAsia" w:eastAsiaTheme="minorEastAsia" w:cstheme="minorEastAsia"/>
          <w:color w:val="auto"/>
          <w:szCs w:val="21"/>
          <w:highlight w:val="none"/>
        </w:rPr>
        <w:t>服务内容及要求</w:t>
      </w:r>
      <w:r>
        <w:rPr>
          <w:rFonts w:hint="eastAsia" w:asciiTheme="minorEastAsia" w:hAnsiTheme="minorEastAsia" w:eastAsiaTheme="minorEastAsia" w:cstheme="minorEastAsia"/>
          <w:color w:val="auto"/>
          <w:highlight w:val="none"/>
        </w:rPr>
        <w:t>、商务条款及其它内容</w:t>
      </w:r>
      <w:r>
        <w:rPr>
          <w:rFonts w:hint="eastAsia" w:asciiTheme="minorEastAsia" w:hAnsiTheme="minorEastAsia" w:eastAsiaTheme="minorEastAsia" w:cstheme="minorEastAsia"/>
          <w:b/>
          <w:color w:val="auto"/>
          <w:highlight w:val="none"/>
        </w:rPr>
        <w:t>作出满足或者优于原要求和条件的承诺</w:t>
      </w:r>
      <w:r>
        <w:rPr>
          <w:rFonts w:hint="eastAsia" w:asciiTheme="minorEastAsia" w:hAnsiTheme="minorEastAsia" w:eastAsiaTheme="minorEastAsia" w:cstheme="minorEastAsia"/>
          <w:color w:val="auto"/>
          <w:highlight w:val="none"/>
        </w:rPr>
        <w:t>。</w:t>
      </w:r>
    </w:p>
    <w:p>
      <w:pPr>
        <w:spacing w:line="360" w:lineRule="auto"/>
        <w:ind w:firstLine="422" w:firstLineChars="200"/>
        <w:rPr>
          <w:rFonts w:asciiTheme="minorEastAsia" w:hAnsiTheme="minorEastAsia" w:eastAsiaTheme="minorEastAsia" w:cstheme="minorEastAsia"/>
          <w:b/>
          <w:color w:val="auto"/>
          <w:szCs w:val="21"/>
          <w:highlight w:val="none"/>
          <w:u w:val="single"/>
        </w:rPr>
      </w:pPr>
      <w:r>
        <w:rPr>
          <w:rFonts w:hint="eastAsia" w:asciiTheme="minorEastAsia" w:hAnsiTheme="minorEastAsia" w:eastAsiaTheme="minorEastAsia" w:cstheme="minorEastAsia"/>
          <w:b/>
          <w:color w:val="auto"/>
          <w:szCs w:val="21"/>
          <w:highlight w:val="none"/>
          <w:u w:val="single"/>
        </w:rPr>
        <w:t>19.7本项目为南宁市全流程电子化项目，异常情况见“第二节 投标人须知正文”中“四、24.2开标程序。</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20.备份投标文件</w:t>
      </w:r>
    </w:p>
    <w:p>
      <w:pPr>
        <w:spacing w:line="360" w:lineRule="auto"/>
        <w:ind w:firstLine="42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Cs/>
          <w:color w:val="auto"/>
          <w:szCs w:val="21"/>
          <w:highlight w:val="none"/>
        </w:rPr>
        <w:t>详见“投标人须知前附表”。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21.投标文件的提交</w:t>
      </w:r>
    </w:p>
    <w:p>
      <w:pPr>
        <w:spacing w:line="360" w:lineRule="auto"/>
        <w:ind w:firstLine="420" w:firstLineChars="200"/>
        <w:rPr>
          <w:rFonts w:asciiTheme="minorEastAsia" w:hAnsiTheme="minorEastAsia" w:eastAsiaTheme="minorEastAsia" w:cstheme="minorEastAsia"/>
          <w:b/>
          <w:color w:val="auto"/>
          <w:highlight w:val="none"/>
        </w:rPr>
      </w:pPr>
      <w:bookmarkStart w:id="98" w:name="_21.1投标人必须在“投标人须知中的前附表”规定的投标文件接收时间和投"/>
      <w:bookmarkEnd w:id="98"/>
      <w:r>
        <w:rPr>
          <w:rFonts w:hint="eastAsia" w:asciiTheme="minorEastAsia" w:hAnsiTheme="minorEastAsia" w:eastAsiaTheme="minorEastAsia" w:cstheme="minorEastAsia"/>
          <w:bCs/>
          <w:color w:val="auto"/>
          <w:szCs w:val="21"/>
          <w:highlight w:val="none"/>
        </w:rPr>
        <w:t>21.1投标人必须在“投标人须知前附表”规定的投标文件接收时间和投标地点提交电子版投标文件。电子投标文件应在制作完成后，在投标截止时间前通过有效数字证书（CA认证锁）进行电子签章、加密，然后通过网络将加密的电子投标文件递交至“</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 xml:space="preserve">”。 </w:t>
      </w:r>
      <w:r>
        <w:rPr>
          <w:rFonts w:hint="eastAsia" w:asciiTheme="minorEastAsia" w:hAnsiTheme="minorEastAsia" w:eastAsiaTheme="minorEastAsia" w:cstheme="minorEastAsia"/>
          <w:b/>
          <w:color w:val="auto"/>
          <w:highlight w:val="none"/>
        </w:rPr>
        <w:t xml:space="preserve"> </w:t>
      </w:r>
    </w:p>
    <w:p>
      <w:pPr>
        <w:spacing w:line="360" w:lineRule="auto"/>
        <w:ind w:firstLine="422" w:firstLineChars="200"/>
        <w:rPr>
          <w:rFonts w:asciiTheme="minorEastAsia" w:hAnsiTheme="minorEastAsia" w:eastAsiaTheme="minorEastAsia" w:cstheme="minorEastAsia"/>
          <w:b/>
          <w:color w:val="auto"/>
          <w:szCs w:val="20"/>
          <w:highlight w:val="none"/>
        </w:rPr>
      </w:pPr>
      <w:r>
        <w:rPr>
          <w:rFonts w:hint="eastAsia" w:asciiTheme="minorEastAsia" w:hAnsiTheme="minorEastAsia" w:eastAsiaTheme="minorEastAsia" w:cstheme="minorEastAsia"/>
          <w:b/>
          <w:color w:val="auto"/>
          <w:szCs w:val="21"/>
          <w:highlight w:val="none"/>
        </w:rPr>
        <w:t>21.2未在规定时间内提交或者未按照招标文件要求密封或者标记的电子投标文件，广西政府采购云平台将拒收。</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21.3电子版投标文件提交方式见“招标公告”中“四、提交投标文件截止时间、开标时间和地点”</w:t>
      </w:r>
      <w:r>
        <w:rPr>
          <w:rFonts w:hint="eastAsia" w:asciiTheme="minorEastAsia" w:hAnsiTheme="minorEastAsia" w:eastAsiaTheme="minorEastAsia" w:cstheme="minorEastAsia"/>
          <w:b/>
          <w:color w:val="auto"/>
          <w:szCs w:val="21"/>
          <w:highlight w:val="none"/>
        </w:rPr>
        <w:t xml:space="preserve">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22. 投标文件的补充、修改、撤回与退回</w:t>
      </w:r>
      <w:bookmarkStart w:id="99" w:name="_Toc254970543"/>
      <w:bookmarkStart w:id="100" w:name="_Toc254970684"/>
    </w:p>
    <w:p>
      <w:pPr>
        <w:spacing w:line="360" w:lineRule="auto"/>
        <w:ind w:firstLine="42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Cs w:val="21"/>
          <w:highlight w:val="none"/>
        </w:rPr>
        <w:t>22.1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广西政府采购云平台将拒收。（补充、修改或者撤回方式见公告附件“电子投标文件制作与投送教程”）</w:t>
      </w:r>
    </w:p>
    <w:p>
      <w:pPr>
        <w:pStyle w:val="32"/>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22.2广西政府采购云平台收到投标文件，将妥善保存并即时向供应商发出确认回执通知。在投标截止时间前，除供应商补充、修改或者撤回投标文件外，任何单位和个人不得解密或提取投标文件。</w:t>
      </w:r>
    </w:p>
    <w:bookmarkEnd w:id="99"/>
    <w:bookmarkEnd w:id="100"/>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22.3在投标截止时间止提交电子版投标文件的投标人不足3家时，电子版投标文件由代理机构在广西政府采购云平台操作退回，除此之外采购人和采购代理机构对已提交的投标文件概不退回。</w:t>
      </w:r>
    </w:p>
    <w:p>
      <w:pPr>
        <w:pStyle w:val="11"/>
        <w:snapToGrid w:val="0"/>
        <w:spacing w:line="400" w:lineRule="exact"/>
        <w:ind w:firstLine="739"/>
        <w:rPr>
          <w:rFonts w:asciiTheme="minorEastAsia" w:hAnsiTheme="minorEastAsia" w:eastAsiaTheme="minorEastAsia" w:cstheme="minorEastAsia"/>
          <w:snapToGrid w:val="0"/>
          <w:color w:val="auto"/>
          <w:sz w:val="21"/>
          <w:szCs w:val="21"/>
          <w:highlight w:val="none"/>
        </w:rPr>
      </w:pPr>
    </w:p>
    <w:p>
      <w:pPr>
        <w:pStyle w:val="4"/>
        <w:keepNext w:val="0"/>
        <w:keepLines w:val="0"/>
        <w:spacing w:line="400" w:lineRule="exact"/>
        <w:jc w:val="center"/>
        <w:rPr>
          <w:rFonts w:asciiTheme="minorEastAsia" w:hAnsiTheme="minorEastAsia" w:eastAsiaTheme="minorEastAsia" w:cstheme="minorEastAsia"/>
          <w:color w:val="auto"/>
          <w:highlight w:val="none"/>
        </w:rPr>
      </w:pPr>
      <w:bookmarkStart w:id="101" w:name="_Toc254970544"/>
      <w:bookmarkStart w:id="102" w:name="_Toc19885"/>
      <w:bookmarkStart w:id="103" w:name="_Toc20244"/>
      <w:bookmarkStart w:id="104" w:name="_Toc254970685"/>
      <w:r>
        <w:rPr>
          <w:rFonts w:hint="eastAsia" w:asciiTheme="minorEastAsia" w:hAnsiTheme="minorEastAsia" w:eastAsiaTheme="minorEastAsia" w:cstheme="minorEastAsia"/>
          <w:color w:val="auto"/>
          <w:highlight w:val="none"/>
        </w:rPr>
        <w:t>四、开    标</w:t>
      </w:r>
      <w:bookmarkEnd w:id="101"/>
      <w:bookmarkEnd w:id="102"/>
      <w:bookmarkEnd w:id="103"/>
      <w:bookmarkEnd w:id="104"/>
    </w:p>
    <w:p>
      <w:pPr>
        <w:spacing w:line="360" w:lineRule="auto"/>
        <w:ind w:firstLine="480" w:firstLineChars="200"/>
        <w:rPr>
          <w:rFonts w:asciiTheme="minorEastAsia" w:hAnsiTheme="minorEastAsia" w:eastAsiaTheme="minorEastAsia" w:cstheme="minorEastAsia"/>
          <w:color w:val="auto"/>
          <w:sz w:val="24"/>
          <w:highlight w:val="none"/>
        </w:rPr>
      </w:pPr>
      <w:bookmarkStart w:id="105" w:name="_23.开标时间和地点"/>
      <w:bookmarkEnd w:id="105"/>
      <w:r>
        <w:rPr>
          <w:rFonts w:hint="eastAsia" w:asciiTheme="minorEastAsia" w:hAnsiTheme="minorEastAsia" w:eastAsiaTheme="minorEastAsia" w:cstheme="minorEastAsia"/>
          <w:color w:val="auto"/>
          <w:sz w:val="24"/>
          <w:highlight w:val="none"/>
        </w:rPr>
        <w:t>23.开标时间和地点</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23.1开标时间及地点详见“投标人须知前附表”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23.2如</w:t>
      </w:r>
      <w:r>
        <w:rPr>
          <w:rFonts w:hint="eastAsia" w:asciiTheme="minorEastAsia" w:hAnsiTheme="minorEastAsia" w:eastAsiaTheme="minorEastAsia" w:cstheme="minorEastAsia"/>
          <w:bCs/>
          <w:color w:val="auto"/>
          <w:highlight w:val="none"/>
        </w:rPr>
        <w:t>投标人成功解密投标文件，但未在</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highlight w:val="none"/>
        </w:rPr>
        <w:t>电子开标大厅参加开标的，视同认可开标过程和结果，</w:t>
      </w:r>
      <w:r>
        <w:rPr>
          <w:rFonts w:hint="eastAsia" w:asciiTheme="minorEastAsia" w:hAnsiTheme="minorEastAsia" w:eastAsiaTheme="minorEastAsia" w:cstheme="minorEastAsia"/>
          <w:color w:val="auto"/>
          <w:highlight w:val="none"/>
        </w:rPr>
        <w:t>由此产生的后果由投标人自行负责。 投标人不足3家的，不得开标。</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24.开标程序</w:t>
      </w:r>
    </w:p>
    <w:p>
      <w:pPr>
        <w:autoSpaceDE w:val="0"/>
        <w:autoSpaceDN w:val="0"/>
        <w:adjustRightInd w:val="0"/>
        <w:spacing w:line="440" w:lineRule="exact"/>
        <w:ind w:firstLine="420" w:firstLineChars="200"/>
        <w:rPr>
          <w:rFonts w:asciiTheme="minorEastAsia" w:hAnsiTheme="minorEastAsia" w:eastAsiaTheme="minorEastAsia" w:cstheme="minorEastAsia"/>
          <w:color w:val="auto"/>
          <w:kern w:val="0"/>
          <w:szCs w:val="21"/>
          <w:highlight w:val="none"/>
        </w:rPr>
      </w:pPr>
      <w:r>
        <w:rPr>
          <w:rFonts w:hint="eastAsia" w:asciiTheme="minorEastAsia" w:hAnsiTheme="minorEastAsia" w:eastAsiaTheme="minorEastAsia" w:cstheme="minorEastAsia"/>
          <w:bCs/>
          <w:color w:val="auto"/>
          <w:szCs w:val="21"/>
          <w:highlight w:val="none"/>
        </w:rPr>
        <w:t>24.1</w:t>
      </w:r>
      <w:r>
        <w:rPr>
          <w:rFonts w:hint="eastAsia" w:asciiTheme="minorEastAsia" w:hAnsiTheme="minorEastAsia" w:eastAsiaTheme="minorEastAsia" w:cstheme="minorEastAsia"/>
          <w:color w:val="auto"/>
          <w:kern w:val="0"/>
          <w:szCs w:val="21"/>
          <w:highlight w:val="none"/>
        </w:rPr>
        <w:t>开标形式：</w:t>
      </w:r>
    </w:p>
    <w:p>
      <w:pPr>
        <w:autoSpaceDE w:val="0"/>
        <w:autoSpaceDN w:val="0"/>
        <w:adjustRightInd w:val="0"/>
        <w:spacing w:line="440" w:lineRule="exact"/>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bCs/>
          <w:color w:val="auto"/>
          <w:szCs w:val="21"/>
          <w:highlight w:val="none"/>
        </w:rPr>
        <w:t>开标的准备工作由采购代理机构负责落实，采购代理机构必须基于</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选取评审专家，如采购代理机构未按规定选取专家的，视为本次开评标无效，应当重新采购；</w:t>
      </w:r>
    </w:p>
    <w:p>
      <w:pPr>
        <w:autoSpaceDE w:val="0"/>
        <w:autoSpaceDN w:val="0"/>
        <w:adjustRightInd w:val="0"/>
        <w:spacing w:line="440" w:lineRule="exact"/>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（2）采购代理机构将按照招标文件规定的时间通过</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bCs/>
          <w:color w:val="auto"/>
          <w:szCs w:val="21"/>
          <w:highlight w:val="none"/>
        </w:rPr>
        <w:t>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pPr>
        <w:autoSpaceDE w:val="0"/>
        <w:autoSpaceDN w:val="0"/>
        <w:adjustRightInd w:val="0"/>
        <w:spacing w:line="440" w:lineRule="exact"/>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24.2开标程序：</w:t>
      </w:r>
    </w:p>
    <w:p>
      <w:pPr>
        <w:pStyle w:val="13"/>
        <w:snapToGrid w:val="0"/>
        <w:spacing w:line="44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（1）解密电子投标文件。</w:t>
      </w:r>
      <w:r>
        <w:rPr>
          <w:rFonts w:hint="eastAsia" w:asciiTheme="minorEastAsia" w:hAnsiTheme="minorEastAsia" w:eastAsiaTheme="minorEastAsia" w:cstheme="minorEastAsia"/>
          <w:color w:val="auto"/>
          <w:szCs w:val="21"/>
          <w:highlight w:val="none"/>
        </w:rPr>
        <w:t>广西政府采购云平台按开标时间自动提取所有投标文件。采购代理机构依托广西政府采购云平台向各投标人发出电子加密投标文件【开始解密】通知，由投标人按招标文件规定的时间内自行进行投标文件解密。投标人的法定代表人或其委托代理人</w:t>
      </w:r>
      <w:r>
        <w:rPr>
          <w:rFonts w:hint="eastAsia" w:asciiTheme="minorEastAsia" w:hAnsiTheme="minorEastAsia" w:eastAsiaTheme="minorEastAsia" w:cstheme="minorEastAsia"/>
          <w:b/>
          <w:color w:val="auto"/>
          <w:szCs w:val="21"/>
          <w:highlight w:val="none"/>
        </w:rPr>
        <w:t>须携带加密时所用的CA锁准时登录到广西政府采购云平台电子开标大厅签到并对电子投标文件解密</w:t>
      </w:r>
      <w:r>
        <w:rPr>
          <w:rFonts w:hint="eastAsia" w:asciiTheme="minorEastAsia" w:hAnsiTheme="minorEastAsia" w:eastAsiaTheme="minorEastAsia" w:cstheme="minorEastAsia"/>
          <w:color w:val="auto"/>
          <w:szCs w:val="21"/>
          <w:highlight w:val="none"/>
        </w:rPr>
        <w:t>。开标后5分钟投标人还未进行解密的，代理机构要通知投标人。通知后，投标文件仍未按时解密，或者投标人没预留联系方式或预留联系方式无效，导致代理机构无法联系到投标人进行解密的，</w:t>
      </w:r>
      <w:r>
        <w:rPr>
          <w:rFonts w:hint="eastAsia" w:asciiTheme="minorEastAsia" w:hAnsiTheme="minorEastAsia" w:eastAsiaTheme="minorEastAsia" w:cstheme="minorEastAsia"/>
          <w:b/>
          <w:color w:val="auto"/>
          <w:szCs w:val="21"/>
          <w:highlight w:val="none"/>
        </w:rPr>
        <w:t>均视为无效投标。</w:t>
      </w:r>
    </w:p>
    <w:p>
      <w:pPr>
        <w:pStyle w:val="13"/>
        <w:snapToGrid w:val="0"/>
        <w:spacing w:line="44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（解密</w:t>
      </w:r>
      <w:r>
        <w:rPr>
          <w:rFonts w:hint="eastAsia" w:asciiTheme="minorEastAsia" w:hAnsiTheme="minorEastAsia" w:eastAsiaTheme="minorEastAsia" w:cstheme="minorEastAsia"/>
          <w:bCs/>
          <w:color w:val="auto"/>
          <w:szCs w:val="21"/>
          <w:highlight w:val="none"/>
        </w:rPr>
        <w:t>异常情况处理：详见本章</w:t>
      </w:r>
      <w:r>
        <w:rPr>
          <w:rFonts w:hint="eastAsia" w:asciiTheme="minorEastAsia" w:hAnsiTheme="minorEastAsia" w:eastAsiaTheme="minorEastAsia" w:cstheme="minorEastAsia"/>
          <w:color w:val="auto"/>
          <w:highlight w:val="none"/>
        </w:rPr>
        <w:t>29.3 电子交易活动的中止。</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b/>
          <w:color w:val="auto"/>
          <w:szCs w:val="21"/>
          <w:highlight w:val="none"/>
        </w:rPr>
        <w:t>电子唱标。</w:t>
      </w:r>
      <w:r>
        <w:rPr>
          <w:rFonts w:hint="eastAsia" w:asciiTheme="minorEastAsia" w:hAnsiTheme="minorEastAsia" w:eastAsiaTheme="minorEastAsia" w:cstheme="minorEastAsia"/>
          <w:color w:val="auto"/>
          <w:szCs w:val="21"/>
          <w:highlight w:val="none"/>
        </w:rPr>
        <w:t>投标文件解密结束，各投标供应商报价均在广西政府采购云平台远程不见面开标大厅展示；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b/>
          <w:color w:val="auto"/>
          <w:szCs w:val="21"/>
          <w:highlight w:val="none"/>
        </w:rPr>
        <w:t>签署电子《政府采购活动现场确认声明书》。</w:t>
      </w:r>
      <w:r>
        <w:rPr>
          <w:rFonts w:hint="eastAsia" w:asciiTheme="minorEastAsia" w:hAnsiTheme="minorEastAsia" w:eastAsiaTheme="minorEastAsia" w:cstheme="minorEastAsia"/>
          <w:color w:val="auto"/>
          <w:szCs w:val="21"/>
          <w:highlight w:val="none"/>
        </w:rPr>
        <w:t>通过邮件形式在远程不见面开标大厅发送各投标人签署电子《政府采购活动现场确认声明书》。</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（4）开标过程由采购代理机构如实记录，并电子留痕，由参加电子开标的各投标人代表对电子开标记录在开标记录公布后15分钟内进行当场校核及勘误，并线上确认，未确认的视同认可开标结果。</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（6）开标结束。</w:t>
      </w:r>
    </w:p>
    <w:p>
      <w:pPr>
        <w:pStyle w:val="13"/>
        <w:snapToGrid w:val="0"/>
        <w:spacing w:line="440" w:lineRule="exact"/>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bCs/>
          <w:color w:val="auto"/>
          <w:szCs w:val="21"/>
          <w:highlight w:val="none"/>
        </w:rPr>
        <w:t>特别说明：</w:t>
      </w:r>
      <w:r>
        <w:rPr>
          <w:rFonts w:hint="eastAsia" w:asciiTheme="minorEastAsia" w:hAnsiTheme="minorEastAsia" w:eastAsiaTheme="minorEastAsia" w:cstheme="minorEastAsia"/>
          <w:color w:val="auto"/>
          <w:szCs w:val="21"/>
          <w:highlight w:val="none"/>
        </w:rPr>
        <w:t>如遇广西政府采购云平台电子化开标或评审程序调整的，按调整后执行。</w:t>
      </w:r>
    </w:p>
    <w:p>
      <w:pPr>
        <w:pStyle w:val="13"/>
        <w:snapToGrid w:val="0"/>
        <w:spacing w:line="400" w:lineRule="exact"/>
        <w:ind w:left="689" w:leftChars="228" w:hanging="210" w:hangingChars="100"/>
        <w:rPr>
          <w:rFonts w:asciiTheme="minorEastAsia" w:hAnsiTheme="minorEastAsia" w:eastAsiaTheme="minorEastAsia" w:cstheme="minorEastAsia"/>
          <w:color w:val="auto"/>
          <w:highlight w:val="none"/>
        </w:rPr>
      </w:pPr>
    </w:p>
    <w:p>
      <w:pPr>
        <w:pStyle w:val="4"/>
        <w:keepNext w:val="0"/>
        <w:keepLines w:val="0"/>
        <w:spacing w:line="400" w:lineRule="exact"/>
        <w:jc w:val="center"/>
        <w:rPr>
          <w:rFonts w:asciiTheme="minorEastAsia" w:hAnsiTheme="minorEastAsia" w:eastAsiaTheme="minorEastAsia" w:cstheme="minorEastAsia"/>
          <w:color w:val="auto"/>
          <w:highlight w:val="none"/>
        </w:rPr>
      </w:pPr>
      <w:bookmarkStart w:id="106" w:name="_Toc27807"/>
      <w:bookmarkStart w:id="107" w:name="_Toc27569"/>
      <w:r>
        <w:rPr>
          <w:rFonts w:hint="eastAsia" w:asciiTheme="minorEastAsia" w:hAnsiTheme="minorEastAsia" w:eastAsiaTheme="minorEastAsia" w:cstheme="minorEastAsia"/>
          <w:color w:val="auto"/>
          <w:highlight w:val="none"/>
        </w:rPr>
        <w:t>五、资格审查</w:t>
      </w:r>
      <w:bookmarkEnd w:id="106"/>
      <w:bookmarkEnd w:id="107"/>
    </w:p>
    <w:p>
      <w:pPr>
        <w:pStyle w:val="6"/>
        <w:keepNext w:val="0"/>
        <w:keepLines w:val="0"/>
        <w:spacing w:before="0" w:after="0"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25.资格审查</w:t>
      </w:r>
    </w:p>
    <w:p>
      <w:pPr>
        <w:spacing w:line="360" w:lineRule="auto"/>
        <w:ind w:firstLine="422" w:firstLineChars="200"/>
        <w:rPr>
          <w:rFonts w:asciiTheme="minorEastAsia" w:hAnsiTheme="minorEastAsia" w:eastAsiaTheme="minorEastAsia" w:cstheme="minorEastAsia"/>
          <w:b/>
          <w:bCs/>
          <w:color w:val="auto"/>
          <w:szCs w:val="20"/>
          <w:highlight w:val="none"/>
        </w:rPr>
      </w:pPr>
      <w:r>
        <w:rPr>
          <w:rFonts w:hint="eastAsia" w:asciiTheme="minorEastAsia" w:hAnsiTheme="minorEastAsia" w:eastAsiaTheme="minorEastAsia" w:cstheme="minorEastAsia"/>
          <w:b/>
          <w:bCs/>
          <w:color w:val="auto"/>
          <w:szCs w:val="20"/>
          <w:highlight w:val="none"/>
        </w:rPr>
        <w:t xml:space="preserve"> 25.1开标结束后，采购人或采购机构依法通过电子投标文件对投标人的资格进行线上审查。</w:t>
      </w:r>
    </w:p>
    <w:p>
      <w:pPr>
        <w:spacing w:line="360" w:lineRule="auto"/>
        <w:ind w:firstLine="422" w:firstLineChars="200"/>
        <w:rPr>
          <w:rFonts w:asciiTheme="minorEastAsia" w:hAnsiTheme="minorEastAsia" w:eastAsiaTheme="minorEastAsia" w:cstheme="minorEastAsia"/>
          <w:b/>
          <w:bCs/>
          <w:color w:val="auto"/>
          <w:szCs w:val="20"/>
          <w:highlight w:val="none"/>
        </w:rPr>
      </w:pPr>
      <w:r>
        <w:rPr>
          <w:rFonts w:hint="eastAsia" w:asciiTheme="minorEastAsia" w:hAnsiTheme="minorEastAsia" w:eastAsiaTheme="minorEastAsia" w:cstheme="minorEastAsia"/>
          <w:b/>
          <w:bCs/>
          <w:color w:val="auto"/>
          <w:szCs w:val="20"/>
          <w:highlight w:val="none"/>
        </w:rPr>
        <w:t xml:space="preserve"> 25.2采购人或采购机构依据法律法规和招标文件的规定，对投标人的基本资格条件、特定资格条件进行审查。</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25.3资格审查标准为本“招标文件”中“投标人须知前附表”13.1点载明对投标人资格要求的条件。本项目资格审查采用合格制，凡符合招标文件规定的投标人资格要求的投标人均通过资格审查。</w:t>
      </w:r>
    </w:p>
    <w:p>
      <w:pPr>
        <w:spacing w:line="360" w:lineRule="auto"/>
        <w:ind w:firstLine="422" w:firstLineChars="200"/>
        <w:rPr>
          <w:rFonts w:asciiTheme="minorEastAsia" w:hAnsiTheme="minorEastAsia" w:eastAsiaTheme="minorEastAsia" w:cstheme="minorEastAsia"/>
          <w:b/>
          <w:bCs/>
          <w:color w:val="auto"/>
          <w:szCs w:val="20"/>
          <w:highlight w:val="none"/>
        </w:rPr>
      </w:pPr>
      <w:bookmarkStart w:id="108" w:name="_25.3_投标人有下列情形之一的，资格审查不通过而导致其投标无效："/>
      <w:bookmarkEnd w:id="108"/>
      <w:r>
        <w:rPr>
          <w:rFonts w:hint="eastAsia" w:asciiTheme="minorEastAsia" w:hAnsiTheme="minorEastAsia" w:eastAsiaTheme="minorEastAsia" w:cstheme="minorEastAsia"/>
          <w:b/>
          <w:bCs/>
          <w:color w:val="auto"/>
          <w:szCs w:val="20"/>
          <w:highlight w:val="none"/>
        </w:rPr>
        <w:t>25.4投标人有下列情形之一的，资格审查不通过，作无效投标处理：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（1）不具备招标文件中规定的资格要求的；（注：其中信用查询规则见“投标人须知前附表”，</w:t>
      </w:r>
      <w:r>
        <w:rPr>
          <w:rFonts w:hint="eastAsia" w:asciiTheme="minorEastAsia" w:hAnsiTheme="minorEastAsia" w:eastAsiaTheme="minorEastAsia" w:cstheme="minorEastAsia"/>
          <w:color w:val="auto"/>
          <w:szCs w:val="21"/>
          <w:highlight w:val="none"/>
        </w:rPr>
        <w:t>广西政府采购云平台</w:t>
      </w:r>
      <w:r>
        <w:rPr>
          <w:rFonts w:hint="eastAsia" w:asciiTheme="minorEastAsia" w:hAnsiTheme="minorEastAsia" w:eastAsiaTheme="minorEastAsia" w:cstheme="minorEastAsia"/>
          <w:color w:val="auto"/>
          <w:highlight w:val="none"/>
        </w:rPr>
        <w:t>已与“信用中国”平台做接口，审查专家可直接在线查询）</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（2）投标文件未提供任一项“投标人须知前附表”资格证明文件规定的“必须提供”的文件资料的；</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（3）投标文件提供的资格证明文件出现任一项不符合“投标人须知前附表”资格证明文件规定的“必须提供”的文件资料要求或者无效的。</w:t>
      </w:r>
    </w:p>
    <w:p>
      <w:pPr>
        <w:pStyle w:val="6"/>
        <w:keepNext w:val="0"/>
        <w:keepLines w:val="0"/>
        <w:spacing w:before="0" w:after="0" w:line="360" w:lineRule="auto"/>
        <w:ind w:firstLine="420" w:firstLineChars="200"/>
        <w:rPr>
          <w:rFonts w:asciiTheme="minorEastAsia" w:hAnsiTheme="minorEastAsia" w:eastAsiaTheme="minorEastAsia" w:cstheme="minorEastAsia"/>
          <w:b w:val="0"/>
          <w:bCs w:val="0"/>
          <w:color w:val="auto"/>
          <w:sz w:val="21"/>
          <w:szCs w:val="20"/>
          <w:highlight w:val="none"/>
        </w:rPr>
      </w:pPr>
      <w:r>
        <w:rPr>
          <w:rFonts w:hint="eastAsia" w:asciiTheme="minorEastAsia" w:hAnsiTheme="minorEastAsia" w:eastAsiaTheme="minorEastAsia" w:cstheme="minorEastAsia"/>
          <w:b w:val="0"/>
          <w:bCs w:val="0"/>
          <w:color w:val="auto"/>
          <w:sz w:val="21"/>
          <w:szCs w:val="20"/>
          <w:highlight w:val="none"/>
        </w:rPr>
        <w:t>25.5资格审查的合格投标人不足3家的，不得评标。</w:t>
      </w:r>
    </w:p>
    <w:p>
      <w:pPr>
        <w:pStyle w:val="4"/>
        <w:keepNext w:val="0"/>
        <w:keepLines w:val="0"/>
        <w:spacing w:line="360" w:lineRule="auto"/>
        <w:jc w:val="center"/>
        <w:rPr>
          <w:rFonts w:asciiTheme="minorEastAsia" w:hAnsiTheme="minorEastAsia" w:eastAsiaTheme="minorEastAsia" w:cstheme="minorEastAsia"/>
          <w:color w:val="auto"/>
          <w:highlight w:val="none"/>
        </w:rPr>
      </w:pPr>
      <w:bookmarkStart w:id="109" w:name="_Toc7226"/>
      <w:bookmarkStart w:id="110" w:name="_Toc29672"/>
      <w:r>
        <w:rPr>
          <w:rFonts w:hint="eastAsia" w:asciiTheme="minorEastAsia" w:hAnsiTheme="minorEastAsia" w:eastAsiaTheme="minorEastAsia" w:cstheme="minorEastAsia"/>
          <w:color w:val="auto"/>
          <w:highlight w:val="none"/>
        </w:rPr>
        <w:t>六、评   标</w:t>
      </w:r>
      <w:bookmarkEnd w:id="109"/>
      <w:bookmarkEnd w:id="110"/>
    </w:p>
    <w:p>
      <w:pPr>
        <w:spacing w:line="360" w:lineRule="auto"/>
        <w:ind w:firstLine="480" w:firstLineChars="200"/>
        <w:rPr>
          <w:rFonts w:asciiTheme="minorEastAsia" w:hAnsiTheme="minorEastAsia" w:eastAsiaTheme="minorEastAsia" w:cstheme="minorEastAsia"/>
          <w:color w:val="auto"/>
          <w:sz w:val="24"/>
          <w:highlight w:val="none"/>
        </w:rPr>
      </w:pPr>
      <w:bookmarkStart w:id="111" w:name="_26.组建评标委员会"/>
      <w:bookmarkEnd w:id="111"/>
      <w:r>
        <w:rPr>
          <w:rFonts w:hint="eastAsia" w:asciiTheme="minorEastAsia" w:hAnsiTheme="minorEastAsia" w:eastAsiaTheme="minorEastAsia" w:cstheme="minorEastAsia"/>
          <w:color w:val="auto"/>
          <w:sz w:val="24"/>
          <w:highlight w:val="none"/>
        </w:rPr>
        <w:t>26.组建评标委员会</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评标委员会由采购人代表和评审专家组成，人数为</w:t>
      </w:r>
      <w:r>
        <w:rPr>
          <w:rFonts w:hint="default" w:asciiTheme="minorEastAsia" w:hAnsiTheme="minorEastAsia" w:eastAsiaTheme="minorEastAsia" w:cstheme="minorEastAsia"/>
          <w:color w:val="auto"/>
          <w:highlight w:val="none"/>
          <w:lang w:val="en-US"/>
        </w:rPr>
        <w:t>5</w:t>
      </w:r>
      <w:r>
        <w:rPr>
          <w:rFonts w:hint="eastAsia" w:asciiTheme="minorEastAsia" w:hAnsiTheme="minorEastAsia" w:eastAsiaTheme="minorEastAsia" w:cstheme="minorEastAsia"/>
          <w:color w:val="auto"/>
          <w:highlight w:val="none"/>
        </w:rPr>
        <w:t>人以上单数，其中评审专家不得少于成员总数的三分之二。</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参加过采购项目前期咨询论证的专家，不得参加该采购项目的评审活动。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27.评标的依据</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评标委员会以招标文件为依据对投标文件进行评审，“第四章 评标方法和评标标准”没有规定的方法、评审因素和标准，不作为评标依据。</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28.评标原则</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28.2评委表决。在评标过程中出现法律法规和招标文件均没有明确规定的情形时，由评标委员会现场协商解决，协商不一致的，由全体评委投票表决，以得票率二分之一以上专家的意见为准并由采购代理机构作记录。</w:t>
      </w:r>
      <w:bookmarkStart w:id="112" w:name="_28.3评标方法。本项目将按须知前附表规定的评标办法进行评标，具体评标"/>
      <w:bookmarkEnd w:id="112"/>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28.4评标过程的监控。本项目电子评标过程实行网上留痕、全程录音、录像监控，投标人在评标过程中所进行的试图影响评标结果的不公正活动，可能导致其投标按无效处理。</w:t>
      </w:r>
    </w:p>
    <w:p>
      <w:pPr>
        <w:widowControl/>
        <w:spacing w:line="560" w:lineRule="exact"/>
        <w:ind w:firstLine="420" w:firstLineChars="200"/>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28.5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pPr>
        <w:widowControl/>
        <w:spacing w:line="560" w:lineRule="exact"/>
        <w:ind w:firstLine="420" w:firstLineChars="200"/>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28.6  在招标采购中，符合专业条件的供应商或者对招标文件作实质响应的供应商不足3家的，应予以废标。</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29.评标方法及评标标准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29.1本项目的评标方法详见“投标人须知前附表”。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29.2 评标委员会按照</w:t>
      </w:r>
      <w:r>
        <w:rPr>
          <w:rFonts w:hint="eastAsia" w:asciiTheme="minorEastAsia" w:hAnsiTheme="minorEastAsia" w:eastAsiaTheme="minorEastAsia" w:cstheme="minorEastAsia"/>
          <w:b/>
          <w:color w:val="auto"/>
          <w:highlight w:val="none"/>
        </w:rPr>
        <w:t>“第四章 评标方法和评标标准”</w:t>
      </w:r>
      <w:r>
        <w:rPr>
          <w:rFonts w:hint="eastAsia" w:asciiTheme="minorEastAsia" w:hAnsiTheme="minorEastAsia" w:eastAsiaTheme="minorEastAsia" w:cstheme="minorEastAsia"/>
          <w:color w:val="auto"/>
          <w:highlight w:val="none"/>
        </w:rPr>
        <w:t>规定的方法、评审因素、标准和程序对投标文件进行评审。</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29.3 电子交易活动的中止。采购过程中出现以下情形，导致电子交易平台无法正常运行，或者无法保证电子交易的公平、公正和安全时，采购机构可中止电子交易活动：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（1）电子交易平台发生故障而无法登录访问的； </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（2）电子交易平台应用或数据库出现错误，不能进行正常操作的；</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（3）电子交易平台发现严重安全漏洞，有潜在泄密危险的；</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（4）病毒发作导致不能进行正常操作的； </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（4）其他无法保证电子交易的公平、公正和安全的情况。</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29.4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pPr>
        <w:pStyle w:val="13"/>
        <w:snapToGrid w:val="0"/>
        <w:spacing w:line="400" w:lineRule="exact"/>
        <w:ind w:firstLine="420" w:firstLineChars="200"/>
        <w:rPr>
          <w:rFonts w:asciiTheme="minorEastAsia" w:hAnsiTheme="minorEastAsia" w:eastAsiaTheme="minorEastAsia" w:cstheme="minorEastAsia"/>
          <w:color w:val="auto"/>
          <w:highlight w:val="none"/>
        </w:rPr>
      </w:pPr>
    </w:p>
    <w:p>
      <w:pPr>
        <w:pStyle w:val="4"/>
        <w:keepNext w:val="0"/>
        <w:keepLines w:val="0"/>
        <w:spacing w:line="400" w:lineRule="exact"/>
        <w:jc w:val="center"/>
        <w:rPr>
          <w:rFonts w:asciiTheme="minorEastAsia" w:hAnsiTheme="minorEastAsia" w:eastAsiaTheme="minorEastAsia" w:cstheme="minorEastAsia"/>
          <w:color w:val="auto"/>
          <w:highlight w:val="none"/>
        </w:rPr>
      </w:pPr>
      <w:bookmarkStart w:id="113" w:name="_Toc254970687"/>
      <w:bookmarkStart w:id="114" w:name="_Toc254970546"/>
      <w:bookmarkStart w:id="115" w:name="_Toc8266"/>
      <w:bookmarkStart w:id="116" w:name="_Toc16966"/>
      <w:r>
        <w:rPr>
          <w:rFonts w:hint="eastAsia" w:asciiTheme="minorEastAsia" w:hAnsiTheme="minorEastAsia" w:eastAsiaTheme="minorEastAsia" w:cstheme="minorEastAsia"/>
          <w:color w:val="auto"/>
          <w:highlight w:val="none"/>
        </w:rPr>
        <w:t>七、</w:t>
      </w:r>
      <w:bookmarkEnd w:id="113"/>
      <w:bookmarkEnd w:id="114"/>
      <w:r>
        <w:rPr>
          <w:rFonts w:hint="eastAsia" w:asciiTheme="minorEastAsia" w:hAnsiTheme="minorEastAsia" w:eastAsiaTheme="minorEastAsia" w:cstheme="minorEastAsia"/>
          <w:color w:val="auto"/>
          <w:highlight w:val="none"/>
        </w:rPr>
        <w:t>中标和合同</w:t>
      </w:r>
      <w:bookmarkEnd w:id="115"/>
      <w:bookmarkEnd w:id="116"/>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30.确定中标人</w:t>
      </w:r>
    </w:p>
    <w:p>
      <w:pPr>
        <w:spacing w:line="360" w:lineRule="auto"/>
        <w:ind w:firstLine="422" w:firstLineChars="200"/>
        <w:rPr>
          <w:rFonts w:asciiTheme="minorEastAsia" w:hAnsiTheme="minorEastAsia" w:eastAsiaTheme="minorEastAsia" w:cstheme="minorEastAsia"/>
          <w:b/>
          <w:bCs/>
          <w:color w:val="auto"/>
          <w:szCs w:val="21"/>
          <w:highlight w:val="none"/>
        </w:rPr>
      </w:pPr>
      <w:r>
        <w:rPr>
          <w:rFonts w:hint="eastAsia" w:asciiTheme="minorEastAsia" w:hAnsiTheme="minorEastAsia" w:eastAsiaTheme="minorEastAsia" w:cstheme="minorEastAsia"/>
          <w:b/>
          <w:bCs/>
          <w:color w:val="auto"/>
          <w:szCs w:val="21"/>
          <w:highlight w:val="none"/>
        </w:rPr>
        <w:t>30.1本项目授权评标委员会直接按第四章“评标方法及标准”的规定排列中标候选人顺序，并依照次序确定中标人。</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30.2采购人、采购代理机构认为供应商对采购过程、中标结果提出的质疑成立且影响或者可能影响中标结果的，合格供应商符合法定数量时，可以从合格的中标候选人中另行确定中标人的，应当依法另行确定中标人；否则应当重新开展采购活动。</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30.3中标供应商无正当理由拒签合同的，根据《中华人民共和国政府采购法》第七十七条第一款规定处理。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30.4根据《中华人民共和国民法典》第五百六十三条，因不可抗力致使不能实现合同目的的，当事人可以解除合同。</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31. 结果公告</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31.1</w:t>
      </w:r>
      <w:r>
        <w:rPr>
          <w:rFonts w:hint="eastAsia" w:asciiTheme="minorEastAsia" w:hAnsiTheme="minorEastAsia" w:eastAsiaTheme="minorEastAsia" w:cstheme="minorEastAsia"/>
          <w:color w:val="auto"/>
          <w:highlight w:val="none"/>
        </w:rPr>
        <w:t>在中标供应商确定之日起2个工作日内，由采购代理机构</w:t>
      </w:r>
      <w:r>
        <w:rPr>
          <w:rFonts w:hint="eastAsia" w:asciiTheme="minorEastAsia" w:hAnsiTheme="minorEastAsia" w:eastAsiaTheme="minorEastAsia" w:cstheme="minorEastAsia"/>
          <w:b/>
          <w:color w:val="auto"/>
          <w:szCs w:val="21"/>
          <w:highlight w:val="none"/>
        </w:rPr>
        <w:t>在招标公告发布媒体上</w:t>
      </w:r>
      <w:r>
        <w:rPr>
          <w:rFonts w:hint="eastAsia" w:asciiTheme="minorEastAsia" w:hAnsiTheme="minorEastAsia" w:eastAsiaTheme="minorEastAsia" w:cstheme="minorEastAsia"/>
          <w:color w:val="auto"/>
          <w:highlight w:val="none"/>
        </w:rPr>
        <w:t>发布中标结果公告，中标结果公告期限为1个工作日，发布中标结果公告的同时向中标供应商发出中标通知书。</w:t>
      </w:r>
      <w:r>
        <w:rPr>
          <w:rFonts w:hint="eastAsia" w:asciiTheme="minorEastAsia" w:hAnsiTheme="minorEastAsia" w:eastAsiaTheme="minorEastAsia" w:cstheme="minorEastAsia"/>
          <w:b/>
          <w:color w:val="auto"/>
          <w:szCs w:val="21"/>
          <w:highlight w:val="none"/>
        </w:rPr>
        <w:t>采购代理机构发出中标通知书前，应当对中标人信用进行核实，对列入失信被执行人、重大税收违法案件当事人名单、政府采购严重违法失信行为记录名单及其他不符合《中华人民共和国政府采购法》第二十二条规定条件的投标人，取消其中标资格，并确定排名第二的中标候选人为中标人。</w:t>
      </w:r>
      <w:r>
        <w:rPr>
          <w:rFonts w:hint="eastAsia" w:asciiTheme="minorEastAsia" w:hAnsiTheme="minorEastAsia" w:eastAsiaTheme="minorEastAsia" w:cstheme="minorEastAsia"/>
          <w:color w:val="auto"/>
          <w:szCs w:val="21"/>
          <w:highlight w:val="none"/>
        </w:rPr>
        <w:t>排名第二的中标候选人因前款规定的同样原因被取消中标资格的，授权的评标委员会可以确定排名第三的中标候选人为中标人，以此类推。</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以上信息查询记录及相关证据与采购文件一并保存。</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31.2中小企业在政府采购活动过程中，请根据企业的真实情况出具《中小企业声明函》。依法享受中小企业优惠政策的，采购人或者采购代理机构在公告中标结果时，同时公告其《中小企业声明函》，接受社会监督。</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32.发出中标通知书</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32.1在发布中标公告的同时，采购代理机构向中标人通过广西政府采购云平台发出电子中标通知书。</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32.2对未通过资格审查的投标人，采购人或采购机构应当告知其未通过的原因；采用综合评分办法评审的，采购人或采购机构还应当告知未中标人本人的评审得分与排序。</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33. 无义务解释未中标原因</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采购代理机构无义务向未中标的投标人解释未中标原因和退还投标文件。</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34.合同授予标准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合同将授予被确定实质上响应招标文件要求，具备履行合同能力的中标人（招标文件另有约定多名中标人的除外）。</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35.履约保证金</w:t>
      </w:r>
    </w:p>
    <w:p>
      <w:pPr>
        <w:spacing w:line="360" w:lineRule="auto"/>
        <w:ind w:firstLine="420" w:firstLineChars="200"/>
        <w:rPr>
          <w:rFonts w:asciiTheme="minorEastAsia" w:hAnsiTheme="minorEastAsia" w:eastAsiaTheme="minorEastAsia" w:cstheme="minorEastAsia"/>
          <w:color w:val="auto"/>
          <w:szCs w:val="21"/>
          <w:highlight w:val="none"/>
        </w:rPr>
      </w:pPr>
      <w:bookmarkStart w:id="117" w:name="_39.1中标人须于签订合同前按本须知前附表规定的金额转账或电汇到指定账"/>
      <w:bookmarkEnd w:id="117"/>
      <w:r>
        <w:rPr>
          <w:rFonts w:hint="eastAsia" w:asciiTheme="minorEastAsia" w:hAnsiTheme="minorEastAsia" w:eastAsiaTheme="minorEastAsia" w:cstheme="minorEastAsia"/>
          <w:color w:val="auto"/>
          <w:szCs w:val="21"/>
          <w:highlight w:val="none"/>
        </w:rPr>
        <w:t>见“投标人须知前附表”。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36.签订合同</w:t>
      </w:r>
    </w:p>
    <w:p>
      <w:pPr>
        <w:pStyle w:val="32"/>
        <w:snapToGrid w:val="0"/>
        <w:spacing w:before="0"/>
        <w:ind w:firstLine="422"/>
        <w:rPr>
          <w:rFonts w:asciiTheme="minorEastAsia" w:hAnsiTheme="minorEastAsia" w:eastAsiaTheme="minorEastAsia" w:cstheme="minorEastAsia"/>
          <w:color w:val="auto"/>
          <w:kern w:val="0"/>
          <w:sz w:val="21"/>
          <w:szCs w:val="21"/>
          <w:highlight w:val="none"/>
          <w:lang w:val="zh-CN"/>
        </w:rPr>
      </w:pPr>
      <w:bookmarkStart w:id="118" w:name="_40.1投标人接到中标通知书后，按须知前附表规定向采购人出示相关资格证"/>
      <w:bookmarkEnd w:id="118"/>
      <w:r>
        <w:rPr>
          <w:rFonts w:hint="eastAsia" w:asciiTheme="minorEastAsia" w:hAnsiTheme="minorEastAsia" w:eastAsiaTheme="minorEastAsia" w:cstheme="minorEastAsia"/>
          <w:b/>
          <w:color w:val="auto"/>
          <w:sz w:val="21"/>
          <w:szCs w:val="21"/>
          <w:highlight w:val="none"/>
        </w:rPr>
        <w:t xml:space="preserve"> 36.1中标人领取电子中标通知书后，</w:t>
      </w:r>
      <w:r>
        <w:rPr>
          <w:rFonts w:hint="eastAsia" w:asciiTheme="minorEastAsia" w:hAnsiTheme="minorEastAsia" w:eastAsiaTheme="minorEastAsia" w:cstheme="minorEastAsia"/>
          <w:color w:val="auto"/>
          <w:kern w:val="0"/>
          <w:sz w:val="21"/>
          <w:szCs w:val="21"/>
          <w:highlight w:val="none"/>
          <w:lang w:val="zh-CN"/>
        </w:rPr>
        <w:t>按规定的日期、时间、地点，由法定代表人或其授权代表与采购人代表签订电子采购合同。如中标人为联合体的，由联合体成员各方法定代表人或其授权代表与采购人代表签订合同，签订携带资料详见“投标人须知前附表”。</w:t>
      </w:r>
    </w:p>
    <w:p>
      <w:pPr>
        <w:pStyle w:val="32"/>
        <w:snapToGrid w:val="0"/>
        <w:spacing w:before="0"/>
        <w:ind w:firstLine="420"/>
        <w:rPr>
          <w:rFonts w:asciiTheme="minorEastAsia" w:hAnsiTheme="minorEastAsia" w:eastAsiaTheme="minorEastAsia" w:cstheme="minorEastAsia"/>
          <w:color w:val="auto"/>
          <w:kern w:val="0"/>
          <w:sz w:val="21"/>
          <w:szCs w:val="21"/>
          <w:highlight w:val="none"/>
          <w:lang w:val="zh-CN"/>
        </w:rPr>
      </w:pPr>
      <w:r>
        <w:rPr>
          <w:rFonts w:hint="eastAsia" w:asciiTheme="minorEastAsia" w:hAnsiTheme="minorEastAsia" w:eastAsiaTheme="minorEastAsia" w:cstheme="minorEastAsia"/>
          <w:color w:val="auto"/>
          <w:kern w:val="0"/>
          <w:sz w:val="21"/>
          <w:szCs w:val="21"/>
          <w:highlight w:val="none"/>
          <w:lang w:val="zh-CN"/>
        </w:rPr>
        <w:t>36.2</w:t>
      </w:r>
      <w:r>
        <w:rPr>
          <w:rFonts w:hint="eastAsia" w:asciiTheme="minorEastAsia" w:hAnsiTheme="minorEastAsia" w:eastAsiaTheme="minorEastAsia" w:cstheme="minorEastAsia"/>
          <w:color w:val="auto"/>
          <w:sz w:val="21"/>
          <w:szCs w:val="21"/>
          <w:highlight w:val="none"/>
        </w:rPr>
        <w:t>采购合同由采购人与中标供应商根据招标文件、投标文件等内容通过政府采购电子交易平台在线签订，自动备案。</w:t>
      </w:r>
    </w:p>
    <w:p>
      <w:pPr>
        <w:pStyle w:val="32"/>
        <w:snapToGrid w:val="0"/>
        <w:spacing w:before="0"/>
        <w:ind w:firstLine="42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36.3签订合同时间：按中标通知书规定的时间与采购人签订合同（最长不能超过25日）。</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36.4中标人拒绝与采购人签订合同的，采购人可以按照评审报告推荐的中标候选人名单排序，确定下一候选人为中标人，也可以重新开展政府采购活动。如采购人无正当理由拒签合同的，给中标供应商造成损失的，中标供应商可追究采购人承担相应的法律责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36.6采购人或中标供应商不得单方面向合同另一方提出任何招标文件没有约定的条件或不合理的要求，作为签订合同的条件；也不得协商另行订立背离招标文件和合同实质性内容的协议。</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36.7如签订合同并生效后，供应商无故拒绝或延期，除按照合同条款处理外，将承担相应的法律责任。</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36.8采购人需追加与合同标的相同的货物或者服务的，在不改变原合同条款且已报财政部门批准落实资金的前提下，可从原中标供应商处添购， 所签订的补充添置合同的采购资金总额不超过原采购合同金额的10%。</w:t>
      </w:r>
    </w:p>
    <w:p>
      <w:pPr>
        <w:spacing w:line="360" w:lineRule="auto"/>
        <w:ind w:firstLine="480" w:firstLineChars="200"/>
        <w:rPr>
          <w:rFonts w:asciiTheme="minorEastAsia" w:hAnsiTheme="minorEastAsia" w:eastAsiaTheme="minorEastAsia" w:cstheme="minorEastAsia"/>
          <w:color w:val="auto"/>
          <w:sz w:val="24"/>
          <w:highlight w:val="none"/>
        </w:rPr>
      </w:pPr>
      <w:bookmarkStart w:id="119" w:name="_41.政府采购合同公告"/>
      <w:bookmarkEnd w:id="119"/>
      <w:r>
        <w:rPr>
          <w:rFonts w:hint="eastAsia" w:asciiTheme="minorEastAsia" w:hAnsiTheme="minorEastAsia" w:eastAsiaTheme="minorEastAsia" w:cstheme="minorEastAsia"/>
          <w:color w:val="auto"/>
          <w:sz w:val="24"/>
          <w:highlight w:val="none"/>
        </w:rPr>
        <w:t>37.政府采购合同公告</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采购人或者受托采购代理机构应当自政府采购合同签订之日起2个工作日内，将政府采购合同</w:t>
      </w:r>
      <w:r>
        <w:rPr>
          <w:rFonts w:hint="eastAsia" w:asciiTheme="minorEastAsia" w:hAnsiTheme="minorEastAsia" w:eastAsiaTheme="minorEastAsia" w:cstheme="minorEastAsia"/>
          <w:bCs/>
          <w:color w:val="auto"/>
          <w:highlight w:val="none"/>
        </w:rPr>
        <w:t>在以下媒体上发布</w:t>
      </w:r>
      <w:r>
        <w:rPr>
          <w:rFonts w:hint="eastAsia" w:asciiTheme="minorEastAsia" w:hAnsiTheme="minorEastAsia" w:eastAsiaTheme="minorEastAsia" w:cstheme="minorEastAsia"/>
          <w:color w:val="auto"/>
          <w:kern w:val="0"/>
          <w:szCs w:val="21"/>
          <w:highlight w:val="none"/>
        </w:rPr>
        <w:t xml:space="preserve"> “广西政府采购网”（http://zfcg.gxzf.gov.cn）</w:t>
      </w:r>
      <w:r>
        <w:rPr>
          <w:rFonts w:hint="eastAsia" w:asciiTheme="minorEastAsia" w:hAnsiTheme="minorEastAsia" w:eastAsiaTheme="minorEastAsia" w:cstheme="minorEastAsia"/>
          <w:color w:val="auto"/>
          <w:highlight w:val="none"/>
        </w:rPr>
        <w:t>上公告，但政府采购合同中涉及国家秘密、商业秘密的内容除外。</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38. 询问、质疑和投诉</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38.1询问</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38.1.1供应商在开标前对政府采购活动事项有疑问的，可以向采购人或采购代理机构项目负责人提出询问。</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38.1.2采购人或采购人委托的采购代理机构自受理询问之日起3个工作日内对供应商依法提出的询问作出答复，</w:t>
      </w:r>
      <w:r>
        <w:rPr>
          <w:rFonts w:hint="eastAsia" w:asciiTheme="minorEastAsia" w:hAnsiTheme="minorEastAsia" w:eastAsiaTheme="minorEastAsia" w:cstheme="minorEastAsia"/>
          <w:color w:val="auto"/>
          <w:highlight w:val="none"/>
        </w:rPr>
        <w:t>但答复内容不得涉及商业秘密</w:t>
      </w:r>
      <w:r>
        <w:rPr>
          <w:rFonts w:hint="eastAsia" w:asciiTheme="minorEastAsia" w:hAnsiTheme="minorEastAsia" w:eastAsiaTheme="minorEastAsia" w:cstheme="minorEastAsia"/>
          <w:bCs/>
          <w:color w:val="auto"/>
          <w:szCs w:val="21"/>
          <w:highlight w:val="none"/>
        </w:rPr>
        <w:t>。</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Cs/>
          <w:color w:val="auto"/>
          <w:szCs w:val="21"/>
          <w:highlight w:val="none"/>
        </w:rPr>
        <w:t>38.1.3 询问事项可能影响中标、成交结果的，采购人应当暂停签订合同，已经签订合同的，应当中止履行合同。</w:t>
      </w:r>
    </w:p>
    <w:p>
      <w:pPr>
        <w:spacing w:line="360" w:lineRule="auto"/>
        <w:ind w:firstLine="422"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 xml:space="preserve"> </w:t>
      </w:r>
      <w:r>
        <w:rPr>
          <w:rFonts w:hint="eastAsia" w:asciiTheme="minorEastAsia" w:hAnsiTheme="minorEastAsia" w:eastAsiaTheme="minorEastAsia" w:cstheme="minorEastAsia"/>
          <w:color w:val="auto"/>
          <w:szCs w:val="21"/>
          <w:highlight w:val="none"/>
        </w:rPr>
        <w:t>38.2质疑</w:t>
      </w:r>
    </w:p>
    <w:p>
      <w:pPr>
        <w:spacing w:line="360" w:lineRule="auto"/>
        <w:ind w:firstLine="420"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color w:val="auto"/>
          <w:szCs w:val="21"/>
          <w:highlight w:val="none"/>
        </w:rPr>
        <w:t>38.2.1</w:t>
      </w:r>
      <w:r>
        <w:rPr>
          <w:rFonts w:hint="eastAsia" w:asciiTheme="minorEastAsia" w:hAnsiTheme="minorEastAsia" w:eastAsiaTheme="minorEastAsia" w:cstheme="minorEastAsia"/>
          <w:b/>
          <w:color w:val="auto"/>
          <w:szCs w:val="21"/>
          <w:highlight w:val="none"/>
        </w:rPr>
        <w:t xml:space="preserve">供应商认为招标文件、采购过程或者中标结果使自己的合法权益受到损害的，必须在知道或者应知其权益受到损害之日起7个工作日内，以书面形式向采购人、采购代理机构提出质疑，质疑有效期结束后，采购人或采购代理机构不再受理该项目质疑。采购人、采购代理机构接收质疑函的方式、联系部门、联系电话和通讯地址等信息详见“投标人须知前附表”。具体质疑起算时间及处理方式如下： </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（1）潜在供应商依法获取公开招标文件后，认为采购文件使自己的权益受到损害的，应当在公开招标文件公告期限届满之日起7个工作日内提出质疑。</w:t>
      </w:r>
      <w:r>
        <w:rPr>
          <w:rFonts w:hint="eastAsia" w:asciiTheme="minorEastAsia" w:hAnsiTheme="minorEastAsia" w:eastAsiaTheme="minorEastAsia" w:cstheme="minorEastAsia"/>
          <w:color w:val="auto"/>
          <w:highlight w:val="none"/>
        </w:rPr>
        <w:t>委托代理协议无特殊约定的，</w:t>
      </w:r>
      <w:r>
        <w:rPr>
          <w:rFonts w:hint="eastAsia" w:asciiTheme="minorEastAsia" w:hAnsiTheme="minorEastAsia" w:eastAsiaTheme="minorEastAsia" w:cstheme="minorEastAsia"/>
          <w:bCs/>
          <w:color w:val="auto"/>
          <w:highlight w:val="none"/>
        </w:rPr>
        <w:t>对公开招标文件中采购需求（含资格要求、采购预算和评分办法）的质疑由采购人受理并负责答复；对公开招标文件中的采购执行程序的质疑由采购代理机构受理并负责答复。</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供应商认为采购过程使自己的权益受到损害的，应当在各采购程序环节结束之日起7个工作日内提出质疑。对采购过程中资格审查、符合性审查等具体评审情况的质疑应向采购人或代理机构提出，由采购人或代理机构受理并负责答复；对采购过程中采购执行程序的质疑由采购代理机构受理并负责答复。</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（3）供应商认为中标或者成交结果使自己的权益受到损害的，应当在中标或者成交结果公告期限届满之日起7个工作日内提出质疑，由采购人受理并负责答复。</w:t>
      </w:r>
    </w:p>
    <w:p>
      <w:pPr>
        <w:spacing w:line="360" w:lineRule="auto"/>
        <w:ind w:firstLine="422"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b/>
          <w:bCs/>
          <w:color w:val="auto"/>
          <w:szCs w:val="21"/>
          <w:highlight w:val="none"/>
        </w:rPr>
        <w:t>38.2.2</w:t>
      </w:r>
      <w:r>
        <w:rPr>
          <w:rFonts w:hint="eastAsia" w:asciiTheme="minorEastAsia" w:hAnsiTheme="minorEastAsia" w:eastAsiaTheme="minorEastAsia" w:cstheme="minorEastAsia"/>
          <w:bCs/>
          <w:color w:val="auto"/>
          <w:szCs w:val="21"/>
          <w:highlight w:val="none"/>
        </w:rPr>
        <w:t>供应商质疑实行实名制，其质疑应当有具体的质疑事项及事实根据，质疑应当坚持依法依规、诚实信用原则，不得进行虚假、恶意质疑。</w:t>
      </w:r>
    </w:p>
    <w:p>
      <w:pPr>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bCs/>
          <w:color w:val="auto"/>
          <w:highlight w:val="none"/>
        </w:rPr>
        <w:t>38.2.3</w:t>
      </w:r>
      <w:r>
        <w:rPr>
          <w:rFonts w:hint="eastAsia" w:asciiTheme="minorEastAsia" w:hAnsiTheme="minorEastAsia" w:eastAsiaTheme="minorEastAsia" w:cstheme="minorEastAsia"/>
          <w:bCs/>
          <w:color w:val="auto"/>
          <w:highlight w:val="none"/>
        </w:rPr>
        <w:t xml:space="preserve"> 质疑供应商可以委托代理人办理质疑事务。委托代理人应熟悉相关业务情况。代理人办理质疑事务时，除提交质疑书外，还应当提交质疑供应商的授权委托书和委托代理人身份证明复印件</w:t>
      </w:r>
      <w:r>
        <w:rPr>
          <w:rFonts w:hint="eastAsia" w:asciiTheme="minorEastAsia" w:hAnsiTheme="minorEastAsia" w:eastAsiaTheme="minorEastAsia" w:cstheme="minorEastAsia"/>
          <w:color w:val="auto"/>
          <w:highlight w:val="none"/>
        </w:rPr>
        <w:t>。</w:t>
      </w:r>
    </w:p>
    <w:p>
      <w:pPr>
        <w:spacing w:line="360" w:lineRule="auto"/>
        <w:ind w:firstLine="422" w:firstLineChars="200"/>
        <w:rPr>
          <w:rFonts w:asciiTheme="minorEastAsia" w:hAnsiTheme="minorEastAsia" w:eastAsiaTheme="minorEastAsia" w:cstheme="minorEastAsia"/>
          <w:b/>
          <w:bCs/>
          <w:color w:val="auto"/>
          <w:highlight w:val="none"/>
        </w:rPr>
      </w:pPr>
      <w:r>
        <w:rPr>
          <w:rFonts w:hint="eastAsia" w:asciiTheme="minorEastAsia" w:hAnsiTheme="minorEastAsia" w:eastAsiaTheme="minorEastAsia" w:cstheme="minorEastAsia"/>
          <w:b/>
          <w:bCs/>
          <w:color w:val="auto"/>
          <w:highlight w:val="none"/>
        </w:rPr>
        <w:t>38.2.4 质疑供应商提起质疑应当符合下列条件：</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（1）质疑供应商是参与所质疑</w:t>
      </w:r>
      <w:r>
        <w:rPr>
          <w:rFonts w:hint="eastAsia" w:asciiTheme="minorEastAsia" w:hAnsiTheme="minorEastAsia" w:eastAsiaTheme="minorEastAsia" w:cstheme="minorEastAsia"/>
          <w:bCs/>
          <w:color w:val="auto"/>
          <w:szCs w:val="21"/>
          <w:highlight w:val="none"/>
        </w:rPr>
        <w:t>项目</w:t>
      </w:r>
      <w:r>
        <w:rPr>
          <w:rFonts w:hint="eastAsia" w:asciiTheme="minorEastAsia" w:hAnsiTheme="minorEastAsia" w:eastAsiaTheme="minorEastAsia" w:cstheme="minorEastAsia"/>
          <w:bCs/>
          <w:color w:val="auto"/>
          <w:highlight w:val="none"/>
        </w:rPr>
        <w:t>采购活动的供应商（潜在供应商已依法获取采购文件的，可以对该采购文件质疑）；</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（2）质疑函内容符合本章第38.2.5项的规定；</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（3）在质疑有效期限内提起质疑；</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（4）属于所质疑的采购人或采购人委托的采购代理机构组织的采购活动；</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xml:space="preserve">（5）同一质疑事项未经采购人或采购人委托的采购代理机构质疑处理； </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（6）供应商对同一采购程序环节的质疑应当在质疑有效期内一次性提出；</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（7）供应商提交质疑应当提交必要的证明材料，证明材料应以合法手段取得；</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Cs/>
          <w:color w:val="auto"/>
          <w:highlight w:val="none"/>
        </w:rPr>
        <w:t>（8）财政部门规定的其他条件。</w:t>
      </w:r>
    </w:p>
    <w:p>
      <w:pPr>
        <w:spacing w:line="360" w:lineRule="auto"/>
        <w:ind w:firstLine="420" w:firstLineChars="200"/>
        <w:rPr>
          <w:rFonts w:asciiTheme="minorEastAsia" w:hAnsiTheme="minorEastAsia" w:eastAsiaTheme="minorEastAsia" w:cstheme="minorEastAsia"/>
          <w:b/>
          <w:color w:val="auto"/>
          <w:szCs w:val="21"/>
          <w:highlight w:val="none"/>
        </w:rPr>
      </w:pPr>
      <w:bookmarkStart w:id="120" w:name="_9.2质疑、投诉应当采用书面形式，质疑函、投诉书均应明确阐述招标文件、"/>
      <w:bookmarkEnd w:id="120"/>
      <w:r>
        <w:rPr>
          <w:rFonts w:hint="eastAsia" w:asciiTheme="minorEastAsia" w:hAnsiTheme="minorEastAsia" w:eastAsiaTheme="minorEastAsia" w:cstheme="minorEastAsia"/>
          <w:color w:val="auto"/>
          <w:szCs w:val="21"/>
          <w:highlight w:val="none"/>
        </w:rPr>
        <w:t xml:space="preserve"> 38.2.5 </w:t>
      </w:r>
      <w:r>
        <w:rPr>
          <w:rFonts w:hint="eastAsia" w:asciiTheme="minorEastAsia" w:hAnsiTheme="minorEastAsia" w:eastAsiaTheme="minorEastAsia" w:cstheme="minorEastAsia"/>
          <w:bCs/>
          <w:color w:val="auto"/>
          <w:highlight w:val="none"/>
        </w:rPr>
        <w:t>供应商提出质疑应当提交质疑函和必要的证明材料，针对同一采购程序环节的质疑必须在法定质疑期内一次性提出。质疑函应当包括下列内容（质疑函格式后附）：</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（1）供应商的姓名或者名称、地址、邮编、联系人及联系电话；</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（2）质疑项目的名称、编号；</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（3）具体、明确的质疑事项和与质疑事项相关的请求；</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（4）事实依据（列明权益受到损害的事实和理由）；</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（5）必要的法律依据；</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（6）提出质疑的日期。</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供应商为自然人的，应当由本人签字；供应商为法人或者其他组织的，应当由法定代表人、主要负责人，或者其委托代理人签字或者盖章，并加盖公章。</w:t>
      </w:r>
    </w:p>
    <w:p>
      <w:pPr>
        <w:spacing w:line="360" w:lineRule="auto"/>
        <w:ind w:firstLine="422" w:firstLineChars="200"/>
        <w:rPr>
          <w:rFonts w:asciiTheme="minorEastAsia" w:hAnsiTheme="minorEastAsia" w:eastAsiaTheme="minorEastAsia" w:cstheme="minorEastAsia"/>
          <w:b/>
          <w:color w:val="auto"/>
          <w:szCs w:val="20"/>
          <w:highlight w:val="none"/>
        </w:rPr>
      </w:pPr>
      <w:r>
        <w:rPr>
          <w:rFonts w:hint="eastAsia" w:asciiTheme="minorEastAsia" w:hAnsiTheme="minorEastAsia" w:eastAsiaTheme="minorEastAsia" w:cstheme="minorEastAsia"/>
          <w:b/>
          <w:color w:val="auto"/>
          <w:szCs w:val="20"/>
          <w:highlight w:val="none"/>
        </w:rPr>
        <w:t>38.2.6采购人或采购人委托的采购代理机构在收到质疑函后7个工作日内作出答复，并以书面形式通知质疑供应商及其他有关供应商。对不符合质疑条件的质疑，答复不予受理，并说明理由；对符合质疑条件的质疑，对质疑事项作出答复</w:t>
      </w:r>
    </w:p>
    <w:p>
      <w:pPr>
        <w:spacing w:line="360" w:lineRule="auto"/>
        <w:ind w:firstLine="420" w:firstLineChars="200"/>
        <w:rPr>
          <w:rFonts w:asciiTheme="minorEastAsia" w:hAnsiTheme="minorEastAsia" w:eastAsiaTheme="minorEastAsia" w:cstheme="minorEastAsia"/>
          <w:bCs/>
          <w:color w:val="auto"/>
          <w:szCs w:val="21"/>
          <w:highlight w:val="none"/>
        </w:rPr>
      </w:pPr>
      <w:r>
        <w:rPr>
          <w:rFonts w:hint="eastAsia" w:asciiTheme="minorEastAsia" w:hAnsiTheme="minorEastAsia" w:eastAsiaTheme="minorEastAsia" w:cstheme="minorEastAsia"/>
          <w:color w:val="auto"/>
          <w:szCs w:val="21"/>
          <w:highlight w:val="none"/>
        </w:rPr>
        <w:t>3</w:t>
      </w:r>
      <w:r>
        <w:rPr>
          <w:rFonts w:hint="eastAsia" w:asciiTheme="minorEastAsia" w:hAnsiTheme="minorEastAsia" w:eastAsiaTheme="minorEastAsia" w:cstheme="minorEastAsia"/>
          <w:bCs/>
          <w:color w:val="auto"/>
          <w:szCs w:val="21"/>
          <w:highlight w:val="none"/>
        </w:rPr>
        <w:t>8.2.7采购人、采购代理机构认为供应商质疑不成立，或者成立但未对中标结果构成影响的，继续开展采购活动；认为供应商质疑成立且影响或者可能影响中标结果的，按照下列情况处理：</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（一）对招标文件提出的质疑，依法通过澄清或者修改可以继续开展采购活动的，澄清或者修改招标文件后继续开展采购活动；否则应当修改招标文件后重新开展采购活动。</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　　（二）对采购过程、中标结果提出的质疑，合格供应商符合法定数量时，可以从合格的中标候选人中另行确定中标供应商的，应当依法另行确定中标供应商；否则应当重新开展采购活动。</w:t>
      </w:r>
    </w:p>
    <w:p>
      <w:pPr>
        <w:spacing w:line="360" w:lineRule="auto"/>
        <w:ind w:firstLine="420"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Cs/>
          <w:color w:val="auto"/>
          <w:highlight w:val="none"/>
        </w:rPr>
        <w:t>质疑答复导致中标结果改变的，采购人或者采购代理机构应当将有关情况书面报告本级财政部门。</w:t>
      </w:r>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38.3投诉</w:t>
      </w:r>
    </w:p>
    <w:p>
      <w:pPr>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highlight w:val="none"/>
        </w:rPr>
        <w:t>38.3</w:t>
      </w:r>
      <w:r>
        <w:rPr>
          <w:rFonts w:hint="eastAsia" w:asciiTheme="minorEastAsia" w:hAnsiTheme="minorEastAsia" w:eastAsiaTheme="minorEastAsia" w:cstheme="minorEastAsia"/>
          <w:bCs/>
          <w:color w:val="auto"/>
          <w:highlight w:val="none"/>
        </w:rPr>
        <w:t>.</w:t>
      </w:r>
      <w:r>
        <w:rPr>
          <w:rFonts w:hint="eastAsia" w:asciiTheme="minorEastAsia" w:hAnsiTheme="minorEastAsia" w:eastAsiaTheme="minorEastAsia" w:cstheme="minorEastAsia"/>
          <w:b/>
          <w:bCs/>
          <w:color w:val="auto"/>
          <w:highlight w:val="none"/>
        </w:rPr>
        <w:t xml:space="preserve">1 </w:t>
      </w:r>
      <w:r>
        <w:rPr>
          <w:rFonts w:hint="eastAsia" w:asciiTheme="minorEastAsia" w:hAnsiTheme="minorEastAsia" w:eastAsiaTheme="minorEastAsia" w:cstheme="minorEastAsia"/>
          <w:bCs/>
          <w:color w:val="auto"/>
          <w:highlight w:val="none"/>
        </w:rPr>
        <w:t xml:space="preserve"> 供应商认为采购文件、采购过程、中标和成交结果使自己的合法权益受到损害的，应当首先依法向采购人或采购人委托的</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eastAsiaTheme="minorEastAsia" w:cstheme="minorEastAsia"/>
          <w:bCs/>
          <w:color w:val="auto"/>
          <w:highlight w:val="none"/>
        </w:rPr>
        <w:t>提出质疑。对采购人、</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eastAsiaTheme="minorEastAsia" w:cstheme="minorEastAsia"/>
          <w:bCs/>
          <w:color w:val="auto"/>
          <w:highlight w:val="none"/>
        </w:rPr>
        <w:t>的答复不满意，或者采购人、</w:t>
      </w:r>
      <w:r>
        <w:rPr>
          <w:rFonts w:hint="eastAsia" w:asciiTheme="minorEastAsia" w:hAnsiTheme="minorEastAsia" w:eastAsiaTheme="minorEastAsia" w:cstheme="minorEastAsia"/>
          <w:color w:val="auto"/>
          <w:highlight w:val="none"/>
        </w:rPr>
        <w:t>采购代理机构</w:t>
      </w:r>
      <w:r>
        <w:rPr>
          <w:rFonts w:hint="eastAsia" w:asciiTheme="minorEastAsia" w:hAnsiTheme="minorEastAsia" w:eastAsiaTheme="minorEastAsia" w:cstheme="minorEastAsia"/>
          <w:bCs/>
          <w:color w:val="auto"/>
          <w:highlight w:val="none"/>
        </w:rPr>
        <w:t>未在规定期限内做出答复的，供应商可以在答复期满后15个工作日内向南宁市政府采购监督管理部门提起投诉，投诉方式见“投标人须知前附表”。</w:t>
      </w:r>
    </w:p>
    <w:p>
      <w:pPr>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highlight w:val="none"/>
        </w:rPr>
        <w:t xml:space="preserve">38.3.2 </w:t>
      </w:r>
      <w:r>
        <w:rPr>
          <w:rFonts w:hint="eastAsia" w:asciiTheme="minorEastAsia" w:hAnsiTheme="minorEastAsia" w:eastAsiaTheme="minorEastAsia" w:cstheme="minorEastAsia"/>
          <w:color w:val="auto"/>
          <w:highlight w:val="none"/>
        </w:rPr>
        <w:t xml:space="preserve"> 投诉人投诉时，应当提交投诉书，并按照被投诉采购人、采购代理机构和与投诉事项有关的供应商数量提供投诉书的副本。投诉书</w:t>
      </w:r>
      <w:r>
        <w:rPr>
          <w:rFonts w:hint="eastAsia" w:asciiTheme="minorEastAsia" w:hAnsiTheme="minorEastAsia" w:eastAsiaTheme="minorEastAsia" w:cstheme="minorEastAsia"/>
          <w:color w:val="auto"/>
          <w:szCs w:val="21"/>
          <w:highlight w:val="none"/>
        </w:rPr>
        <w:t>应当包括下列主要内容</w:t>
      </w:r>
      <w:r>
        <w:rPr>
          <w:rFonts w:hint="eastAsia" w:asciiTheme="minorEastAsia" w:hAnsiTheme="minorEastAsia" w:eastAsiaTheme="minorEastAsia" w:cstheme="minorEastAsia"/>
          <w:color w:val="auto"/>
          <w:highlight w:val="none"/>
        </w:rPr>
        <w:t>（如材料中有外文资料应同时附上对应的中文译本）</w:t>
      </w:r>
      <w:r>
        <w:rPr>
          <w:rFonts w:hint="eastAsia" w:asciiTheme="minorEastAsia" w:hAnsiTheme="minorEastAsia" w:eastAsiaTheme="minorEastAsia" w:cstheme="minorEastAsia"/>
          <w:bCs/>
          <w:color w:val="auto"/>
          <w:highlight w:val="none"/>
        </w:rPr>
        <w:t>（投诉书格式后附）</w:t>
      </w:r>
      <w:r>
        <w:rPr>
          <w:rFonts w:hint="eastAsia" w:asciiTheme="minorEastAsia" w:hAnsiTheme="minorEastAsia" w:eastAsiaTheme="minorEastAsia" w:cstheme="minorEastAsia"/>
          <w:color w:val="auto"/>
          <w:szCs w:val="21"/>
          <w:highlight w:val="none"/>
        </w:rPr>
        <w:t>：</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（1）投诉人和被投诉人的名称、地址、邮编、联系人及联系电话等； </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（2）质疑和质疑答复情况及相关证明材料； </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（3）具体、明确的投诉事项和与投诉事项相关的投诉请求；</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（4）事实依据；</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（5）法律依据；</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（6）提起投诉的日期。</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（7）附件材料：营业执照副本内页复印件（要求证件有效并清晰反映企业法人经营范围；近期连续三个月依法缴纳税收和在职职工社会保障资金证明材料（复印件）。</w:t>
      </w:r>
      <w:r>
        <w:rPr>
          <w:rFonts w:hint="eastAsia" w:asciiTheme="minorEastAsia" w:hAnsiTheme="minorEastAsia" w:eastAsiaTheme="minorEastAsia" w:cstheme="minorEastAsia"/>
          <w:color w:val="auto"/>
          <w:highlight w:val="none"/>
        </w:rPr>
        <w:tab/>
      </w:r>
    </w:p>
    <w:p>
      <w:pPr>
        <w:spacing w:line="360" w:lineRule="auto"/>
        <w:ind w:firstLine="422" w:firstLineChars="200"/>
        <w:rPr>
          <w:rFonts w:asciiTheme="minorEastAsia" w:hAnsiTheme="minorEastAsia" w:eastAsiaTheme="minorEastAsia" w:cstheme="minorEastAsia"/>
          <w:bCs/>
          <w:color w:val="auto"/>
          <w:highlight w:val="none"/>
        </w:rPr>
      </w:pPr>
      <w:r>
        <w:rPr>
          <w:rFonts w:hint="eastAsia" w:asciiTheme="minorEastAsia" w:hAnsiTheme="minorEastAsia" w:eastAsiaTheme="minorEastAsia" w:cstheme="minorEastAsia"/>
          <w:b/>
          <w:color w:val="auto"/>
          <w:highlight w:val="none"/>
        </w:rPr>
        <w:t xml:space="preserve">38.3.3  </w:t>
      </w:r>
      <w:r>
        <w:rPr>
          <w:rFonts w:hint="eastAsia" w:asciiTheme="minorEastAsia" w:hAnsiTheme="minorEastAsia" w:eastAsiaTheme="minorEastAsia" w:cstheme="minorEastAsia"/>
          <w:color w:val="auto"/>
          <w:highlight w:val="none"/>
        </w:rPr>
        <w:t>投诉人可以委托代理人办理投诉事务。</w:t>
      </w:r>
      <w:r>
        <w:rPr>
          <w:rFonts w:hint="eastAsia" w:asciiTheme="minorEastAsia" w:hAnsiTheme="minorEastAsia" w:eastAsiaTheme="minorEastAsia" w:cstheme="minorEastAsia"/>
          <w:bCs/>
          <w:color w:val="auto"/>
          <w:highlight w:val="none"/>
        </w:rPr>
        <w:t>委托代理人应熟悉相关业务情况。</w:t>
      </w:r>
      <w:r>
        <w:rPr>
          <w:rFonts w:hint="eastAsia" w:asciiTheme="minorEastAsia" w:hAnsiTheme="minorEastAsia" w:eastAsiaTheme="minorEastAsia" w:cstheme="minorEastAsia"/>
          <w:color w:val="auto"/>
          <w:highlight w:val="none"/>
        </w:rPr>
        <w:t>代理人办理投诉事务时，除提交投诉书外，还应当提交投诉人的授权委托书和委托代理人身份证明复印件。</w:t>
      </w:r>
    </w:p>
    <w:p>
      <w:pPr>
        <w:spacing w:line="360" w:lineRule="auto"/>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38.3.4</w:t>
      </w:r>
      <w:r>
        <w:rPr>
          <w:rFonts w:hint="eastAsia" w:asciiTheme="minorEastAsia" w:hAnsiTheme="minorEastAsia" w:eastAsiaTheme="minorEastAsia" w:cstheme="minorEastAsia"/>
          <w:color w:val="auto"/>
          <w:highlight w:val="none"/>
        </w:rPr>
        <w:t xml:space="preserve">  投诉人提起投诉应当符合下列条件：</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（1）投诉人是参与所投诉政府采购活动的供应商；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（2）提起投诉前已依法进行质疑；</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（3）投诉书内容符合本章第38.3.2项的规定；</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（4）在投诉有效期限内提起投诉；</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（5）属于南宁市政府采购监督管理部门管辖；</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（6）同一投诉事项未经</w:t>
      </w:r>
      <w:r>
        <w:rPr>
          <w:rFonts w:hint="eastAsia" w:asciiTheme="minorEastAsia" w:hAnsiTheme="minorEastAsia" w:eastAsiaTheme="minorEastAsia" w:cstheme="minorEastAsia"/>
          <w:bCs/>
          <w:color w:val="auto"/>
          <w:highlight w:val="none"/>
        </w:rPr>
        <w:t>南宁市政府采购监督管理部门</w:t>
      </w:r>
      <w:r>
        <w:rPr>
          <w:rFonts w:hint="eastAsia" w:asciiTheme="minorEastAsia" w:hAnsiTheme="minorEastAsia" w:eastAsiaTheme="minorEastAsia" w:cstheme="minorEastAsia"/>
          <w:color w:val="auto"/>
          <w:highlight w:val="none"/>
        </w:rPr>
        <w:t>投诉处理；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（7）国务院财政部门规定的其他条件。</w:t>
      </w:r>
    </w:p>
    <w:p>
      <w:pPr>
        <w:spacing w:line="360" w:lineRule="auto"/>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38.3.5</w:t>
      </w:r>
      <w:r>
        <w:rPr>
          <w:rFonts w:hint="eastAsia" w:asciiTheme="minorEastAsia" w:hAnsiTheme="minorEastAsia" w:eastAsiaTheme="minorEastAsia" w:cstheme="minorEastAsia"/>
          <w:color w:val="auto"/>
          <w:highlight w:val="none"/>
        </w:rPr>
        <w:t xml:space="preserve">  南宁市政府采购监督管理部门自受理投诉之日起30个工作日内，对投诉事项作出处理决定，并以书面形式通知投诉人、被投诉人及其他与投诉处理结果有利害关系的政府采购当事人。并将投诉结果在</w:t>
      </w:r>
      <w:r>
        <w:rPr>
          <w:rFonts w:hint="eastAsia" w:asciiTheme="minorEastAsia" w:hAnsiTheme="minorEastAsia" w:eastAsiaTheme="minorEastAsia" w:cstheme="minorEastAsia"/>
          <w:color w:val="auto"/>
          <w:kern w:val="0"/>
          <w:szCs w:val="21"/>
          <w:highlight w:val="none"/>
        </w:rPr>
        <w:t>“广西政府采购网”（http://zfcg.gxzf.gov.cn）</w:t>
      </w:r>
      <w:r>
        <w:rPr>
          <w:rFonts w:hint="eastAsia" w:asciiTheme="minorEastAsia" w:hAnsiTheme="minorEastAsia" w:eastAsiaTheme="minorEastAsia" w:cstheme="minorEastAsia"/>
          <w:color w:val="auto"/>
          <w:highlight w:val="none"/>
        </w:rPr>
        <w:t>发布。</w:t>
      </w:r>
    </w:p>
    <w:p>
      <w:pPr>
        <w:spacing w:line="360" w:lineRule="auto"/>
        <w:ind w:firstLine="422"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b/>
          <w:color w:val="auto"/>
          <w:highlight w:val="none"/>
        </w:rPr>
        <w:t>38.3.6</w:t>
      </w:r>
      <w:r>
        <w:rPr>
          <w:rFonts w:hint="eastAsia" w:asciiTheme="minorEastAsia" w:hAnsiTheme="minorEastAsia" w:eastAsiaTheme="minorEastAsia" w:cstheme="minorEastAsia"/>
          <w:color w:val="auto"/>
          <w:highlight w:val="none"/>
        </w:rPr>
        <w:t xml:space="preserve">  南宁市政府采购监督管理部门在处理投诉事项期间，可以视具体情况暂停采购活动。</w:t>
      </w:r>
    </w:p>
    <w:p>
      <w:pPr>
        <w:snapToGrid w:val="0"/>
        <w:spacing w:line="360" w:lineRule="auto"/>
        <w:ind w:left="120" w:leftChars="57" w:firstLine="482" w:firstLineChars="150"/>
        <w:jc w:val="center"/>
        <w:outlineLvl w:val="2"/>
        <w:rPr>
          <w:rFonts w:asciiTheme="minorEastAsia" w:hAnsiTheme="minorEastAsia" w:eastAsiaTheme="minorEastAsia" w:cstheme="minorEastAsia"/>
          <w:b/>
          <w:bCs/>
          <w:color w:val="auto"/>
          <w:sz w:val="32"/>
          <w:szCs w:val="32"/>
          <w:highlight w:val="none"/>
        </w:rPr>
      </w:pPr>
      <w:bookmarkStart w:id="121" w:name="_Toc25336"/>
      <w:bookmarkStart w:id="122" w:name="_Toc28289"/>
      <w:r>
        <w:rPr>
          <w:rFonts w:hint="eastAsia" w:asciiTheme="minorEastAsia" w:hAnsiTheme="minorEastAsia" w:eastAsiaTheme="minorEastAsia" w:cstheme="minorEastAsia"/>
          <w:b/>
          <w:bCs/>
          <w:color w:val="auto"/>
          <w:sz w:val="32"/>
          <w:szCs w:val="32"/>
          <w:highlight w:val="none"/>
        </w:rPr>
        <w:t>八、验收</w:t>
      </w:r>
      <w:bookmarkEnd w:id="121"/>
      <w:bookmarkEnd w:id="122"/>
    </w:p>
    <w:p>
      <w:pPr>
        <w:spacing w:line="360" w:lineRule="auto"/>
        <w:ind w:firstLine="42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highlight w:val="none"/>
        </w:rPr>
        <w:t>39.验收</w:t>
      </w:r>
    </w:p>
    <w:p>
      <w:pPr>
        <w:tabs>
          <w:tab w:val="left" w:pos="0"/>
        </w:tabs>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39.2采购人可以邀请参加本项目的其他投标人或者第三方机构参与验收。参与验收的投标人或者第三方机构的意见作为验收书的参考资料一并存档。</w:t>
      </w:r>
    </w:p>
    <w:p>
      <w:pPr>
        <w:tabs>
          <w:tab w:val="left" w:pos="0"/>
        </w:tabs>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pPr>
        <w:tabs>
          <w:tab w:val="left" w:pos="0"/>
        </w:tabs>
        <w:spacing w:line="360" w:lineRule="auto"/>
        <w:ind w:firstLine="48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39.4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pPr>
        <w:pStyle w:val="13"/>
        <w:snapToGrid w:val="0"/>
        <w:spacing w:line="400" w:lineRule="exact"/>
        <w:rPr>
          <w:rFonts w:asciiTheme="minorEastAsia" w:hAnsiTheme="minorEastAsia" w:eastAsiaTheme="minorEastAsia" w:cstheme="minorEastAsia"/>
          <w:color w:val="auto"/>
          <w:highlight w:val="none"/>
        </w:rPr>
      </w:pPr>
    </w:p>
    <w:p>
      <w:pPr>
        <w:pStyle w:val="4"/>
        <w:keepNext w:val="0"/>
        <w:keepLines w:val="0"/>
        <w:spacing w:line="360" w:lineRule="auto"/>
        <w:jc w:val="center"/>
        <w:rPr>
          <w:rFonts w:asciiTheme="minorEastAsia" w:hAnsiTheme="minorEastAsia" w:eastAsiaTheme="minorEastAsia" w:cstheme="minorEastAsia"/>
          <w:color w:val="auto"/>
          <w:highlight w:val="none"/>
        </w:rPr>
      </w:pPr>
      <w:bookmarkStart w:id="123" w:name="_八、其他事项"/>
      <w:bookmarkEnd w:id="123"/>
      <w:bookmarkStart w:id="124" w:name="_Toc29710"/>
      <w:bookmarkStart w:id="125" w:name="_Toc25202"/>
      <w:r>
        <w:rPr>
          <w:rFonts w:hint="eastAsia" w:asciiTheme="minorEastAsia" w:hAnsiTheme="minorEastAsia" w:eastAsiaTheme="minorEastAsia" w:cstheme="minorEastAsia"/>
          <w:color w:val="auto"/>
          <w:highlight w:val="none"/>
        </w:rPr>
        <w:t>九、其他事项</w:t>
      </w:r>
      <w:bookmarkEnd w:id="124"/>
      <w:bookmarkEnd w:id="125"/>
    </w:p>
    <w:p>
      <w:pPr>
        <w:spacing w:line="360" w:lineRule="auto"/>
        <w:ind w:firstLine="480" w:firstLineChars="200"/>
        <w:rPr>
          <w:rFonts w:asciiTheme="minorEastAsia" w:hAnsiTheme="minorEastAsia" w:eastAsiaTheme="minorEastAsia" w:cstheme="minorEastAsia"/>
          <w:color w:val="auto"/>
          <w:sz w:val="24"/>
          <w:highlight w:val="none"/>
        </w:rPr>
      </w:pPr>
      <w:bookmarkStart w:id="126" w:name="_42.代理服务费"/>
      <w:bookmarkEnd w:id="126"/>
      <w:r>
        <w:rPr>
          <w:rFonts w:hint="eastAsia" w:asciiTheme="minorEastAsia" w:hAnsiTheme="minorEastAsia" w:eastAsiaTheme="minorEastAsia" w:cstheme="minorEastAsia"/>
          <w:color w:val="auto"/>
          <w:sz w:val="24"/>
          <w:highlight w:val="none"/>
        </w:rPr>
        <w:t>40.代理服务费</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代理服务收费标准及缴费账户详见“投标人须知前附表”，投标人为联合体的，可以由联合体中的一方或者多方共同交纳代理服务费。</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41. 需要补充的其他内容</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41.1本招标文件解释规则详见“投标人须知前附表”。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41.2 其他事项详见“投标人须知前附表”。</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41.3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服务的人员为中小企业依照《中华人民共和国劳动合同法》订立劳动合同的从业人员，不对其中涉及的货物的制造商和工程承建商作出要求的，享受本文件规定的中小企业扶持政策。</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以联合体形式参加政府采购活动，联合体各方均为中小企业的，联合体视同中小企业。其中，联合体各方均为小微企业的，联合体视同小微企业。</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依据本文件规定享受扶持政策获得政府采购合同的，小微企业不得将合同分包给大中型企业，中型企业不得将合同分包给大型企业。</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42. 政采贷相关说明</w:t>
      </w:r>
    </w:p>
    <w:p>
      <w:pPr>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为优化政府采购营商环境，缓解供应商资金难题，南宁市政府采购试行政府采购信用融资制度，中标供应商如有融资需求，可凭政府采购合同通过以下方式申请政府采购信用融资贷款：</w:t>
      </w:r>
    </w:p>
    <w:p>
      <w:pPr>
        <w:numPr>
          <w:ilvl w:val="0"/>
          <w:numId w:val="1"/>
        </w:numPr>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线下渠道：在“南宁市公共资源交易中心”官网（网址：</w:t>
      </w:r>
      <w:r>
        <w:rPr>
          <w:color w:val="auto"/>
          <w:highlight w:val="none"/>
        </w:rPr>
        <w:fldChar w:fldCharType="begin"/>
      </w:r>
      <w:r>
        <w:rPr>
          <w:color w:val="auto"/>
          <w:highlight w:val="none"/>
        </w:rPr>
        <w:instrText xml:space="preserve"> HYPERLINK "http://www.nnggzy.org.cn）" </w:instrText>
      </w:r>
      <w:r>
        <w:rPr>
          <w:color w:val="auto"/>
          <w:highlight w:val="none"/>
        </w:rPr>
        <w:fldChar w:fldCharType="separate"/>
      </w:r>
      <w:r>
        <w:rPr>
          <w:rStyle w:val="27"/>
          <w:rFonts w:hint="eastAsia" w:asciiTheme="minorEastAsia" w:hAnsiTheme="minorEastAsia" w:eastAsiaTheme="minorEastAsia" w:cstheme="minorEastAsia"/>
          <w:color w:val="auto"/>
          <w:highlight w:val="none"/>
        </w:rPr>
        <w:t>http://www.nnggzy.org.cn）“交易信息-政府采购-政府采购信用融资”中融资银行和南宁市企业融资服务中心专栏信息申请政府采购信用融资。</w:t>
      </w:r>
      <w:r>
        <w:rPr>
          <w:rStyle w:val="27"/>
          <w:rFonts w:hint="eastAsia" w:asciiTheme="minorEastAsia" w:hAnsiTheme="minorEastAsia" w:eastAsiaTheme="minorEastAsia" w:cstheme="minorEastAsia"/>
          <w:color w:val="auto"/>
          <w:highlight w:val="none"/>
        </w:rPr>
        <w:fldChar w:fldCharType="end"/>
      </w:r>
    </w:p>
    <w:p>
      <w:pPr>
        <w:numPr>
          <w:ilvl w:val="0"/>
          <w:numId w:val="1"/>
        </w:numPr>
        <w:spacing w:line="36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线上渠道：登录中征应收账款融资服务平台（网址：https://www.crcrfsp.com，客服电话：400-009-0001），选择相关金融产品和银行业金融机构金融融资贷款。具体操作方式见《中国人民银行南宁中心支行广西壮族自治区财政厅关于推广线上“政采贷”融资模式的通知》（南宁银发〔2021〕258号）文（文件公开网址详情见：“广西政府采购网”——http://www.ccgp-guangxi.gov.cn/AdministrativeRegulations/AutonomousRegion/9830442.html）</w:t>
      </w:r>
      <w:r>
        <w:rPr>
          <w:rFonts w:hint="eastAsia" w:asciiTheme="minorEastAsia" w:hAnsiTheme="minorEastAsia" w:eastAsiaTheme="minorEastAsia" w:cstheme="minorEastAsia"/>
          <w:color w:val="auto"/>
          <w:highlight w:val="none"/>
        </w:rPr>
        <w:br w:type="page"/>
      </w:r>
      <w:bookmarkStart w:id="127" w:name="_Toc532545043"/>
    </w:p>
    <w:p>
      <w:pPr>
        <w:pStyle w:val="13"/>
        <w:jc w:val="center"/>
        <w:outlineLvl w:val="0"/>
        <w:rPr>
          <w:rFonts w:asciiTheme="minorEastAsia" w:hAnsiTheme="minorEastAsia" w:eastAsiaTheme="minorEastAsia" w:cstheme="minorEastAsia"/>
          <w:b/>
          <w:color w:val="auto"/>
          <w:sz w:val="36"/>
          <w:highlight w:val="none"/>
        </w:rPr>
      </w:pPr>
      <w:bookmarkStart w:id="128" w:name="_Toc9276"/>
      <w:r>
        <w:rPr>
          <w:rFonts w:hint="eastAsia" w:asciiTheme="minorEastAsia" w:hAnsiTheme="minorEastAsia" w:eastAsiaTheme="minorEastAsia" w:cstheme="minorEastAsia"/>
          <w:b/>
          <w:color w:val="auto"/>
          <w:sz w:val="36"/>
          <w:highlight w:val="none"/>
        </w:rPr>
        <w:t>第四章  评标方法</w:t>
      </w:r>
      <w:bookmarkEnd w:id="127"/>
      <w:r>
        <w:rPr>
          <w:rFonts w:hint="eastAsia" w:asciiTheme="minorEastAsia" w:hAnsiTheme="minorEastAsia" w:eastAsiaTheme="minorEastAsia" w:cstheme="minorEastAsia"/>
          <w:b/>
          <w:color w:val="auto"/>
          <w:sz w:val="36"/>
          <w:highlight w:val="none"/>
        </w:rPr>
        <w:t>及评分标准</w:t>
      </w:r>
      <w:bookmarkEnd w:id="128"/>
    </w:p>
    <w:p>
      <w:pPr>
        <w:pStyle w:val="13"/>
        <w:jc w:val="center"/>
        <w:outlineLvl w:val="1"/>
        <w:rPr>
          <w:rFonts w:asciiTheme="minorEastAsia" w:hAnsiTheme="minorEastAsia" w:eastAsiaTheme="minorEastAsia" w:cstheme="minorEastAsia"/>
          <w:b/>
          <w:bCs/>
          <w:color w:val="auto"/>
          <w:sz w:val="32"/>
          <w:szCs w:val="32"/>
          <w:highlight w:val="none"/>
        </w:rPr>
      </w:pPr>
      <w:bookmarkStart w:id="129" w:name="_Toc29328"/>
      <w:r>
        <w:rPr>
          <w:rFonts w:hint="eastAsia" w:asciiTheme="minorEastAsia" w:hAnsiTheme="minorEastAsia" w:eastAsiaTheme="minorEastAsia" w:cstheme="minorEastAsia"/>
          <w:b/>
          <w:bCs/>
          <w:color w:val="auto"/>
          <w:sz w:val="32"/>
          <w:szCs w:val="32"/>
          <w:highlight w:val="none"/>
        </w:rPr>
        <w:t>第一节 评标方法</w:t>
      </w:r>
      <w:bookmarkEnd w:id="129"/>
    </w:p>
    <w:p>
      <w:pPr>
        <w:pStyle w:val="13"/>
        <w:tabs>
          <w:tab w:val="left" w:pos="2472"/>
        </w:tabs>
        <w:spacing w:line="460" w:lineRule="exact"/>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本项目采用</w:t>
      </w:r>
      <w:r>
        <w:rPr>
          <w:rFonts w:hint="eastAsia" w:asciiTheme="minorEastAsia" w:hAnsiTheme="minorEastAsia" w:eastAsiaTheme="minorEastAsia" w:cstheme="minorEastAsia"/>
          <w:color w:val="auto"/>
          <w:szCs w:val="21"/>
          <w:highlight w:val="none"/>
          <w:u w:val="single"/>
        </w:rPr>
        <w:t xml:space="preserve"> 以下勾选的方式</w:t>
      </w:r>
      <w:r>
        <w:rPr>
          <w:rFonts w:hint="eastAsia" w:asciiTheme="minorEastAsia" w:hAnsiTheme="minorEastAsia" w:eastAsiaTheme="minorEastAsia" w:cstheme="minorEastAsia"/>
          <w:color w:val="auto"/>
          <w:szCs w:val="21"/>
          <w:highlight w:val="none"/>
        </w:rPr>
        <w:t>进行评审。</w:t>
      </w:r>
    </w:p>
    <w:p>
      <w:pPr>
        <w:pStyle w:val="13"/>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□最低评标价法，是指投标文件满足招标文件</w:t>
      </w:r>
      <w:r>
        <w:rPr>
          <w:rFonts w:hint="eastAsia" w:asciiTheme="minorEastAsia" w:hAnsiTheme="minorEastAsia" w:eastAsiaTheme="minorEastAsia" w:cstheme="minorEastAsia"/>
          <w:color w:val="auto"/>
          <w:highlight w:val="none"/>
        </w:rPr>
        <w:t>全部实质性要求，且投标报价最低的投标人为中标候选人的评标方法。</w:t>
      </w:r>
    </w:p>
    <w:p>
      <w:pPr>
        <w:autoSpaceDE w:val="0"/>
        <w:autoSpaceDN w:val="0"/>
        <w:adjustRightInd w:val="0"/>
        <w:spacing w:line="440" w:lineRule="exact"/>
        <w:ind w:firstLine="42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highlight w:val="none"/>
        </w:rPr>
        <w:t>☑综合评分法，</w:t>
      </w:r>
      <w:r>
        <w:rPr>
          <w:rFonts w:hint="eastAsia" w:asciiTheme="minorEastAsia" w:hAnsiTheme="minorEastAsia" w:eastAsiaTheme="minorEastAsia" w:cstheme="minorEastAsia"/>
          <w:b/>
          <w:bCs/>
          <w:color w:val="auto"/>
          <w:szCs w:val="20"/>
          <w:highlight w:val="none"/>
        </w:rPr>
        <w:t xml:space="preserve">是指投标文件满足招标文件全部实质性要求，且按照评审因素的量化指标评审得分最高的投标人为中标候选人的评标方法。评标委员会将对各投标人的投标报价、技术和服务方案、投标人的企业实力及资质等方面进行综合评审，对实质上响应招标文件的投标人，由各评委独立记名打分。经统计，得出各投标人的综合得分,按综合得分由高到低顺序排列。若综合得分相同的，按投标报价由低到高顺序排列。若综合得分且投标报价相同的，货物类采购项目以技术性能得分较高者为先，服务类采购项目以实力信誉及业绩得分较高者为先。 </w:t>
      </w:r>
    </w:p>
    <w:p>
      <w:pPr>
        <w:pStyle w:val="13"/>
        <w:spacing w:line="360" w:lineRule="auto"/>
        <w:ind w:firstLine="420"/>
        <w:rPr>
          <w:rFonts w:asciiTheme="minorEastAsia" w:hAnsiTheme="minorEastAsia" w:eastAsiaTheme="minorEastAsia" w:cstheme="minorEastAsia"/>
          <w:color w:val="auto"/>
          <w:highlight w:val="none"/>
        </w:rPr>
      </w:pPr>
    </w:p>
    <w:p>
      <w:pPr>
        <w:pStyle w:val="13"/>
        <w:tabs>
          <w:tab w:val="left" w:pos="2472"/>
        </w:tabs>
        <w:spacing w:line="460" w:lineRule="exact"/>
        <w:jc w:val="center"/>
        <w:outlineLvl w:val="1"/>
        <w:rPr>
          <w:rFonts w:asciiTheme="minorEastAsia" w:hAnsiTheme="minorEastAsia" w:eastAsiaTheme="minorEastAsia" w:cstheme="minorEastAsia"/>
          <w:b/>
          <w:bCs/>
          <w:color w:val="auto"/>
          <w:sz w:val="32"/>
          <w:szCs w:val="32"/>
          <w:highlight w:val="none"/>
        </w:rPr>
      </w:pPr>
      <w:bookmarkStart w:id="130" w:name="_Toc3945"/>
      <w:r>
        <w:rPr>
          <w:rFonts w:hint="eastAsia" w:asciiTheme="minorEastAsia" w:hAnsiTheme="minorEastAsia" w:eastAsiaTheme="minorEastAsia" w:cstheme="minorEastAsia"/>
          <w:b/>
          <w:bCs/>
          <w:color w:val="auto"/>
          <w:sz w:val="32"/>
          <w:szCs w:val="32"/>
          <w:highlight w:val="none"/>
        </w:rPr>
        <w:t>第二节 评标程序</w:t>
      </w:r>
      <w:bookmarkEnd w:id="130"/>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1.符合性审查</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评标委员会应当对符合资格的投标人的投标文件进行投标报价、商务、技术等实质性内容符合性审查，以确定其是否满足招标文件的实质性要求。</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2.符合性审查不通过而导致投标无效的情形</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投标人的投标文件中存在对招标文件的任何实质性要求和条件的负偏离，将被视为投标无效。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2.1在报价评审时，如发现下列情形之一的，将被视为投标无效：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（1）投标文件未提供“投标人须知前附表”第13.1条规定中“必须提供”的文件资料的;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（2）未采用人民币报价或者未按照招标文件标明的币种报价的；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（3）报价超出招标文件规定最高限价，或者超出采购预算金额（包括分项预算）的；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人未就所投分标进行报价或者存在漏项报价；投标人未就所投分标的单项内容作唯一报价；投标人未就所投分标的全部内容作唯一总价报价；存在有选择、有条件报价的（招标文件允许有备选方案或者其他约定的除外）；</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（5）修正后的报价，投标人不确认的；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（6）投标人属于本章第5条第（2）项情形的。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2.2在商务评审时，如发现下列情形之一的，将被视为投标无效：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（1）投标文件未按招标文件要求签署、盖章的；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（2）委托代理人未能出具有效身份证明或者出具的身份证明与授权委托书中的信息不符的； </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（3）投标文件未提供“投标人须知前附表”第13.1条规定中“必须提供”或者“委托时必须提供”的文件资料的;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（4）投标有效期、项目完成时间（交货时间、服务完成时间或者服务期等）、质保期、售后服务等招标文件中标“▲”的商务条款发生负偏离的；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（5）商务条款评审允许负偏离的条款数超过“投标人须知前附表”规定项数的。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（6）投标文件的实质性内容未使用中文表述、使用计量单位不符合招标文件要求的；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（7）投标文件中的文件资料因填写不齐全或者内容虚假或者出现其他情形而导致被评标委员会认定无效的；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（8）投标文件含有采购人不能接受的附加条件的；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（9）未响应招标文件实质性要求的；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（10）属于投标人须知正文第9.2条情形的；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（11）法律、法规和招标文件规定的其他无效情形。</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2.3在技术评审时，如发现下列情形之一的，将被视为投标无效：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（1）不满足招标文件要求的服务内容、技术要求、安全、质量标准，或者与招标文件中标“▲”的技术需求发生负偏离的；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（2）技术需求评审允许负偏离的条款数超过“投标人须知前附表”规定项数的；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（3）投标文件未提供“投标人须知前附表”第13.1条规定中“必须提供”的文件资料的;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（4）虚假投标，或者出现其他情形而导致被评标委员会认定无效的；</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（5）如招标文件需要提供技术方案的，投标技术方案不明确，招标文件未允许但存在一个或者一个以上备选（替代）投标方案的。</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3.澄清补正、说明或者补正</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对投标文件中含义不明确、同类问题表述不一致或者有明显文字和计算错误的内容，评标委员会应在广西政府采购云平台发布电子澄清函，要求投标人在规定时间内作出必要的澄清、说明或者补正。投标人在广西政府采购云平台接收到电子澄清函后根据澄清函内容上传PDF格式回函，电子澄清答复函使用CA证书加盖单位公章后在线上传至评标委员会。投标人的澄清、说明或者补正不得超出投标文件的范围或者改变投标文件的实质性内容。投标人未在规定时间内进行澄清、说明或者补正的，按无效投标处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异常情况处理：如遇无法正常使用线上发送澄清函的情况，将启动书面形式办理。启动书面形式办理的情况下，评标委员会以书面形式要求投标人在规定时间内作出必要的澄清、说明或者补正。投标人的澄清、说明或者补正必须采用书面形式，并加盖公章，或者由法定代表人或者其授权的代表签字。</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4.投标文件修正</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4.1投标文件报价出现前后不一致的，按照下列规定修正： </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（1）报价文件中“开标一览表”内容与投标文件中相应内容不一致的，以“开标一览表”为准；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（2）大写金额和小写金额不一致的，以大写金额为准；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（3）单价金额小数点或者百分比有明显错位的，以开标一览表的总价为准，并修改单价；</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（4）总价金额与按单价汇总金额不一致的，以单价金额计算结果为准。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同时出现两种以上不一致的，按照以上（1）-（4）规定的顺序修正。修正后的报价经投标人确认后产生约束力，投标人不确认的，其投标无效。</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4.2经投标人确认修正后的报价若超过采购预算金额或者最高限价，投标人的投标文件作无效投标处理。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4.3经投标人确认修正后的报价作为签订合同的依据，并以此报价计算价格分。</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5.比较与评价</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5.1评标委员会按照招标文件中规定的评标方法和评标标准，对符合性审查合格的投标文件进行商务和技术评估，综合比较与评价。</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5.2评标委员会独立对每个投标人的投标文件进行评价，并汇总每个投标人的得分。</w:t>
      </w:r>
    </w:p>
    <w:p>
      <w:pPr>
        <w:widowControl/>
        <w:numPr>
          <w:ilvl w:val="0"/>
          <w:numId w:val="2"/>
        </w:numPr>
        <w:spacing w:after="150" w:line="48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审委员会成员要根据政府采购法律法规和采购文件所载明的评审方法、标准进行评审。对供应商的价格分等客观评分项的评分应当一致，对其他需要借助专业知识评判的主观评分项，应当严格按照评分细则公正评分。</w:t>
      </w:r>
    </w:p>
    <w:p>
      <w:pPr>
        <w:widowControl/>
        <w:numPr>
          <w:ilvl w:val="0"/>
          <w:numId w:val="2"/>
        </w:numPr>
        <w:spacing w:after="150" w:line="480" w:lineRule="auto"/>
        <w:ind w:firstLine="420" w:firstLineChars="200"/>
        <w:jc w:val="lef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将其作为无效投标处理。</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5.3评标委员会按照招标文件中规定的评标方法和标准计算各投标人的报价得分。在计算过程中，不得去掉最高报价或者最低报价。</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5.4各投标人的得分为所有评委的有效评分的算术平均数。</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5.5评标委员会按照招标文件中的规定推荐中标候选人。</w:t>
      </w:r>
    </w:p>
    <w:p>
      <w:pPr>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应当在评标报告上签署不同意见及理由，否则视为同意评标报告。</w:t>
      </w:r>
    </w:p>
    <w:p>
      <w:pPr>
        <w:spacing w:line="360" w:lineRule="auto"/>
        <w:ind w:firstLine="422" w:firstLineChars="200"/>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6.评审复核</w:t>
      </w:r>
    </w:p>
    <w:p>
      <w:pPr>
        <w:spacing w:line="360" w:lineRule="auto"/>
        <w:ind w:firstLine="420" w:firstLineChars="20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6.1评标报告签署前，评标委员会要对评审结果进行复核，复核意见要体现在评标报告中。</w:t>
      </w:r>
    </w:p>
    <w:p>
      <w:pPr>
        <w:widowControl/>
        <w:spacing w:line="560" w:lineRule="exact"/>
        <w:ind w:firstLine="420" w:firstLineChars="200"/>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6.2评标结果汇总完成后，除下列情形外，任何人不得修改评标结果：</w:t>
      </w:r>
    </w:p>
    <w:p>
      <w:pPr>
        <w:widowControl/>
        <w:spacing w:line="560" w:lineRule="exact"/>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（一）分值汇总计算错误的；</w:t>
      </w:r>
    </w:p>
    <w:p>
      <w:pPr>
        <w:widowControl/>
        <w:spacing w:line="560" w:lineRule="exact"/>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（二）分项评分超出评分标准范围的；</w:t>
      </w:r>
    </w:p>
    <w:p>
      <w:pPr>
        <w:widowControl/>
        <w:spacing w:line="560" w:lineRule="exact"/>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（三）评标委员会成员对客观评审因素评分不一致的；</w:t>
      </w:r>
    </w:p>
    <w:p>
      <w:pPr>
        <w:widowControl/>
        <w:spacing w:line="560" w:lineRule="exact"/>
        <w:jc w:val="left"/>
        <w:textAlignment w:val="baseline"/>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（四）经评标委员会认定评分畸高、畸低的。</w:t>
      </w:r>
    </w:p>
    <w:p>
      <w:pPr>
        <w:spacing w:line="360" w:lineRule="auto"/>
        <w:ind w:firstLine="420" w:firstLineChars="200"/>
        <w:rPr>
          <w:rFonts w:hint="eastAsia"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outlineLvl w:val="9"/>
        <w:rPr>
          <w:rFonts w:hint="eastAsia" w:asciiTheme="minorEastAsia" w:hAnsiTheme="minorEastAsia" w:eastAsiaTheme="minorEastAsia" w:cstheme="minorEastAsia"/>
          <w:b w:val="0"/>
          <w:color w:val="auto"/>
          <w:sz w:val="30"/>
          <w:szCs w:val="30"/>
          <w:highlight w:val="none"/>
        </w:rPr>
      </w:pPr>
      <w:bookmarkStart w:id="131" w:name="_Toc29713"/>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outlineLvl w:val="9"/>
        <w:rPr>
          <w:rFonts w:hint="eastAsia" w:asciiTheme="minorEastAsia" w:hAnsiTheme="minorEastAsia" w:eastAsiaTheme="minorEastAsia" w:cstheme="minorEastAsia"/>
          <w:b w:val="0"/>
          <w:color w:val="auto"/>
          <w:sz w:val="30"/>
          <w:szCs w:val="30"/>
          <w:highlight w:val="none"/>
        </w:rPr>
      </w:pPr>
    </w:p>
    <w:p>
      <w:pPr>
        <w:pStyle w:val="3"/>
        <w:jc w:val="center"/>
        <w:rPr>
          <w:rFonts w:asciiTheme="minorEastAsia" w:hAnsiTheme="minorEastAsia" w:eastAsiaTheme="minorEastAsia" w:cstheme="minorEastAsia"/>
          <w:b w:val="0"/>
          <w:color w:val="auto"/>
          <w:sz w:val="30"/>
          <w:szCs w:val="30"/>
          <w:highlight w:val="none"/>
        </w:rPr>
      </w:pPr>
      <w:r>
        <w:rPr>
          <w:rFonts w:hint="eastAsia" w:asciiTheme="minorEastAsia" w:hAnsiTheme="minorEastAsia" w:eastAsiaTheme="minorEastAsia" w:cstheme="minorEastAsia"/>
          <w:b w:val="0"/>
          <w:color w:val="auto"/>
          <w:sz w:val="30"/>
          <w:szCs w:val="30"/>
          <w:highlight w:val="none"/>
        </w:rPr>
        <w:t>第三节 评分标准</w:t>
      </w:r>
      <w:bookmarkEnd w:id="131"/>
    </w:p>
    <w:p>
      <w:pPr>
        <w:pStyle w:val="13"/>
        <w:ind w:firstLine="602" w:firstLineChars="200"/>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综合评分法</w:t>
      </w:r>
    </w:p>
    <w:p>
      <w:pPr>
        <w:spacing w:line="400" w:lineRule="exact"/>
        <w:ind w:firstLine="420"/>
        <w:rPr>
          <w:rFonts w:ascii="宋体" w:hAnsi="宋体"/>
          <w:bCs/>
          <w:color w:val="auto"/>
          <w:szCs w:val="21"/>
          <w:highlight w:val="none"/>
        </w:rPr>
      </w:pPr>
      <w:r>
        <w:rPr>
          <w:rFonts w:hint="eastAsia" w:ascii="宋体" w:hAnsi="宋体"/>
          <w:bCs/>
          <w:color w:val="auto"/>
          <w:szCs w:val="21"/>
          <w:highlight w:val="none"/>
        </w:rPr>
        <w:t>注：</w:t>
      </w:r>
    </w:p>
    <w:p>
      <w:pPr>
        <w:wordWrap w:val="0"/>
        <w:spacing w:line="360" w:lineRule="auto"/>
        <w:ind w:firstLine="1050" w:firstLineChars="500"/>
        <w:jc w:val="left"/>
        <w:rPr>
          <w:rFonts w:ascii="宋体" w:hAnsi="宋体" w:cs="宋体"/>
          <w:color w:val="auto"/>
          <w:szCs w:val="21"/>
          <w:highlight w:val="none"/>
        </w:rPr>
      </w:pPr>
      <w:r>
        <w:rPr>
          <w:rFonts w:hint="eastAsia" w:hAnsi="宋体"/>
          <w:bCs/>
          <w:color w:val="auto"/>
          <w:szCs w:val="21"/>
          <w:highlight w:val="none"/>
        </w:rPr>
        <w:t>1、计分方法按四舍五入取至百分位。</w:t>
      </w:r>
    </w:p>
    <w:p>
      <w:pPr>
        <w:wordWrap w:val="0"/>
        <w:spacing w:line="360" w:lineRule="auto"/>
        <w:ind w:firstLine="1050" w:firstLineChars="500"/>
        <w:jc w:val="left"/>
        <w:rPr>
          <w:color w:val="auto"/>
          <w:highlight w:val="none"/>
        </w:rPr>
      </w:pPr>
      <w:r>
        <w:rPr>
          <w:rFonts w:hint="eastAsia" w:hAnsi="宋体"/>
          <w:bCs/>
          <w:color w:val="auto"/>
          <w:szCs w:val="21"/>
          <w:highlight w:val="none"/>
        </w:rPr>
        <w:t>2、商务技术评审因素为客观评分项的，应在评分项目或评分标准中予以标注为“客观分”。对投标人的客观评分项目，各评标专家评分应当一致。</w:t>
      </w:r>
    </w:p>
    <w:tbl>
      <w:tblPr>
        <w:tblStyle w:val="23"/>
        <w:tblW w:w="93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120"/>
        <w:gridCol w:w="1290"/>
        <w:gridCol w:w="6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46"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序号</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评审因素</w:t>
            </w:r>
          </w:p>
        </w:tc>
        <w:tc>
          <w:tcPr>
            <w:tcW w:w="6422"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9" w:hRule="atLeast"/>
          <w:jc w:val="center"/>
        </w:trPr>
        <w:tc>
          <w:tcPr>
            <w:tcW w:w="526"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1</w:t>
            </w:r>
          </w:p>
        </w:tc>
        <w:tc>
          <w:tcPr>
            <w:tcW w:w="112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价格分</w:t>
            </w:r>
          </w:p>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（满分10分）</w:t>
            </w:r>
          </w:p>
        </w:tc>
        <w:tc>
          <w:tcPr>
            <w:tcW w:w="1290" w:type="dxa"/>
            <w:tcBorders>
              <w:top w:val="single" w:color="auto" w:sz="4" w:space="0"/>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投标报价</w:t>
            </w:r>
          </w:p>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bCs/>
                <w:color w:val="auto"/>
                <w:szCs w:val="21"/>
                <w:highlight w:val="none"/>
              </w:rPr>
              <w:t>（满分10分）</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auto"/>
                <w:szCs w:val="21"/>
                <w:highlight w:val="none"/>
              </w:rPr>
            </w:pPr>
            <w:r>
              <w:rPr>
                <w:rFonts w:hint="eastAsia" w:ascii="宋体" w:hAnsi="宋体" w:cs="宋体"/>
                <w:color w:val="auto"/>
                <w:szCs w:val="21"/>
                <w:highlight w:val="none"/>
              </w:rPr>
              <w:t>项目专门面向中小企业采购，价格分计算时不再进行政策优惠计算。</w:t>
            </w:r>
          </w:p>
          <w:p>
            <w:pPr>
              <w:pStyle w:val="2"/>
              <w:shd w:val="clear" w:color="auto" w:fill="auto"/>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（1）以满足磋商文件要求且最后单价报价最低的供应商的价格为磋商基准价，其价格分为满分。其他供应商的价格分统一按照下列公式计算：</w:t>
            </w:r>
          </w:p>
          <w:p>
            <w:pPr>
              <w:pStyle w:val="2"/>
              <w:shd w:val="clear" w:color="auto" w:fill="auto"/>
              <w:spacing w:line="400" w:lineRule="exact"/>
              <w:rPr>
                <w:rFonts w:hint="eastAsia" w:ascii="宋体" w:hAnsi="宋体" w:cs="宋体"/>
                <w:color w:val="auto"/>
                <w:sz w:val="21"/>
                <w:szCs w:val="21"/>
                <w:highlight w:val="none"/>
              </w:rPr>
            </w:pPr>
            <w:r>
              <w:rPr>
                <w:rFonts w:hint="eastAsia" w:ascii="宋体" w:hAnsi="宋体" w:cs="宋体"/>
                <w:color w:val="auto"/>
                <w:sz w:val="21"/>
                <w:szCs w:val="21"/>
                <w:highlight w:val="none"/>
              </w:rPr>
              <w:t>磋商报价得分=（磋商基准价/最后磋商报价）×10</w:t>
            </w:r>
          </w:p>
          <w:p>
            <w:pPr>
              <w:pStyle w:val="2"/>
              <w:shd w:val="clear" w:color="auto" w:fill="auto"/>
              <w:spacing w:line="400" w:lineRule="exact"/>
              <w:rPr>
                <w:rFonts w:ascii="宋体" w:hAnsi="宋体" w:cs="宋体"/>
                <w:color w:val="auto"/>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认为</w:t>
            </w:r>
            <w:r>
              <w:rPr>
                <w:rFonts w:hint="eastAsia" w:ascii="宋体" w:hAnsi="宋体" w:cs="宋体"/>
                <w:bCs/>
                <w:color w:val="auto"/>
                <w:szCs w:val="21"/>
                <w:highlight w:val="none"/>
                <w:lang w:val="en-US" w:eastAsia="zh-CN"/>
              </w:rPr>
              <w:t>投标人</w:t>
            </w:r>
            <w:r>
              <w:rPr>
                <w:rFonts w:hint="eastAsia" w:ascii="宋体" w:hAnsi="宋体" w:cs="宋体"/>
                <w:color w:val="auto"/>
                <w:sz w:val="21"/>
                <w:szCs w:val="21"/>
                <w:highlight w:val="none"/>
              </w:rPr>
              <w:t>的报价明显低于其他通过符合性审查供应商的报价，有可能影响产品质量或者不能诚信履约的，应当要求其在评标现场合理的时间内提供书面说明，必要时提交相关证明材料；</w:t>
            </w:r>
            <w:r>
              <w:rPr>
                <w:rFonts w:hint="eastAsia" w:ascii="宋体" w:hAnsi="宋体" w:cs="宋体"/>
                <w:bCs/>
                <w:color w:val="auto"/>
                <w:szCs w:val="21"/>
                <w:highlight w:val="none"/>
                <w:lang w:val="en-US" w:eastAsia="zh-CN"/>
              </w:rPr>
              <w:t>投标人</w:t>
            </w:r>
            <w:r>
              <w:rPr>
                <w:rFonts w:hint="eastAsia" w:ascii="宋体" w:hAnsi="宋体" w:cs="宋体"/>
                <w:color w:val="auto"/>
                <w:sz w:val="21"/>
                <w:szCs w:val="21"/>
                <w:highlight w:val="none"/>
              </w:rPr>
              <w:t>不能证明其报价合理性的，</w:t>
            </w:r>
            <w:r>
              <w:rPr>
                <w:rFonts w:hint="eastAsia" w:ascii="宋体" w:hAnsi="宋体" w:cs="宋体"/>
                <w:color w:val="auto"/>
                <w:sz w:val="21"/>
                <w:szCs w:val="21"/>
                <w:highlight w:val="none"/>
                <w:lang w:val="en-US" w:eastAsia="zh-CN"/>
              </w:rPr>
              <w:t>评标委员会</w:t>
            </w:r>
            <w:r>
              <w:rPr>
                <w:rFonts w:hint="eastAsia" w:ascii="宋体" w:hAnsi="宋体" w:cs="宋体"/>
                <w:color w:val="auto"/>
                <w:sz w:val="21"/>
                <w:szCs w:val="21"/>
                <w:highlight w:val="none"/>
              </w:rPr>
              <w:t>应当将其作为无效响应处理。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526" w:type="dxa"/>
            <w:vMerge w:val="restart"/>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2</w:t>
            </w:r>
          </w:p>
        </w:tc>
        <w:tc>
          <w:tcPr>
            <w:tcW w:w="1120" w:type="dxa"/>
            <w:vMerge w:val="restart"/>
            <w:tcBorders>
              <w:top w:val="single" w:color="auto" w:sz="4" w:space="0"/>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Cs/>
                <w:color w:val="auto"/>
                <w:szCs w:val="21"/>
                <w:highlight w:val="none"/>
              </w:rPr>
            </w:pPr>
            <w:r>
              <w:rPr>
                <w:rFonts w:hint="eastAsia" w:ascii="宋体" w:hAnsi="宋体" w:cs="宋体"/>
                <w:bCs/>
                <w:color w:val="auto"/>
                <w:szCs w:val="21"/>
                <w:highlight w:val="none"/>
              </w:rPr>
              <w:t>技术分（</w:t>
            </w:r>
            <w:r>
              <w:rPr>
                <w:rFonts w:hint="eastAsia" w:ascii="宋体" w:hAnsi="宋体" w:cs="宋体"/>
                <w:color w:val="auto"/>
                <w:szCs w:val="21"/>
                <w:highlight w:val="none"/>
              </w:rPr>
              <w:t>满分</w:t>
            </w:r>
            <w:r>
              <w:rPr>
                <w:rFonts w:hint="eastAsia" w:ascii="宋体" w:hAnsi="宋体" w:cs="宋体"/>
                <w:color w:val="auto"/>
                <w:szCs w:val="21"/>
                <w:highlight w:val="none"/>
                <w:lang w:val="en-US" w:eastAsia="zh-CN"/>
              </w:rPr>
              <w:t>78</w:t>
            </w:r>
            <w:r>
              <w:rPr>
                <w:rFonts w:hint="eastAsia" w:ascii="宋体" w:hAnsi="宋体" w:cs="宋体"/>
                <w:bCs/>
                <w:color w:val="auto"/>
                <w:szCs w:val="21"/>
                <w:highlight w:val="none"/>
              </w:rPr>
              <w:t>分）</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（1）服务方案分</w:t>
            </w:r>
          </w:p>
          <w:p>
            <w:pPr>
              <w:spacing w:line="360" w:lineRule="auto"/>
              <w:jc w:val="left"/>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（满分 20</w:t>
            </w:r>
          </w:p>
          <w:p>
            <w:pPr>
              <w:spacing w:line="360" w:lineRule="auto"/>
              <w:jc w:val="left"/>
              <w:textAlignment w:val="baseline"/>
              <w:rPr>
                <w:rFonts w:hint="eastAsia" w:ascii="宋体" w:hAnsi="宋体" w:eastAsia="宋体" w:cs="宋体"/>
                <w:color w:val="auto"/>
                <w:kern w:val="2"/>
                <w:position w:val="0"/>
                <w:sz w:val="21"/>
                <w:szCs w:val="21"/>
                <w:highlight w:val="none"/>
                <w:lang w:eastAsia="zh-CN"/>
              </w:rPr>
            </w:pPr>
            <w:r>
              <w:rPr>
                <w:rFonts w:hint="eastAsia" w:ascii="宋体" w:hAnsi="宋体" w:eastAsia="宋体" w:cs="宋体"/>
                <w:color w:val="auto"/>
                <w:sz w:val="21"/>
                <w:szCs w:val="21"/>
                <w:highlight w:val="none"/>
              </w:rPr>
              <w:t>分）</w:t>
            </w:r>
          </w:p>
        </w:tc>
        <w:tc>
          <w:tcPr>
            <w:tcW w:w="6422" w:type="dxa"/>
            <w:tcBorders>
              <w:top w:val="single" w:color="auto" w:sz="4" w:space="0"/>
              <w:left w:val="single" w:color="auto" w:sz="4" w:space="0"/>
              <w:right w:val="single" w:color="auto" w:sz="4" w:space="0"/>
            </w:tcBorders>
            <w:shd w:val="clear" w:color="auto" w:fill="auto"/>
            <w:vAlign w:val="center"/>
          </w:tcPr>
          <w:p>
            <w:pPr>
              <w:pStyle w:val="13"/>
              <w:spacing w:line="44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由磋商小组成员根据供应商提供的服务方案，服务方案内容包括但不限于：服务流程、实施步骤、进度安排、作业地块风险评估措施、作业结果质量控制措施、作业安全保障措施、效果跟踪调查、项目现场查定验收等进行综合评分：</w:t>
            </w:r>
          </w:p>
          <w:p>
            <w:pPr>
              <w:pStyle w:val="13"/>
              <w:spacing w:line="44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一档（6分）：服务方案简单，对项目实际情况了解不全面、没有可操作性。</w:t>
            </w:r>
          </w:p>
          <w:p>
            <w:pPr>
              <w:pStyle w:val="13"/>
              <w:spacing w:line="44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 xml:space="preserve">二档（13 分）：服务方案较详细、能够针对项目实际情况作出服务方案，对项目的了解情况较深刻、可操作性较强。 </w:t>
            </w:r>
          </w:p>
          <w:p>
            <w:pPr>
              <w:pStyle w:val="13"/>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rPr>
              <w:t>三档（20分）：服务方案详细、对项目的了解情况深刻、针对性、可操作性强，投标人对本项目进行现场调研，能够针对项目实际情况作出详尽、合理的服务方案，针对本项目重点难点分析透彻。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526" w:type="dxa"/>
            <w:vMerge w:val="continue"/>
            <w:tcBorders>
              <w:left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p>
        </w:tc>
        <w:tc>
          <w:tcPr>
            <w:tcW w:w="1120" w:type="dxa"/>
            <w:vMerge w:val="continue"/>
            <w:tcBorders>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Cs/>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spacing w:line="440" w:lineRule="exact"/>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（2）技术方案分</w:t>
            </w:r>
          </w:p>
          <w:p>
            <w:pPr>
              <w:pStyle w:val="13"/>
              <w:spacing w:line="440" w:lineRule="exact"/>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（满分 20</w:t>
            </w:r>
          </w:p>
          <w:p>
            <w:pPr>
              <w:pStyle w:val="13"/>
              <w:spacing w:line="440" w:lineRule="exact"/>
              <w:jc w:val="left"/>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rPr>
              <w:t>分</w:t>
            </w:r>
          </w:p>
        </w:tc>
        <w:tc>
          <w:tcPr>
            <w:tcW w:w="6422" w:type="dxa"/>
            <w:tcBorders>
              <w:top w:val="single" w:color="auto" w:sz="4" w:space="0"/>
              <w:left w:val="single" w:color="auto" w:sz="4" w:space="0"/>
              <w:right w:val="single" w:color="auto" w:sz="4" w:space="0"/>
            </w:tcBorders>
            <w:shd w:val="clear" w:color="auto" w:fill="auto"/>
            <w:vAlign w:val="center"/>
          </w:tcPr>
          <w:p>
            <w:pPr>
              <w:pStyle w:val="13"/>
              <w:spacing w:line="44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由磋商小组成员根据各供应商提供的技术方案，技术方案内容包括但不限于：（1）主要病虫害防治策略部分。要素：列出主要防治对象、有监测点、有对应的虫情监测计划、明确螟黄赤眼蜂释放适期。（2）螟黄赤眼蜂田间释放技术。要素：有释放蜂量、释放密度、释放时间、释放方法。（3）防治效果调查部分。要素：设立对照区，有放蜂前、中、后期的全程各类田间调查，有调查方法；（4）配套技术宣传培训。要素：每个示范区开展技术宣传培训 1 期（含）以上、设置项目示范牌、编印发放宣传资料等内容进行综合评分：</w:t>
            </w:r>
          </w:p>
          <w:p>
            <w:pPr>
              <w:pStyle w:val="13"/>
              <w:spacing w:line="44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一档（6分）：技术方案内容和要求简单、不太完整，可行性较差；</w:t>
            </w:r>
          </w:p>
          <w:p>
            <w:pPr>
              <w:pStyle w:val="13"/>
              <w:spacing w:line="440" w:lineRule="exact"/>
              <w:ind w:firstLine="420" w:firstLineChars="200"/>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rPr>
              <w:t>二档（13分）：技术方案提纲、编制内容和要求可行，阐述清晰、完整，布局基本合理，对项目整体思路、任务、总体布局等关键技术有一定认识，基本满足项目的要求；</w:t>
            </w:r>
          </w:p>
          <w:p>
            <w:pPr>
              <w:pStyle w:val="13"/>
              <w:spacing w:line="440" w:lineRule="exact"/>
              <w:ind w:firstLine="420" w:firstLineChars="200"/>
              <w:jc w:val="left"/>
              <w:rPr>
                <w:rFonts w:hint="eastAsia" w:ascii="宋体" w:hAnsi="宋体" w:eastAsia="宋体" w:cs="宋体"/>
                <w:color w:val="auto"/>
                <w:szCs w:val="21"/>
                <w:highlight w:val="none"/>
              </w:rPr>
            </w:pPr>
            <w:r>
              <w:rPr>
                <w:rFonts w:hint="eastAsia" w:ascii="宋体" w:hAnsi="宋体" w:eastAsia="宋体" w:cs="宋体"/>
                <w:bCs w:val="0"/>
                <w:color w:val="auto"/>
                <w:sz w:val="21"/>
                <w:szCs w:val="21"/>
                <w:highlight w:val="none"/>
              </w:rPr>
              <w:t>三档（20分）：技术方案编制提纲详细可行、布局合理</w:t>
            </w:r>
            <w:r>
              <w:rPr>
                <w:rFonts w:hint="eastAsia" w:ascii="宋体" w:hAnsi="宋体" w:eastAsia="宋体" w:cs="宋体"/>
                <w:color w:val="auto"/>
                <w:sz w:val="21"/>
                <w:szCs w:val="21"/>
                <w:highlight w:val="none"/>
              </w:rPr>
              <w:t>，提供详细的规划技术方案，方案针对性强、准确、完整、合理，阐述清晰、严谨，方案规划得当描述正确，架构拓朴清晰，且方案整体性、可靠性、先进性好，对采购人业务需求理解透彻、完整，完全适应项目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7" w:hRule="atLeast"/>
          <w:jc w:val="center"/>
        </w:trPr>
        <w:tc>
          <w:tcPr>
            <w:tcW w:w="526" w:type="dxa"/>
            <w:vMerge w:val="continue"/>
            <w:tcBorders>
              <w:left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p>
        </w:tc>
        <w:tc>
          <w:tcPr>
            <w:tcW w:w="1120" w:type="dxa"/>
            <w:vMerge w:val="continue"/>
            <w:tcBorders>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Cs/>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pStyle w:val="13"/>
              <w:widowControl/>
              <w:spacing w:line="440" w:lineRule="exact"/>
              <w:jc w:val="left"/>
              <w:rPr>
                <w:rFonts w:hint="eastAsia" w:ascii="宋体" w:hAnsi="宋体" w:eastAsia="宋体" w:cs="宋体"/>
                <w:bCs w:val="0"/>
                <w:color w:val="auto"/>
                <w:sz w:val="21"/>
                <w:szCs w:val="21"/>
                <w:highlight w:val="none"/>
              </w:rPr>
            </w:pPr>
            <w:r>
              <w:rPr>
                <w:rFonts w:hint="eastAsia" w:ascii="宋体" w:hAnsi="宋体" w:eastAsia="宋体" w:cs="宋体"/>
                <w:bCs w:val="0"/>
                <w:color w:val="auto"/>
                <w:sz w:val="21"/>
                <w:szCs w:val="21"/>
                <w:highlight w:val="none"/>
                <w:lang w:bidi="ar-SA"/>
              </w:rPr>
              <w:t>（3）服务承诺分(满分 12分)</w:t>
            </w:r>
          </w:p>
          <w:p>
            <w:pPr>
              <w:pStyle w:val="13"/>
              <w:spacing w:line="440" w:lineRule="exact"/>
              <w:jc w:val="left"/>
              <w:rPr>
                <w:rFonts w:hint="eastAsia" w:ascii="宋体" w:hAnsi="宋体" w:eastAsia="宋体" w:cs="宋体"/>
                <w:bCs w:val="0"/>
                <w:color w:val="auto"/>
                <w:szCs w:val="21"/>
                <w:highlight w:val="none"/>
              </w:rPr>
            </w:pPr>
          </w:p>
        </w:tc>
        <w:tc>
          <w:tcPr>
            <w:tcW w:w="6422" w:type="dxa"/>
            <w:tcBorders>
              <w:top w:val="single" w:color="auto" w:sz="4" w:space="0"/>
              <w:left w:val="single" w:color="auto" w:sz="4" w:space="0"/>
              <w:right w:val="single" w:color="auto" w:sz="4" w:space="0"/>
            </w:tcBorders>
            <w:shd w:val="clear" w:color="auto" w:fill="auto"/>
            <w:vAlign w:val="center"/>
          </w:tcPr>
          <w:p>
            <w:pPr>
              <w:spacing w:line="360" w:lineRule="auto"/>
              <w:ind w:firstLine="420" w:firstLineChars="200"/>
              <w:jc w:val="left"/>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由磋商小组成员根据各供应商提供的服务承诺进行综合评分：</w:t>
            </w:r>
          </w:p>
          <w:p>
            <w:pPr>
              <w:spacing w:line="360" w:lineRule="auto"/>
              <w:ind w:firstLine="420" w:firstLineChars="200"/>
              <w:jc w:val="left"/>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 xml:space="preserve">一档（4分）：提供的服务承诺针对本项目，满足采购文件项目服务要求，并在后续服务中承诺到达现场处理问题时间为12个小时以内（含）的。 </w:t>
            </w:r>
          </w:p>
          <w:p>
            <w:pPr>
              <w:spacing w:line="360" w:lineRule="auto"/>
              <w:ind w:firstLine="420" w:firstLineChars="200"/>
              <w:jc w:val="left"/>
              <w:rPr>
                <w:rFonts w:hint="eastAsia" w:ascii="宋体" w:hAnsi="宋体" w:eastAsia="宋体" w:cs="宋体"/>
                <w:bCs w:val="0"/>
                <w:color w:val="auto"/>
                <w:kern w:val="2"/>
                <w:sz w:val="21"/>
                <w:szCs w:val="21"/>
                <w:highlight w:val="none"/>
              </w:rPr>
            </w:pPr>
            <w:r>
              <w:rPr>
                <w:rFonts w:hint="eastAsia" w:ascii="宋体" w:hAnsi="宋体" w:eastAsia="宋体" w:cs="宋体"/>
                <w:bCs w:val="0"/>
                <w:color w:val="auto"/>
                <w:kern w:val="2"/>
                <w:sz w:val="21"/>
                <w:szCs w:val="21"/>
                <w:highlight w:val="none"/>
              </w:rPr>
              <w:t xml:space="preserve">二档（8 分）：提供的服务承诺针对本项目，且满足或优于采购文件项目服务要求，承诺有具体且符合本项目实际的响应及保障措施，后续服务完全能保障项目质量，并在后续服务中承诺到达现场处理问题时间为9个小时以内（含）的。 </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val="0"/>
                <w:color w:val="auto"/>
                <w:kern w:val="2"/>
                <w:sz w:val="21"/>
                <w:szCs w:val="21"/>
                <w:highlight w:val="none"/>
              </w:rPr>
              <w:t>三档（12分）：提供的服务承诺针对本项目，且满足或优于采购文件项目服务要求，承诺有具体且符合本项目实际的响应及保障措施，后续服务完全能保障项目质量，并在后续服务中承诺到达现场处理问题时间为6个小时以内（含）的。承诺有与项目实际需求相符合的应急预案、质量保障措施，并承诺提供 7 天×24 小时服务热线。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26" w:type="dxa"/>
            <w:vMerge w:val="continue"/>
            <w:tcBorders>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p>
        </w:tc>
        <w:tc>
          <w:tcPr>
            <w:tcW w:w="1120" w:type="dxa"/>
            <w:vMerge w:val="continue"/>
            <w:tcBorders>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Cs/>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left"/>
              <w:rPr>
                <w:rFonts w:hint="eastAsia" w:ascii="宋体" w:hAnsi="宋体" w:eastAsia="宋体" w:cs="宋体"/>
                <w:bCs/>
                <w:kern w:val="0"/>
                <w:sz w:val="21"/>
                <w:szCs w:val="21"/>
              </w:rPr>
            </w:pPr>
          </w:p>
          <w:p>
            <w:pPr>
              <w:widowControl/>
              <w:spacing w:line="360" w:lineRule="auto"/>
              <w:jc w:val="left"/>
              <w:rPr>
                <w:rFonts w:hint="eastAsia" w:ascii="宋体" w:hAnsi="宋体" w:eastAsia="宋体" w:cs="宋体"/>
                <w:bCs/>
                <w:color w:val="auto"/>
                <w:szCs w:val="21"/>
                <w:highlight w:val="none"/>
              </w:rPr>
            </w:pPr>
            <w:r>
              <w:rPr>
                <w:rFonts w:hint="eastAsia" w:ascii="宋体" w:hAnsi="宋体" w:eastAsia="宋体" w:cs="宋体"/>
                <w:bCs/>
                <w:kern w:val="0"/>
                <w:sz w:val="21"/>
                <w:szCs w:val="21"/>
              </w:rPr>
              <w:t>（4）</w:t>
            </w:r>
            <w:r>
              <w:rPr>
                <w:rFonts w:hint="eastAsia" w:ascii="宋体" w:hAnsi="宋体" w:eastAsia="宋体" w:cs="宋体"/>
                <w:sz w:val="21"/>
                <w:szCs w:val="21"/>
              </w:rPr>
              <w:t>拟投入的人员、设备配置分（满分10分)</w:t>
            </w:r>
          </w:p>
        </w:tc>
        <w:tc>
          <w:tcPr>
            <w:tcW w:w="6422" w:type="dxa"/>
            <w:tcBorders>
              <w:top w:val="single" w:color="auto" w:sz="4" w:space="0"/>
              <w:left w:val="single" w:color="auto" w:sz="4" w:space="0"/>
              <w:right w:val="single" w:color="auto" w:sz="4" w:space="0"/>
            </w:tcBorders>
            <w:vAlign w:val="center"/>
          </w:tcPr>
          <w:p>
            <w:pPr>
              <w:spacing w:line="360" w:lineRule="auto"/>
              <w:ind w:firstLine="420" w:firstLineChars="200"/>
              <w:jc w:val="left"/>
              <w:rPr>
                <w:rFonts w:hint="eastAsia" w:ascii="宋体" w:hAnsi="宋体" w:eastAsia="宋体" w:cs="宋体"/>
                <w:bCs/>
                <w:kern w:val="0"/>
                <w:sz w:val="21"/>
                <w:szCs w:val="21"/>
                <w:highlight w:val="none"/>
              </w:rPr>
            </w:pPr>
            <w:bookmarkStart w:id="257" w:name="_GoBack"/>
            <w:r>
              <w:rPr>
                <w:rFonts w:hint="eastAsia" w:ascii="宋体" w:hAnsi="宋体" w:eastAsia="宋体" w:cs="宋体"/>
                <w:bCs/>
                <w:kern w:val="0"/>
                <w:sz w:val="21"/>
                <w:szCs w:val="21"/>
                <w:highlight w:val="none"/>
              </w:rPr>
              <w:t>1.供应商拟投入人员持有经第三方培训后颁发的植保无人机系统操作手合格证的数量优于采购文件要求（在达到</w:t>
            </w:r>
            <w:r>
              <w:rPr>
                <w:rFonts w:hint="eastAsia" w:ascii="宋体" w:hAnsi="宋体" w:cs="宋体"/>
                <w:bCs/>
                <w:kern w:val="0"/>
                <w:sz w:val="21"/>
                <w:szCs w:val="21"/>
                <w:highlight w:val="none"/>
                <w:lang w:val="en-US" w:eastAsia="zh-CN"/>
              </w:rPr>
              <w:t>8</w:t>
            </w:r>
            <w:r>
              <w:rPr>
                <w:rFonts w:hint="eastAsia" w:ascii="宋体" w:hAnsi="宋体" w:eastAsia="宋体" w:cs="宋体"/>
                <w:bCs/>
                <w:kern w:val="0"/>
                <w:sz w:val="21"/>
                <w:szCs w:val="21"/>
                <w:highlight w:val="none"/>
              </w:rPr>
              <w:t>人的基础上）的，每增加1人，得1分，满分4分。</w:t>
            </w:r>
          </w:p>
          <w:p>
            <w:pPr>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highlight w:val="none"/>
              </w:rPr>
              <w:t>2.供应商拟投入植保无人机数量优于采购文件要求（在达到</w:t>
            </w:r>
            <w:r>
              <w:rPr>
                <w:rFonts w:hint="eastAsia" w:ascii="宋体" w:hAnsi="宋体" w:cs="宋体"/>
                <w:bCs/>
                <w:kern w:val="0"/>
                <w:sz w:val="21"/>
                <w:szCs w:val="21"/>
                <w:highlight w:val="none"/>
                <w:lang w:val="en-US" w:eastAsia="zh-CN"/>
              </w:rPr>
              <w:t>8</w:t>
            </w:r>
            <w:r>
              <w:rPr>
                <w:rFonts w:hint="eastAsia" w:ascii="宋体" w:hAnsi="宋体" w:eastAsia="宋体" w:cs="宋体"/>
                <w:bCs/>
                <w:kern w:val="0"/>
                <w:sz w:val="21"/>
                <w:szCs w:val="21"/>
                <w:highlight w:val="none"/>
              </w:rPr>
              <w:t>台的基础上）的，每增加1台，得1分，满分6分。</w:t>
            </w:r>
            <w:bookmarkEnd w:id="257"/>
          </w:p>
          <w:p>
            <w:pPr>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注：竞标时响应文件中需提供拟投入本项目的人员及植保无人机如下证明材料，否则不得分。</w:t>
            </w:r>
          </w:p>
          <w:p>
            <w:pPr>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（1）供应商与其签订的有效劳动合同或在投标截止时间前3个月内供应商为人员发放工资的银行流水证明或社保证明。</w:t>
            </w:r>
          </w:p>
          <w:p>
            <w:pPr>
              <w:spacing w:line="360" w:lineRule="auto"/>
              <w:ind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（2）拟投入本项目的机手经过相关培训和考核并取得操作证书的相关证明材料（扫描件）。</w:t>
            </w:r>
          </w:p>
          <w:p>
            <w:pPr>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bCs/>
                <w:kern w:val="0"/>
                <w:sz w:val="21"/>
                <w:szCs w:val="21"/>
              </w:rPr>
              <w:t>（3）拟投入本项目的植保无人机的购置发票原件扫描件或复印件，并加盖发票持有人公章（如为购买二手无人机或者租赁的，二手无人机需要提供购买协议及原购买人的发票原件扫描件或复印件；如为租赁无人机的，需提供租赁合同及持有人购机的发票原件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jc w:val="center"/>
        </w:trPr>
        <w:tc>
          <w:tcPr>
            <w:tcW w:w="526" w:type="dxa"/>
            <w:tcBorders>
              <w:left w:val="single" w:color="auto" w:sz="4" w:space="0"/>
              <w:bottom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p>
        </w:tc>
        <w:tc>
          <w:tcPr>
            <w:tcW w:w="1120" w:type="dxa"/>
            <w:tcBorders>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Cs/>
                <w:color w:val="auto"/>
                <w:szCs w:val="21"/>
                <w:highlight w:val="none"/>
              </w:rPr>
            </w:pPr>
          </w:p>
        </w:tc>
        <w:tc>
          <w:tcPr>
            <w:tcW w:w="1290"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0" w:firstLineChars="0"/>
              <w:jc w:val="left"/>
              <w:rPr>
                <w:rFonts w:hint="eastAsia" w:ascii="宋体" w:hAnsi="宋体" w:eastAsia="宋体" w:cs="宋体"/>
                <w:bCs/>
                <w:kern w:val="0"/>
                <w:sz w:val="21"/>
                <w:szCs w:val="21"/>
              </w:rPr>
            </w:pPr>
            <w:r>
              <w:rPr>
                <w:rFonts w:hint="eastAsia" w:ascii="宋体" w:hAnsi="宋体" w:eastAsia="宋体" w:cs="宋体"/>
                <w:bCs/>
                <w:kern w:val="0"/>
                <w:sz w:val="21"/>
                <w:szCs w:val="21"/>
              </w:rPr>
              <w:t>(5)服务技术证明材料分（满分16分）</w:t>
            </w:r>
          </w:p>
          <w:p>
            <w:pPr>
              <w:spacing w:line="360" w:lineRule="auto"/>
              <w:ind w:firstLine="420" w:firstLineChars="200"/>
              <w:jc w:val="left"/>
              <w:rPr>
                <w:rFonts w:hint="eastAsia" w:ascii="宋体" w:hAnsi="宋体" w:eastAsia="宋体" w:cs="宋体"/>
                <w:bCs/>
                <w:kern w:val="0"/>
                <w:szCs w:val="21"/>
              </w:rPr>
            </w:pPr>
          </w:p>
          <w:p>
            <w:pPr>
              <w:spacing w:line="360" w:lineRule="auto"/>
              <w:ind w:firstLine="420" w:firstLineChars="200"/>
              <w:jc w:val="left"/>
              <w:rPr>
                <w:rFonts w:hint="eastAsia" w:ascii="宋体" w:hAnsi="宋体" w:eastAsia="宋体" w:cs="宋体"/>
                <w:bCs/>
                <w:kern w:val="0"/>
                <w:sz w:val="21"/>
                <w:szCs w:val="21"/>
                <w:lang w:eastAsia="zh-CN"/>
              </w:rPr>
            </w:pPr>
          </w:p>
        </w:tc>
        <w:tc>
          <w:tcPr>
            <w:tcW w:w="6422" w:type="dxa"/>
            <w:tcBorders>
              <w:top w:val="single" w:color="auto" w:sz="4" w:space="0"/>
              <w:left w:val="single" w:color="auto" w:sz="4" w:space="0"/>
              <w:right w:val="single" w:color="auto" w:sz="4" w:space="0"/>
            </w:tcBorders>
            <w:vAlign w:val="center"/>
          </w:tcPr>
          <w:p>
            <w:pPr>
              <w:spacing w:line="360" w:lineRule="auto"/>
              <w:ind w:left="0" w:firstLine="420" w:firstLineChars="200"/>
              <w:jc w:val="left"/>
              <w:rPr>
                <w:rFonts w:hint="eastAsia" w:ascii="宋体" w:hAnsi="宋体" w:eastAsia="宋体" w:cs="宋体"/>
                <w:bCs/>
                <w:kern w:val="0"/>
                <w:sz w:val="21"/>
                <w:szCs w:val="21"/>
                <w:lang w:bidi="ar"/>
              </w:rPr>
            </w:pPr>
            <w:r>
              <w:rPr>
                <w:rFonts w:hint="eastAsia" w:ascii="宋体" w:hAnsi="宋体" w:eastAsia="宋体" w:cs="宋体"/>
                <w:bCs/>
                <w:kern w:val="0"/>
                <w:sz w:val="21"/>
                <w:szCs w:val="21"/>
                <w:lang w:bidi="ar"/>
              </w:rPr>
              <w:t>螟黄赤眼蜂蜂卡主要技术指标技术参数包括蜂种、中间寄主、寄生率、羽化率、畸形蜂率、蜂卡有效蜂量、蜂卡防蚂蚁功能、蜂卡可降解功能、共8项。</w:t>
            </w:r>
          </w:p>
          <w:p>
            <w:pPr>
              <w:spacing w:line="360" w:lineRule="auto"/>
              <w:ind w:left="0" w:leftChars="0" w:firstLine="420" w:firstLineChars="200"/>
              <w:jc w:val="left"/>
              <w:rPr>
                <w:rFonts w:hint="eastAsia" w:ascii="宋体" w:hAnsi="宋体" w:eastAsia="宋体" w:cs="宋体"/>
                <w:bCs/>
                <w:kern w:val="0"/>
                <w:sz w:val="21"/>
                <w:szCs w:val="21"/>
              </w:rPr>
            </w:pPr>
            <w:r>
              <w:rPr>
                <w:rFonts w:hint="eastAsia" w:ascii="宋体" w:hAnsi="宋体" w:eastAsia="宋体" w:cs="宋体"/>
                <w:bCs/>
                <w:kern w:val="0"/>
                <w:sz w:val="21"/>
                <w:szCs w:val="21"/>
              </w:rPr>
              <w:t>供应商提供省级以上植物保护机构出具以上8项产品技术证明的检测报告。每提供1项，得2分，满分16分</w:t>
            </w:r>
            <w:r>
              <w:rPr>
                <w:rFonts w:hint="eastAsia" w:ascii="宋体" w:hAnsi="宋体" w:eastAsia="宋体" w:cs="宋体"/>
                <w:bCs/>
                <w:kern w:val="0"/>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jc w:val="center"/>
        </w:trPr>
        <w:tc>
          <w:tcPr>
            <w:tcW w:w="526" w:type="dxa"/>
            <w:vMerge w:val="restart"/>
            <w:tcBorders>
              <w:top w:val="single" w:color="auto" w:sz="4" w:space="0"/>
              <w:left w:val="single" w:color="auto" w:sz="4" w:space="0"/>
              <w:right w:val="single" w:color="auto" w:sz="4" w:space="0"/>
            </w:tcBorders>
            <w:vAlign w:val="center"/>
          </w:tcPr>
          <w:p>
            <w:pPr>
              <w:adjustRightInd w:val="0"/>
              <w:spacing w:line="360" w:lineRule="auto"/>
              <w:jc w:val="center"/>
              <w:textAlignment w:val="baseline"/>
              <w:rPr>
                <w:rFonts w:ascii="宋体" w:hAnsi="宋体" w:cs="宋体"/>
                <w:color w:val="auto"/>
                <w:szCs w:val="21"/>
                <w:highlight w:val="none"/>
              </w:rPr>
            </w:pPr>
            <w:r>
              <w:rPr>
                <w:rFonts w:hint="eastAsia" w:ascii="宋体" w:hAnsi="宋体" w:cs="宋体"/>
                <w:color w:val="auto"/>
                <w:szCs w:val="21"/>
                <w:highlight w:val="none"/>
              </w:rPr>
              <w:t>3</w:t>
            </w:r>
          </w:p>
        </w:tc>
        <w:tc>
          <w:tcPr>
            <w:tcW w:w="1120" w:type="dxa"/>
            <w:vMerge w:val="restart"/>
            <w:tcBorders>
              <w:top w:val="single" w:color="auto" w:sz="4" w:space="0"/>
              <w:left w:val="single" w:color="auto" w:sz="4" w:space="0"/>
              <w:right w:val="single" w:color="auto" w:sz="4" w:space="0"/>
            </w:tcBorders>
            <w:vAlign w:val="center"/>
          </w:tcPr>
          <w:p>
            <w:pPr>
              <w:adjustRightInd w:val="0"/>
              <w:spacing w:line="360" w:lineRule="auto"/>
              <w:ind w:left="-105" w:leftChars="-50" w:right="-105" w:rightChars="-50"/>
              <w:jc w:val="center"/>
              <w:textAlignment w:val="baseline"/>
              <w:rPr>
                <w:rFonts w:ascii="宋体" w:hAnsi="宋体" w:cs="宋体"/>
                <w:bCs/>
                <w:color w:val="auto"/>
                <w:szCs w:val="21"/>
                <w:highlight w:val="none"/>
              </w:rPr>
            </w:pPr>
            <w:r>
              <w:rPr>
                <w:rFonts w:hint="eastAsia" w:ascii="宋体" w:hAnsi="宋体" w:cs="宋体"/>
                <w:color w:val="auto"/>
                <w:szCs w:val="21"/>
                <w:highlight w:val="none"/>
              </w:rPr>
              <w:t>商务分（满分</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分）</w:t>
            </w:r>
          </w:p>
        </w:tc>
        <w:tc>
          <w:tcPr>
            <w:tcW w:w="1290" w:type="dxa"/>
            <w:tcBorders>
              <w:top w:val="single" w:color="auto" w:sz="4" w:space="0"/>
              <w:left w:val="single" w:color="auto" w:sz="4" w:space="0"/>
              <w:right w:val="single" w:color="auto" w:sz="4" w:space="0"/>
            </w:tcBorders>
            <w:vAlign w:val="center"/>
          </w:tcPr>
          <w:p>
            <w:pPr>
              <w:spacing w:line="360" w:lineRule="auto"/>
              <w:ind w:firstLine="420" w:firstLineChars="200"/>
              <w:jc w:val="left"/>
              <w:rPr>
                <w:rFonts w:hint="eastAsia" w:ascii="宋体" w:hAnsi="宋体" w:eastAsia="宋体" w:cs="宋体"/>
                <w:bCs/>
                <w:kern w:val="0"/>
                <w:szCs w:val="21"/>
              </w:rPr>
            </w:pPr>
            <w:r>
              <w:rPr>
                <w:rFonts w:hint="eastAsia" w:ascii="宋体" w:hAnsi="宋体" w:eastAsia="宋体" w:cs="宋体"/>
                <w:bCs/>
                <w:kern w:val="0"/>
                <w:sz w:val="21"/>
                <w:szCs w:val="21"/>
              </w:rPr>
              <w:t>信誉及业绩（满分12分）</w:t>
            </w:r>
          </w:p>
        </w:tc>
        <w:tc>
          <w:tcPr>
            <w:tcW w:w="6422"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bCs/>
                <w:kern w:val="0"/>
                <w:sz w:val="21"/>
                <w:szCs w:val="21"/>
              </w:rPr>
            </w:pPr>
            <w:r>
              <w:rPr>
                <w:rFonts w:hint="eastAsia" w:ascii="宋体" w:hAnsi="宋体" w:eastAsia="宋体" w:cs="宋体"/>
                <w:bCs/>
                <w:kern w:val="0"/>
                <w:sz w:val="21"/>
                <w:szCs w:val="21"/>
              </w:rPr>
              <w:t>（1）供应商具有类似项目业绩，以在响应文件中提供的类似项目业绩的中标（成交通知书）或签订的项目合同（协议）为准，并能清晰反映项目的名称、种类、金额，每个项目得1分，满分8分。</w:t>
            </w:r>
          </w:p>
          <w:p>
            <w:pPr>
              <w:spacing w:line="360" w:lineRule="auto"/>
              <w:rPr>
                <w:rFonts w:hint="eastAsia" w:ascii="宋体" w:hAnsi="宋体" w:eastAsia="宋体" w:cs="宋体"/>
                <w:bCs/>
                <w:kern w:val="0"/>
                <w:szCs w:val="21"/>
              </w:rPr>
            </w:pPr>
            <w:r>
              <w:rPr>
                <w:rFonts w:hint="eastAsia" w:ascii="宋体" w:hAnsi="宋体" w:eastAsia="宋体" w:cs="宋体"/>
                <w:bCs/>
                <w:kern w:val="0"/>
                <w:sz w:val="21"/>
                <w:szCs w:val="21"/>
              </w:rPr>
              <w:t>（2）供应商获得政府行政主管部门颁发的与本项目服务能力、服务质量或合同履约相关的荣誉称号、奖励等，每提供一项得 1分，满分 4分（需在响应文件中提供相关材料的复印件或扫描件）。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9358" w:type="dxa"/>
            <w:gridSpan w:val="4"/>
            <w:tcBorders>
              <w:top w:val="single" w:color="auto" w:sz="4" w:space="0"/>
              <w:left w:val="single" w:color="auto" w:sz="4" w:space="0"/>
              <w:bottom w:val="single" w:color="auto" w:sz="4" w:space="0"/>
              <w:right w:val="single" w:color="auto" w:sz="4" w:space="0"/>
            </w:tcBorders>
            <w:vAlign w:val="center"/>
          </w:tcPr>
          <w:p>
            <w:pPr>
              <w:pStyle w:val="13"/>
              <w:spacing w:line="360" w:lineRule="auto"/>
              <w:ind w:firstLine="420"/>
              <w:rPr>
                <w:rFonts w:hAnsi="宋体" w:cs="宋体"/>
                <w:bCs/>
                <w:color w:val="auto"/>
                <w:szCs w:val="21"/>
                <w:highlight w:val="none"/>
              </w:rPr>
            </w:pPr>
            <w:r>
              <w:rPr>
                <w:rFonts w:hint="eastAsia" w:hAnsi="宋体" w:cs="宋体"/>
                <w:b/>
                <w:bCs/>
                <w:color w:val="auto"/>
                <w:szCs w:val="21"/>
                <w:highlight w:val="none"/>
              </w:rPr>
              <w:t>总得分=1+2+3+</w:t>
            </w:r>
            <w:r>
              <w:rPr>
                <w:rFonts w:hint="eastAsia" w:hAnsi="宋体" w:cs="宋体"/>
                <w:b/>
                <w:bCs/>
                <w:color w:val="auto"/>
                <w:szCs w:val="21"/>
                <w:highlight w:val="none"/>
                <w:lang w:val="en-US" w:eastAsia="zh-CN"/>
              </w:rPr>
              <w:t>3</w:t>
            </w:r>
          </w:p>
        </w:tc>
      </w:tr>
    </w:tbl>
    <w:p>
      <w:pPr>
        <w:pStyle w:val="13"/>
        <w:spacing w:line="360" w:lineRule="auto"/>
        <w:ind w:firstLine="420" w:firstLineChars="200"/>
        <w:rPr>
          <w:rFonts w:hint="eastAsia" w:asciiTheme="minorEastAsia" w:hAnsiTheme="minorEastAsia" w:eastAsiaTheme="minorEastAsia" w:cstheme="minorEastAsia"/>
          <w:b w:val="0"/>
          <w:color w:val="auto"/>
          <w:sz w:val="21"/>
          <w:szCs w:val="20"/>
          <w:highlight w:val="none"/>
        </w:rPr>
      </w:pPr>
      <w:bookmarkStart w:id="132" w:name="_Toc23668"/>
    </w:p>
    <w:p>
      <w:pPr>
        <w:pStyle w:val="3"/>
        <w:jc w:val="center"/>
        <w:rPr>
          <w:rFonts w:asciiTheme="minorEastAsia" w:hAnsiTheme="minorEastAsia" w:eastAsiaTheme="minorEastAsia" w:cstheme="minorEastAsia"/>
          <w:b w:val="0"/>
          <w:color w:val="auto"/>
          <w:sz w:val="30"/>
          <w:szCs w:val="30"/>
          <w:highlight w:val="none"/>
        </w:rPr>
      </w:pPr>
      <w:r>
        <w:rPr>
          <w:rFonts w:hint="eastAsia" w:asciiTheme="minorEastAsia" w:hAnsiTheme="minorEastAsia" w:eastAsiaTheme="minorEastAsia" w:cstheme="minorEastAsia"/>
          <w:b w:val="0"/>
          <w:color w:val="auto"/>
          <w:sz w:val="30"/>
          <w:szCs w:val="30"/>
          <w:highlight w:val="none"/>
        </w:rPr>
        <w:t>第四节 中标候选人推荐原则</w:t>
      </w:r>
      <w:bookmarkEnd w:id="132"/>
    </w:p>
    <w:p>
      <w:pPr>
        <w:pStyle w:val="13"/>
        <w:numPr>
          <w:ilvl w:val="0"/>
          <w:numId w:val="3"/>
        </w:numPr>
        <w:spacing w:line="360" w:lineRule="auto"/>
        <w:contextualSpacing/>
        <w:rPr>
          <w:rFonts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rPr>
        <w:t>综合评分法</w:t>
      </w:r>
    </w:p>
    <w:p>
      <w:pPr>
        <w:pStyle w:val="13"/>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将根据总得分由高到低排列次序并推荐中标候选人。总得分相同的，以投标报价由低到高顺序排列。得分相同且投标报价相同的并列，投标文件满足招标文件全部实质性要求，且按照评审因素的量化指标评审得分最高的投标人为排名第一的中标候选人。</w:t>
      </w:r>
    </w:p>
    <w:p>
      <w:pPr>
        <w:pStyle w:val="3"/>
        <w:spacing w:line="360" w:lineRule="auto"/>
        <w:ind w:firstLine="600" w:firstLineChars="200"/>
        <w:jc w:val="center"/>
        <w:rPr>
          <w:rFonts w:asciiTheme="minorEastAsia" w:hAnsiTheme="minorEastAsia" w:eastAsiaTheme="minorEastAsia" w:cstheme="minorEastAsia"/>
          <w:b w:val="0"/>
          <w:color w:val="auto"/>
          <w:sz w:val="30"/>
          <w:szCs w:val="30"/>
          <w:highlight w:val="none"/>
        </w:rPr>
      </w:pPr>
      <w:bookmarkStart w:id="133" w:name="_Toc18534"/>
      <w:r>
        <w:rPr>
          <w:rFonts w:hint="eastAsia" w:asciiTheme="minorEastAsia" w:hAnsiTheme="minorEastAsia" w:eastAsiaTheme="minorEastAsia" w:cstheme="minorEastAsia"/>
          <w:b w:val="0"/>
          <w:color w:val="auto"/>
          <w:sz w:val="30"/>
          <w:szCs w:val="30"/>
          <w:highlight w:val="none"/>
        </w:rPr>
        <w:t>第五节 评标报告</w:t>
      </w:r>
      <w:bookmarkEnd w:id="133"/>
    </w:p>
    <w:p>
      <w:pPr>
        <w:pStyle w:val="32"/>
        <w:spacing w:before="0"/>
        <w:ind w:firstLine="482"/>
        <w:rPr>
          <w:rFonts w:asciiTheme="minorEastAsia" w:hAnsiTheme="minorEastAsia" w:eastAsiaTheme="minorEastAsia" w:cstheme="minorEastAsia"/>
          <w:b/>
          <w:bCs/>
          <w:color w:val="auto"/>
          <w:szCs w:val="24"/>
          <w:highlight w:val="none"/>
        </w:rPr>
      </w:pPr>
      <w:r>
        <w:rPr>
          <w:rFonts w:hint="eastAsia" w:asciiTheme="minorEastAsia" w:hAnsiTheme="minorEastAsia" w:eastAsiaTheme="minorEastAsia" w:cstheme="minorEastAsia"/>
          <w:b/>
          <w:bCs/>
          <w:color w:val="auto"/>
          <w:szCs w:val="24"/>
          <w:highlight w:val="none"/>
        </w:rPr>
        <w:t>（一）评标报告与推荐中标候选人</w:t>
      </w:r>
    </w:p>
    <w:p>
      <w:pPr>
        <w:pStyle w:val="13"/>
        <w:tabs>
          <w:tab w:val="left" w:pos="2472"/>
        </w:tabs>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评标委员会根据原始评标记录和评标结果编写评标报告，并通过电子交易平台向采购人、采购代理机构提交。</w:t>
      </w:r>
    </w:p>
    <w:p>
      <w:pPr>
        <w:widowControl/>
        <w:spacing w:line="360" w:lineRule="auto"/>
        <w:ind w:firstLine="482" w:firstLineChars="200"/>
        <w:jc w:val="left"/>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（二）评标争议事项处理</w:t>
      </w:r>
    </w:p>
    <w:p>
      <w:pPr>
        <w:pStyle w:val="13"/>
        <w:tabs>
          <w:tab w:val="left" w:pos="2472"/>
        </w:tabs>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widowControl/>
        <w:jc w:val="left"/>
        <w:rPr>
          <w:rFonts w:asciiTheme="minorEastAsia" w:hAnsiTheme="minorEastAsia" w:eastAsiaTheme="minorEastAsia" w:cstheme="minorEastAsia"/>
          <w:b/>
          <w:color w:val="auto"/>
          <w:sz w:val="36"/>
          <w:szCs w:val="20"/>
          <w:highlight w:val="none"/>
        </w:rPr>
        <w:sectPr>
          <w:pgSz w:w="11906" w:h="16838"/>
          <w:pgMar w:top="1134" w:right="1134" w:bottom="1134" w:left="1134" w:header="720" w:footer="720" w:gutter="0"/>
          <w:cols w:space="720" w:num="1"/>
          <w:docGrid w:type="lines" w:linePitch="331" w:charSpace="0"/>
        </w:sect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outlineLvl w:val="0"/>
        <w:rPr>
          <w:rFonts w:asciiTheme="minorEastAsia" w:hAnsiTheme="minorEastAsia" w:eastAsiaTheme="minorEastAsia" w:cstheme="minorEastAsia"/>
          <w:b/>
          <w:color w:val="auto"/>
          <w:sz w:val="36"/>
          <w:highlight w:val="none"/>
        </w:rPr>
      </w:pPr>
      <w:bookmarkStart w:id="134" w:name="_Toc7342"/>
      <w:r>
        <w:rPr>
          <w:rFonts w:hint="eastAsia" w:asciiTheme="minorEastAsia" w:hAnsiTheme="minorEastAsia" w:eastAsiaTheme="minorEastAsia" w:cstheme="minorEastAsia"/>
          <w:b/>
          <w:color w:val="auto"/>
          <w:sz w:val="36"/>
          <w:highlight w:val="none"/>
        </w:rPr>
        <w:t>第五章 拟签订的合同文本</w:t>
      </w:r>
      <w:bookmarkEnd w:id="134"/>
    </w:p>
    <w:p>
      <w:pPr>
        <w:widowControl/>
        <w:jc w:val="left"/>
        <w:rPr>
          <w:rFonts w:asciiTheme="minorEastAsia" w:hAnsiTheme="minorEastAsia" w:eastAsiaTheme="minorEastAsia" w:cstheme="minorEastAsia"/>
          <w:bCs/>
          <w:color w:val="auto"/>
          <w:szCs w:val="20"/>
          <w:highlight w:val="none"/>
        </w:rPr>
        <w:sectPr>
          <w:pgSz w:w="11906" w:h="16838"/>
          <w:pgMar w:top="1134" w:right="1134" w:bottom="1134" w:left="1134" w:header="720" w:footer="720" w:gutter="0"/>
          <w:cols w:space="720" w:num="1"/>
          <w:docGrid w:type="lines" w:linePitch="331" w:charSpace="0"/>
        </w:sectPr>
      </w:pPr>
    </w:p>
    <w:p>
      <w:pPr>
        <w:spacing w:line="360" w:lineRule="auto"/>
        <w:rPr>
          <w:rFonts w:asciiTheme="minorEastAsia" w:hAnsiTheme="minorEastAsia" w:eastAsiaTheme="minorEastAsia" w:cstheme="minorEastAsia"/>
          <w:color w:val="auto"/>
          <w:sz w:val="24"/>
          <w:highlight w:val="none"/>
        </w:rPr>
      </w:pPr>
    </w:p>
    <w:p>
      <w:pPr>
        <w:spacing w:line="360" w:lineRule="auto"/>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广西政府采购云平台合同编号：</w:t>
      </w:r>
      <w:r>
        <w:rPr>
          <w:rFonts w:hint="eastAsia" w:asciiTheme="minorEastAsia" w:hAnsiTheme="minorEastAsia" w:eastAsiaTheme="minorEastAsia" w:cstheme="minorEastAsia"/>
          <w:color w:val="auto"/>
          <w:sz w:val="24"/>
          <w:highlight w:val="none"/>
          <w:u w:val="single"/>
        </w:rPr>
        <w:t xml:space="preserve">           </w:t>
      </w:r>
    </w:p>
    <w:p>
      <w:pPr>
        <w:spacing w:line="360" w:lineRule="auto"/>
        <w:jc w:val="center"/>
        <w:rPr>
          <w:rFonts w:asciiTheme="minorEastAsia" w:hAnsiTheme="minorEastAsia" w:eastAsiaTheme="minorEastAsia" w:cstheme="minorEastAsia"/>
          <w:b/>
          <w:bCs/>
          <w:color w:val="auto"/>
          <w:sz w:val="52"/>
          <w:highlight w:val="none"/>
        </w:rPr>
      </w:pPr>
    </w:p>
    <w:p>
      <w:pPr>
        <w:spacing w:line="360" w:lineRule="auto"/>
        <w:jc w:val="center"/>
        <w:rPr>
          <w:rFonts w:asciiTheme="minorEastAsia" w:hAnsiTheme="minorEastAsia" w:eastAsiaTheme="minorEastAsia" w:cstheme="minorEastAsia"/>
          <w:b/>
          <w:bCs/>
          <w:color w:val="auto"/>
          <w:sz w:val="52"/>
          <w:highlight w:val="none"/>
        </w:rPr>
      </w:pPr>
    </w:p>
    <w:p>
      <w:pPr>
        <w:spacing w:line="360" w:lineRule="auto"/>
        <w:jc w:val="center"/>
        <w:rPr>
          <w:rFonts w:hint="eastAsia" w:ascii="宋体"/>
          <w:b/>
          <w:bCs/>
          <w:color w:val="auto"/>
          <w:sz w:val="52"/>
          <w:highlight w:val="none"/>
        </w:rPr>
      </w:pPr>
      <w:r>
        <w:rPr>
          <w:rFonts w:hint="eastAsia" w:ascii="宋体"/>
          <w:b/>
          <w:bCs/>
          <w:color w:val="auto"/>
          <w:sz w:val="52"/>
          <w:highlight w:val="none"/>
        </w:rPr>
        <w:t>南 宁 市 政 府 采 购</w:t>
      </w:r>
    </w:p>
    <w:p>
      <w:pPr>
        <w:spacing w:line="360" w:lineRule="auto"/>
        <w:ind w:firstLine="420" w:firstLineChars="200"/>
        <w:rPr>
          <w:rFonts w:hint="eastAsia" w:ascii="宋体"/>
          <w:color w:val="auto"/>
          <w:highlight w:val="none"/>
        </w:rPr>
      </w:pPr>
    </w:p>
    <w:p>
      <w:pPr>
        <w:spacing w:line="360" w:lineRule="auto"/>
        <w:ind w:firstLine="420" w:firstLineChars="200"/>
        <w:rPr>
          <w:rFonts w:hint="eastAsia" w:ascii="宋体"/>
          <w:color w:val="auto"/>
          <w:highlight w:val="none"/>
        </w:rPr>
      </w:pPr>
      <w:r>
        <w:rPr>
          <w:rFonts w:hint="eastAsia" w:ascii="宋体"/>
          <w:color w:val="auto"/>
          <w:highlight w:val="none"/>
        </w:rPr>
        <w:t xml:space="preserve">                                                 </w:t>
      </w:r>
    </w:p>
    <w:p>
      <w:pPr>
        <w:spacing w:line="360" w:lineRule="auto"/>
        <w:jc w:val="center"/>
        <w:rPr>
          <w:rFonts w:hint="eastAsia" w:ascii="宋体"/>
          <w:b/>
          <w:bCs/>
          <w:color w:val="auto"/>
          <w:sz w:val="44"/>
          <w:highlight w:val="none"/>
        </w:rPr>
      </w:pPr>
      <w:r>
        <w:rPr>
          <w:rFonts w:hint="eastAsia" w:ascii="宋体"/>
          <w:b/>
          <w:bCs/>
          <w:color w:val="auto"/>
          <w:sz w:val="44"/>
          <w:highlight w:val="none"/>
          <w:u w:val="single"/>
        </w:rPr>
        <w:t xml:space="preserve"> </w:t>
      </w:r>
      <w:r>
        <w:rPr>
          <w:rFonts w:hint="eastAsia" w:ascii="宋体"/>
          <w:b/>
          <w:bCs/>
          <w:color w:val="auto"/>
          <w:sz w:val="44"/>
          <w:highlight w:val="none"/>
          <w:u w:val="single"/>
          <w:lang w:eastAsia="zh-CN"/>
        </w:rPr>
        <w:t>2025年西乡塘区糖料蔗病虫害绿色防控项目</w:t>
      </w:r>
      <w:r>
        <w:rPr>
          <w:rFonts w:hint="eastAsia" w:ascii="宋体"/>
          <w:b/>
          <w:bCs/>
          <w:color w:val="auto"/>
          <w:sz w:val="44"/>
          <w:highlight w:val="none"/>
        </w:rPr>
        <w:t>合同</w:t>
      </w:r>
    </w:p>
    <w:p>
      <w:pPr>
        <w:spacing w:line="360" w:lineRule="auto"/>
        <w:jc w:val="center"/>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spacing w:line="360" w:lineRule="auto"/>
        <w:ind w:firstLine="3507" w:firstLineChars="794"/>
        <w:rPr>
          <w:rFonts w:hint="eastAsia" w:ascii="宋体"/>
          <w:b/>
          <w:bCs/>
          <w:color w:val="auto"/>
          <w:sz w:val="44"/>
          <w:highlight w:val="none"/>
        </w:rPr>
      </w:pPr>
    </w:p>
    <w:p>
      <w:pPr>
        <w:ind w:firstLine="1995" w:firstLineChars="552"/>
        <w:rPr>
          <w:rFonts w:hint="default" w:ascii="宋体" w:hAnsi="宋体" w:eastAsia="宋体"/>
          <w:b/>
          <w:color w:val="auto"/>
          <w:sz w:val="36"/>
          <w:szCs w:val="36"/>
          <w:highlight w:val="none"/>
          <w:lang w:val="en-US" w:eastAsia="zh-CN"/>
        </w:rPr>
      </w:pPr>
      <w:r>
        <w:rPr>
          <w:rFonts w:hint="eastAsia" w:ascii="宋体" w:hAnsi="宋体"/>
          <w:b/>
          <w:color w:val="auto"/>
          <w:sz w:val="36"/>
          <w:szCs w:val="36"/>
          <w:highlight w:val="none"/>
        </w:rPr>
        <w:t>采购项目编号：</w:t>
      </w:r>
      <w:r>
        <w:rPr>
          <w:rFonts w:hint="eastAsia" w:ascii="宋体" w:hAnsi="宋体"/>
          <w:b/>
          <w:color w:val="auto"/>
          <w:sz w:val="36"/>
          <w:szCs w:val="36"/>
          <w:highlight w:val="none"/>
          <w:lang w:val="en-US" w:eastAsia="zh-CN"/>
        </w:rPr>
        <w:t xml:space="preserve"> </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p>
    <w:p>
      <w:pPr>
        <w:ind w:firstLine="1995" w:firstLineChars="552"/>
        <w:rPr>
          <w:rFonts w:hint="eastAsia" w:ascii="宋体" w:hAnsi="宋体"/>
          <w:b/>
          <w:color w:val="auto"/>
          <w:sz w:val="36"/>
          <w:szCs w:val="36"/>
          <w:highlight w:val="none"/>
        </w:rPr>
      </w:pPr>
      <w:r>
        <w:rPr>
          <w:rFonts w:hint="eastAsia" w:ascii="宋体" w:hAnsi="宋体"/>
          <w:b/>
          <w:color w:val="auto"/>
          <w:sz w:val="36"/>
          <w:szCs w:val="36"/>
          <w:highlight w:val="none"/>
        </w:rPr>
        <w:t>采购计划编号：</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val="en-US" w:eastAsia="zh-CN"/>
        </w:rPr>
        <w:t xml:space="preserve">                      </w:t>
      </w:r>
      <w:r>
        <w:rPr>
          <w:rFonts w:hint="eastAsia" w:ascii="宋体" w:hAnsi="宋体"/>
          <w:b/>
          <w:color w:val="auto"/>
          <w:sz w:val="36"/>
          <w:szCs w:val="36"/>
          <w:highlight w:val="none"/>
          <w:u w:val="single"/>
        </w:rPr>
        <w:t xml:space="preserve"> </w:t>
      </w:r>
    </w:p>
    <w:p>
      <w:pPr>
        <w:ind w:firstLine="1308" w:firstLineChars="545"/>
        <w:rPr>
          <w:rFonts w:hint="eastAsia" w:ascii="宋体" w:hAnsi="宋体" w:cs="宋体"/>
          <w:color w:val="auto"/>
          <w:sz w:val="24"/>
          <w:highlight w:val="non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ind w:firstLine="1995" w:firstLineChars="552"/>
        <w:rPr>
          <w:rFonts w:hint="eastAsia" w:ascii="宋体" w:hAnsi="宋体"/>
          <w:b/>
          <w:color w:val="auto"/>
          <w:sz w:val="36"/>
          <w:szCs w:val="36"/>
          <w:highlight w:val="none"/>
          <w:u w:val="single"/>
        </w:rPr>
      </w:pPr>
    </w:p>
    <w:p>
      <w:pPr>
        <w:tabs>
          <w:tab w:val="left" w:pos="7200"/>
        </w:tabs>
        <w:spacing w:line="360" w:lineRule="auto"/>
        <w:ind w:firstLine="1995" w:firstLineChars="552"/>
        <w:rPr>
          <w:rFonts w:hint="eastAsia" w:ascii="宋体" w:hAnsi="宋体"/>
          <w:b/>
          <w:color w:val="auto"/>
          <w:sz w:val="36"/>
          <w:szCs w:val="36"/>
          <w:highlight w:val="none"/>
          <w:u w:val="single"/>
        </w:rPr>
      </w:pPr>
      <w:r>
        <w:rPr>
          <w:rFonts w:hint="eastAsia" w:ascii="宋体" w:hAnsi="宋体"/>
          <w:b/>
          <w:color w:val="auto"/>
          <w:sz w:val="36"/>
          <w:szCs w:val="36"/>
          <w:highlight w:val="none"/>
        </w:rPr>
        <w:t>采购人：</w:t>
      </w:r>
      <w:r>
        <w:rPr>
          <w:rFonts w:hint="eastAsia" w:ascii="宋体" w:hAnsi="宋体"/>
          <w:b/>
          <w:color w:val="auto"/>
          <w:sz w:val="36"/>
          <w:szCs w:val="36"/>
          <w:highlight w:val="none"/>
          <w:u w:val="single"/>
        </w:rPr>
        <w:t xml:space="preserve"> </w:t>
      </w:r>
      <w:r>
        <w:rPr>
          <w:rFonts w:hint="eastAsia" w:ascii="宋体" w:hAnsi="宋体"/>
          <w:b/>
          <w:color w:val="auto"/>
          <w:sz w:val="36"/>
          <w:szCs w:val="36"/>
          <w:highlight w:val="none"/>
          <w:u w:val="single"/>
          <w:lang w:eastAsia="zh-CN"/>
        </w:rPr>
        <w:t>南宁市西乡塘区农业农村局</w:t>
      </w:r>
    </w:p>
    <w:p>
      <w:pPr>
        <w:tabs>
          <w:tab w:val="left" w:pos="7380"/>
        </w:tabs>
        <w:spacing w:line="360" w:lineRule="auto"/>
        <w:ind w:firstLine="1995" w:firstLineChars="552"/>
        <w:rPr>
          <w:rFonts w:hint="eastAsia" w:ascii="宋体"/>
          <w:b/>
          <w:bCs/>
          <w:color w:val="auto"/>
          <w:sz w:val="44"/>
          <w:highlight w:val="none"/>
        </w:rPr>
      </w:pPr>
      <w:r>
        <w:rPr>
          <w:rFonts w:hint="eastAsia" w:ascii="宋体" w:hAnsi="宋体"/>
          <w:b/>
          <w:color w:val="auto"/>
          <w:sz w:val="36"/>
          <w:szCs w:val="36"/>
          <w:highlight w:val="none"/>
        </w:rPr>
        <w:t>中标供应商：</w:t>
      </w:r>
      <w:r>
        <w:rPr>
          <w:rFonts w:hint="eastAsia" w:ascii="宋体" w:hAnsi="宋体"/>
          <w:b/>
          <w:color w:val="auto"/>
          <w:sz w:val="36"/>
          <w:szCs w:val="36"/>
          <w:highlight w:val="none"/>
          <w:u w:val="single"/>
        </w:rPr>
        <w:t xml:space="preserve">                   </w:t>
      </w:r>
    </w:p>
    <w:p>
      <w:pPr>
        <w:tabs>
          <w:tab w:val="left" w:pos="7380"/>
        </w:tabs>
        <w:spacing w:line="360" w:lineRule="auto"/>
        <w:rPr>
          <w:rFonts w:hint="eastAsia" w:ascii="宋体"/>
          <w:b/>
          <w:bCs/>
          <w:color w:val="auto"/>
          <w:sz w:val="44"/>
          <w:highlight w:val="none"/>
        </w:rPr>
      </w:pPr>
    </w:p>
    <w:p>
      <w:pPr>
        <w:tabs>
          <w:tab w:val="left" w:pos="7380"/>
        </w:tabs>
        <w:spacing w:line="360" w:lineRule="auto"/>
        <w:ind w:firstLine="3360" w:firstLineChars="1400"/>
        <w:rPr>
          <w:rFonts w:hint="eastAsia" w:ascii="仿宋_GB2312" w:hAnsi="楷体" w:eastAsia="仿宋_GB2312"/>
          <w:color w:val="auto"/>
          <w:sz w:val="24"/>
          <w:highlight w:val="none"/>
          <w:lang w:val="zh-CN"/>
        </w:rPr>
      </w:pPr>
      <w:r>
        <w:rPr>
          <w:rFonts w:hint="eastAsia" w:ascii="仿宋_GB2312" w:hAnsi="楷体" w:eastAsia="仿宋_GB2312"/>
          <w:color w:val="auto"/>
          <w:sz w:val="24"/>
          <w:highlight w:val="none"/>
          <w:lang w:val="zh-CN"/>
        </w:rPr>
        <w:t>签订时间：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年</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月</w:t>
      </w:r>
      <w:r>
        <w:rPr>
          <w:rFonts w:hint="eastAsia" w:ascii="仿宋_GB2312" w:hAnsi="楷体" w:eastAsia="仿宋_GB2312"/>
          <w:color w:val="auto"/>
          <w:sz w:val="24"/>
          <w:highlight w:val="none"/>
          <w:u w:val="single"/>
          <w:lang w:val="zh-CN"/>
        </w:rPr>
        <w:t xml:space="preserve">    </w:t>
      </w:r>
      <w:r>
        <w:rPr>
          <w:rFonts w:hint="eastAsia" w:ascii="仿宋_GB2312" w:hAnsi="楷体" w:eastAsia="仿宋_GB2312"/>
          <w:color w:val="auto"/>
          <w:sz w:val="24"/>
          <w:highlight w:val="none"/>
          <w:lang w:val="zh-CN"/>
        </w:rPr>
        <w:t>日</w:t>
      </w:r>
    </w:p>
    <w:p>
      <w:pPr>
        <w:spacing w:line="480" w:lineRule="auto"/>
        <w:jc w:val="center"/>
        <w:rPr>
          <w:rFonts w:ascii="宋体" w:hAnsi="宋体" w:cs="宋体"/>
          <w:b/>
          <w:sz w:val="36"/>
          <w:szCs w:val="36"/>
        </w:rPr>
      </w:pPr>
      <w:r>
        <w:rPr>
          <w:rFonts w:hint="eastAsia" w:ascii="宋体"/>
          <w:b/>
          <w:bCs/>
          <w:color w:val="auto"/>
          <w:sz w:val="44"/>
          <w:highlight w:val="none"/>
        </w:rPr>
        <w:br w:type="page"/>
      </w:r>
      <w:r>
        <w:rPr>
          <w:rFonts w:hint="eastAsia" w:ascii="宋体" w:hAnsi="宋体" w:cs="宋体"/>
          <w:b/>
          <w:sz w:val="36"/>
          <w:szCs w:val="36"/>
        </w:rPr>
        <w:t>政府采购合同参考范本</w:t>
      </w:r>
    </w:p>
    <w:p>
      <w:pPr>
        <w:spacing w:line="480" w:lineRule="auto"/>
        <w:jc w:val="center"/>
        <w:rPr>
          <w:rFonts w:ascii="宋体" w:hAnsi="宋体" w:cs="宋体"/>
          <w:b/>
          <w:sz w:val="36"/>
          <w:szCs w:val="36"/>
        </w:rPr>
      </w:pPr>
      <w:r>
        <w:rPr>
          <w:rFonts w:hint="eastAsia" w:ascii="宋体" w:hAnsi="宋体" w:cs="宋体"/>
          <w:b/>
          <w:sz w:val="36"/>
          <w:szCs w:val="36"/>
        </w:rPr>
        <w:t>（服务类）</w:t>
      </w:r>
    </w:p>
    <w:p>
      <w:pPr>
        <w:pStyle w:val="33"/>
        <w:ind w:firstLine="2843" w:firstLineChars="1180"/>
        <w:rPr>
          <w:rFonts w:ascii="宋体" w:hAnsi="宋体" w:cs="宋体"/>
          <w:b/>
          <w:szCs w:val="24"/>
        </w:rPr>
      </w:pPr>
    </w:p>
    <w:p>
      <w:pPr>
        <w:pStyle w:val="11"/>
        <w:spacing w:after="120"/>
      </w:pPr>
    </w:p>
    <w:p>
      <w:pPr>
        <w:pStyle w:val="11"/>
        <w:spacing w:after="120"/>
      </w:pPr>
    </w:p>
    <w:p>
      <w:pPr>
        <w:adjustRightInd/>
        <w:spacing w:line="360" w:lineRule="auto"/>
        <w:ind w:left="1680" w:leftChars="800"/>
        <w:rPr>
          <w:sz w:val="32"/>
          <w:szCs w:val="32"/>
        </w:rPr>
      </w:pPr>
      <w:r>
        <w:rPr>
          <w:rFonts w:hint="eastAsia" w:ascii="宋体" w:hAnsi="宋体" w:cs="宋体"/>
          <w:kern w:val="0"/>
          <w:sz w:val="32"/>
          <w:szCs w:val="32"/>
        </w:rPr>
        <w:t>项目名称：</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合同编号：</w:t>
      </w:r>
      <w:r>
        <w:rPr>
          <w:sz w:val="32"/>
          <w:szCs w:val="32"/>
          <w:u w:val="single"/>
        </w:rPr>
        <w:t xml:space="preserve">                             </w:t>
      </w:r>
    </w:p>
    <w:p>
      <w:pPr>
        <w:adjustRightInd/>
        <w:spacing w:line="360" w:lineRule="auto"/>
        <w:ind w:left="1680" w:leftChars="800"/>
        <w:rPr>
          <w:sz w:val="32"/>
          <w:szCs w:val="32"/>
        </w:rPr>
      </w:pPr>
      <w:r>
        <w:rPr>
          <w:rFonts w:hint="eastAsia"/>
          <w:sz w:val="32"/>
          <w:szCs w:val="32"/>
        </w:rPr>
        <w:t>甲</w:t>
      </w:r>
      <w:r>
        <w:rPr>
          <w:sz w:val="32"/>
          <w:szCs w:val="32"/>
        </w:rPr>
        <w:t xml:space="preserve">    </w:t>
      </w:r>
      <w:r>
        <w:rPr>
          <w:rFonts w:hint="eastAsia"/>
          <w:sz w:val="32"/>
          <w:szCs w:val="32"/>
        </w:rPr>
        <w:t>方：</w:t>
      </w:r>
      <w:r>
        <w:rPr>
          <w:sz w:val="32"/>
          <w:szCs w:val="32"/>
          <w:u w:val="single"/>
        </w:rPr>
        <w:t xml:space="preserve">                             </w:t>
      </w:r>
    </w:p>
    <w:p>
      <w:pPr>
        <w:adjustRightInd/>
        <w:spacing w:line="360" w:lineRule="auto"/>
        <w:ind w:left="1680" w:leftChars="800"/>
        <w:rPr>
          <w:sz w:val="32"/>
          <w:szCs w:val="32"/>
          <w:u w:val="single"/>
        </w:rPr>
      </w:pPr>
      <w:r>
        <w:rPr>
          <w:rFonts w:hint="eastAsia"/>
          <w:sz w:val="32"/>
          <w:szCs w:val="32"/>
        </w:rPr>
        <w:t>乙</w:t>
      </w:r>
      <w:r>
        <w:rPr>
          <w:sz w:val="32"/>
          <w:szCs w:val="32"/>
        </w:rPr>
        <w:t xml:space="preserve">    </w:t>
      </w:r>
      <w:r>
        <w:rPr>
          <w:rFonts w:hint="eastAsia"/>
          <w:sz w:val="32"/>
          <w:szCs w:val="32"/>
        </w:rPr>
        <w:t>方：</w:t>
      </w:r>
      <w:r>
        <w:rPr>
          <w:sz w:val="32"/>
          <w:szCs w:val="32"/>
          <w:u w:val="single"/>
        </w:rPr>
        <w:t xml:space="preserve">                             </w:t>
      </w:r>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pStyle w:val="41"/>
      </w:pPr>
    </w:p>
    <w:p>
      <w:pPr>
        <w:spacing w:line="240" w:lineRule="auto"/>
        <w:jc w:val="left"/>
        <w:outlineLvl w:val="9"/>
        <w:rPr>
          <w:rFonts w:hint="eastAsia" w:ascii="宋体" w:hAnsi="宋体" w:eastAsia="宋体" w:cs="宋体"/>
          <w:b/>
          <w:sz w:val="21"/>
          <w:szCs w:val="21"/>
        </w:rPr>
      </w:pPr>
      <w:bookmarkStart w:id="135" w:name="_Toc22209"/>
      <w:r>
        <w:rPr>
          <w:rFonts w:hint="eastAsia" w:ascii="宋体" w:hAnsi="宋体" w:eastAsia="宋体" w:cs="宋体"/>
          <w:b/>
          <w:sz w:val="21"/>
          <w:szCs w:val="21"/>
        </w:rPr>
        <w:br w:type="page"/>
      </w:r>
    </w:p>
    <w:p>
      <w:pPr>
        <w:spacing w:line="360" w:lineRule="auto"/>
        <w:jc w:val="center"/>
        <w:outlineLvl w:val="1"/>
        <w:rPr>
          <w:rFonts w:hint="eastAsia" w:ascii="宋体" w:hAnsi="宋体" w:eastAsia="宋体" w:cs="宋体"/>
          <w:b/>
          <w:sz w:val="21"/>
          <w:szCs w:val="21"/>
        </w:rPr>
      </w:pPr>
      <w:r>
        <w:rPr>
          <w:rFonts w:hint="eastAsia" w:ascii="宋体" w:hAnsi="宋体" w:eastAsia="宋体" w:cs="宋体"/>
          <w:b/>
          <w:sz w:val="21"/>
          <w:szCs w:val="21"/>
        </w:rPr>
        <w:t>第一节 政府采购合同协议书</w:t>
      </w:r>
      <w:bookmarkEnd w:id="135"/>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年</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月</w:t>
      </w:r>
      <w:r>
        <w:rPr>
          <w:rFonts w:hint="eastAsia" w:ascii="宋体" w:hAnsi="宋体" w:eastAsia="宋体" w:cs="宋体"/>
          <w:sz w:val="21"/>
          <w:szCs w:val="21"/>
          <w:u w:val="single"/>
          <w:lang w:val="zh-CN"/>
        </w:rPr>
        <w:t xml:space="preserve">    </w:t>
      </w:r>
      <w:r>
        <w:rPr>
          <w:rFonts w:hint="eastAsia" w:ascii="宋体" w:hAnsi="宋体" w:eastAsia="宋体" w:cs="宋体"/>
          <w:sz w:val="21"/>
          <w:szCs w:val="21"/>
          <w:lang w:val="zh-CN"/>
        </w:rPr>
        <w:t>日</w:t>
      </w:r>
      <w:r>
        <w:rPr>
          <w:rFonts w:hint="eastAsia" w:ascii="宋体" w:hAnsi="宋体" w:eastAsia="宋体" w:cs="宋体"/>
          <w:sz w:val="21"/>
          <w:szCs w:val="21"/>
        </w:rPr>
        <w:t>，</w:t>
      </w:r>
      <w:r>
        <w:rPr>
          <w:rFonts w:hint="eastAsia" w:ascii="宋体" w:hAnsi="宋体" w:eastAsia="宋体" w:cs="宋体"/>
          <w:sz w:val="21"/>
          <w:szCs w:val="21"/>
          <w:u w:val="single"/>
        </w:rPr>
        <w:t xml:space="preserve">   （采购人）   </w:t>
      </w:r>
      <w:r>
        <w:rPr>
          <w:rFonts w:hint="eastAsia" w:ascii="宋体" w:hAnsi="宋体" w:eastAsia="宋体" w:cs="宋体"/>
          <w:sz w:val="21"/>
          <w:szCs w:val="21"/>
        </w:rPr>
        <w:t>以</w:t>
      </w:r>
      <w:r>
        <w:rPr>
          <w:rFonts w:hint="eastAsia" w:ascii="宋体" w:hAnsi="宋体" w:eastAsia="宋体" w:cs="宋体"/>
          <w:sz w:val="21"/>
          <w:szCs w:val="21"/>
          <w:u w:val="single"/>
        </w:rPr>
        <w:t xml:space="preserve">   （政府采购方式）  </w:t>
      </w:r>
      <w:r>
        <w:rPr>
          <w:rFonts w:hint="eastAsia" w:ascii="宋体" w:hAnsi="宋体" w:eastAsia="宋体" w:cs="宋体"/>
          <w:sz w:val="21"/>
          <w:szCs w:val="21"/>
        </w:rPr>
        <w:t>对</w:t>
      </w:r>
      <w:r>
        <w:rPr>
          <w:rFonts w:hint="eastAsia" w:ascii="宋体" w:hAnsi="宋体" w:eastAsia="宋体" w:cs="宋体"/>
          <w:sz w:val="21"/>
          <w:szCs w:val="21"/>
          <w:u w:val="single"/>
        </w:rPr>
        <w:t xml:space="preserve">  （项目名称）    </w:t>
      </w:r>
      <w:r>
        <w:rPr>
          <w:rFonts w:hint="eastAsia" w:ascii="宋体" w:hAnsi="宋体" w:eastAsia="宋体" w:cs="宋体"/>
          <w:sz w:val="21"/>
          <w:szCs w:val="21"/>
        </w:rPr>
        <w:t>项目进行了采购。经</w:t>
      </w:r>
      <w:r>
        <w:rPr>
          <w:rFonts w:hint="eastAsia" w:ascii="宋体" w:hAnsi="宋体" w:eastAsia="宋体" w:cs="宋体"/>
          <w:sz w:val="21"/>
          <w:szCs w:val="21"/>
          <w:u w:val="single"/>
        </w:rPr>
        <w:t xml:space="preserve">   （相关评定主体名称）   </w:t>
      </w:r>
      <w:r>
        <w:rPr>
          <w:rFonts w:hint="eastAsia" w:ascii="宋体" w:hAnsi="宋体" w:eastAsia="宋体" w:cs="宋体"/>
          <w:sz w:val="21"/>
          <w:szCs w:val="21"/>
        </w:rPr>
        <w:t>评定，</w:t>
      </w:r>
      <w:r>
        <w:rPr>
          <w:rFonts w:hint="eastAsia" w:ascii="宋体" w:hAnsi="宋体" w:eastAsia="宋体" w:cs="宋体"/>
          <w:sz w:val="21"/>
          <w:szCs w:val="21"/>
          <w:u w:val="single"/>
        </w:rPr>
        <w:t xml:space="preserve">   （成交供应商名称） </w:t>
      </w:r>
      <w:r>
        <w:rPr>
          <w:rFonts w:hint="eastAsia" w:ascii="宋体" w:hAnsi="宋体" w:eastAsia="宋体" w:cs="宋体"/>
          <w:sz w:val="21"/>
          <w:szCs w:val="21"/>
        </w:rPr>
        <w:t>为该项目成交供应商。现于成交通知书发出之日起</w:t>
      </w:r>
      <w:r>
        <w:rPr>
          <w:rFonts w:hint="eastAsia" w:ascii="宋体" w:hAnsi="宋体" w:eastAsia="宋体" w:cs="宋体"/>
          <w:sz w:val="21"/>
          <w:szCs w:val="21"/>
          <w:u w:val="single"/>
        </w:rPr>
        <w:t>5</w:t>
      </w:r>
      <w:r>
        <w:rPr>
          <w:rFonts w:hint="eastAsia" w:ascii="宋体" w:hAnsi="宋体" w:eastAsia="宋体" w:cs="宋体"/>
          <w:sz w:val="21"/>
          <w:szCs w:val="21"/>
        </w:rPr>
        <w:t>个工作日内，按照采购文件确定的事项签订本合同。</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zh-CN"/>
        </w:rPr>
        <w:t>根据《中华人民共和国民法典》《中华人民共和国政府采购法》等相关法律法规之规定，按照平等、自愿、公平和诚实信用的原则，经</w:t>
      </w:r>
      <w:r>
        <w:rPr>
          <w:rFonts w:hint="eastAsia" w:ascii="宋体" w:hAnsi="宋体" w:eastAsia="宋体" w:cs="宋体"/>
          <w:sz w:val="21"/>
          <w:szCs w:val="21"/>
          <w:u w:val="single"/>
        </w:rPr>
        <w:t xml:space="preserve">   （采购人）   </w:t>
      </w:r>
      <w:r>
        <w:rPr>
          <w:rFonts w:hint="eastAsia" w:ascii="宋体" w:hAnsi="宋体" w:eastAsia="宋体" w:cs="宋体"/>
          <w:sz w:val="21"/>
          <w:szCs w:val="21"/>
          <w:lang w:val="zh-CN"/>
        </w:rPr>
        <w:t>(以下简称：甲方)和</w:t>
      </w:r>
      <w:r>
        <w:rPr>
          <w:rFonts w:hint="eastAsia" w:ascii="宋体" w:hAnsi="宋体" w:eastAsia="宋体" w:cs="宋体"/>
          <w:sz w:val="21"/>
          <w:szCs w:val="21"/>
          <w:u w:val="single"/>
        </w:rPr>
        <w:t xml:space="preserve">   （成交标供应商名称）   </w:t>
      </w:r>
      <w:r>
        <w:rPr>
          <w:rFonts w:hint="eastAsia" w:ascii="宋体" w:hAnsi="宋体" w:eastAsia="宋体" w:cs="宋体"/>
          <w:sz w:val="21"/>
          <w:szCs w:val="21"/>
          <w:lang w:val="zh-CN"/>
        </w:rPr>
        <w:t>(以下简称：乙方)协商一致，约定以下合同</w:t>
      </w:r>
      <w:r>
        <w:rPr>
          <w:rFonts w:hint="eastAsia" w:ascii="宋体" w:hAnsi="宋体" w:eastAsia="宋体" w:cs="宋体"/>
          <w:sz w:val="21"/>
          <w:szCs w:val="21"/>
        </w:rPr>
        <w:t>条款，以兹共同遵守、全面履行。</w:t>
      </w:r>
    </w:p>
    <w:p>
      <w:pPr>
        <w:spacing w:line="336" w:lineRule="auto"/>
        <w:ind w:firstLine="422" w:firstLineChars="200"/>
        <w:rPr>
          <w:rFonts w:hint="eastAsia" w:ascii="宋体" w:hAnsi="宋体" w:eastAsia="宋体" w:cs="宋体"/>
          <w:sz w:val="21"/>
          <w:szCs w:val="21"/>
        </w:rPr>
      </w:pPr>
      <w:bookmarkStart w:id="136" w:name="_Toc19273"/>
      <w:bookmarkStart w:id="137" w:name="_Toc28855"/>
      <w:bookmarkStart w:id="138" w:name="_Toc15367"/>
      <w:bookmarkStart w:id="139" w:name="_Toc20421"/>
      <w:bookmarkStart w:id="140" w:name="_Toc22967"/>
      <w:r>
        <w:rPr>
          <w:rFonts w:hint="eastAsia" w:ascii="宋体" w:hAnsi="宋体" w:eastAsia="宋体" w:cs="宋体"/>
          <w:b/>
          <w:sz w:val="21"/>
          <w:szCs w:val="21"/>
        </w:rPr>
        <w:t>1.1 合同组成部分</w:t>
      </w:r>
      <w:bookmarkEnd w:id="136"/>
      <w:bookmarkEnd w:id="137"/>
      <w:bookmarkEnd w:id="138"/>
      <w:bookmarkEnd w:id="139"/>
      <w:bookmarkEnd w:id="140"/>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1.1.1 本合同及其补充合同、变更协议；</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1.1.2 中标或者成交通知书；</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1.1.3 投标或者响应文件（含澄清或者说明文件）；</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1.1.4 采购文件（含澄清或者修改文件）；</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1.1.5 其他相关采购文件。</w:t>
      </w:r>
    </w:p>
    <w:p>
      <w:pPr>
        <w:spacing w:line="336" w:lineRule="auto"/>
        <w:ind w:firstLine="422" w:firstLineChars="200"/>
        <w:rPr>
          <w:rFonts w:hint="eastAsia" w:ascii="宋体" w:hAnsi="宋体" w:eastAsia="宋体" w:cs="宋体"/>
          <w:b/>
          <w:sz w:val="21"/>
          <w:szCs w:val="21"/>
        </w:rPr>
      </w:pPr>
      <w:bookmarkStart w:id="141" w:name="_Toc6773"/>
      <w:bookmarkStart w:id="142" w:name="_Toc2918"/>
      <w:bookmarkStart w:id="143" w:name="_Toc22185"/>
      <w:bookmarkStart w:id="144" w:name="_Toc6311"/>
      <w:bookmarkStart w:id="145" w:name="_Toc18585"/>
      <w:r>
        <w:rPr>
          <w:rFonts w:hint="eastAsia" w:ascii="宋体" w:hAnsi="宋体" w:eastAsia="宋体" w:cs="宋体"/>
          <w:b/>
          <w:sz w:val="21"/>
          <w:szCs w:val="21"/>
        </w:rPr>
        <w:t>1.2 标的</w:t>
      </w:r>
      <w:bookmarkEnd w:id="141"/>
      <w:bookmarkEnd w:id="142"/>
      <w:bookmarkEnd w:id="143"/>
      <w:bookmarkEnd w:id="144"/>
      <w:bookmarkEnd w:id="145"/>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1.2.1 服务内容：</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1.2.2 服务标准：</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1.2.3 技术保障：</w:t>
      </w:r>
      <w:r>
        <w:rPr>
          <w:rFonts w:hint="eastAsia" w:ascii="宋体" w:hAnsi="宋体" w:eastAsia="宋体" w:cs="宋体"/>
          <w:sz w:val="21"/>
          <w:szCs w:val="21"/>
          <w:u w:val="single"/>
        </w:rPr>
        <w:t xml:space="preserve">                                   ；</w:t>
      </w:r>
    </w:p>
    <w:p>
      <w:pPr>
        <w:spacing w:line="336" w:lineRule="auto"/>
        <w:ind w:firstLine="420" w:firstLineChars="200"/>
        <w:jc w:val="left"/>
        <w:rPr>
          <w:rFonts w:hint="eastAsia" w:ascii="宋体" w:hAnsi="宋体" w:eastAsia="宋体" w:cs="宋体"/>
          <w:sz w:val="21"/>
          <w:szCs w:val="21"/>
        </w:rPr>
      </w:pPr>
      <w:r>
        <w:rPr>
          <w:rFonts w:hint="eastAsia" w:ascii="宋体" w:hAnsi="宋体" w:eastAsia="宋体" w:cs="宋体"/>
          <w:sz w:val="21"/>
          <w:szCs w:val="21"/>
        </w:rPr>
        <w:t>1.2.4 服务人员组成：</w:t>
      </w:r>
      <w:r>
        <w:rPr>
          <w:rFonts w:hint="eastAsia" w:ascii="宋体" w:hAnsi="宋体" w:eastAsia="宋体" w:cs="宋体"/>
          <w:sz w:val="21"/>
          <w:szCs w:val="21"/>
          <w:u w:val="single"/>
        </w:rPr>
        <w:t xml:space="preserve">　详见响应文件  </w:t>
      </w:r>
      <w:r>
        <w:rPr>
          <w:rFonts w:hint="eastAsia" w:ascii="宋体" w:hAnsi="宋体" w:eastAsia="宋体" w:cs="宋体"/>
          <w:sz w:val="21"/>
          <w:szCs w:val="21"/>
        </w:rPr>
        <w:t>；</w:t>
      </w:r>
    </w:p>
    <w:p>
      <w:pPr>
        <w:pStyle w:val="42"/>
        <w:spacing w:before="0" w:beforeAutospacing="0" w:after="0" w:afterAutospacing="0" w:line="336" w:lineRule="auto"/>
        <w:ind w:firstLine="480"/>
        <w:rPr>
          <w:rFonts w:hint="eastAsia" w:eastAsia="宋体"/>
          <w:sz w:val="21"/>
          <w:szCs w:val="21"/>
        </w:rPr>
      </w:pPr>
      <w:r>
        <w:rPr>
          <w:rFonts w:hint="eastAsia" w:eastAsia="宋体"/>
          <w:sz w:val="21"/>
          <w:szCs w:val="21"/>
        </w:rPr>
        <w:t>1.2.5合同</w:t>
      </w:r>
      <w:r>
        <w:rPr>
          <w:rFonts w:hint="eastAsia" w:eastAsia="宋体"/>
          <w:sz w:val="21"/>
          <w:szCs w:val="21"/>
          <w:u w:val="single"/>
        </w:rPr>
        <w:t xml:space="preserve">  否  </w:t>
      </w:r>
      <w:r>
        <w:rPr>
          <w:rFonts w:hint="eastAsia" w:eastAsia="宋体"/>
          <w:sz w:val="21"/>
          <w:szCs w:val="21"/>
        </w:rPr>
        <w:t>（是</w:t>
      </w:r>
      <w:r>
        <w:rPr>
          <w:rFonts w:hint="eastAsia" w:ascii="宋体" w:hAnsi="宋体" w:eastAsia="宋体" w:cs="宋体"/>
          <w:sz w:val="21"/>
          <w:szCs w:val="21"/>
        </w:rPr>
        <w:t>/</w:t>
      </w:r>
      <w:r>
        <w:rPr>
          <w:rFonts w:hint="eastAsia" w:eastAsia="宋体"/>
          <w:sz w:val="21"/>
          <w:szCs w:val="21"/>
        </w:rPr>
        <w:t>否）涉及货物。若涉及货物的，则：</w:t>
      </w:r>
    </w:p>
    <w:p>
      <w:pPr>
        <w:spacing w:line="336" w:lineRule="auto"/>
        <w:ind w:firstLine="420" w:firstLineChars="200"/>
        <w:rPr>
          <w:rFonts w:hint="eastAsia" w:ascii="宋体" w:hAnsi="宋体" w:eastAsia="宋体" w:cs="宋体"/>
          <w:sz w:val="21"/>
          <w:szCs w:val="21"/>
          <w:u w:val="single"/>
        </w:rPr>
      </w:pPr>
      <w:bookmarkStart w:id="146" w:name="_Toc5635"/>
      <w:bookmarkStart w:id="147" w:name="_Toc13918"/>
      <w:bookmarkStart w:id="148" w:name="_Toc1386"/>
      <w:bookmarkStart w:id="149" w:name="_Toc4929"/>
      <w:bookmarkStart w:id="150" w:name="_Toc21124"/>
      <w:r>
        <w:rPr>
          <w:rFonts w:hint="eastAsia" w:ascii="宋体" w:hAnsi="宋体" w:eastAsia="宋体" w:cs="宋体"/>
          <w:sz w:val="21"/>
          <w:szCs w:val="21"/>
        </w:rPr>
        <w:t>1.2.5.1 货物名称、品牌、规格型号、花色：</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1.2.5.2 货物数量：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1.2.5.3 货物质量：</w:t>
      </w:r>
      <w:r>
        <w:rPr>
          <w:rFonts w:hint="eastAsia" w:ascii="宋体" w:hAnsi="宋体" w:eastAsia="宋体" w:cs="宋体"/>
          <w:sz w:val="21"/>
          <w:szCs w:val="21"/>
          <w:u w:val="single"/>
        </w:rPr>
        <w:t xml:space="preserve">　　　　/               　 </w:t>
      </w:r>
      <w:r>
        <w:rPr>
          <w:rFonts w:hint="eastAsia" w:ascii="宋体" w:hAnsi="宋体" w:eastAsia="宋体" w:cs="宋体"/>
          <w:sz w:val="21"/>
          <w:szCs w:val="21"/>
        </w:rPr>
        <w:t>；</w:t>
      </w:r>
    </w:p>
    <w:p>
      <w:pPr>
        <w:spacing w:line="336"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1.3 价款</w:t>
      </w:r>
      <w:bookmarkEnd w:id="146"/>
      <w:bookmarkEnd w:id="147"/>
      <w:bookmarkEnd w:id="148"/>
      <w:bookmarkEnd w:id="149"/>
      <w:bookmarkEnd w:id="150"/>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本项目采用以下第</w:t>
      </w:r>
      <w:r>
        <w:rPr>
          <w:rFonts w:hint="eastAsia" w:ascii="宋体" w:hAnsi="宋体" w:eastAsia="宋体" w:cs="宋体"/>
          <w:sz w:val="21"/>
          <w:szCs w:val="21"/>
          <w:u w:val="single"/>
        </w:rPr>
        <w:t xml:space="preserve"> 1.3.1  </w:t>
      </w:r>
      <w:r>
        <w:rPr>
          <w:rFonts w:hint="eastAsia" w:ascii="宋体" w:hAnsi="宋体" w:eastAsia="宋体" w:cs="宋体"/>
          <w:sz w:val="21"/>
          <w:szCs w:val="21"/>
        </w:rPr>
        <w:t>条款规定的计价方式计价。</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1.3.1总价合同，本合同总价（含税）为：￥</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rPr>
        <w:t>元人民币）。</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分项价格：</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336" w:lineRule="auto"/>
              <w:jc w:val="center"/>
              <w:rPr>
                <w:rFonts w:hint="eastAsia" w:hAnsi="宋体" w:eastAsia="宋体" w:cs="宋体"/>
                <w:sz w:val="21"/>
                <w:szCs w:val="21"/>
              </w:rPr>
            </w:pPr>
            <w:r>
              <w:rPr>
                <w:rFonts w:hint="eastAsia" w:hAnsi="宋体" w:eastAsia="宋体" w:cs="宋体"/>
                <w:sz w:val="21"/>
                <w:szCs w:val="21"/>
              </w:rPr>
              <w:t>序号</w:t>
            </w:r>
          </w:p>
        </w:tc>
        <w:tc>
          <w:tcPr>
            <w:tcW w:w="3402" w:type="dxa"/>
            <w:vAlign w:val="center"/>
          </w:tcPr>
          <w:p>
            <w:pPr>
              <w:pStyle w:val="43"/>
              <w:spacing w:line="336" w:lineRule="auto"/>
              <w:ind w:firstLine="200"/>
              <w:jc w:val="center"/>
              <w:rPr>
                <w:rFonts w:hint="eastAsia" w:hAnsi="宋体" w:eastAsia="宋体" w:cs="宋体"/>
                <w:sz w:val="21"/>
                <w:szCs w:val="21"/>
              </w:rPr>
            </w:pPr>
            <w:r>
              <w:rPr>
                <w:rFonts w:hint="eastAsia" w:hAnsi="宋体" w:eastAsia="宋体" w:cs="宋体"/>
                <w:sz w:val="21"/>
                <w:szCs w:val="21"/>
              </w:rPr>
              <w:t>分项名称</w:t>
            </w:r>
          </w:p>
        </w:tc>
        <w:tc>
          <w:tcPr>
            <w:tcW w:w="2552" w:type="dxa"/>
            <w:vAlign w:val="center"/>
          </w:tcPr>
          <w:p>
            <w:pPr>
              <w:pStyle w:val="43"/>
              <w:spacing w:line="336" w:lineRule="auto"/>
              <w:jc w:val="center"/>
              <w:rPr>
                <w:rFonts w:hint="eastAsia" w:hAnsi="宋体" w:eastAsia="宋体" w:cs="宋体"/>
                <w:sz w:val="21"/>
                <w:szCs w:val="21"/>
              </w:rPr>
            </w:pPr>
            <w:r>
              <w:rPr>
                <w:rFonts w:hint="eastAsia" w:hAnsi="宋体" w:eastAsia="宋体" w:cs="宋体"/>
                <w:sz w:val="21"/>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336" w:lineRule="auto"/>
              <w:ind w:firstLine="200"/>
              <w:jc w:val="center"/>
              <w:rPr>
                <w:rFonts w:hint="eastAsia" w:hAnsi="宋体" w:eastAsia="宋体" w:cs="宋体"/>
                <w:sz w:val="21"/>
                <w:szCs w:val="21"/>
              </w:rPr>
            </w:pPr>
            <w:r>
              <w:rPr>
                <w:rFonts w:hint="eastAsia" w:hAnsi="宋体" w:eastAsia="宋体" w:cs="宋体"/>
                <w:sz w:val="21"/>
                <w:szCs w:val="21"/>
              </w:rPr>
              <w:t>1</w:t>
            </w:r>
          </w:p>
        </w:tc>
        <w:tc>
          <w:tcPr>
            <w:tcW w:w="3402" w:type="dxa"/>
            <w:vAlign w:val="center"/>
          </w:tcPr>
          <w:p>
            <w:pPr>
              <w:pStyle w:val="43"/>
              <w:spacing w:line="336" w:lineRule="auto"/>
              <w:ind w:firstLine="200"/>
              <w:jc w:val="center"/>
              <w:rPr>
                <w:rFonts w:hint="eastAsia" w:hAnsi="宋体" w:eastAsia="宋体" w:cs="宋体"/>
                <w:sz w:val="21"/>
                <w:szCs w:val="21"/>
              </w:rPr>
            </w:pPr>
            <w:r>
              <w:rPr>
                <w:rFonts w:hint="eastAsia" w:hAnsi="宋体" w:eastAsia="宋体" w:cs="宋体"/>
                <w:sz w:val="21"/>
                <w:szCs w:val="21"/>
              </w:rPr>
              <w:t>工程数量复核</w:t>
            </w:r>
          </w:p>
        </w:tc>
        <w:tc>
          <w:tcPr>
            <w:tcW w:w="2552" w:type="dxa"/>
            <w:vAlign w:val="center"/>
          </w:tcPr>
          <w:p>
            <w:pPr>
              <w:pStyle w:val="43"/>
              <w:spacing w:line="336" w:lineRule="auto"/>
              <w:ind w:firstLine="200"/>
              <w:jc w:val="center"/>
              <w:rPr>
                <w:rFonts w:hint="eastAsia"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336" w:lineRule="auto"/>
              <w:ind w:firstLine="200"/>
              <w:jc w:val="center"/>
              <w:rPr>
                <w:rFonts w:hint="eastAsia" w:hAnsi="宋体" w:eastAsia="宋体" w:cs="宋体"/>
                <w:sz w:val="21"/>
                <w:szCs w:val="21"/>
              </w:rPr>
            </w:pPr>
            <w:r>
              <w:rPr>
                <w:rFonts w:hint="eastAsia" w:hAnsi="宋体" w:eastAsia="宋体" w:cs="宋体"/>
                <w:sz w:val="21"/>
                <w:szCs w:val="21"/>
              </w:rPr>
              <w:t>2</w:t>
            </w:r>
          </w:p>
        </w:tc>
        <w:tc>
          <w:tcPr>
            <w:tcW w:w="3402" w:type="dxa"/>
            <w:vAlign w:val="center"/>
          </w:tcPr>
          <w:p>
            <w:pPr>
              <w:spacing w:line="336" w:lineRule="auto"/>
              <w:ind w:firstLine="200"/>
              <w:jc w:val="center"/>
              <w:rPr>
                <w:rFonts w:hint="eastAsia" w:ascii="宋体" w:hAnsi="宋体" w:eastAsia="宋体" w:cs="宋体"/>
                <w:sz w:val="21"/>
                <w:szCs w:val="21"/>
              </w:rPr>
            </w:pPr>
            <w:r>
              <w:rPr>
                <w:rFonts w:hint="eastAsia" w:ascii="宋体" w:hAnsi="宋体" w:eastAsia="宋体" w:cs="宋体"/>
                <w:sz w:val="21"/>
                <w:szCs w:val="21"/>
              </w:rPr>
              <w:t>工程质量检测</w:t>
            </w:r>
          </w:p>
        </w:tc>
        <w:tc>
          <w:tcPr>
            <w:tcW w:w="2552" w:type="dxa"/>
            <w:vAlign w:val="center"/>
          </w:tcPr>
          <w:p>
            <w:pPr>
              <w:pStyle w:val="43"/>
              <w:spacing w:line="336" w:lineRule="auto"/>
              <w:ind w:firstLine="200"/>
              <w:jc w:val="center"/>
              <w:rPr>
                <w:rFonts w:hint="eastAsia"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336" w:lineRule="auto"/>
              <w:ind w:firstLine="200"/>
              <w:jc w:val="center"/>
              <w:rPr>
                <w:rFonts w:hint="eastAsia" w:hAnsi="宋体" w:eastAsia="宋体" w:cs="宋体"/>
                <w:sz w:val="21"/>
                <w:szCs w:val="21"/>
              </w:rPr>
            </w:pPr>
            <w:r>
              <w:rPr>
                <w:rFonts w:hint="eastAsia" w:hAnsi="宋体" w:eastAsia="宋体" w:cs="宋体"/>
                <w:sz w:val="21"/>
                <w:szCs w:val="21"/>
              </w:rPr>
              <w:t>3</w:t>
            </w:r>
          </w:p>
        </w:tc>
        <w:tc>
          <w:tcPr>
            <w:tcW w:w="3402" w:type="dxa"/>
            <w:vAlign w:val="center"/>
          </w:tcPr>
          <w:p>
            <w:pPr>
              <w:spacing w:line="336" w:lineRule="auto"/>
              <w:ind w:firstLine="200"/>
              <w:jc w:val="center"/>
              <w:rPr>
                <w:rFonts w:hint="eastAsia" w:ascii="宋体" w:hAnsi="宋体" w:eastAsia="宋体" w:cs="宋体"/>
                <w:sz w:val="21"/>
                <w:szCs w:val="21"/>
              </w:rPr>
            </w:pPr>
            <w:r>
              <w:rPr>
                <w:rFonts w:hint="eastAsia" w:ascii="宋体" w:hAnsi="宋体" w:eastAsia="宋体" w:cs="宋体"/>
                <w:sz w:val="21"/>
                <w:szCs w:val="21"/>
              </w:rPr>
              <w:t>工程项目验收</w:t>
            </w:r>
          </w:p>
        </w:tc>
        <w:tc>
          <w:tcPr>
            <w:tcW w:w="2552" w:type="dxa"/>
            <w:vAlign w:val="center"/>
          </w:tcPr>
          <w:p>
            <w:pPr>
              <w:pStyle w:val="43"/>
              <w:spacing w:line="336" w:lineRule="auto"/>
              <w:ind w:firstLine="200"/>
              <w:jc w:val="center"/>
              <w:rPr>
                <w:rFonts w:hint="eastAsia"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pPr>
              <w:pStyle w:val="43"/>
              <w:spacing w:line="336" w:lineRule="auto"/>
              <w:ind w:firstLine="200"/>
              <w:jc w:val="center"/>
              <w:rPr>
                <w:rFonts w:hint="eastAsia" w:hAnsi="宋体" w:eastAsia="宋体" w:cs="宋体"/>
                <w:sz w:val="21"/>
                <w:szCs w:val="21"/>
              </w:rPr>
            </w:pPr>
          </w:p>
        </w:tc>
        <w:tc>
          <w:tcPr>
            <w:tcW w:w="3402" w:type="dxa"/>
            <w:vAlign w:val="center"/>
          </w:tcPr>
          <w:p>
            <w:pPr>
              <w:pStyle w:val="43"/>
              <w:spacing w:line="336" w:lineRule="auto"/>
              <w:ind w:firstLine="200"/>
              <w:jc w:val="center"/>
              <w:rPr>
                <w:rFonts w:hint="eastAsia" w:hAnsi="宋体" w:eastAsia="宋体" w:cs="宋体"/>
                <w:sz w:val="21"/>
                <w:szCs w:val="21"/>
              </w:rPr>
            </w:pPr>
          </w:p>
        </w:tc>
        <w:tc>
          <w:tcPr>
            <w:tcW w:w="2552" w:type="dxa"/>
            <w:vAlign w:val="center"/>
          </w:tcPr>
          <w:p>
            <w:pPr>
              <w:pStyle w:val="43"/>
              <w:spacing w:line="336" w:lineRule="auto"/>
              <w:ind w:firstLine="200"/>
              <w:jc w:val="center"/>
              <w:rPr>
                <w:rFonts w:hint="eastAsia"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pPr>
              <w:pStyle w:val="43"/>
              <w:spacing w:line="336" w:lineRule="auto"/>
              <w:ind w:firstLine="200"/>
              <w:jc w:val="center"/>
              <w:rPr>
                <w:rFonts w:hint="eastAsia" w:hAnsi="宋体" w:eastAsia="宋体" w:cs="宋体"/>
                <w:sz w:val="21"/>
                <w:szCs w:val="21"/>
              </w:rPr>
            </w:pPr>
            <w:r>
              <w:rPr>
                <w:rFonts w:hint="eastAsia" w:hAnsi="宋体" w:eastAsia="宋体" w:cs="宋体"/>
                <w:sz w:val="21"/>
                <w:szCs w:val="21"/>
              </w:rPr>
              <w:t>总价</w:t>
            </w:r>
          </w:p>
        </w:tc>
        <w:tc>
          <w:tcPr>
            <w:tcW w:w="2552" w:type="dxa"/>
            <w:vAlign w:val="center"/>
          </w:tcPr>
          <w:p>
            <w:pPr>
              <w:pStyle w:val="43"/>
              <w:spacing w:line="336" w:lineRule="auto"/>
              <w:ind w:firstLine="200"/>
              <w:jc w:val="center"/>
              <w:rPr>
                <w:rFonts w:hint="eastAsia" w:hAnsi="宋体" w:eastAsia="宋体" w:cs="宋体"/>
                <w:sz w:val="21"/>
                <w:szCs w:val="21"/>
              </w:rPr>
            </w:pPr>
          </w:p>
        </w:tc>
      </w:tr>
    </w:tbl>
    <w:p>
      <w:pPr>
        <w:spacing w:line="336" w:lineRule="auto"/>
        <w:ind w:firstLine="420" w:firstLineChars="200"/>
        <w:rPr>
          <w:rFonts w:hint="eastAsia" w:ascii="宋体" w:hAnsi="宋体" w:eastAsia="宋体" w:cs="宋体"/>
          <w:bCs/>
          <w:sz w:val="21"/>
          <w:szCs w:val="21"/>
        </w:rPr>
      </w:pPr>
      <w:bookmarkStart w:id="151" w:name="_Toc30506"/>
      <w:bookmarkStart w:id="152" w:name="_Toc3654"/>
      <w:bookmarkStart w:id="153" w:name="_Toc30158"/>
      <w:bookmarkStart w:id="154" w:name="_Toc14993"/>
      <w:bookmarkStart w:id="155" w:name="_Toc26916"/>
    </w:p>
    <w:p>
      <w:pPr>
        <w:spacing w:line="336" w:lineRule="auto"/>
        <w:ind w:firstLine="420" w:firstLineChars="200"/>
        <w:rPr>
          <w:rFonts w:hint="eastAsia" w:ascii="宋体" w:hAnsi="宋体" w:eastAsia="宋体" w:cs="宋体"/>
          <w:sz w:val="21"/>
          <w:szCs w:val="21"/>
        </w:rPr>
      </w:pPr>
      <w:r>
        <w:rPr>
          <w:rFonts w:hint="eastAsia" w:ascii="宋体" w:hAnsi="宋体" w:eastAsia="宋体" w:cs="宋体"/>
          <w:bCs/>
          <w:sz w:val="21"/>
          <w:szCs w:val="21"/>
        </w:rPr>
        <w:t>1.3.2单价合同，本合同单价（含税）标准为：</w:t>
      </w:r>
      <w:r>
        <w:rPr>
          <w:rFonts w:hint="eastAsia" w:ascii="宋体" w:hAnsi="宋体" w:eastAsia="宋体" w:cs="宋体"/>
          <w:bCs/>
          <w:sz w:val="21"/>
          <w:szCs w:val="21"/>
          <w:u w:val="single"/>
        </w:rPr>
        <w:t xml:space="preserve">                   </w:t>
      </w:r>
      <w:r>
        <w:rPr>
          <w:rFonts w:hint="eastAsia" w:ascii="宋体" w:hAnsi="宋体" w:eastAsia="宋体" w:cs="宋体"/>
          <w:sz w:val="21"/>
          <w:szCs w:val="21"/>
        </w:rPr>
        <w:t>。服务工作量的计量方式为：</w:t>
      </w:r>
      <w:r>
        <w:rPr>
          <w:rFonts w:hint="eastAsia" w:ascii="宋体" w:hAnsi="宋体" w:eastAsia="宋体" w:cs="宋体"/>
          <w:bCs/>
          <w:sz w:val="21"/>
          <w:szCs w:val="21"/>
          <w:u w:val="single"/>
        </w:rPr>
        <w:t xml:space="preserve">       </w:t>
      </w:r>
      <w:r>
        <w:rPr>
          <w:rFonts w:hint="eastAsia" w:ascii="宋体" w:hAnsi="宋体" w:eastAsia="宋体" w:cs="宋体"/>
          <w:b/>
          <w:sz w:val="21"/>
          <w:szCs w:val="21"/>
          <w:u w:val="single"/>
        </w:rPr>
        <w:t xml:space="preserve">    </w:t>
      </w:r>
      <w:r>
        <w:rPr>
          <w:rFonts w:hint="eastAsia" w:ascii="宋体" w:hAnsi="宋体" w:eastAsia="宋体" w:cs="宋体"/>
          <w:bCs/>
          <w:sz w:val="21"/>
          <w:szCs w:val="21"/>
          <w:u w:val="single"/>
        </w:rPr>
        <w:t xml:space="preserve">     </w:t>
      </w:r>
      <w:r>
        <w:rPr>
          <w:rFonts w:hint="eastAsia" w:ascii="宋体" w:hAnsi="宋体" w:eastAsia="宋体" w:cs="宋体"/>
          <w:sz w:val="21"/>
          <w:szCs w:val="21"/>
        </w:rPr>
        <w:t>。单价合同，在合同履行期间内，根据实际完成的工作量据实结算，但结算总价上限不得超过预算金额或者双方确定的金额￥</w:t>
      </w:r>
      <w:r>
        <w:rPr>
          <w:rFonts w:hint="eastAsia" w:ascii="宋体" w:hAnsi="宋体" w:eastAsia="宋体" w:cs="宋体"/>
          <w:sz w:val="21"/>
          <w:szCs w:val="21"/>
          <w:u w:val="single"/>
        </w:rPr>
        <w:t xml:space="preserve">           </w:t>
      </w:r>
      <w:r>
        <w:rPr>
          <w:rFonts w:hint="eastAsia" w:ascii="宋体" w:hAnsi="宋体" w:eastAsia="宋体" w:cs="宋体"/>
          <w:sz w:val="21"/>
          <w:szCs w:val="21"/>
        </w:rPr>
        <w:t>元（大写：</w:t>
      </w:r>
      <w:r>
        <w:rPr>
          <w:rFonts w:hint="eastAsia" w:ascii="宋体" w:hAnsi="宋体" w:eastAsia="宋体" w:cs="宋体"/>
          <w:sz w:val="21"/>
          <w:szCs w:val="21"/>
          <w:u w:val="single"/>
        </w:rPr>
        <w:t xml:space="preserve">                 </w:t>
      </w:r>
      <w:r>
        <w:rPr>
          <w:rFonts w:hint="eastAsia" w:ascii="宋体" w:hAnsi="宋体" w:eastAsia="宋体" w:cs="宋体"/>
          <w:sz w:val="21"/>
          <w:szCs w:val="21"/>
        </w:rPr>
        <w:t>元人民币）。</w:t>
      </w:r>
    </w:p>
    <w:p>
      <w:pPr>
        <w:pStyle w:val="41"/>
        <w:spacing w:line="336" w:lineRule="auto"/>
        <w:rPr>
          <w:rFonts w:hint="eastAsia" w:eastAsia="宋体" w:cs="宋体"/>
          <w:sz w:val="21"/>
          <w:szCs w:val="21"/>
        </w:rPr>
      </w:pPr>
      <w:r>
        <w:rPr>
          <w:rFonts w:hint="eastAsia" w:eastAsia="宋体" w:cs="宋体"/>
          <w:sz w:val="21"/>
          <w:szCs w:val="21"/>
        </w:rPr>
        <w:t>1.3.3其他计价方式：</w:t>
      </w:r>
      <w:r>
        <w:rPr>
          <w:rFonts w:hint="eastAsia" w:eastAsia="宋体" w:cs="宋体"/>
          <w:sz w:val="21"/>
          <w:szCs w:val="21"/>
          <w:u w:val="single"/>
        </w:rPr>
        <w:t xml:space="preserve">                  </w:t>
      </w:r>
      <w:r>
        <w:rPr>
          <w:rFonts w:hint="eastAsia" w:eastAsia="宋体" w:cs="宋体"/>
          <w:sz w:val="21"/>
          <w:szCs w:val="21"/>
        </w:rPr>
        <w:t xml:space="preserve"> 。</w:t>
      </w:r>
    </w:p>
    <w:bookmarkEnd w:id="151"/>
    <w:bookmarkEnd w:id="152"/>
    <w:bookmarkEnd w:id="153"/>
    <w:bookmarkEnd w:id="154"/>
    <w:bookmarkEnd w:id="155"/>
    <w:p>
      <w:pPr>
        <w:pStyle w:val="42"/>
        <w:spacing w:before="0" w:beforeAutospacing="0" w:after="0" w:afterAutospacing="0" w:line="336" w:lineRule="auto"/>
        <w:ind w:firstLine="480"/>
        <w:rPr>
          <w:rFonts w:hint="eastAsia" w:eastAsia="宋体"/>
          <w:b/>
          <w:sz w:val="21"/>
          <w:szCs w:val="21"/>
        </w:rPr>
      </w:pPr>
      <w:bookmarkStart w:id="156" w:name="_Toc10340"/>
      <w:bookmarkStart w:id="157" w:name="_Toc1814"/>
      <w:bookmarkStart w:id="158" w:name="_Toc22618"/>
      <w:bookmarkStart w:id="159" w:name="_Toc31421"/>
      <w:bookmarkStart w:id="160" w:name="_Toc11108"/>
      <w:bookmarkStart w:id="161" w:name="_Toc3625"/>
      <w:bookmarkStart w:id="162" w:name="_Toc4760"/>
      <w:bookmarkStart w:id="163" w:name="_Toc8772"/>
      <w:r>
        <w:rPr>
          <w:rFonts w:hint="eastAsia" w:eastAsia="宋体"/>
          <w:b/>
          <w:sz w:val="21"/>
          <w:szCs w:val="21"/>
        </w:rPr>
        <w:t>1.4履约保证金</w:t>
      </w:r>
    </w:p>
    <w:p>
      <w:pPr>
        <w:pStyle w:val="42"/>
        <w:spacing w:before="0" w:beforeAutospacing="0" w:after="0" w:afterAutospacing="0" w:line="336" w:lineRule="auto"/>
        <w:ind w:firstLine="480"/>
        <w:rPr>
          <w:rFonts w:hint="eastAsia" w:eastAsia="宋体"/>
          <w:sz w:val="21"/>
          <w:szCs w:val="21"/>
        </w:rPr>
      </w:pPr>
      <w:r>
        <w:rPr>
          <w:rFonts w:hint="eastAsia" w:eastAsia="宋体"/>
          <w:sz w:val="21"/>
          <w:szCs w:val="21"/>
        </w:rPr>
        <w:t>乙方</w:t>
      </w:r>
      <w:r>
        <w:rPr>
          <w:rFonts w:hint="eastAsia" w:eastAsia="宋体"/>
          <w:sz w:val="21"/>
          <w:szCs w:val="21"/>
          <w:u w:val="single"/>
        </w:rPr>
        <w:t xml:space="preserve"> 否  </w:t>
      </w:r>
      <w:r>
        <w:rPr>
          <w:rFonts w:hint="eastAsia" w:eastAsia="宋体"/>
          <w:sz w:val="21"/>
          <w:szCs w:val="21"/>
        </w:rPr>
        <w:t>（是</w:t>
      </w:r>
      <w:r>
        <w:rPr>
          <w:rFonts w:hint="eastAsia" w:ascii="宋体" w:hAnsi="宋体" w:eastAsia="宋体" w:cs="宋体"/>
          <w:sz w:val="21"/>
          <w:szCs w:val="21"/>
        </w:rPr>
        <w:t>/</w:t>
      </w:r>
      <w:r>
        <w:rPr>
          <w:rFonts w:hint="eastAsia" w:eastAsia="宋体"/>
          <w:sz w:val="21"/>
          <w:szCs w:val="21"/>
        </w:rPr>
        <w:t>否）需要支付履约保证金。若需要支付履约保证金的，则：</w:t>
      </w:r>
    </w:p>
    <w:p>
      <w:pPr>
        <w:spacing w:line="33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1.4.1履约保证金的比例为合同金额的</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pPr>
        <w:spacing w:line="33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1.4.2履约保证金支付方式详见</w:t>
      </w:r>
      <w:r>
        <w:rPr>
          <w:rFonts w:hint="eastAsia" w:ascii="宋体" w:hAnsi="宋体" w:eastAsia="宋体" w:cs="宋体"/>
          <w:kern w:val="0"/>
          <w:sz w:val="21"/>
          <w:szCs w:val="21"/>
          <w:u w:val="single"/>
        </w:rPr>
        <w:t xml:space="preserve">    </w:t>
      </w:r>
      <w:r>
        <w:rPr>
          <w:rFonts w:hint="eastAsia" w:ascii="宋体" w:hAnsi="宋体" w:eastAsia="宋体" w:cs="宋体"/>
          <w:b/>
          <w:sz w:val="21"/>
          <w:szCs w:val="21"/>
          <w:u w:val="single"/>
        </w:rPr>
        <w:t>/</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pPr>
        <w:pStyle w:val="41"/>
        <w:spacing w:line="336" w:lineRule="auto"/>
        <w:rPr>
          <w:rFonts w:hint="eastAsia" w:eastAsia="宋体" w:cs="宋体"/>
          <w:sz w:val="21"/>
          <w:szCs w:val="21"/>
        </w:rPr>
      </w:pPr>
      <w:r>
        <w:rPr>
          <w:rFonts w:hint="eastAsia" w:eastAsia="宋体" w:cs="宋体"/>
          <w:sz w:val="21"/>
          <w:szCs w:val="21"/>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pPr>
        <w:spacing w:line="33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1.4.4甲方在项目验收结束后及时退还履约保证金。甲方在项目通过验收之日起</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个工作日内将履约保证金无息退还乙方，逾期退还的，乙方可要求甲方支付违约金，违约金按每迟延退还一日的应退还而未退还金额的</w:t>
      </w:r>
      <w:r>
        <w:rPr>
          <w:rFonts w:hint="eastAsia" w:ascii="宋体" w:hAnsi="宋体" w:eastAsia="宋体" w:cs="宋体"/>
          <w:kern w:val="0"/>
          <w:sz w:val="21"/>
          <w:szCs w:val="21"/>
          <w:u w:val="single"/>
        </w:rPr>
        <w:t xml:space="preserve">  0.05（可根据情况修改）  </w:t>
      </w:r>
      <w:r>
        <w:rPr>
          <w:rFonts w:hint="eastAsia" w:ascii="宋体" w:hAnsi="宋体" w:eastAsia="宋体" w:cs="宋体"/>
          <w:kern w:val="0"/>
          <w:sz w:val="21"/>
          <w:szCs w:val="21"/>
        </w:rPr>
        <w:t>%计算，最高限额为本合同履约保证金的</w:t>
      </w:r>
      <w:r>
        <w:rPr>
          <w:rFonts w:hint="eastAsia" w:ascii="宋体" w:hAnsi="宋体" w:eastAsia="宋体" w:cs="宋体"/>
          <w:kern w:val="0"/>
          <w:sz w:val="21"/>
          <w:szCs w:val="21"/>
          <w:u w:val="single"/>
        </w:rPr>
        <w:t xml:space="preserve">  20  </w:t>
      </w:r>
      <w:r>
        <w:rPr>
          <w:rFonts w:hint="eastAsia" w:ascii="宋体" w:hAnsi="宋体" w:eastAsia="宋体" w:cs="宋体"/>
          <w:kern w:val="0"/>
          <w:sz w:val="21"/>
          <w:szCs w:val="21"/>
        </w:rPr>
        <w:t xml:space="preserve"> %。</w:t>
      </w:r>
    </w:p>
    <w:p>
      <w:pPr>
        <w:spacing w:line="336"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1.5</w:t>
      </w:r>
      <w:bookmarkEnd w:id="156"/>
      <w:bookmarkEnd w:id="157"/>
      <w:bookmarkEnd w:id="158"/>
      <w:r>
        <w:rPr>
          <w:rFonts w:hint="eastAsia" w:ascii="宋体" w:hAnsi="宋体" w:eastAsia="宋体" w:cs="宋体"/>
          <w:b/>
          <w:sz w:val="21"/>
          <w:szCs w:val="21"/>
        </w:rPr>
        <w:t>预付款</w:t>
      </w:r>
    </w:p>
    <w:p>
      <w:pPr>
        <w:pStyle w:val="42"/>
        <w:spacing w:before="0" w:beforeAutospacing="0" w:after="0" w:afterAutospacing="0" w:line="336" w:lineRule="auto"/>
        <w:ind w:firstLine="480"/>
        <w:rPr>
          <w:rFonts w:hint="eastAsia" w:eastAsia="宋体"/>
          <w:sz w:val="21"/>
          <w:szCs w:val="21"/>
        </w:rPr>
      </w:pPr>
      <w:r>
        <w:rPr>
          <w:rFonts w:hint="eastAsia" w:eastAsia="宋体"/>
          <w:sz w:val="21"/>
          <w:szCs w:val="21"/>
        </w:rPr>
        <w:t>甲方</w:t>
      </w:r>
      <w:r>
        <w:rPr>
          <w:rFonts w:hint="eastAsia" w:eastAsia="宋体"/>
          <w:sz w:val="21"/>
          <w:szCs w:val="21"/>
          <w:u w:val="single"/>
        </w:rPr>
        <w:t xml:space="preserve"> 是 </w:t>
      </w:r>
      <w:r>
        <w:rPr>
          <w:rFonts w:hint="eastAsia" w:eastAsia="宋体"/>
          <w:sz w:val="21"/>
          <w:szCs w:val="21"/>
        </w:rPr>
        <w:t>（是</w:t>
      </w:r>
      <w:r>
        <w:rPr>
          <w:rFonts w:hint="eastAsia" w:ascii="宋体" w:hAnsi="宋体" w:eastAsia="宋体" w:cs="宋体"/>
          <w:sz w:val="21"/>
          <w:szCs w:val="21"/>
        </w:rPr>
        <w:t>/</w:t>
      </w:r>
      <w:r>
        <w:rPr>
          <w:rFonts w:hint="eastAsia" w:eastAsia="宋体"/>
          <w:sz w:val="21"/>
          <w:szCs w:val="21"/>
        </w:rPr>
        <w:t>否）需要支付预付款。若需要支付预付款的，则：</w:t>
      </w:r>
    </w:p>
    <w:p>
      <w:pPr>
        <w:spacing w:line="336" w:lineRule="auto"/>
        <w:ind w:firstLine="420" w:firstLineChars="200"/>
        <w:rPr>
          <w:rFonts w:hint="eastAsia" w:ascii="宋体" w:hAnsi="宋体" w:eastAsia="宋体" w:cs="宋体"/>
          <w:kern w:val="0"/>
          <w:sz w:val="21"/>
          <w:szCs w:val="21"/>
        </w:rPr>
      </w:pPr>
      <w:r>
        <w:rPr>
          <w:rFonts w:hint="eastAsia" w:ascii="宋体" w:hAnsi="宋体" w:eastAsia="宋体" w:cs="宋体"/>
          <w:kern w:val="0"/>
          <w:sz w:val="21"/>
          <w:szCs w:val="21"/>
        </w:rPr>
        <w:t>1.5.1预付款比例、支付方式、时间详见</w:t>
      </w:r>
      <w:r>
        <w:rPr>
          <w:rFonts w:hint="eastAsia" w:ascii="宋体" w:hAnsi="宋体" w:eastAsia="宋体" w:cs="宋体"/>
          <w:kern w:val="0"/>
          <w:sz w:val="21"/>
          <w:szCs w:val="21"/>
          <w:u w:val="single"/>
        </w:rPr>
        <w:t xml:space="preserve">   </w:t>
      </w:r>
      <w:r>
        <w:rPr>
          <w:rFonts w:hint="eastAsia" w:ascii="宋体" w:hAnsi="宋体" w:eastAsia="宋体" w:cs="宋体"/>
          <w:b/>
          <w:bCs/>
          <w:kern w:val="0"/>
          <w:sz w:val="21"/>
          <w:szCs w:val="21"/>
          <w:u w:val="single"/>
        </w:rPr>
        <w:t>合同专用条款</w:t>
      </w:r>
      <w:r>
        <w:rPr>
          <w:rFonts w:hint="eastAsia" w:ascii="宋体" w:hAnsi="宋体" w:eastAsia="宋体" w:cs="宋体"/>
          <w:kern w:val="0"/>
          <w:sz w:val="21"/>
          <w:szCs w:val="21"/>
          <w:u w:val="single"/>
        </w:rPr>
        <w:t xml:space="preserve">  </w:t>
      </w:r>
      <w:r>
        <w:rPr>
          <w:rFonts w:hint="eastAsia" w:ascii="宋体" w:hAnsi="宋体" w:eastAsia="宋体" w:cs="宋体"/>
          <w:kern w:val="0"/>
          <w:sz w:val="21"/>
          <w:szCs w:val="21"/>
        </w:rPr>
        <w:t>；</w:t>
      </w:r>
    </w:p>
    <w:p>
      <w:pPr>
        <w:pStyle w:val="42"/>
        <w:spacing w:before="0" w:beforeAutospacing="0" w:after="0" w:afterAutospacing="0" w:line="336" w:lineRule="auto"/>
        <w:ind w:firstLine="480"/>
        <w:rPr>
          <w:rFonts w:hint="eastAsia" w:eastAsia="宋体"/>
          <w:sz w:val="21"/>
          <w:szCs w:val="21"/>
        </w:rPr>
      </w:pPr>
      <w:r>
        <w:rPr>
          <w:rFonts w:hint="eastAsia" w:eastAsia="宋体"/>
          <w:sz w:val="21"/>
          <w:szCs w:val="21"/>
        </w:rPr>
        <w:t>1.5.2预付款的扣回方式详见</w:t>
      </w:r>
      <w:r>
        <w:rPr>
          <w:rFonts w:hint="eastAsia" w:eastAsia="宋体"/>
          <w:sz w:val="21"/>
          <w:szCs w:val="21"/>
          <w:u w:val="single"/>
        </w:rPr>
        <w:t xml:space="preserve">  </w:t>
      </w:r>
      <w:r>
        <w:rPr>
          <w:rFonts w:hint="eastAsia" w:eastAsia="宋体"/>
          <w:b/>
          <w:bCs/>
          <w:sz w:val="21"/>
          <w:szCs w:val="21"/>
          <w:u w:val="single"/>
        </w:rPr>
        <w:t>合同专用条款</w:t>
      </w:r>
      <w:r>
        <w:rPr>
          <w:rFonts w:hint="eastAsia" w:eastAsia="宋体"/>
          <w:sz w:val="21"/>
          <w:szCs w:val="21"/>
          <w:u w:val="single"/>
        </w:rPr>
        <w:t xml:space="preserve">  </w:t>
      </w:r>
      <w:r>
        <w:rPr>
          <w:rFonts w:hint="eastAsia" w:eastAsia="宋体"/>
          <w:sz w:val="21"/>
          <w:szCs w:val="21"/>
        </w:rPr>
        <w:t>；</w:t>
      </w:r>
    </w:p>
    <w:p>
      <w:pPr>
        <w:pStyle w:val="42"/>
        <w:spacing w:before="0" w:beforeAutospacing="0" w:after="0" w:afterAutospacing="0" w:line="336" w:lineRule="auto"/>
        <w:ind w:firstLine="480"/>
        <w:rPr>
          <w:rFonts w:hint="eastAsia" w:eastAsia="宋体"/>
          <w:sz w:val="21"/>
          <w:szCs w:val="21"/>
          <w:u w:val="single"/>
        </w:rPr>
      </w:pPr>
      <w:r>
        <w:rPr>
          <w:rFonts w:hint="eastAsia" w:eastAsia="宋体"/>
          <w:sz w:val="21"/>
          <w:szCs w:val="21"/>
        </w:rPr>
        <w:t>1.5.3预付款的担保措施详见</w:t>
      </w:r>
      <w:r>
        <w:rPr>
          <w:rFonts w:hint="eastAsia" w:eastAsia="宋体"/>
          <w:sz w:val="21"/>
          <w:szCs w:val="21"/>
          <w:u w:val="single"/>
        </w:rPr>
        <w:t xml:space="preserve">  </w:t>
      </w:r>
      <w:r>
        <w:rPr>
          <w:rFonts w:hint="eastAsia" w:eastAsia="宋体"/>
          <w:b/>
          <w:bCs/>
          <w:sz w:val="21"/>
          <w:szCs w:val="21"/>
          <w:u w:val="single"/>
        </w:rPr>
        <w:t>合同专用条款</w:t>
      </w:r>
      <w:r>
        <w:rPr>
          <w:rFonts w:hint="eastAsia" w:eastAsia="宋体"/>
          <w:sz w:val="21"/>
          <w:szCs w:val="21"/>
          <w:u w:val="single"/>
        </w:rPr>
        <w:t xml:space="preserve">  </w:t>
      </w:r>
      <w:r>
        <w:rPr>
          <w:rFonts w:hint="eastAsia" w:eastAsia="宋体"/>
          <w:sz w:val="21"/>
          <w:szCs w:val="21"/>
        </w:rPr>
        <w:t>。</w:t>
      </w:r>
    </w:p>
    <w:p>
      <w:pPr>
        <w:pStyle w:val="42"/>
        <w:spacing w:before="0" w:beforeAutospacing="0" w:after="0" w:afterAutospacing="0" w:line="336" w:lineRule="auto"/>
        <w:ind w:firstLine="480"/>
        <w:rPr>
          <w:rFonts w:hint="eastAsia" w:eastAsia="宋体"/>
          <w:b/>
          <w:bCs/>
          <w:sz w:val="21"/>
          <w:szCs w:val="21"/>
        </w:rPr>
      </w:pPr>
      <w:r>
        <w:rPr>
          <w:rFonts w:hint="eastAsia" w:eastAsia="宋体"/>
          <w:b/>
          <w:bCs/>
          <w:sz w:val="21"/>
          <w:szCs w:val="21"/>
        </w:rPr>
        <w:t>1.6资金支付</w:t>
      </w:r>
    </w:p>
    <w:p>
      <w:pPr>
        <w:pStyle w:val="42"/>
        <w:spacing w:before="0" w:beforeAutospacing="0" w:after="0" w:afterAutospacing="0" w:line="336" w:lineRule="auto"/>
        <w:ind w:firstLine="480"/>
        <w:rPr>
          <w:rFonts w:hint="eastAsia" w:eastAsia="宋体"/>
          <w:sz w:val="21"/>
          <w:szCs w:val="21"/>
        </w:rPr>
      </w:pPr>
      <w:r>
        <w:rPr>
          <w:rFonts w:hint="eastAsia" w:eastAsia="宋体"/>
          <w:sz w:val="21"/>
          <w:szCs w:val="21"/>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1.6.2资金支付的方式、时间和条件：签订合同后，待资金到位后10个工作日内甲方一次性向乙方支付合同价款的30%预付款，完成所有服务内容并经验收合格后一次性付至合同价100%。受托方应在每次付款前向采购人提供足额的增值税发票。</w:t>
      </w:r>
    </w:p>
    <w:p>
      <w:pPr>
        <w:spacing w:line="336"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1.7 履行期限、地点和方式</w:t>
      </w:r>
      <w:bookmarkEnd w:id="159"/>
      <w:bookmarkEnd w:id="160"/>
      <w:bookmarkEnd w:id="161"/>
      <w:bookmarkEnd w:id="162"/>
      <w:bookmarkEnd w:id="163"/>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1.7.1 服务交付（实施）的时间（期限）：</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1.7.2 服务交付（实施）的地点（地域范围）：</w:t>
      </w:r>
      <w:r>
        <w:rPr>
          <w:rFonts w:hint="eastAsia" w:ascii="宋体" w:hAnsi="宋体" w:eastAsia="宋体" w:cs="宋体"/>
          <w:b/>
          <w:sz w:val="21"/>
          <w:szCs w:val="21"/>
          <w:u w:val="single"/>
        </w:rPr>
        <w:t>银海区</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1.7.3 服务交付（实施）的方式：</w:t>
      </w:r>
      <w:r>
        <w:rPr>
          <w:rFonts w:hint="eastAsia" w:ascii="宋体" w:hAnsi="宋体" w:eastAsia="宋体" w:cs="宋体"/>
          <w:sz w:val="21"/>
          <w:szCs w:val="21"/>
          <w:u w:val="single"/>
        </w:rPr>
        <w:t xml:space="preserve">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bCs/>
          <w:sz w:val="21"/>
          <w:szCs w:val="21"/>
        </w:rPr>
      </w:pPr>
      <w:bookmarkStart w:id="164" w:name="_Toc2375"/>
      <w:bookmarkStart w:id="165" w:name="_Toc8586"/>
      <w:bookmarkStart w:id="166" w:name="_Toc3079"/>
      <w:bookmarkStart w:id="167" w:name="_Toc5698"/>
      <w:bookmarkStart w:id="168" w:name="_Toc24662"/>
      <w:r>
        <w:rPr>
          <w:rFonts w:hint="eastAsia" w:ascii="宋体" w:hAnsi="宋体" w:eastAsia="宋体" w:cs="宋体"/>
          <w:bCs/>
          <w:sz w:val="21"/>
          <w:szCs w:val="21"/>
        </w:rPr>
        <w:t>1.7.4若服务涉及货物的，则货物的：</w:t>
      </w:r>
    </w:p>
    <w:p>
      <w:pPr>
        <w:spacing w:line="336" w:lineRule="auto"/>
        <w:ind w:firstLine="420" w:firstLineChars="200"/>
        <w:rPr>
          <w:rFonts w:hint="eastAsia" w:ascii="宋体" w:hAnsi="宋体" w:eastAsia="宋体" w:cs="宋体"/>
          <w:sz w:val="21"/>
          <w:szCs w:val="21"/>
          <w:u w:val="single"/>
        </w:rPr>
      </w:pPr>
      <w:r>
        <w:rPr>
          <w:rFonts w:hint="eastAsia" w:ascii="宋体" w:hAnsi="宋体" w:eastAsia="宋体" w:cs="宋体"/>
          <w:sz w:val="21"/>
          <w:szCs w:val="21"/>
        </w:rPr>
        <w:t>1.7.4.1 交付期限：详见</w:t>
      </w:r>
      <w:r>
        <w:rPr>
          <w:rFonts w:hint="eastAsia" w:ascii="宋体" w:hAnsi="宋体" w:eastAsia="宋体" w:cs="宋体"/>
          <w:b/>
          <w:sz w:val="21"/>
          <w:szCs w:val="21"/>
          <w:u w:val="single"/>
        </w:rPr>
        <w:t xml:space="preserve">    /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1.7.4.2 交付地点：</w:t>
      </w:r>
      <w:r>
        <w:rPr>
          <w:rFonts w:hint="eastAsia" w:ascii="宋体" w:hAnsi="宋体" w:eastAsia="宋体" w:cs="宋体"/>
          <w:b/>
          <w:sz w:val="21"/>
          <w:szCs w:val="21"/>
          <w:u w:val="single"/>
        </w:rPr>
        <w:t xml:space="preserve">    /   </w:t>
      </w:r>
      <w:r>
        <w:rPr>
          <w:rFonts w:hint="eastAsia" w:ascii="宋体" w:hAnsi="宋体" w:eastAsia="宋体" w:cs="宋体"/>
          <w:sz w:val="21"/>
          <w:szCs w:val="21"/>
        </w:rPr>
        <w:t>；</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1.7.4.3 交付方式：</w:t>
      </w:r>
      <w:r>
        <w:rPr>
          <w:rFonts w:hint="eastAsia" w:ascii="宋体" w:hAnsi="宋体" w:eastAsia="宋体" w:cs="宋体"/>
          <w:b/>
          <w:sz w:val="21"/>
          <w:szCs w:val="21"/>
          <w:u w:val="single"/>
        </w:rPr>
        <w:t xml:space="preserve">    /   </w:t>
      </w:r>
      <w:r>
        <w:rPr>
          <w:rFonts w:hint="eastAsia" w:ascii="宋体" w:hAnsi="宋体" w:eastAsia="宋体" w:cs="宋体"/>
          <w:sz w:val="21"/>
          <w:szCs w:val="21"/>
        </w:rPr>
        <w:t>。</w:t>
      </w:r>
    </w:p>
    <w:p>
      <w:pPr>
        <w:spacing w:line="336" w:lineRule="auto"/>
        <w:ind w:firstLine="422" w:firstLineChars="200"/>
        <w:rPr>
          <w:rFonts w:hint="eastAsia" w:ascii="宋体" w:hAnsi="宋体" w:eastAsia="宋体" w:cs="宋体"/>
          <w:sz w:val="21"/>
          <w:szCs w:val="21"/>
          <w:u w:val="single"/>
        </w:rPr>
      </w:pPr>
      <w:r>
        <w:rPr>
          <w:rFonts w:hint="eastAsia" w:ascii="宋体" w:hAnsi="宋体" w:eastAsia="宋体" w:cs="宋体"/>
          <w:b/>
          <w:sz w:val="21"/>
          <w:szCs w:val="21"/>
        </w:rPr>
        <w:t>1.8违约责任</w:t>
      </w:r>
      <w:bookmarkEnd w:id="164"/>
      <w:bookmarkEnd w:id="165"/>
      <w:bookmarkEnd w:id="166"/>
      <w:bookmarkEnd w:id="167"/>
      <w:bookmarkEnd w:id="168"/>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1.8.1 除不可抗力外，如果乙方没有按照本合同约定的期限、地点和方式交付服务成果或者实施服务，那么甲方可要求乙方支付违约金，迟延履行违约金按每迟延履行一日的应提供而未提供服务价格的</w:t>
      </w:r>
      <w:r>
        <w:rPr>
          <w:rFonts w:hint="eastAsia" w:ascii="宋体" w:hAnsi="宋体" w:eastAsia="宋体" w:cs="宋体"/>
          <w:sz w:val="21"/>
          <w:szCs w:val="21"/>
          <w:u w:val="single"/>
        </w:rPr>
        <w:t xml:space="preserve">0.05 </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20   </w:t>
      </w:r>
      <w:r>
        <w:rPr>
          <w:rFonts w:hint="eastAsia" w:ascii="宋体" w:hAnsi="宋体" w:eastAsia="宋体" w:cs="宋体"/>
          <w:sz w:val="21"/>
          <w:szCs w:val="21"/>
        </w:rPr>
        <w:t>%；迟延履行的违约金计算数额达到前述最高限额之日起，甲方有权在要求乙方支付违约金的同时，书面通知乙方解除本合同；</w:t>
      </w:r>
    </w:p>
    <w:p>
      <w:pPr>
        <w:pStyle w:val="41"/>
        <w:spacing w:line="336" w:lineRule="auto"/>
        <w:rPr>
          <w:rFonts w:hint="eastAsia" w:eastAsia="宋体" w:cs="宋体"/>
          <w:b/>
          <w:bCs/>
          <w:sz w:val="21"/>
          <w:szCs w:val="21"/>
        </w:rPr>
      </w:pPr>
      <w:r>
        <w:rPr>
          <w:rFonts w:hint="eastAsia" w:eastAsia="宋体" w:cs="宋体"/>
          <w:sz w:val="21"/>
          <w:szCs w:val="21"/>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eastAsia="宋体" w:cs="宋体"/>
          <w:sz w:val="21"/>
          <w:szCs w:val="21"/>
          <w:u w:val="single"/>
        </w:rPr>
        <w:t xml:space="preserve">  0.0</w:t>
      </w:r>
      <w:r>
        <w:rPr>
          <w:rFonts w:hint="eastAsia" w:eastAsia="宋体" w:cs="宋体"/>
          <w:sz w:val="21"/>
          <w:szCs w:val="21"/>
        </w:rPr>
        <w:t xml:space="preserve">5（可根据情况修改） </w:t>
      </w:r>
      <w:r>
        <w:rPr>
          <w:rFonts w:hint="eastAsia" w:eastAsia="宋体" w:cs="宋体"/>
          <w:sz w:val="21"/>
          <w:szCs w:val="21"/>
          <w:u w:val="single"/>
        </w:rPr>
        <w:t xml:space="preserve">  </w:t>
      </w:r>
      <w:r>
        <w:rPr>
          <w:rFonts w:hint="eastAsia" w:eastAsia="宋体" w:cs="宋体"/>
          <w:sz w:val="21"/>
          <w:szCs w:val="21"/>
        </w:rPr>
        <w:t>%计算，最高限额为本合同总价的</w:t>
      </w:r>
      <w:r>
        <w:rPr>
          <w:rFonts w:hint="eastAsia" w:eastAsia="宋体" w:cs="宋体"/>
          <w:sz w:val="21"/>
          <w:szCs w:val="21"/>
          <w:u w:val="single"/>
        </w:rPr>
        <w:t xml:space="preserve">  20  </w:t>
      </w:r>
      <w:r>
        <w:rPr>
          <w:rFonts w:hint="eastAsia" w:eastAsia="宋体" w:cs="宋体"/>
          <w:sz w:val="21"/>
          <w:szCs w:val="21"/>
        </w:rPr>
        <w:t>%；迟延交付货物的违约金计算数额达到前述最高限额之日起，甲方有权在要求乙方支付违约金的同时，书面通知乙方解除本合同；</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1.8.3除不可抗力外，如果甲方没有按照本合同约定的付款方式付款，那么乙方可要求甲方支付违约金，违约金按每迟延付款一日的应付而未付款的</w:t>
      </w:r>
      <w:r>
        <w:rPr>
          <w:rFonts w:hint="eastAsia" w:ascii="宋体" w:hAnsi="宋体" w:eastAsia="宋体" w:cs="宋体"/>
          <w:sz w:val="21"/>
          <w:szCs w:val="21"/>
          <w:u w:val="single"/>
        </w:rPr>
        <w:t xml:space="preserve">   0.05   </w:t>
      </w:r>
      <w:r>
        <w:rPr>
          <w:rFonts w:hint="eastAsia" w:ascii="宋体" w:hAnsi="宋体" w:eastAsia="宋体" w:cs="宋体"/>
          <w:sz w:val="21"/>
          <w:szCs w:val="21"/>
        </w:rPr>
        <w:t>%计算，最高限额为本合同总价的</w:t>
      </w:r>
      <w:r>
        <w:rPr>
          <w:rFonts w:hint="eastAsia" w:ascii="宋体" w:hAnsi="宋体" w:eastAsia="宋体" w:cs="宋体"/>
          <w:sz w:val="21"/>
          <w:szCs w:val="21"/>
          <w:u w:val="single"/>
        </w:rPr>
        <w:t xml:space="preserve">   20</w:t>
      </w:r>
      <w:r>
        <w:rPr>
          <w:rFonts w:hint="eastAsia" w:ascii="宋体" w:hAnsi="宋体" w:eastAsia="宋体" w:cs="宋体"/>
          <w:kern w:val="0"/>
          <w:sz w:val="21"/>
          <w:szCs w:val="21"/>
          <w:u w:val="single"/>
        </w:rPr>
        <w:t>（可根据情况修改）</w:t>
      </w:r>
      <w:r>
        <w:rPr>
          <w:rFonts w:hint="eastAsia" w:ascii="宋体" w:hAnsi="宋体" w:eastAsia="宋体" w:cs="宋体"/>
          <w:sz w:val="21"/>
          <w:szCs w:val="21"/>
          <w:u w:val="single"/>
        </w:rPr>
        <w:t xml:space="preserve">   </w:t>
      </w:r>
      <w:r>
        <w:rPr>
          <w:rFonts w:hint="eastAsia" w:ascii="宋体" w:hAnsi="宋体" w:eastAsia="宋体" w:cs="宋体"/>
          <w:sz w:val="21"/>
          <w:szCs w:val="21"/>
        </w:rPr>
        <w:t>%；迟延付款的违约金计算数额达到前述最高限额之日起，乙方有权在要求甲方支付违约金的同时，书面通知甲方解除本合同；</w:t>
      </w:r>
    </w:p>
    <w:p>
      <w:pPr>
        <w:spacing w:line="336" w:lineRule="auto"/>
        <w:ind w:firstLine="420" w:firstLineChars="200"/>
        <w:rPr>
          <w:rFonts w:hint="eastAsia" w:ascii="宋体" w:hAnsi="宋体" w:eastAsia="宋体" w:cs="宋体"/>
          <w:sz w:val="21"/>
          <w:szCs w:val="21"/>
        </w:rPr>
      </w:pPr>
      <w:bookmarkStart w:id="169" w:name="_Toc26807"/>
      <w:bookmarkStart w:id="170" w:name="_Toc32454"/>
      <w:bookmarkStart w:id="171" w:name="_Toc9497"/>
      <w:bookmarkStart w:id="172" w:name="_Toc18683"/>
      <w:bookmarkStart w:id="173" w:name="_Toc30329"/>
      <w:r>
        <w:rPr>
          <w:rFonts w:hint="eastAsia" w:ascii="宋体" w:hAnsi="宋体" w:eastAsia="宋体" w:cs="宋体"/>
          <w:sz w:val="21"/>
          <w:szCs w:val="21"/>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36"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1.8.6如果出现政府采购监督管理部门在处理投诉事项期间，书面通知甲方暂停采购活动的情形，或者询问或质疑事项可能影响中标或者成交结果的，导致甲方中止履行合同的情形，均不视为甲方违约。</w:t>
      </w:r>
    </w:p>
    <w:p>
      <w:pPr>
        <w:spacing w:line="336" w:lineRule="auto"/>
        <w:ind w:right="-420" w:rightChars="-200" w:firstLine="420" w:firstLineChars="200"/>
        <w:rPr>
          <w:rFonts w:hint="eastAsia" w:ascii="宋体" w:hAnsi="宋体" w:eastAsia="宋体" w:cs="宋体"/>
          <w:szCs w:val="21"/>
        </w:rPr>
      </w:pPr>
      <w:r>
        <w:rPr>
          <w:rFonts w:hint="eastAsia" w:ascii="宋体" w:hAnsi="宋体" w:eastAsia="宋体" w:cs="宋体"/>
          <w:sz w:val="21"/>
          <w:szCs w:val="21"/>
        </w:rPr>
        <w:t>1.8.7违约责任</w:t>
      </w:r>
      <w:r>
        <w:rPr>
          <w:rFonts w:hint="eastAsia" w:ascii="宋体" w:hAnsi="宋体" w:eastAsia="宋体" w:cs="宋体"/>
          <w:b/>
          <w:sz w:val="21"/>
          <w:szCs w:val="21"/>
          <w:u w:val="single"/>
        </w:rPr>
        <w:t>合同专用条款</w:t>
      </w:r>
      <w:r>
        <w:rPr>
          <w:rFonts w:hint="eastAsia" w:ascii="宋体" w:hAnsi="宋体" w:eastAsia="宋体" w:cs="宋体"/>
          <w:sz w:val="21"/>
          <w:szCs w:val="21"/>
        </w:rPr>
        <w:t>另有约定的，从其约定。</w:t>
      </w:r>
    </w:p>
    <w:bookmarkEnd w:id="169"/>
    <w:bookmarkEnd w:id="170"/>
    <w:bookmarkEnd w:id="171"/>
    <w:bookmarkEnd w:id="172"/>
    <w:bookmarkEnd w:id="173"/>
    <w:p>
      <w:pPr>
        <w:spacing w:line="336"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1.9合同争议的解决</w:t>
      </w:r>
    </w:p>
    <w:p>
      <w:pPr>
        <w:spacing w:line="336" w:lineRule="auto"/>
        <w:ind w:left="-61" w:leftChars="-29" w:right="-420" w:rightChars="-200" w:firstLine="210" w:firstLineChars="100"/>
        <w:rPr>
          <w:rFonts w:hint="eastAsia" w:ascii="宋体" w:hAnsi="宋体" w:eastAsia="宋体" w:cs="宋体"/>
          <w:sz w:val="21"/>
          <w:szCs w:val="21"/>
        </w:rPr>
      </w:pPr>
      <w:r>
        <w:rPr>
          <w:rFonts w:hint="eastAsia" w:ascii="宋体" w:hAnsi="宋体" w:eastAsia="宋体" w:cs="宋体"/>
          <w:sz w:val="21"/>
          <w:szCs w:val="21"/>
        </w:rPr>
        <w:t xml:space="preserve">  本合同履行过程中发生的任何争议，双方当事人均可通过和解或者调解解决；不愿和解、调解或者和解、调解不成的，可以选择以下第</w:t>
      </w:r>
      <w:r>
        <w:rPr>
          <w:rFonts w:hint="eastAsia" w:ascii="宋体" w:hAnsi="宋体" w:eastAsia="宋体" w:cs="宋体"/>
          <w:b/>
          <w:sz w:val="21"/>
          <w:szCs w:val="21"/>
          <w:u w:val="single"/>
        </w:rPr>
        <w:t xml:space="preserve"> 1.9.2 </w:t>
      </w:r>
      <w:r>
        <w:rPr>
          <w:rFonts w:hint="eastAsia" w:ascii="宋体" w:hAnsi="宋体" w:eastAsia="宋体" w:cs="宋体"/>
          <w:sz w:val="21"/>
          <w:szCs w:val="21"/>
        </w:rPr>
        <w:t>条款规定的方式解决：</w:t>
      </w:r>
    </w:p>
    <w:p>
      <w:pPr>
        <w:spacing w:line="336" w:lineRule="auto"/>
        <w:ind w:firstLine="525" w:firstLineChars="250"/>
        <w:rPr>
          <w:rFonts w:hint="eastAsia" w:ascii="宋体" w:hAnsi="宋体" w:eastAsia="宋体" w:cs="宋体"/>
          <w:sz w:val="21"/>
          <w:szCs w:val="21"/>
        </w:rPr>
      </w:pPr>
      <w:r>
        <w:rPr>
          <w:rFonts w:hint="eastAsia" w:ascii="宋体" w:hAnsi="宋体" w:eastAsia="宋体" w:cs="宋体"/>
          <w:sz w:val="21"/>
          <w:szCs w:val="21"/>
        </w:rPr>
        <w:t>1.9.1 将争议提交</w:t>
      </w:r>
      <w:r>
        <w:rPr>
          <w:rFonts w:hint="eastAsia" w:ascii="宋体" w:hAnsi="宋体" w:eastAsia="宋体" w:cs="宋体"/>
          <w:b/>
          <w:bCs/>
          <w:sz w:val="21"/>
          <w:szCs w:val="21"/>
          <w:u w:val="single"/>
        </w:rPr>
        <w:t>项目当地</w:t>
      </w:r>
      <w:r>
        <w:rPr>
          <w:rFonts w:hint="eastAsia" w:ascii="宋体" w:hAnsi="宋体" w:eastAsia="宋体" w:cs="宋体"/>
          <w:sz w:val="21"/>
          <w:szCs w:val="21"/>
        </w:rPr>
        <w:t>仲裁委员会依申请仲裁时其现行有效的仲裁规则裁决；</w:t>
      </w:r>
    </w:p>
    <w:p>
      <w:pPr>
        <w:spacing w:line="336" w:lineRule="auto"/>
        <w:ind w:firstLine="525" w:firstLineChars="250"/>
        <w:rPr>
          <w:rFonts w:hint="eastAsia" w:ascii="宋体" w:hAnsi="宋体" w:eastAsia="宋体" w:cs="宋体"/>
          <w:sz w:val="21"/>
          <w:szCs w:val="21"/>
        </w:rPr>
      </w:pPr>
      <w:r>
        <w:rPr>
          <w:rFonts w:hint="eastAsia" w:ascii="宋体" w:hAnsi="宋体" w:eastAsia="宋体" w:cs="宋体"/>
          <w:sz w:val="21"/>
          <w:szCs w:val="21"/>
        </w:rPr>
        <w:t>1.9.2 向</w:t>
      </w:r>
      <w:r>
        <w:rPr>
          <w:rFonts w:hint="eastAsia" w:ascii="宋体" w:hAnsi="宋体" w:eastAsia="宋体" w:cs="宋体"/>
          <w:b/>
          <w:bCs/>
          <w:sz w:val="21"/>
          <w:szCs w:val="21"/>
          <w:u w:val="single"/>
        </w:rPr>
        <w:t>项目所在地</w:t>
      </w:r>
      <w:r>
        <w:rPr>
          <w:rFonts w:hint="eastAsia" w:ascii="宋体" w:hAnsi="宋体" w:eastAsia="宋体" w:cs="宋体"/>
          <w:sz w:val="21"/>
          <w:szCs w:val="21"/>
        </w:rPr>
        <w:t>人民法院起诉。</w:t>
      </w:r>
    </w:p>
    <w:p>
      <w:pPr>
        <w:spacing w:line="336"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2.0 合同生效</w:t>
      </w:r>
    </w:p>
    <w:p>
      <w:pPr>
        <w:spacing w:line="336" w:lineRule="auto"/>
        <w:ind w:firstLine="420" w:firstLineChars="200"/>
        <w:rPr>
          <w:rFonts w:hint="eastAsia" w:ascii="宋体" w:hAnsi="宋体" w:eastAsia="宋体" w:cs="宋体"/>
          <w:sz w:val="21"/>
          <w:szCs w:val="21"/>
          <w:lang w:val="zh-CN"/>
        </w:rPr>
      </w:pPr>
      <w:r>
        <w:rPr>
          <w:rFonts w:hint="eastAsia" w:ascii="宋体" w:hAnsi="宋体" w:eastAsia="宋体" w:cs="宋体"/>
          <w:sz w:val="21"/>
          <w:szCs w:val="21"/>
        </w:rPr>
        <w:t>本合同自双方当事人盖章签字时生效。</w:t>
      </w:r>
    </w:p>
    <w:tbl>
      <w:tblPr>
        <w:tblStyle w:val="23"/>
        <w:tblW w:w="4926"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299"/>
        <w:gridCol w:w="2674"/>
        <w:gridCol w:w="2287"/>
        <w:gridCol w:w="2448"/>
      </w:tblGrid>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0" w:hRule="atLeast"/>
        </w:trPr>
        <w:tc>
          <w:tcPr>
            <w:tcW w:w="2561" w:type="pct"/>
            <w:gridSpan w:val="2"/>
            <w:tcBorders>
              <w:top w:val="single" w:color="auto" w:sz="4"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甲方（采购人、受采购人委托签订合同的单位或采购文件约定的合同甲方）</w:t>
            </w:r>
          </w:p>
        </w:tc>
        <w:tc>
          <w:tcPr>
            <w:tcW w:w="2438" w:type="pct"/>
            <w:gridSpan w:val="2"/>
            <w:tcBorders>
              <w:top w:val="single" w:color="auto" w:sz="4"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乙方（供应商）</w:t>
            </w: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763"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单位名称（公章或合同章）</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单位名称（公章或合同章）</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305" w:hRule="atLeast"/>
        </w:trPr>
        <w:tc>
          <w:tcPr>
            <w:tcW w:w="1184" w:type="pct"/>
            <w:vMerge w:val="restar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p>
          <w:p>
            <w:pPr>
              <w:snapToGrid w:val="0"/>
              <w:spacing w:line="360" w:lineRule="auto"/>
              <w:ind w:firstLine="100" w:firstLineChars="48"/>
              <w:jc w:val="center"/>
              <w:rPr>
                <w:rFonts w:hint="eastAsia" w:ascii="宋体" w:hAnsi="宋体" w:eastAsia="宋体" w:cs="宋体"/>
                <w:sz w:val="21"/>
                <w:szCs w:val="21"/>
              </w:rPr>
            </w:pPr>
            <w:r>
              <w:rPr>
                <w:rFonts w:hint="eastAsia" w:ascii="宋体" w:hAnsi="宋体" w:eastAsia="宋体" w:cs="宋体"/>
                <w:sz w:val="21"/>
                <w:szCs w:val="21"/>
              </w:rPr>
              <w:t>或其委托代理人（签章）</w:t>
            </w:r>
          </w:p>
        </w:tc>
        <w:tc>
          <w:tcPr>
            <w:tcW w:w="1377" w:type="pct"/>
            <w:vMerge w:val="restar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法定代表人</w:t>
            </w:r>
          </w:p>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或其委托代理人（签章）</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vMerge w:val="continue"/>
            <w:tcBorders>
              <w:top w:val="single" w:color="auto" w:sz="2" w:space="0"/>
              <w:left w:val="single" w:color="auto" w:sz="4" w:space="0"/>
              <w:bottom w:val="single" w:color="auto" w:sz="2" w:space="0"/>
              <w:right w:val="single" w:color="auto" w:sz="2" w:space="0"/>
            </w:tcBorders>
            <w:vAlign w:val="center"/>
          </w:tcPr>
          <w:p>
            <w:pPr>
              <w:widowControl/>
              <w:adjustRightInd/>
              <w:spacing w:line="360" w:lineRule="auto"/>
              <w:jc w:val="left"/>
              <w:rPr>
                <w:rFonts w:hint="eastAsia" w:ascii="宋体" w:hAnsi="宋体" w:eastAsia="宋体" w:cs="宋体"/>
                <w:sz w:val="21"/>
                <w:szCs w:val="21"/>
              </w:rPr>
            </w:pPr>
          </w:p>
        </w:tc>
        <w:tc>
          <w:tcPr>
            <w:tcW w:w="1377" w:type="pct"/>
            <w:vMerge w:val="continue"/>
            <w:tcBorders>
              <w:top w:val="single" w:color="auto" w:sz="2" w:space="0"/>
              <w:left w:val="single" w:color="auto" w:sz="2" w:space="0"/>
              <w:bottom w:val="single" w:color="auto" w:sz="2" w:space="0"/>
              <w:right w:val="single" w:color="auto" w:sz="2" w:space="0"/>
            </w:tcBorders>
            <w:vAlign w:val="center"/>
          </w:tcPr>
          <w:p>
            <w:pPr>
              <w:widowControl/>
              <w:adjustRightInd/>
              <w:spacing w:line="360" w:lineRule="auto"/>
              <w:jc w:val="left"/>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拥有者性别</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住  所</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住  所</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联 系 人</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联 系 人</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联系电话</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通信地址</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通信地址</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邮政编码</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18"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电子邮箱</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统一社会信用代码</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388"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开户名称</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03"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开户银行</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84" w:type="pct"/>
            <w:tcBorders>
              <w:top w:val="single" w:color="auto" w:sz="2" w:space="0"/>
              <w:left w:val="single" w:color="auto" w:sz="4"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377"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p>
        </w:tc>
        <w:tc>
          <w:tcPr>
            <w:tcW w:w="1178" w:type="pct"/>
            <w:tcBorders>
              <w:top w:val="single" w:color="auto" w:sz="2" w:space="0"/>
              <w:left w:val="single" w:color="auto" w:sz="2" w:space="0"/>
              <w:bottom w:val="single" w:color="auto" w:sz="2" w:space="0"/>
              <w:right w:val="single" w:color="auto" w:sz="2" w:space="0"/>
            </w:tcBorders>
            <w:vAlign w:val="center"/>
          </w:tcPr>
          <w:p>
            <w:pPr>
              <w:snapToGrid w:val="0"/>
              <w:spacing w:line="360" w:lineRule="auto"/>
              <w:jc w:val="center"/>
              <w:rPr>
                <w:rFonts w:hint="eastAsia" w:ascii="宋体" w:hAnsi="宋体" w:eastAsia="宋体" w:cs="宋体"/>
                <w:sz w:val="21"/>
                <w:szCs w:val="21"/>
              </w:rPr>
            </w:pPr>
            <w:r>
              <w:rPr>
                <w:rFonts w:hint="eastAsia" w:ascii="宋体" w:hAnsi="宋体" w:eastAsia="宋体" w:cs="宋体"/>
                <w:sz w:val="21"/>
                <w:szCs w:val="21"/>
              </w:rPr>
              <w:t>银行账号</w:t>
            </w:r>
          </w:p>
        </w:tc>
        <w:tc>
          <w:tcPr>
            <w:tcW w:w="1260" w:type="pct"/>
            <w:tcBorders>
              <w:top w:val="single" w:color="auto" w:sz="2" w:space="0"/>
              <w:left w:val="single" w:color="auto" w:sz="2" w:space="0"/>
              <w:bottom w:val="single" w:color="auto" w:sz="2" w:space="0"/>
              <w:right w:val="single" w:color="auto" w:sz="4" w:space="0"/>
            </w:tcBorders>
            <w:vAlign w:val="center"/>
          </w:tcPr>
          <w:p>
            <w:pPr>
              <w:snapToGrid w:val="0"/>
              <w:spacing w:line="360" w:lineRule="auto"/>
              <w:jc w:val="center"/>
              <w:rPr>
                <w:rFonts w:hint="eastAsia" w:ascii="宋体" w:hAnsi="宋体" w:eastAsia="宋体" w:cs="宋体"/>
                <w:spacing w:val="20"/>
                <w:sz w:val="21"/>
                <w:szCs w:val="21"/>
              </w:rPr>
            </w:pPr>
          </w:p>
        </w:tc>
      </w:tr>
      <w:tr>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36" w:hRule="atLeast"/>
        </w:trPr>
        <w:tc>
          <w:tcPr>
            <w:tcW w:w="5000" w:type="pct"/>
            <w:gridSpan w:val="4"/>
            <w:tcBorders>
              <w:top w:val="single" w:color="auto" w:sz="2" w:space="0"/>
              <w:left w:val="single" w:color="auto" w:sz="4" w:space="0"/>
              <w:bottom w:val="single" w:color="auto" w:sz="4" w:space="0"/>
              <w:right w:val="single" w:color="auto" w:sz="4" w:space="0"/>
            </w:tcBorders>
            <w:vAlign w:val="center"/>
          </w:tcPr>
          <w:p>
            <w:pPr>
              <w:snapToGrid w:val="0"/>
              <w:spacing w:line="360" w:lineRule="auto"/>
              <w:jc w:val="left"/>
              <w:rPr>
                <w:rFonts w:hint="eastAsia" w:ascii="宋体" w:hAnsi="宋体" w:eastAsia="宋体" w:cs="宋体"/>
                <w:spacing w:val="20"/>
                <w:sz w:val="21"/>
                <w:szCs w:val="21"/>
              </w:rPr>
            </w:pPr>
            <w:r>
              <w:rPr>
                <w:rFonts w:hint="eastAsia" w:ascii="宋体" w:hAnsi="宋体" w:eastAsia="宋体" w:cs="宋体"/>
                <w:sz w:val="21"/>
                <w:szCs w:val="21"/>
              </w:rPr>
              <w:t>注：涉及联合体或其他合同主体的信息应按上表格式加列。</w:t>
            </w:r>
          </w:p>
        </w:tc>
      </w:tr>
    </w:tbl>
    <w:p>
      <w:pPr>
        <w:pStyle w:val="11"/>
        <w:ind w:firstLine="0" w:firstLineChars="0"/>
        <w:rPr>
          <w:rFonts w:hint="eastAsia" w:ascii="宋体" w:hAnsi="宋体" w:eastAsia="宋体" w:cs="宋体"/>
          <w:b/>
          <w:sz w:val="21"/>
          <w:szCs w:val="21"/>
        </w:rPr>
      </w:pPr>
    </w:p>
    <w:p>
      <w:pPr>
        <w:pStyle w:val="33"/>
        <w:spacing w:after="0"/>
        <w:ind w:firstLine="489"/>
        <w:jc w:val="center"/>
        <w:outlineLvl w:val="1"/>
        <w:rPr>
          <w:rFonts w:hint="eastAsia" w:ascii="宋体" w:hAnsi="宋体" w:eastAsia="宋体" w:cs="宋体"/>
          <w:b/>
          <w:sz w:val="21"/>
          <w:szCs w:val="21"/>
        </w:rPr>
      </w:pPr>
    </w:p>
    <w:p>
      <w:pPr>
        <w:pStyle w:val="33"/>
        <w:spacing w:after="0"/>
        <w:ind w:firstLine="489"/>
        <w:jc w:val="center"/>
        <w:outlineLvl w:val="1"/>
        <w:rPr>
          <w:rFonts w:hint="eastAsia" w:ascii="宋体" w:hAnsi="宋体" w:eastAsia="宋体" w:cs="宋体"/>
          <w:b/>
          <w:sz w:val="21"/>
          <w:szCs w:val="21"/>
        </w:rPr>
      </w:pPr>
      <w:r>
        <w:rPr>
          <w:rFonts w:hint="eastAsia" w:ascii="宋体" w:hAnsi="宋体" w:eastAsia="宋体" w:cs="宋体"/>
          <w:b/>
          <w:sz w:val="21"/>
          <w:szCs w:val="21"/>
        </w:rPr>
        <w:t>第二节 合同一般条款</w:t>
      </w:r>
    </w:p>
    <w:p>
      <w:pPr>
        <w:spacing w:line="360" w:lineRule="auto"/>
        <w:ind w:firstLine="422" w:firstLineChars="200"/>
        <w:rPr>
          <w:rFonts w:hint="eastAsia" w:ascii="宋体" w:hAnsi="宋体" w:eastAsia="宋体" w:cs="宋体"/>
          <w:b/>
          <w:sz w:val="21"/>
          <w:szCs w:val="21"/>
        </w:rPr>
      </w:pPr>
      <w:bookmarkStart w:id="174" w:name="_Toc14021"/>
      <w:bookmarkStart w:id="175" w:name="_Toc31297"/>
      <w:bookmarkStart w:id="176" w:name="_Toc19680"/>
      <w:bookmarkStart w:id="177" w:name="_Toc25079"/>
      <w:bookmarkStart w:id="178" w:name="_Toc5228"/>
      <w:r>
        <w:rPr>
          <w:rFonts w:hint="eastAsia" w:ascii="宋体" w:hAnsi="宋体" w:eastAsia="宋体" w:cs="宋体"/>
          <w:b/>
          <w:sz w:val="21"/>
          <w:szCs w:val="21"/>
        </w:rPr>
        <w:t>2.1 定义</w:t>
      </w:r>
      <w:bookmarkEnd w:id="174"/>
      <w:bookmarkEnd w:id="175"/>
      <w:bookmarkEnd w:id="176"/>
      <w:bookmarkEnd w:id="177"/>
      <w:bookmarkEnd w:id="17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本合同中的下列词语应按以下内容进行解释：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 “合同”系指采购人和成交供应商签订的载明双方当事人所达成的协议，并包括所有的附件、附录和构成合同的其他文件。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2.1.2 “合同价”系指根据合同约定，中标或成交供应商在完全履行合同义务后，采购人应支付给中标或成交供应商的价格。</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2.1.3 “服务”系指中标或成交供应商根据合同约定应向采购人履行的除货物和工程以外的其他政府采购对象，包括采购人自身需要的服务和向社会公众提供的公共服务。</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2.1.4 “甲方”系指与中标或成交供应商签署合同的采购人；采购人委托采购代理机构代表其与乙方签订合同的，采购人的授权委托书作为合同附件。</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2.1.5 “乙方”系指根据合同约定提供服务的中标或成交供应商；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2.1.6 “现场”系指合同约定提供服务的地点。</w:t>
      </w:r>
    </w:p>
    <w:p>
      <w:pPr>
        <w:spacing w:line="360" w:lineRule="auto"/>
        <w:ind w:firstLine="422" w:firstLineChars="200"/>
        <w:rPr>
          <w:rFonts w:hint="eastAsia" w:ascii="宋体" w:hAnsi="宋体" w:eastAsia="宋体" w:cs="宋体"/>
          <w:b/>
          <w:sz w:val="21"/>
          <w:szCs w:val="21"/>
        </w:rPr>
      </w:pPr>
      <w:bookmarkStart w:id="179" w:name="_Toc16752"/>
      <w:bookmarkStart w:id="180" w:name="_Toc19539"/>
      <w:bookmarkStart w:id="181" w:name="_Toc31402"/>
      <w:bookmarkStart w:id="182" w:name="_Toc23289"/>
      <w:bookmarkStart w:id="183" w:name="_Toc3769"/>
      <w:r>
        <w:rPr>
          <w:rFonts w:hint="eastAsia" w:ascii="宋体" w:hAnsi="宋体" w:eastAsia="宋体" w:cs="宋体"/>
          <w:b/>
          <w:sz w:val="21"/>
          <w:szCs w:val="21"/>
        </w:rPr>
        <w:t>2.2 技术规范</w:t>
      </w:r>
      <w:bookmarkEnd w:id="179"/>
      <w:bookmarkEnd w:id="180"/>
      <w:bookmarkEnd w:id="181"/>
      <w:bookmarkEnd w:id="182"/>
      <w:bookmarkEnd w:id="183"/>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22" w:firstLineChars="200"/>
        <w:rPr>
          <w:rFonts w:hint="eastAsia" w:ascii="宋体" w:hAnsi="宋体" w:eastAsia="宋体" w:cs="宋体"/>
          <w:b/>
          <w:sz w:val="21"/>
          <w:szCs w:val="21"/>
        </w:rPr>
      </w:pPr>
      <w:bookmarkStart w:id="184" w:name="_Toc13673"/>
      <w:bookmarkStart w:id="185" w:name="_Toc4133"/>
      <w:bookmarkStart w:id="186" w:name="_Toc9161"/>
      <w:bookmarkStart w:id="187" w:name="_Toc12412"/>
      <w:bookmarkStart w:id="188" w:name="_Toc27945"/>
      <w:r>
        <w:rPr>
          <w:rFonts w:hint="eastAsia" w:ascii="宋体" w:hAnsi="宋体" w:eastAsia="宋体" w:cs="宋体"/>
          <w:b/>
          <w:sz w:val="21"/>
          <w:szCs w:val="21"/>
        </w:rPr>
        <w:t>2.3 知识产权</w:t>
      </w:r>
      <w:bookmarkEnd w:id="184"/>
      <w:bookmarkEnd w:id="185"/>
      <w:bookmarkEnd w:id="186"/>
      <w:bookmarkEnd w:id="187"/>
      <w:bookmarkEnd w:id="18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2.3.1 乙方应保证其提供的服务不受任何第三方提出的侵犯其著作权、商标权、专利权等知识产权方面的起诉；如果任何第三方提出侵权指控，那么乙方须与该第三方交涉并承担由此发生的一切责任、费用和赔偿，乙方还应及时澄清相关信息，使甲方声誉免受损害，甲方保留追责的权利。</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2.3.2 合同涉及技术成果的归属和收益的分成办法的，详见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2.4 履约检查和问题反馈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2.4.1甲方有权在其认为必要时，对乙方是否能够按照合同约定提供服务进行履约检查，以确保乙方所提供的服务能够依约满足甲方之项目需求，但不得因履约检查妨碍乙方的正常工作，乙方应予积极配合；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2.4.2 合同履行期间，甲方有权将履行过程中出现的问题反馈给乙方，双方当事人应以书面形式约定需要完善和改进的内容。</w:t>
      </w:r>
    </w:p>
    <w:p>
      <w:pPr>
        <w:spacing w:line="360" w:lineRule="auto"/>
        <w:ind w:firstLine="422" w:firstLineChars="200"/>
        <w:rPr>
          <w:rFonts w:hint="eastAsia" w:ascii="宋体" w:hAnsi="宋体" w:eastAsia="宋体" w:cs="宋体"/>
          <w:b/>
          <w:sz w:val="21"/>
          <w:szCs w:val="21"/>
        </w:rPr>
      </w:pPr>
      <w:bookmarkStart w:id="189" w:name="_Toc31233"/>
      <w:bookmarkStart w:id="190" w:name="_Toc32670"/>
      <w:bookmarkStart w:id="191" w:name="_Toc22011"/>
      <w:bookmarkStart w:id="192" w:name="_Toc26555"/>
      <w:bookmarkStart w:id="193" w:name="_Toc15447"/>
      <w:r>
        <w:rPr>
          <w:rFonts w:hint="eastAsia" w:ascii="宋体" w:hAnsi="宋体" w:eastAsia="宋体" w:cs="宋体"/>
          <w:b/>
          <w:sz w:val="21"/>
          <w:szCs w:val="21"/>
        </w:rPr>
        <w:t>2.5 结算方式和付款条件</w:t>
      </w:r>
      <w:bookmarkEnd w:id="189"/>
      <w:bookmarkEnd w:id="190"/>
      <w:bookmarkEnd w:id="191"/>
      <w:bookmarkEnd w:id="192"/>
      <w:bookmarkEnd w:id="193"/>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bookmarkStart w:id="194" w:name="_Toc16163"/>
      <w:bookmarkStart w:id="195" w:name="_Toc13467"/>
      <w:bookmarkStart w:id="196" w:name="_Toc13154"/>
      <w:bookmarkStart w:id="197" w:name="_Toc18990"/>
      <w:bookmarkStart w:id="198" w:name="_Toc30507"/>
      <w:r>
        <w:rPr>
          <w:rFonts w:hint="eastAsia" w:ascii="宋体" w:hAnsi="宋体" w:eastAsia="宋体" w:cs="宋体"/>
          <w:b/>
          <w:sz w:val="21"/>
          <w:szCs w:val="21"/>
        </w:rPr>
        <w:t>2.6 技术资料和保密义务</w:t>
      </w:r>
      <w:bookmarkEnd w:id="194"/>
      <w:bookmarkEnd w:id="195"/>
      <w:bookmarkEnd w:id="196"/>
      <w:bookmarkEnd w:id="197"/>
      <w:bookmarkEnd w:id="198"/>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2.6.1 乙方有权依据合同约定和项目需要，向甲方了解有关情况，调阅有关资料等，甲方应予积极配合；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2.6.2 乙方有义务妥善保管和保护由甲方提供的前款信息和资料等；</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22" w:firstLineChars="200"/>
        <w:rPr>
          <w:rFonts w:hint="eastAsia" w:ascii="宋体" w:hAnsi="宋体" w:eastAsia="宋体" w:cs="宋体"/>
          <w:b/>
          <w:sz w:val="21"/>
          <w:szCs w:val="21"/>
        </w:rPr>
      </w:pPr>
      <w:bookmarkStart w:id="199" w:name="_Toc19069"/>
      <w:r>
        <w:rPr>
          <w:rFonts w:hint="eastAsia" w:ascii="宋体" w:hAnsi="宋体" w:eastAsia="宋体" w:cs="宋体"/>
          <w:b/>
          <w:sz w:val="21"/>
          <w:szCs w:val="21"/>
        </w:rPr>
        <w:t>2.7 质量保证</w:t>
      </w:r>
      <w:bookmarkEnd w:id="199"/>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2.7.1 乙方应建立和完善履行合同的内部质量保证体系，并提供相关内部规章制度给甲方，以便甲方进行监督检查；</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2.7.2 乙方应保证履行合同的人员数量和素质、软件和硬件设备的配置、场地、环境和设施等满足全面履行合同的要求，并应接受甲方的监督检查。</w:t>
      </w:r>
    </w:p>
    <w:p>
      <w:pPr>
        <w:spacing w:line="360" w:lineRule="auto"/>
        <w:ind w:firstLine="422" w:firstLineChars="200"/>
        <w:rPr>
          <w:rFonts w:hint="eastAsia" w:ascii="宋体" w:hAnsi="宋体" w:eastAsia="宋体" w:cs="宋体"/>
          <w:b/>
          <w:sz w:val="21"/>
          <w:szCs w:val="21"/>
        </w:rPr>
      </w:pPr>
      <w:bookmarkStart w:id="200" w:name="_Toc22267"/>
      <w:r>
        <w:rPr>
          <w:rFonts w:hint="eastAsia" w:ascii="宋体" w:hAnsi="宋体" w:eastAsia="宋体" w:cs="宋体"/>
          <w:b/>
          <w:sz w:val="21"/>
          <w:szCs w:val="21"/>
        </w:rPr>
        <w:t>2.8 延迟履行</w:t>
      </w:r>
      <w:bookmarkEnd w:id="200"/>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甲乙双方签订合同后，乙方应按照合同约定履行合同义务，除不可抗力外，乙方不得延迟履行。在合同履行过程中，如果因不可抗力，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22" w:firstLineChars="200"/>
        <w:rPr>
          <w:rFonts w:hint="eastAsia" w:ascii="宋体" w:hAnsi="宋体" w:eastAsia="宋体" w:cs="宋体"/>
          <w:b/>
          <w:sz w:val="21"/>
          <w:szCs w:val="21"/>
        </w:rPr>
      </w:pPr>
      <w:bookmarkStart w:id="201" w:name="_Toc10611"/>
      <w:r>
        <w:rPr>
          <w:rFonts w:hint="eastAsia" w:ascii="宋体" w:hAnsi="宋体" w:eastAsia="宋体" w:cs="宋体"/>
          <w:b/>
          <w:sz w:val="21"/>
          <w:szCs w:val="21"/>
        </w:rPr>
        <w:t>2.9 合同变更</w:t>
      </w:r>
      <w:bookmarkEnd w:id="201"/>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合同继续履行将损害国家利益和社会公共利益的，双方当事人应当以书面形式变更合同。有过错的一方应当承担赔偿责任，双方当事人都有过错的，各自承担相应的责任。</w:t>
      </w:r>
    </w:p>
    <w:p>
      <w:pPr>
        <w:spacing w:line="360" w:lineRule="auto"/>
        <w:ind w:firstLine="422" w:firstLineChars="200"/>
        <w:rPr>
          <w:rFonts w:hint="eastAsia" w:ascii="宋体" w:hAnsi="宋体" w:eastAsia="宋体" w:cs="宋体"/>
          <w:b/>
          <w:sz w:val="21"/>
          <w:szCs w:val="21"/>
        </w:rPr>
      </w:pPr>
      <w:bookmarkStart w:id="202" w:name="_Toc42"/>
      <w:bookmarkStart w:id="203" w:name="_Toc21830"/>
      <w:bookmarkStart w:id="204" w:name="_Toc10663"/>
      <w:bookmarkStart w:id="205" w:name="_Toc26689"/>
      <w:bookmarkStart w:id="206" w:name="_Toc23368"/>
      <w:r>
        <w:rPr>
          <w:rFonts w:hint="eastAsia" w:ascii="宋体" w:hAnsi="宋体" w:eastAsia="宋体" w:cs="宋体"/>
          <w:b/>
          <w:sz w:val="21"/>
          <w:szCs w:val="21"/>
        </w:rPr>
        <w:t>2.10 合同转让和分包</w:t>
      </w:r>
      <w:bookmarkEnd w:id="202"/>
      <w:bookmarkEnd w:id="203"/>
      <w:bookmarkEnd w:id="204"/>
      <w:bookmarkEnd w:id="205"/>
      <w:bookmarkEnd w:id="20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22" w:firstLineChars="200"/>
        <w:rPr>
          <w:rFonts w:hint="eastAsia" w:ascii="宋体" w:hAnsi="宋体" w:eastAsia="宋体" w:cs="宋体"/>
          <w:b/>
          <w:sz w:val="21"/>
          <w:szCs w:val="21"/>
        </w:rPr>
      </w:pPr>
      <w:bookmarkStart w:id="207" w:name="_Toc14371"/>
      <w:bookmarkStart w:id="208" w:name="_Toc32494"/>
      <w:bookmarkStart w:id="209" w:name="_Toc26633"/>
      <w:bookmarkStart w:id="210" w:name="_Toc25571"/>
      <w:bookmarkStart w:id="211" w:name="_Toc4720"/>
      <w:r>
        <w:rPr>
          <w:rFonts w:hint="eastAsia" w:ascii="宋体" w:hAnsi="宋体" w:eastAsia="宋体" w:cs="宋体"/>
          <w:b/>
          <w:sz w:val="21"/>
          <w:szCs w:val="21"/>
        </w:rPr>
        <w:t>2.11 不可抗力</w:t>
      </w:r>
      <w:bookmarkEnd w:id="207"/>
      <w:bookmarkEnd w:id="208"/>
      <w:bookmarkEnd w:id="209"/>
      <w:bookmarkEnd w:id="210"/>
      <w:bookmarkEnd w:id="211"/>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2.11.1如果任何一方遭遇法律规定的不可抗力，致使合同履行受阻时，履行合同的期限应予延长，延长的期限应相当于不可抗力所影响的时间；</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2.11.2 因不可抗力致使不能实现合同目的的，当事人可以解除合同；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2.11.3 因不可抗力致使合同有变更必要的，双方当事人应在</w:t>
      </w:r>
      <w:r>
        <w:rPr>
          <w:rFonts w:hint="eastAsia" w:ascii="宋体" w:hAnsi="宋体" w:eastAsia="宋体" w:cs="宋体"/>
          <w:b/>
          <w:sz w:val="21"/>
          <w:szCs w:val="21"/>
          <w:u w:val="single"/>
        </w:rPr>
        <w:t>合同专用条款</w:t>
      </w:r>
      <w:r>
        <w:rPr>
          <w:rFonts w:hint="eastAsia" w:ascii="宋体" w:hAnsi="宋体" w:eastAsia="宋体" w:cs="宋体"/>
          <w:sz w:val="21"/>
          <w:szCs w:val="21"/>
        </w:rPr>
        <w:t>约定时间内以书面形式变更合同；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2.11.4受不可抗力影响的一方在不可抗力发生后，应在</w:t>
      </w:r>
      <w:r>
        <w:rPr>
          <w:rFonts w:hint="eastAsia" w:ascii="宋体" w:hAnsi="宋体" w:eastAsia="宋体" w:cs="宋体"/>
          <w:b/>
          <w:sz w:val="21"/>
          <w:szCs w:val="21"/>
          <w:u w:val="single"/>
        </w:rPr>
        <w:t>合同专用条款</w:t>
      </w:r>
      <w:r>
        <w:rPr>
          <w:rFonts w:hint="eastAsia" w:ascii="宋体" w:hAnsi="宋体" w:eastAsia="宋体" w:cs="宋体"/>
          <w:sz w:val="21"/>
          <w:szCs w:val="21"/>
        </w:rPr>
        <w:t>约定时间内以书面形式通知对方当事人，并在</w:t>
      </w:r>
      <w:r>
        <w:rPr>
          <w:rFonts w:hint="eastAsia" w:ascii="宋体" w:hAnsi="宋体" w:eastAsia="宋体" w:cs="宋体"/>
          <w:b/>
          <w:sz w:val="21"/>
          <w:szCs w:val="21"/>
          <w:u w:val="single"/>
        </w:rPr>
        <w:t>合同专用条款</w:t>
      </w:r>
      <w:r>
        <w:rPr>
          <w:rFonts w:hint="eastAsia" w:ascii="宋体" w:hAnsi="宋体" w:eastAsia="宋体" w:cs="宋体"/>
          <w:sz w:val="21"/>
          <w:szCs w:val="21"/>
        </w:rPr>
        <w:t>约定时间内，将有关部门出具的证明文件送达对方当事人。</w:t>
      </w:r>
    </w:p>
    <w:p>
      <w:pPr>
        <w:spacing w:line="360" w:lineRule="auto"/>
        <w:ind w:firstLine="422" w:firstLineChars="200"/>
        <w:rPr>
          <w:rFonts w:hint="eastAsia" w:ascii="宋体" w:hAnsi="宋体" w:eastAsia="宋体" w:cs="宋体"/>
          <w:b/>
          <w:sz w:val="21"/>
          <w:szCs w:val="21"/>
        </w:rPr>
      </w:pPr>
      <w:bookmarkStart w:id="212" w:name="_Toc3638"/>
      <w:bookmarkStart w:id="213" w:name="_Toc14115"/>
      <w:bookmarkStart w:id="214" w:name="_Toc25783"/>
      <w:bookmarkStart w:id="215" w:name="_Toc24465"/>
      <w:bookmarkStart w:id="216" w:name="_Toc23854"/>
      <w:r>
        <w:rPr>
          <w:rFonts w:hint="eastAsia" w:ascii="宋体" w:hAnsi="宋体" w:eastAsia="宋体" w:cs="宋体"/>
          <w:b/>
          <w:sz w:val="21"/>
          <w:szCs w:val="21"/>
        </w:rPr>
        <w:t>2.12 税费</w:t>
      </w:r>
      <w:bookmarkEnd w:id="212"/>
      <w:bookmarkEnd w:id="213"/>
      <w:bookmarkEnd w:id="214"/>
      <w:bookmarkEnd w:id="215"/>
      <w:bookmarkEnd w:id="216"/>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与合同有关的一切税费，均按照中华人民共和国法律的相关规定缴纳。</w:t>
      </w:r>
    </w:p>
    <w:p>
      <w:pPr>
        <w:spacing w:line="360" w:lineRule="auto"/>
        <w:ind w:firstLine="422" w:firstLineChars="200"/>
        <w:rPr>
          <w:rFonts w:hint="eastAsia" w:ascii="宋体" w:hAnsi="宋体" w:eastAsia="宋体" w:cs="宋体"/>
          <w:b/>
          <w:sz w:val="21"/>
          <w:szCs w:val="21"/>
        </w:rPr>
      </w:pPr>
      <w:bookmarkStart w:id="217" w:name="_Toc30105"/>
      <w:bookmarkStart w:id="218" w:name="_Toc7315"/>
      <w:bookmarkStart w:id="219" w:name="_Toc26883"/>
      <w:bookmarkStart w:id="220" w:name="_Toc14814"/>
      <w:bookmarkStart w:id="221" w:name="_Toc25525"/>
      <w:r>
        <w:rPr>
          <w:rFonts w:hint="eastAsia" w:ascii="宋体" w:hAnsi="宋体" w:eastAsia="宋体" w:cs="宋体"/>
          <w:b/>
          <w:sz w:val="21"/>
          <w:szCs w:val="21"/>
        </w:rPr>
        <w:t>2.13 乙方破产</w:t>
      </w:r>
      <w:bookmarkEnd w:id="217"/>
      <w:bookmarkEnd w:id="218"/>
      <w:bookmarkEnd w:id="219"/>
      <w:bookmarkEnd w:id="220"/>
      <w:bookmarkEnd w:id="221"/>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22" w:firstLineChars="200"/>
        <w:rPr>
          <w:rFonts w:hint="eastAsia" w:ascii="宋体" w:hAnsi="宋体" w:eastAsia="宋体" w:cs="宋体"/>
          <w:b/>
          <w:sz w:val="21"/>
          <w:szCs w:val="21"/>
        </w:rPr>
      </w:pPr>
      <w:bookmarkStart w:id="222" w:name="_Toc2016"/>
      <w:bookmarkStart w:id="223" w:name="_Toc23323"/>
      <w:bookmarkStart w:id="224" w:name="_Toc1123"/>
      <w:r>
        <w:rPr>
          <w:rFonts w:hint="eastAsia" w:ascii="宋体" w:hAnsi="宋体" w:eastAsia="宋体" w:cs="宋体"/>
          <w:b/>
          <w:sz w:val="21"/>
          <w:szCs w:val="21"/>
        </w:rPr>
        <w:t>2.14 合同中止、终止</w:t>
      </w:r>
      <w:bookmarkEnd w:id="222"/>
      <w:bookmarkEnd w:id="223"/>
      <w:bookmarkEnd w:id="224"/>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2.14.1 双方当事人不得擅自中止或者终止合同；</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22" w:firstLineChars="200"/>
        <w:rPr>
          <w:rFonts w:hint="eastAsia" w:ascii="宋体" w:hAnsi="宋体" w:eastAsia="宋体" w:cs="宋体"/>
          <w:b/>
          <w:sz w:val="21"/>
          <w:szCs w:val="21"/>
        </w:rPr>
      </w:pPr>
      <w:bookmarkStart w:id="225" w:name="_Toc1969"/>
      <w:bookmarkStart w:id="226" w:name="_Toc17363"/>
      <w:bookmarkStart w:id="227" w:name="_Toc14525"/>
      <w:r>
        <w:rPr>
          <w:rFonts w:hint="eastAsia" w:ascii="宋体" w:hAnsi="宋体" w:eastAsia="宋体" w:cs="宋体"/>
          <w:b/>
          <w:sz w:val="21"/>
          <w:szCs w:val="21"/>
        </w:rPr>
        <w:t>2.15 检验和验收</w:t>
      </w:r>
      <w:bookmarkEnd w:id="225"/>
      <w:bookmarkEnd w:id="226"/>
      <w:bookmarkEnd w:id="227"/>
    </w:p>
    <w:p>
      <w:pPr>
        <w:tabs>
          <w:tab w:val="left" w:pos="360"/>
          <w:tab w:val="left" w:pos="540"/>
          <w:tab w:val="left" w:pos="108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2.15.1 乙方按照</w:t>
      </w:r>
      <w:r>
        <w:rPr>
          <w:rFonts w:hint="eastAsia" w:ascii="宋体" w:hAnsi="宋体" w:eastAsia="宋体" w:cs="宋体"/>
          <w:b/>
          <w:sz w:val="21"/>
          <w:szCs w:val="21"/>
          <w:u w:val="single"/>
        </w:rPr>
        <w:t>合同专用条款</w:t>
      </w:r>
      <w:r>
        <w:rPr>
          <w:rFonts w:hint="eastAsia" w:ascii="宋体" w:hAnsi="宋体" w:eastAsia="宋体" w:cs="宋体"/>
          <w:sz w:val="21"/>
          <w:szCs w:val="21"/>
        </w:rPr>
        <w:t>的约定，定期提交服务报告，甲方按照</w:t>
      </w:r>
      <w:r>
        <w:rPr>
          <w:rFonts w:hint="eastAsia" w:ascii="宋体" w:hAnsi="宋体" w:eastAsia="宋体" w:cs="宋体"/>
          <w:b/>
          <w:sz w:val="21"/>
          <w:szCs w:val="21"/>
          <w:u w:val="single"/>
        </w:rPr>
        <w:t>合同专用条款</w:t>
      </w:r>
      <w:r>
        <w:rPr>
          <w:rFonts w:hint="eastAsia" w:ascii="宋体" w:hAnsi="宋体" w:eastAsia="宋体" w:cs="宋体"/>
          <w:sz w:val="21"/>
          <w:szCs w:val="21"/>
        </w:rPr>
        <w:t>的约定进行定期验收；</w:t>
      </w:r>
    </w:p>
    <w:p>
      <w:pPr>
        <w:tabs>
          <w:tab w:val="left" w:pos="360"/>
          <w:tab w:val="left" w:pos="540"/>
          <w:tab w:val="left" w:pos="108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tabs>
          <w:tab w:val="left" w:pos="360"/>
          <w:tab w:val="left" w:pos="540"/>
          <w:tab w:val="left" w:pos="1080"/>
        </w:tabs>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2.15.3 检验和验收标准、程序等具体内容以及前述验收书的效力详见</w:t>
      </w:r>
      <w:r>
        <w:rPr>
          <w:rFonts w:hint="eastAsia" w:ascii="宋体" w:hAnsi="宋体" w:eastAsia="宋体" w:cs="宋体"/>
          <w:b/>
          <w:sz w:val="21"/>
          <w:szCs w:val="21"/>
          <w:u w:val="single"/>
        </w:rPr>
        <w:t>合同专用条款</w:t>
      </w:r>
      <w:r>
        <w:rPr>
          <w:rFonts w:hint="eastAsia" w:ascii="宋体" w:hAnsi="宋体" w:eastAsia="宋体" w:cs="宋体"/>
          <w:sz w:val="21"/>
          <w:szCs w:val="21"/>
        </w:rPr>
        <w:t>。</w:t>
      </w:r>
    </w:p>
    <w:p>
      <w:pPr>
        <w:spacing w:line="360" w:lineRule="auto"/>
        <w:ind w:firstLine="422" w:firstLineChars="200"/>
        <w:rPr>
          <w:rFonts w:hint="eastAsia" w:ascii="宋体" w:hAnsi="宋体" w:eastAsia="宋体" w:cs="宋体"/>
          <w:b/>
          <w:sz w:val="21"/>
          <w:szCs w:val="21"/>
        </w:rPr>
      </w:pPr>
      <w:bookmarkStart w:id="228" w:name="_Toc2308"/>
      <w:bookmarkStart w:id="229" w:name="_Toc12666"/>
      <w:bookmarkStart w:id="230" w:name="_Toc9808"/>
      <w:bookmarkStart w:id="231" w:name="_Toc25198"/>
      <w:bookmarkStart w:id="232" w:name="_Toc31892"/>
      <w:r>
        <w:rPr>
          <w:rFonts w:hint="eastAsia" w:ascii="宋体" w:hAnsi="宋体" w:eastAsia="宋体" w:cs="宋体"/>
          <w:b/>
          <w:sz w:val="21"/>
          <w:szCs w:val="21"/>
        </w:rPr>
        <w:t>2.16 通知和送达</w:t>
      </w:r>
      <w:bookmarkEnd w:id="228"/>
      <w:bookmarkEnd w:id="229"/>
      <w:bookmarkEnd w:id="230"/>
      <w:bookmarkEnd w:id="231"/>
      <w:bookmarkEnd w:id="232"/>
    </w:p>
    <w:p>
      <w:pPr>
        <w:spacing w:line="360" w:lineRule="auto"/>
        <w:ind w:firstLine="420" w:firstLineChars="200"/>
        <w:rPr>
          <w:rFonts w:hint="eastAsia" w:ascii="宋体" w:hAnsi="宋体" w:eastAsia="宋体" w:cs="宋体"/>
          <w:sz w:val="21"/>
          <w:szCs w:val="21"/>
        </w:rPr>
      </w:pPr>
      <w:bookmarkStart w:id="233" w:name="_Toc27674"/>
      <w:bookmarkStart w:id="234" w:name="_Toc18401"/>
      <w:r>
        <w:rPr>
          <w:rFonts w:hint="eastAsia" w:ascii="宋体" w:hAnsi="宋体" w:eastAsia="宋体" w:cs="宋体"/>
          <w:sz w:val="21"/>
          <w:szCs w:val="21"/>
        </w:rPr>
        <w:t xml:space="preserve">2.17.1任何一方因履行合同而以合同第一部分尾部所列明的传真或电子邮件 </w:t>
      </w:r>
      <w:r>
        <w:rPr>
          <w:rFonts w:hint="eastAsia" w:ascii="宋体" w:hAnsi="宋体" w:eastAsia="宋体" w:cs="宋体"/>
          <w:sz w:val="21"/>
          <w:szCs w:val="21"/>
          <w:u w:val="single"/>
        </w:rPr>
        <w:t xml:space="preserve">       </w:t>
      </w:r>
      <w:r>
        <w:rPr>
          <w:rFonts w:hint="eastAsia" w:ascii="宋体" w:hAnsi="宋体" w:eastAsia="宋体" w:cs="宋体"/>
          <w:sz w:val="21"/>
          <w:szCs w:val="21"/>
        </w:rPr>
        <w:t>发出的所有通知、文件、材料，均视为已向对方当事人送达；任何一方变更上述送达方式或者地址的，应于</w:t>
      </w:r>
      <w:r>
        <w:rPr>
          <w:rFonts w:hint="eastAsia" w:ascii="宋体" w:hAnsi="宋体" w:eastAsia="宋体" w:cs="宋体"/>
          <w:sz w:val="21"/>
          <w:szCs w:val="21"/>
          <w:u w:val="single"/>
        </w:rPr>
        <w:t>3</w:t>
      </w:r>
      <w:r>
        <w:rPr>
          <w:rFonts w:hint="eastAsia" w:ascii="宋体" w:hAnsi="宋体" w:eastAsia="宋体" w:cs="宋体"/>
          <w:sz w:val="21"/>
          <w:szCs w:val="21"/>
        </w:rPr>
        <w:t>个工作日内书面通知对方当事人，在对方当事人收到有关变更通知之前，变更前的约定送达方式或者地址仍视为有效。</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2.17.2以当面交付方式送达的，交付之时视为送达；以电子邮件方式送达的，发出电子邮件之时视为送达；以传真方式送达的，发出传真之时视为送达；以邮寄方式送达的，邮件挂号寄出或者交邮之日之次日视为送达。</w:t>
      </w:r>
      <w:bookmarkEnd w:id="233"/>
      <w:bookmarkEnd w:id="234"/>
    </w:p>
    <w:p>
      <w:pPr>
        <w:spacing w:line="360" w:lineRule="auto"/>
        <w:ind w:firstLine="422" w:firstLineChars="200"/>
        <w:rPr>
          <w:rFonts w:hint="eastAsia" w:ascii="宋体" w:hAnsi="宋体" w:eastAsia="宋体" w:cs="宋体"/>
          <w:b/>
          <w:sz w:val="21"/>
          <w:szCs w:val="21"/>
        </w:rPr>
      </w:pPr>
      <w:bookmarkStart w:id="235" w:name="_Toc27644"/>
      <w:bookmarkStart w:id="236" w:name="_Toc5063"/>
      <w:bookmarkStart w:id="237" w:name="_Toc20808"/>
      <w:bookmarkStart w:id="238" w:name="_Toc28906"/>
      <w:bookmarkStart w:id="239" w:name="_Toc12254"/>
      <w:r>
        <w:rPr>
          <w:rFonts w:hint="eastAsia" w:ascii="宋体" w:hAnsi="宋体" w:eastAsia="宋体" w:cs="宋体"/>
          <w:b/>
          <w:sz w:val="21"/>
          <w:szCs w:val="21"/>
        </w:rPr>
        <w:t>2.17 合同使用的文字和适用的法律</w:t>
      </w:r>
      <w:bookmarkEnd w:id="235"/>
      <w:bookmarkEnd w:id="236"/>
      <w:bookmarkEnd w:id="237"/>
      <w:bookmarkEnd w:id="238"/>
      <w:bookmarkEnd w:id="239"/>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2.17.1 合同使用汉语书就、变更和解释；</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2.17.2 合同适用中华人民共和国法律。</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2.18 计量单位</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除技术规范中另有规定外,合同的计量单位均使用国家法定计量单位。</w:t>
      </w:r>
    </w:p>
    <w:p>
      <w:pPr>
        <w:spacing w:line="360" w:lineRule="auto"/>
        <w:ind w:firstLine="422" w:firstLineChars="200"/>
        <w:rPr>
          <w:rFonts w:hint="eastAsia" w:ascii="宋体" w:hAnsi="宋体" w:eastAsia="宋体" w:cs="宋体"/>
          <w:b/>
          <w:sz w:val="21"/>
          <w:szCs w:val="21"/>
        </w:rPr>
      </w:pPr>
      <w:r>
        <w:rPr>
          <w:rFonts w:hint="eastAsia" w:ascii="宋体" w:hAnsi="宋体" w:eastAsia="宋体" w:cs="宋体"/>
          <w:b/>
          <w:sz w:val="21"/>
          <w:szCs w:val="21"/>
        </w:rPr>
        <w:t>2.19合同份数</w:t>
      </w:r>
    </w:p>
    <w:p>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合同份数按</w:t>
      </w:r>
      <w:r>
        <w:rPr>
          <w:rFonts w:hint="eastAsia" w:ascii="宋体" w:hAnsi="宋体" w:eastAsia="宋体" w:cs="宋体"/>
          <w:b/>
          <w:sz w:val="21"/>
          <w:szCs w:val="21"/>
          <w:u w:val="single"/>
        </w:rPr>
        <w:t>合同专用条款</w:t>
      </w:r>
      <w:r>
        <w:rPr>
          <w:rFonts w:hint="eastAsia" w:ascii="宋体" w:hAnsi="宋体" w:eastAsia="宋体" w:cs="宋体"/>
          <w:sz w:val="21"/>
          <w:szCs w:val="21"/>
        </w:rPr>
        <w:t>规定，每份均具有同等法律效力。</w:t>
      </w:r>
    </w:p>
    <w:p>
      <w:pPr>
        <w:spacing w:line="360" w:lineRule="auto"/>
        <w:jc w:val="center"/>
        <w:outlineLvl w:val="1"/>
        <w:rPr>
          <w:rFonts w:hint="eastAsia" w:ascii="宋体" w:hAnsi="宋体" w:eastAsia="宋体" w:cs="宋体"/>
          <w:b/>
          <w:sz w:val="21"/>
          <w:szCs w:val="21"/>
        </w:rPr>
      </w:pPr>
      <w:r>
        <w:rPr>
          <w:rFonts w:hint="eastAsia" w:ascii="宋体" w:hAnsi="宋体" w:eastAsia="宋体" w:cs="宋体"/>
          <w:kern w:val="0"/>
          <w:szCs w:val="21"/>
        </w:rPr>
        <w:br w:type="page"/>
      </w:r>
      <w:r>
        <w:rPr>
          <w:rFonts w:hint="eastAsia" w:ascii="宋体" w:hAnsi="宋体" w:eastAsia="宋体" w:cs="宋体"/>
          <w:b/>
          <w:sz w:val="21"/>
          <w:szCs w:val="21"/>
        </w:rPr>
        <w:t>第三节 合同专用条款</w:t>
      </w:r>
    </w:p>
    <w:p>
      <w:pPr>
        <w:spacing w:line="360" w:lineRule="auto"/>
        <w:ind w:left="-420" w:leftChars="-200" w:right="-420" w:rightChars="-200" w:firstLine="420" w:firstLineChars="200"/>
        <w:rPr>
          <w:rFonts w:hint="eastAsia" w:ascii="宋体" w:hAnsi="宋体" w:eastAsia="宋体" w:cs="宋体"/>
          <w:szCs w:val="21"/>
        </w:rPr>
      </w:pPr>
      <w:r>
        <w:rPr>
          <w:rFonts w:hint="eastAsia" w:ascii="宋体" w:hAnsi="宋体" w:eastAsia="宋体" w:cs="宋体"/>
          <w:sz w:val="21"/>
          <w:szCs w:val="21"/>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23"/>
        <w:tblW w:w="5088"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3"/>
        <w:gridCol w:w="889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条款号</w:t>
            </w:r>
          </w:p>
        </w:tc>
        <w:tc>
          <w:tcPr>
            <w:tcW w:w="4506" w:type="pct"/>
            <w:vAlign w:val="center"/>
          </w:tcPr>
          <w:p>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1.3.2</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签订合同时约定。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1.4.2</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履约保证金支付方式：本项目不要求履约保证金。</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1.5.1 </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kern w:val="0"/>
                <w:sz w:val="21"/>
                <w:szCs w:val="21"/>
              </w:rPr>
              <w:t>预付款比例、支付方式、时间： 签订合同后，待资金到位后10个工作日内甲方一次性向乙方支付合同价款的30%预付款。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01"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1.5.2</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预付款的扣回方式：无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1.5.3 </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预付款的担保措施：无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1.6.2</w:t>
            </w:r>
          </w:p>
        </w:tc>
        <w:tc>
          <w:tcPr>
            <w:tcW w:w="4506" w:type="pct"/>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资金支付的方式、时间和条件：。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1.7.1</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 服务交付（实施）的时间（期限）：202</w:t>
            </w:r>
            <w:r>
              <w:rPr>
                <w:rFonts w:hint="eastAsia" w:ascii="宋体" w:hAnsi="宋体" w:eastAsia="宋体" w:cs="宋体"/>
                <w:sz w:val="21"/>
                <w:szCs w:val="21"/>
                <w:lang w:val="en-US" w:eastAsia="zh-CN"/>
              </w:rPr>
              <w:t>6</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月</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日前完成。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1.7.2</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服务交付（实施）的地点（地域范围）：</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1.7.3</w:t>
            </w:r>
          </w:p>
        </w:tc>
        <w:tc>
          <w:tcPr>
            <w:tcW w:w="4506" w:type="pct"/>
            <w:vAlign w:val="center"/>
          </w:tcPr>
          <w:p>
            <w:pPr>
              <w:spacing w:line="360" w:lineRule="auto"/>
              <w:rPr>
                <w:rFonts w:hint="eastAsia" w:ascii="宋体" w:hAnsi="宋体" w:eastAsia="宋体" w:cs="宋体"/>
                <w:sz w:val="21"/>
                <w:szCs w:val="21"/>
                <w:lang w:eastAsia="zh-CN"/>
              </w:rPr>
            </w:pPr>
            <w:r>
              <w:rPr>
                <w:rFonts w:hint="eastAsia" w:ascii="宋体" w:hAnsi="宋体" w:eastAsia="宋体" w:cs="宋体"/>
                <w:sz w:val="21"/>
                <w:szCs w:val="21"/>
              </w:rPr>
              <w:t>服务交付（实施）的方式：</w:t>
            </w:r>
            <w:r>
              <w:rPr>
                <w:rFonts w:hint="eastAsia" w:ascii="宋体" w:hAnsi="宋体" w:eastAsia="宋体" w:cs="宋体"/>
                <w:sz w:val="21"/>
                <w:szCs w:val="21"/>
                <w:lang w:val="en-US" w:eastAsia="zh-CN"/>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61"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1.7.4.1</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交付期限：/。</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1.7.4.2</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交付地点：/。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1.7.4.3</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交付方式：/。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1.8.7</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违约责任无特别约定。</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1.9.1</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将争议提交项目当地裁委员会依申请仲裁时其现行有效的仲裁规则裁决；</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1.9.2</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向项目所在地人民法院起诉。</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2.3.2</w:t>
            </w:r>
          </w:p>
        </w:tc>
        <w:tc>
          <w:tcPr>
            <w:tcW w:w="4506" w:type="pct"/>
            <w:vAlign w:val="center"/>
          </w:tcPr>
          <w:p>
            <w:pPr>
              <w:spacing w:line="360" w:lineRule="auto"/>
              <w:ind w:left="-420" w:leftChars="-200" w:right="-420" w:rightChars="-200" w:firstLine="420" w:firstLineChars="200"/>
              <w:rPr>
                <w:rFonts w:hint="eastAsia" w:ascii="宋体" w:hAnsi="宋体" w:eastAsia="宋体" w:cs="宋体"/>
                <w:sz w:val="21"/>
                <w:szCs w:val="21"/>
              </w:rPr>
            </w:pPr>
            <w:r>
              <w:rPr>
                <w:rFonts w:hint="eastAsia" w:ascii="宋体" w:hAnsi="宋体" w:eastAsia="宋体" w:cs="宋体"/>
                <w:sz w:val="21"/>
                <w:szCs w:val="21"/>
              </w:rPr>
              <w:t>合同涉及技术成果的归属和收益的分成办法的，双方另行协商。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2.5</w:t>
            </w:r>
          </w:p>
        </w:tc>
        <w:tc>
          <w:tcPr>
            <w:tcW w:w="4506" w:type="pct"/>
            <w:shd w:val="clear" w:color="auto" w:fill="auto"/>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结算方式和付款条件：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2.11.3</w:t>
            </w:r>
          </w:p>
        </w:tc>
        <w:tc>
          <w:tcPr>
            <w:tcW w:w="4506" w:type="pct"/>
            <w:vAlign w:val="center"/>
          </w:tcPr>
          <w:p>
            <w:pPr>
              <w:rPr>
                <w:rFonts w:hint="eastAsia" w:ascii="宋体" w:hAnsi="宋体" w:eastAsia="宋体" w:cs="宋体"/>
                <w:sz w:val="21"/>
                <w:szCs w:val="21"/>
              </w:rPr>
            </w:pPr>
            <w:r>
              <w:rPr>
                <w:rFonts w:hint="eastAsia" w:ascii="宋体" w:hAnsi="宋体" w:eastAsia="宋体" w:cs="宋体"/>
                <w:sz w:val="21"/>
                <w:szCs w:val="21"/>
              </w:rPr>
              <w:t>因不可抗力致使合同有变更必要的，双方当事人应在15日内以书面形式变更合同；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2.11.4 </w:t>
            </w:r>
          </w:p>
        </w:tc>
        <w:tc>
          <w:tcPr>
            <w:tcW w:w="4506" w:type="pct"/>
          </w:tcPr>
          <w:p>
            <w:pPr>
              <w:spacing w:line="360" w:lineRule="auto"/>
              <w:rPr>
                <w:rFonts w:hint="eastAsia" w:ascii="宋体" w:hAnsi="宋体" w:eastAsia="宋体" w:cs="宋体"/>
                <w:sz w:val="21"/>
                <w:szCs w:val="21"/>
              </w:rPr>
            </w:pPr>
            <w:r>
              <w:rPr>
                <w:rFonts w:hint="eastAsia" w:ascii="宋体" w:hAnsi="宋体" w:eastAsia="宋体" w:cs="宋体"/>
                <w:sz w:val="21"/>
                <w:szCs w:val="21"/>
              </w:rPr>
              <w:t>受不可抗力影响的一方在不可抗力发生后，应在</w:t>
            </w:r>
            <w:r>
              <w:rPr>
                <w:rFonts w:hint="eastAsia" w:ascii="宋体" w:hAnsi="宋体" w:eastAsia="宋体" w:cs="宋体"/>
                <w:b/>
                <w:sz w:val="21"/>
                <w:szCs w:val="21"/>
                <w:u w:val="single"/>
              </w:rPr>
              <w:t>5个工作日内</w:t>
            </w:r>
            <w:r>
              <w:rPr>
                <w:rFonts w:hint="eastAsia" w:ascii="宋体" w:hAnsi="宋体" w:eastAsia="宋体" w:cs="宋体"/>
                <w:sz w:val="21"/>
                <w:szCs w:val="21"/>
              </w:rPr>
              <w:t>以书面形式通知对方当事人，并在</w:t>
            </w:r>
            <w:r>
              <w:rPr>
                <w:rFonts w:hint="eastAsia" w:ascii="宋体" w:hAnsi="宋体" w:eastAsia="宋体" w:cs="宋体"/>
                <w:b/>
                <w:sz w:val="21"/>
                <w:szCs w:val="21"/>
                <w:u w:val="single"/>
              </w:rPr>
              <w:t>5个工作日内</w:t>
            </w:r>
            <w:r>
              <w:rPr>
                <w:rFonts w:hint="eastAsia" w:ascii="宋体" w:hAnsi="宋体" w:eastAsia="宋体" w:cs="宋体"/>
                <w:sz w:val="21"/>
                <w:szCs w:val="21"/>
              </w:rPr>
              <w:t>，将有关部门出具的证明文件送达对方当事人。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2.15.1</w:t>
            </w:r>
          </w:p>
        </w:tc>
        <w:tc>
          <w:tcPr>
            <w:tcW w:w="4506" w:type="pct"/>
            <w:vAlign w:val="center"/>
          </w:tcPr>
          <w:p>
            <w:pPr>
              <w:rPr>
                <w:rFonts w:hint="eastAsia" w:ascii="宋体" w:hAnsi="宋体" w:eastAsia="宋体" w:cs="宋体"/>
                <w:sz w:val="21"/>
                <w:szCs w:val="21"/>
              </w:rPr>
            </w:pPr>
            <w:r>
              <w:rPr>
                <w:rFonts w:hint="eastAsia" w:ascii="宋体" w:hAnsi="宋体" w:eastAsia="宋体" w:cs="宋体"/>
                <w:sz w:val="21"/>
                <w:szCs w:val="21"/>
              </w:rPr>
              <w:t>乙方按照合同约定的服务期内，定期提交服务报告，甲方在15日内进行定期验收。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493" w:type="pct"/>
            <w:tcBorders>
              <w:left w:val="single" w:color="auto" w:sz="4" w:space="0"/>
            </w:tcBorders>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2.15.3</w:t>
            </w:r>
          </w:p>
        </w:tc>
        <w:tc>
          <w:tcPr>
            <w:tcW w:w="4506" w:type="pct"/>
            <w:vAlign w:val="center"/>
          </w:tcPr>
          <w:p>
            <w:pPr>
              <w:spacing w:line="360" w:lineRule="auto"/>
              <w:rPr>
                <w:rFonts w:hint="eastAsia" w:ascii="宋体" w:hAnsi="宋体" w:eastAsia="宋体" w:cs="宋体"/>
                <w:sz w:val="21"/>
                <w:szCs w:val="21"/>
              </w:rPr>
            </w:pPr>
            <w:r>
              <w:rPr>
                <w:rFonts w:hint="eastAsia" w:ascii="宋体" w:hAnsi="宋体" w:eastAsia="宋体" w:cs="宋体"/>
                <w:sz w:val="21"/>
                <w:szCs w:val="21"/>
              </w:rPr>
              <w:t xml:space="preserve">检验和验收标准、程序等具体内容以及前述验收书的效力: </w:t>
            </w:r>
            <w:r>
              <w:rPr>
                <w:rFonts w:hint="eastAsia" w:ascii="宋体" w:hAnsi="宋体" w:eastAsia="宋体" w:cs="宋体"/>
                <w:sz w:val="21"/>
                <w:szCs w:val="21"/>
                <w:u w:val="single"/>
              </w:rPr>
              <w:t xml:space="preserve">             </w:t>
            </w:r>
            <w:r>
              <w:rPr>
                <w:rFonts w:hint="eastAsia" w:ascii="宋体" w:hAnsi="宋体" w:eastAsia="宋体" w:cs="宋体"/>
                <w:sz w:val="21"/>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493" w:type="pct"/>
            <w:tcBorders>
              <w:left w:val="single" w:color="auto" w:sz="4" w:space="0"/>
            </w:tcBorders>
          </w:tcPr>
          <w:p>
            <w:pPr>
              <w:spacing w:line="360" w:lineRule="auto"/>
              <w:rPr>
                <w:rFonts w:hint="eastAsia" w:ascii="宋体" w:hAnsi="宋体" w:eastAsia="宋体" w:cs="宋体"/>
                <w:sz w:val="21"/>
                <w:szCs w:val="21"/>
              </w:rPr>
            </w:pPr>
            <w:r>
              <w:rPr>
                <w:rFonts w:hint="eastAsia" w:ascii="宋体" w:hAnsi="宋体" w:eastAsia="宋体" w:cs="宋体"/>
                <w:sz w:val="21"/>
                <w:szCs w:val="21"/>
              </w:rPr>
              <w:t>2.19</w:t>
            </w:r>
          </w:p>
        </w:tc>
        <w:tc>
          <w:tcPr>
            <w:tcW w:w="4506" w:type="pct"/>
          </w:tcPr>
          <w:p>
            <w:pPr>
              <w:spacing w:line="360" w:lineRule="auto"/>
              <w:rPr>
                <w:rFonts w:hint="eastAsia" w:ascii="宋体" w:hAnsi="宋体" w:eastAsia="宋体" w:cs="宋体"/>
                <w:sz w:val="21"/>
                <w:szCs w:val="21"/>
              </w:rPr>
            </w:pPr>
            <w:r>
              <w:rPr>
                <w:rFonts w:hint="eastAsia" w:ascii="宋体" w:hAnsi="宋体" w:eastAsia="宋体" w:cs="宋体"/>
                <w:sz w:val="21"/>
                <w:szCs w:val="21"/>
              </w:rPr>
              <w:t>合同份数一式六份，双方各执三份，每份均具有同等法律效力。</w:t>
            </w:r>
          </w:p>
        </w:tc>
      </w:tr>
    </w:tbl>
    <w:p>
      <w:pPr>
        <w:pStyle w:val="13"/>
        <w:tabs>
          <w:tab w:val="left" w:pos="2472"/>
        </w:tabs>
        <w:spacing w:line="460" w:lineRule="exact"/>
        <w:jc w:val="both"/>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outlineLvl w:val="0"/>
        <w:rPr>
          <w:rFonts w:asciiTheme="minorEastAsia" w:hAnsiTheme="minorEastAsia" w:eastAsiaTheme="minorEastAsia" w:cstheme="minorEastAsia"/>
          <w:b/>
          <w:color w:val="auto"/>
          <w:sz w:val="36"/>
          <w:highlight w:val="none"/>
        </w:rPr>
      </w:pPr>
      <w:bookmarkStart w:id="240" w:name="_Toc298"/>
      <w:r>
        <w:rPr>
          <w:rFonts w:hint="eastAsia" w:asciiTheme="minorEastAsia" w:hAnsiTheme="minorEastAsia" w:eastAsiaTheme="minorEastAsia" w:cstheme="minorEastAsia"/>
          <w:b/>
          <w:color w:val="auto"/>
          <w:sz w:val="36"/>
          <w:highlight w:val="none"/>
        </w:rPr>
        <w:t>第六章 投标文件格式</w:t>
      </w:r>
      <w:bookmarkEnd w:id="240"/>
    </w:p>
    <w:p>
      <w:pPr>
        <w:widowControl/>
        <w:spacing w:beforeAutospacing="1" w:line="360" w:lineRule="auto"/>
        <w:jc w:val="left"/>
        <w:rPr>
          <w:rFonts w:asciiTheme="minorEastAsia" w:hAnsiTheme="minorEastAsia" w:eastAsiaTheme="minorEastAsia" w:cstheme="minorEastAsia"/>
          <w:color w:val="auto"/>
          <w:szCs w:val="20"/>
          <w:highlight w:val="none"/>
        </w:rPr>
        <w:sectPr>
          <w:footerReference r:id="rId5" w:type="default"/>
          <w:pgSz w:w="11906" w:h="16838"/>
          <w:pgMar w:top="1134" w:right="1134" w:bottom="1134" w:left="1134" w:header="720" w:footer="720" w:gutter="0"/>
          <w:cols w:space="720" w:num="1"/>
          <w:docGrid w:type="lines" w:linePitch="331" w:charSpace="0"/>
        </w:sectPr>
      </w:pPr>
    </w:p>
    <w:p>
      <w:pPr>
        <w:pStyle w:val="13"/>
        <w:ind w:firstLine="551" w:firstLineChars="196"/>
        <w:jc w:val="center"/>
        <w:outlineLvl w:val="1"/>
        <w:rPr>
          <w:rFonts w:asciiTheme="minorEastAsia" w:hAnsiTheme="minorEastAsia" w:eastAsiaTheme="minorEastAsia" w:cstheme="minorEastAsia"/>
          <w:b/>
          <w:bCs/>
          <w:color w:val="auto"/>
          <w:sz w:val="28"/>
          <w:szCs w:val="28"/>
          <w:highlight w:val="none"/>
        </w:rPr>
      </w:pPr>
      <w:bookmarkStart w:id="241" w:name="_Toc29354"/>
      <w:r>
        <w:rPr>
          <w:rFonts w:hint="eastAsia" w:asciiTheme="minorEastAsia" w:hAnsiTheme="minorEastAsia" w:eastAsiaTheme="minorEastAsia" w:cstheme="minorEastAsia"/>
          <w:b/>
          <w:bCs/>
          <w:color w:val="auto"/>
          <w:sz w:val="28"/>
          <w:szCs w:val="28"/>
          <w:highlight w:val="none"/>
        </w:rPr>
        <w:t>第一节 投标文件外层包装封面</w:t>
      </w:r>
      <w:bookmarkEnd w:id="241"/>
    </w:p>
    <w:p>
      <w:pPr>
        <w:spacing w:beforeLines="50" w:afterLines="50"/>
        <w:jc w:val="center"/>
        <w:rPr>
          <w:rFonts w:asciiTheme="minorEastAsia" w:hAnsiTheme="minorEastAsia" w:eastAsiaTheme="minorEastAsia" w:cstheme="minorEastAsia"/>
          <w:color w:val="auto"/>
          <w:spacing w:val="20"/>
          <w:sz w:val="44"/>
          <w:szCs w:val="44"/>
          <w:highlight w:val="none"/>
        </w:rPr>
      </w:pPr>
    </w:p>
    <w:p>
      <w:pPr>
        <w:spacing w:beforeLines="50" w:afterLines="50"/>
        <w:jc w:val="center"/>
        <w:rPr>
          <w:rFonts w:asciiTheme="minorEastAsia" w:hAnsiTheme="minorEastAsia" w:eastAsiaTheme="minorEastAsia" w:cstheme="minorEastAsia"/>
          <w:color w:val="auto"/>
          <w:spacing w:val="20"/>
          <w:sz w:val="44"/>
          <w:szCs w:val="44"/>
          <w:highlight w:val="none"/>
        </w:rPr>
      </w:pPr>
    </w:p>
    <w:p>
      <w:pPr>
        <w:spacing w:beforeLines="50" w:afterLines="50"/>
        <w:jc w:val="center"/>
        <w:rPr>
          <w:rFonts w:asciiTheme="minorEastAsia" w:hAnsiTheme="minorEastAsia" w:eastAsiaTheme="minorEastAsia" w:cstheme="minorEastAsia"/>
          <w:color w:val="auto"/>
          <w:spacing w:val="20"/>
          <w:sz w:val="44"/>
          <w:szCs w:val="44"/>
          <w:highlight w:val="none"/>
        </w:rPr>
      </w:pPr>
    </w:p>
    <w:p>
      <w:pPr>
        <w:spacing w:beforeLines="50" w:afterLines="50"/>
        <w:jc w:val="center"/>
        <w:rPr>
          <w:rFonts w:asciiTheme="minorEastAsia" w:hAnsiTheme="minorEastAsia" w:eastAsiaTheme="minorEastAsia" w:cstheme="minorEastAsia"/>
          <w:color w:val="auto"/>
          <w:spacing w:val="20"/>
          <w:sz w:val="44"/>
          <w:szCs w:val="44"/>
          <w:highlight w:val="none"/>
        </w:rPr>
      </w:pPr>
    </w:p>
    <w:p>
      <w:pPr>
        <w:spacing w:beforeLines="50" w:afterLines="50"/>
        <w:jc w:val="center"/>
        <w:rPr>
          <w:rFonts w:hint="eastAsia" w:asciiTheme="minorEastAsia" w:hAnsiTheme="minorEastAsia" w:eastAsiaTheme="minorEastAsia" w:cstheme="minorEastAsia"/>
          <w:color w:val="auto"/>
          <w:spacing w:val="20"/>
          <w:sz w:val="44"/>
          <w:szCs w:val="44"/>
          <w:highlight w:val="none"/>
          <w:lang w:eastAsia="zh-CN"/>
        </w:rPr>
      </w:pPr>
      <w:r>
        <w:rPr>
          <w:rFonts w:hint="eastAsia" w:asciiTheme="minorEastAsia" w:hAnsiTheme="minorEastAsia" w:eastAsiaTheme="minorEastAsia" w:cstheme="minorEastAsia"/>
          <w:color w:val="auto"/>
          <w:spacing w:val="20"/>
          <w:sz w:val="44"/>
          <w:szCs w:val="44"/>
          <w:highlight w:val="none"/>
          <w:lang w:eastAsia="zh-CN"/>
        </w:rPr>
        <w:t>2025年西乡塘区糖料蔗病虫害绿色防控项目</w:t>
      </w:r>
    </w:p>
    <w:p>
      <w:pPr>
        <w:spacing w:beforeLines="50" w:afterLines="50"/>
        <w:jc w:val="center"/>
        <w:rPr>
          <w:rFonts w:asciiTheme="minorEastAsia" w:hAnsiTheme="minorEastAsia" w:eastAsiaTheme="minorEastAsia" w:cstheme="minorEastAsia"/>
          <w:color w:val="auto"/>
          <w:spacing w:val="40"/>
          <w:w w:val="110"/>
          <w:sz w:val="44"/>
          <w:szCs w:val="44"/>
          <w:highlight w:val="none"/>
        </w:rPr>
      </w:pPr>
      <w:r>
        <w:rPr>
          <w:rFonts w:hint="eastAsia" w:asciiTheme="minorEastAsia" w:hAnsiTheme="minorEastAsia" w:eastAsiaTheme="minorEastAsia" w:cstheme="minorEastAsia"/>
          <w:color w:val="auto"/>
          <w:spacing w:val="40"/>
          <w:w w:val="110"/>
          <w:sz w:val="44"/>
          <w:szCs w:val="44"/>
          <w:highlight w:val="none"/>
        </w:rPr>
        <w:t>投标文件</w:t>
      </w:r>
    </w:p>
    <w:p>
      <w:pPr>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（电子投标文件）</w:t>
      </w:r>
    </w:p>
    <w:tbl>
      <w:tblPr>
        <w:tblStyle w:val="23"/>
        <w:tblW w:w="0" w:type="auto"/>
        <w:jc w:val="center"/>
        <w:tblLayout w:type="fixed"/>
        <w:tblCellMar>
          <w:top w:w="0" w:type="dxa"/>
          <w:left w:w="108" w:type="dxa"/>
          <w:bottom w:w="0" w:type="dxa"/>
          <w:right w:w="108" w:type="dxa"/>
        </w:tblCellMar>
      </w:tblPr>
      <w:tblGrid>
        <w:gridCol w:w="1601"/>
        <w:gridCol w:w="6172"/>
      </w:tblGrid>
      <w:tr>
        <w:tblPrEx>
          <w:tblCellMar>
            <w:top w:w="0" w:type="dxa"/>
            <w:left w:w="108" w:type="dxa"/>
            <w:bottom w:w="0" w:type="dxa"/>
            <w:right w:w="108" w:type="dxa"/>
          </w:tblCellMar>
        </w:tblPrEx>
        <w:trPr>
          <w:jc w:val="center"/>
        </w:trPr>
        <w:tc>
          <w:tcPr>
            <w:tcW w:w="1601" w:type="dxa"/>
            <w:noWrap/>
            <w:vAlign w:val="bottom"/>
          </w:tcPr>
          <w:p>
            <w:pPr>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6172" w:type="dxa"/>
            <w:tcBorders>
              <w:top w:val="nil"/>
              <w:left w:val="nil"/>
              <w:bottom w:val="single" w:color="000000" w:sz="4" w:space="0"/>
              <w:right w:val="nil"/>
            </w:tcBorders>
            <w:noWrap/>
            <w:vAlign w:val="bottom"/>
          </w:tcPr>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2025年西乡塘区糖料蔗病虫害绿色防控项目</w:t>
            </w:r>
          </w:p>
        </w:tc>
      </w:tr>
      <w:tr>
        <w:tblPrEx>
          <w:tblCellMar>
            <w:top w:w="0" w:type="dxa"/>
            <w:left w:w="108" w:type="dxa"/>
            <w:bottom w:w="0" w:type="dxa"/>
            <w:right w:w="108" w:type="dxa"/>
          </w:tblCellMar>
        </w:tblPrEx>
        <w:trPr>
          <w:jc w:val="center"/>
        </w:trPr>
        <w:tc>
          <w:tcPr>
            <w:tcW w:w="1601" w:type="dxa"/>
            <w:noWrap/>
            <w:vAlign w:val="bottom"/>
          </w:tcPr>
          <w:p>
            <w:pPr>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采购方式：</w:t>
            </w:r>
          </w:p>
        </w:tc>
        <w:tc>
          <w:tcPr>
            <w:tcW w:w="6172" w:type="dxa"/>
            <w:tcBorders>
              <w:top w:val="single" w:color="000000" w:sz="4" w:space="0"/>
              <w:left w:val="nil"/>
              <w:bottom w:val="single" w:color="000000" w:sz="4" w:space="0"/>
              <w:right w:val="nil"/>
            </w:tcBorders>
            <w:noWrap/>
            <w:vAlign w:val="bottom"/>
          </w:tcPr>
          <w:p>
            <w:pPr>
              <w:jc w:val="left"/>
              <w:rPr>
                <w:rFonts w:asciiTheme="minorEastAsia" w:hAnsiTheme="minorEastAsia" w:eastAsiaTheme="minorEastAsia" w:cstheme="minorEastAsia"/>
                <w:color w:val="auto"/>
                <w:sz w:val="24"/>
                <w:highlight w:val="none"/>
              </w:rPr>
            </w:pPr>
            <w:bookmarkStart w:id="242" w:name="PO_3000001866_PM003"/>
            <w:r>
              <w:rPr>
                <w:rFonts w:hint="eastAsia" w:asciiTheme="minorEastAsia" w:hAnsiTheme="minorEastAsia" w:eastAsiaTheme="minorEastAsia" w:cstheme="minorEastAsia"/>
                <w:color w:val="auto"/>
                <w:sz w:val="24"/>
                <w:highlight w:val="none"/>
              </w:rPr>
              <w:t>公开招标</w:t>
            </w:r>
            <w:bookmarkEnd w:id="242"/>
          </w:p>
        </w:tc>
      </w:tr>
      <w:tr>
        <w:tblPrEx>
          <w:tblCellMar>
            <w:top w:w="0" w:type="dxa"/>
            <w:left w:w="108" w:type="dxa"/>
            <w:bottom w:w="0" w:type="dxa"/>
            <w:right w:w="108" w:type="dxa"/>
          </w:tblCellMar>
        </w:tblPrEx>
        <w:trPr>
          <w:jc w:val="center"/>
        </w:trPr>
        <w:tc>
          <w:tcPr>
            <w:tcW w:w="1601" w:type="dxa"/>
            <w:noWrap/>
            <w:vAlign w:val="bottom"/>
          </w:tcPr>
          <w:p>
            <w:pPr>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p>
        </w:tc>
        <w:tc>
          <w:tcPr>
            <w:tcW w:w="6172" w:type="dxa"/>
            <w:tcBorders>
              <w:top w:val="single" w:color="000000" w:sz="4" w:space="0"/>
              <w:left w:val="nil"/>
              <w:bottom w:val="single" w:color="000000" w:sz="4" w:space="0"/>
              <w:right w:val="nil"/>
            </w:tcBorders>
            <w:noWrap/>
            <w:vAlign w:val="bottom"/>
          </w:tcPr>
          <w:p>
            <w:pPr>
              <w:jc w:val="left"/>
              <w:rPr>
                <w:rFonts w:hint="eastAsia" w:asciiTheme="minorEastAsia" w:hAnsiTheme="minorEastAsia" w:eastAsiaTheme="minorEastAsia" w:cstheme="minorEastAsia"/>
                <w:color w:val="auto"/>
                <w:sz w:val="24"/>
                <w:highlight w:val="none"/>
                <w:lang w:eastAsia="zh-CN"/>
              </w:rPr>
            </w:pPr>
            <w:r>
              <w:rPr>
                <w:rFonts w:hint="eastAsia" w:asciiTheme="minorEastAsia" w:hAnsiTheme="minorEastAsia" w:eastAsiaTheme="minorEastAsia" w:cstheme="minorEastAsia"/>
                <w:color w:val="auto"/>
                <w:sz w:val="24"/>
                <w:highlight w:val="none"/>
                <w:lang w:eastAsia="zh-CN"/>
              </w:rPr>
              <w:t>NNZC2026-G3-070001-GXYG</w:t>
            </w:r>
          </w:p>
        </w:tc>
      </w:tr>
      <w:tr>
        <w:tblPrEx>
          <w:tblCellMar>
            <w:top w:w="0" w:type="dxa"/>
            <w:left w:w="108" w:type="dxa"/>
            <w:bottom w:w="0" w:type="dxa"/>
            <w:right w:w="108" w:type="dxa"/>
          </w:tblCellMar>
        </w:tblPrEx>
        <w:trPr>
          <w:jc w:val="center"/>
        </w:trPr>
        <w:tc>
          <w:tcPr>
            <w:tcW w:w="1601" w:type="dxa"/>
            <w:noWrap/>
            <w:vAlign w:val="bottom"/>
          </w:tcPr>
          <w:p>
            <w:pPr>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所投分标：</w:t>
            </w:r>
          </w:p>
        </w:tc>
        <w:tc>
          <w:tcPr>
            <w:tcW w:w="6172" w:type="dxa"/>
            <w:tcBorders>
              <w:top w:val="single" w:color="000000" w:sz="4" w:space="0"/>
              <w:left w:val="nil"/>
              <w:bottom w:val="single" w:color="000000" w:sz="4" w:space="0"/>
              <w:right w:val="nil"/>
            </w:tcBorders>
            <w:noWrap/>
            <w:vAlign w:val="bottom"/>
          </w:tcPr>
          <w:p>
            <w:pPr>
              <w:jc w:val="left"/>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rPr>
          <w:jc w:val="center"/>
        </w:trPr>
        <w:tc>
          <w:tcPr>
            <w:tcW w:w="1601" w:type="dxa"/>
            <w:noWrap/>
            <w:vAlign w:val="bottom"/>
          </w:tcPr>
          <w:p>
            <w:pPr>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投标人名称：</w:t>
            </w:r>
          </w:p>
        </w:tc>
        <w:tc>
          <w:tcPr>
            <w:tcW w:w="6172" w:type="dxa"/>
            <w:tcBorders>
              <w:top w:val="single" w:color="000000" w:sz="4" w:space="0"/>
              <w:left w:val="nil"/>
              <w:bottom w:val="single" w:color="000000" w:sz="4" w:space="0"/>
              <w:right w:val="nil"/>
            </w:tcBorders>
            <w:noWrap/>
            <w:vAlign w:val="bottom"/>
          </w:tcPr>
          <w:p>
            <w:pPr>
              <w:jc w:val="left"/>
              <w:rPr>
                <w:rFonts w:asciiTheme="minorEastAsia" w:hAnsiTheme="minorEastAsia" w:eastAsiaTheme="minorEastAsia" w:cstheme="minorEastAsia"/>
                <w:color w:val="auto"/>
                <w:sz w:val="24"/>
                <w:highlight w:val="none"/>
              </w:rPr>
            </w:pPr>
          </w:p>
        </w:tc>
      </w:tr>
      <w:tr>
        <w:tblPrEx>
          <w:tblCellMar>
            <w:top w:w="0" w:type="dxa"/>
            <w:left w:w="108" w:type="dxa"/>
            <w:bottom w:w="0" w:type="dxa"/>
            <w:right w:w="108" w:type="dxa"/>
          </w:tblCellMar>
        </w:tblPrEx>
        <w:trPr>
          <w:jc w:val="center"/>
        </w:trPr>
        <w:tc>
          <w:tcPr>
            <w:tcW w:w="1601" w:type="dxa"/>
            <w:noWrap/>
            <w:vAlign w:val="bottom"/>
          </w:tcPr>
          <w:p>
            <w:pPr>
              <w:jc w:val="distribute"/>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投标人地址：</w:t>
            </w:r>
          </w:p>
        </w:tc>
        <w:tc>
          <w:tcPr>
            <w:tcW w:w="6172" w:type="dxa"/>
            <w:tcBorders>
              <w:top w:val="single" w:color="000000" w:sz="4" w:space="0"/>
              <w:left w:val="nil"/>
              <w:bottom w:val="single" w:color="000000" w:sz="4" w:space="0"/>
              <w:right w:val="nil"/>
            </w:tcBorders>
            <w:noWrap/>
            <w:vAlign w:val="bottom"/>
          </w:tcPr>
          <w:p>
            <w:pPr>
              <w:jc w:val="left"/>
              <w:rPr>
                <w:rFonts w:asciiTheme="minorEastAsia" w:hAnsiTheme="minorEastAsia" w:eastAsiaTheme="minorEastAsia" w:cstheme="minorEastAsia"/>
                <w:color w:val="auto"/>
                <w:sz w:val="24"/>
                <w:highlight w:val="none"/>
              </w:rPr>
            </w:pPr>
          </w:p>
        </w:tc>
      </w:tr>
    </w:tbl>
    <w:p>
      <w:pPr>
        <w:ind w:firstLine="4200" w:firstLineChars="1750"/>
        <w:rPr>
          <w:rFonts w:asciiTheme="minorEastAsia" w:hAnsiTheme="minorEastAsia" w:eastAsiaTheme="minorEastAsia" w:cstheme="minorEastAsia"/>
          <w:color w:val="auto"/>
          <w:sz w:val="24"/>
          <w:highlight w:val="none"/>
        </w:rPr>
      </w:pPr>
    </w:p>
    <w:p>
      <w:pPr>
        <w:ind w:firstLine="4200" w:firstLineChars="1750"/>
        <w:rPr>
          <w:rFonts w:asciiTheme="minorEastAsia" w:hAnsiTheme="minorEastAsia" w:eastAsiaTheme="minorEastAsia" w:cstheme="minorEastAsia"/>
          <w:color w:val="auto"/>
          <w:sz w:val="24"/>
          <w:highlight w:val="none"/>
        </w:rPr>
      </w:pPr>
    </w:p>
    <w:p>
      <w:pPr>
        <w:ind w:firstLine="4200" w:firstLineChars="1750"/>
        <w:rPr>
          <w:rFonts w:asciiTheme="minorEastAsia" w:hAnsiTheme="minorEastAsia" w:eastAsiaTheme="minorEastAsia" w:cstheme="minorEastAsia"/>
          <w:color w:val="auto"/>
          <w:sz w:val="24"/>
          <w:highlight w:val="none"/>
        </w:rPr>
      </w:pPr>
    </w:p>
    <w:p>
      <w:pPr>
        <w:ind w:firstLine="5880" w:firstLineChars="245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投标截止时间前不得解密</w:t>
      </w:r>
    </w:p>
    <w:p>
      <w:pPr>
        <w:ind w:firstLine="6480" w:firstLineChars="27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widowControl/>
        <w:jc w:val="left"/>
        <w:rPr>
          <w:rFonts w:asciiTheme="minorEastAsia" w:hAnsiTheme="minorEastAsia" w:eastAsiaTheme="minorEastAsia" w:cstheme="minorEastAsia"/>
          <w:color w:val="auto"/>
          <w:sz w:val="24"/>
          <w:highlight w:val="none"/>
        </w:rPr>
        <w:sectPr>
          <w:pgSz w:w="11907" w:h="16840"/>
          <w:pgMar w:top="1531" w:right="1418" w:bottom="1361" w:left="1418" w:header="720" w:footer="720" w:gutter="0"/>
          <w:cols w:space="720" w:num="1"/>
        </w:sectPr>
      </w:pPr>
    </w:p>
    <w:p>
      <w:pPr>
        <w:pStyle w:val="13"/>
        <w:jc w:val="center"/>
        <w:outlineLvl w:val="1"/>
        <w:rPr>
          <w:rFonts w:asciiTheme="minorEastAsia" w:hAnsiTheme="minorEastAsia" w:eastAsiaTheme="minorEastAsia" w:cstheme="minorEastAsia"/>
          <w:b/>
          <w:bCs/>
          <w:color w:val="auto"/>
          <w:sz w:val="28"/>
          <w:szCs w:val="28"/>
          <w:highlight w:val="none"/>
        </w:rPr>
      </w:pPr>
      <w:bookmarkStart w:id="243" w:name="_Toc14463"/>
      <w:r>
        <w:rPr>
          <w:rFonts w:hint="eastAsia" w:asciiTheme="minorEastAsia" w:hAnsiTheme="minorEastAsia" w:eastAsiaTheme="minorEastAsia" w:cstheme="minorEastAsia"/>
          <w:b/>
          <w:bCs/>
          <w:color w:val="auto"/>
          <w:sz w:val="28"/>
          <w:szCs w:val="28"/>
          <w:highlight w:val="none"/>
        </w:rPr>
        <w:t>第二节 资格证明文件格式</w:t>
      </w:r>
      <w:bookmarkEnd w:id="243"/>
    </w:p>
    <w:p>
      <w:pPr>
        <w:pStyle w:val="13"/>
        <w:spacing w:line="360" w:lineRule="auto"/>
        <w:ind w:firstLine="420"/>
        <w:rPr>
          <w:rFonts w:asciiTheme="minorEastAsia" w:hAnsiTheme="minorEastAsia" w:eastAsiaTheme="minorEastAsia" w:cstheme="minorEastAsia"/>
          <w:color w:val="auto"/>
          <w:sz w:val="30"/>
          <w:highlight w:val="none"/>
        </w:rPr>
      </w:pPr>
    </w:p>
    <w:p>
      <w:pPr>
        <w:snapToGrid w:val="0"/>
        <w:spacing w:beforeLines="50" w:after="50"/>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电子投标文件</w:t>
      </w:r>
    </w:p>
    <w:p>
      <w:pPr>
        <w:snapToGrid w:val="0"/>
        <w:spacing w:beforeLines="50" w:after="50"/>
        <w:rPr>
          <w:rFonts w:asciiTheme="minorEastAsia" w:hAnsiTheme="minorEastAsia" w:eastAsiaTheme="minorEastAsia" w:cstheme="minorEastAsia"/>
          <w:color w:val="auto"/>
          <w:sz w:val="24"/>
          <w:szCs w:val="20"/>
          <w:highlight w:val="none"/>
        </w:rPr>
      </w:pPr>
    </w:p>
    <w:p>
      <w:pPr>
        <w:snapToGrid w:val="0"/>
        <w:spacing w:beforeLines="50" w:after="50"/>
        <w:jc w:val="center"/>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32"/>
          <w:szCs w:val="32"/>
          <w:highlight w:val="none"/>
        </w:rPr>
        <w:t>资格证明文件（封面）</w:t>
      </w: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ind w:firstLine="540" w:firstLineChars="225"/>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项目名称：</w:t>
      </w:r>
      <w:r>
        <w:rPr>
          <w:rFonts w:hint="eastAsia" w:asciiTheme="minorEastAsia" w:hAnsiTheme="minorEastAsia" w:eastAsiaTheme="minorEastAsia" w:cstheme="minorEastAsia"/>
          <w:bCs/>
          <w:color w:val="auto"/>
          <w:sz w:val="24"/>
          <w:highlight w:val="none"/>
          <w:lang w:eastAsia="zh-CN"/>
        </w:rPr>
        <w:t>2025年西乡塘区糖料蔗病虫害绿色防控项目</w:t>
      </w:r>
    </w:p>
    <w:p>
      <w:pPr>
        <w:snapToGrid w:val="0"/>
        <w:spacing w:beforeLines="50" w:after="50"/>
        <w:ind w:firstLine="540" w:firstLineChars="225"/>
        <w:rPr>
          <w:rFonts w:asciiTheme="minorEastAsia" w:hAnsiTheme="minorEastAsia" w:eastAsiaTheme="minorEastAsia" w:cstheme="minorEastAsia"/>
          <w:bCs/>
          <w:color w:val="auto"/>
          <w:sz w:val="24"/>
          <w:szCs w:val="20"/>
          <w:highlight w:val="none"/>
        </w:rPr>
      </w:pPr>
    </w:p>
    <w:p>
      <w:pPr>
        <w:snapToGrid w:val="0"/>
        <w:spacing w:beforeLines="50" w:after="50"/>
        <w:ind w:firstLine="540" w:firstLineChars="225"/>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项目编号：</w:t>
      </w:r>
      <w:r>
        <w:rPr>
          <w:rFonts w:hint="eastAsia" w:asciiTheme="minorEastAsia" w:hAnsiTheme="minorEastAsia" w:eastAsiaTheme="minorEastAsia" w:cstheme="minorEastAsia"/>
          <w:bCs/>
          <w:color w:val="auto"/>
          <w:sz w:val="24"/>
          <w:highlight w:val="none"/>
          <w:lang w:eastAsia="zh-CN"/>
        </w:rPr>
        <w:t>NNZC2026-G3-070001-GXYG</w:t>
      </w:r>
    </w:p>
    <w:p>
      <w:pPr>
        <w:snapToGrid w:val="0"/>
        <w:spacing w:beforeLines="50" w:after="50"/>
        <w:ind w:firstLine="540" w:firstLineChars="225"/>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 xml:space="preserve"> </w:t>
      </w:r>
    </w:p>
    <w:p>
      <w:pPr>
        <w:snapToGrid w:val="0"/>
        <w:spacing w:beforeLines="50" w:after="50"/>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pPr>
        <w:pStyle w:val="7"/>
        <w:snapToGrid w:val="0"/>
        <w:spacing w:before="50" w:after="50"/>
        <w:ind w:firstLine="540" w:firstLineChars="225"/>
        <w:rPr>
          <w:rFonts w:asciiTheme="minorEastAsia" w:hAnsiTheme="minorEastAsia" w:eastAsiaTheme="minorEastAsia" w:cstheme="minorEastAsia"/>
          <w:bCs/>
          <w:color w:val="auto"/>
          <w:sz w:val="24"/>
          <w:szCs w:val="24"/>
          <w:highlight w:val="none"/>
        </w:rPr>
      </w:pPr>
    </w:p>
    <w:p>
      <w:pPr>
        <w:pStyle w:val="7"/>
        <w:snapToGrid w:val="0"/>
        <w:spacing w:before="50" w:after="50"/>
        <w:ind w:firstLine="540" w:firstLineChars="225"/>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w:t>
      </w:r>
    </w:p>
    <w:p>
      <w:pPr>
        <w:pStyle w:val="7"/>
        <w:snapToGrid w:val="0"/>
        <w:spacing w:before="50" w:after="50"/>
        <w:ind w:firstLine="540" w:firstLineChars="225"/>
        <w:rPr>
          <w:rFonts w:asciiTheme="minorEastAsia" w:hAnsiTheme="minorEastAsia" w:eastAsiaTheme="minorEastAsia" w:cstheme="minorEastAsia"/>
          <w:bCs/>
          <w:color w:val="auto"/>
          <w:sz w:val="24"/>
          <w:szCs w:val="24"/>
          <w:highlight w:val="none"/>
        </w:rPr>
      </w:pPr>
    </w:p>
    <w:p>
      <w:pPr>
        <w:pStyle w:val="7"/>
        <w:snapToGrid w:val="0"/>
        <w:spacing w:before="50" w:after="50"/>
        <w:ind w:firstLine="960" w:firstLineChars="400"/>
        <w:rPr>
          <w:rFonts w:asciiTheme="minorEastAsia" w:hAnsiTheme="minorEastAsia" w:eastAsiaTheme="minorEastAsia" w:cstheme="minorEastAsia"/>
          <w:bCs/>
          <w:color w:val="auto"/>
          <w:sz w:val="24"/>
          <w:szCs w:val="24"/>
          <w:highlight w:val="none"/>
        </w:rPr>
      </w:pPr>
    </w:p>
    <w:p>
      <w:pPr>
        <w:snapToGrid w:val="0"/>
        <w:spacing w:beforeLines="50" w:after="50"/>
        <w:ind w:firstLine="64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年  月  日</w:t>
      </w:r>
    </w:p>
    <w:p>
      <w:pPr>
        <w:widowControl/>
        <w:spacing w:line="360" w:lineRule="auto"/>
        <w:jc w:val="left"/>
        <w:rPr>
          <w:rFonts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p>
    <w:p>
      <w:pPr>
        <w:jc w:val="center"/>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资格证明文件目录</w:t>
      </w:r>
    </w:p>
    <w:p>
      <w:pPr>
        <w:snapToGrid w:val="0"/>
        <w:spacing w:line="360" w:lineRule="auto"/>
        <w:rPr>
          <w:rFonts w:asciiTheme="minorEastAsia" w:hAnsiTheme="minorEastAsia" w:eastAsiaTheme="minorEastAsia" w:cstheme="minorEastAsia"/>
          <w:color w:val="auto"/>
          <w:kern w:val="0"/>
          <w:sz w:val="24"/>
          <w:highlight w:val="none"/>
        </w:rPr>
      </w:pP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一、投标人为法人或者其他组织的，提供营业执照等证明文件（如营业执照或者事业单位法人证书或者执业许可证等），投标人为自然人的，提供身份证复印件……………（页码）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二、投标人依法缴纳税收的相关材料…………………………………………………（页码）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三、投标人依法缴纳社会保障资金的相关材料………………………………………（页码）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四、</w:t>
      </w:r>
      <w:r>
        <w:rPr>
          <w:rFonts w:hint="eastAsia" w:asciiTheme="minorEastAsia" w:hAnsiTheme="minorEastAsia" w:eastAsiaTheme="minorEastAsia" w:cstheme="minorEastAsia"/>
          <w:color w:val="auto"/>
          <w:kern w:val="0"/>
          <w:sz w:val="24"/>
          <w:highlight w:val="none"/>
          <w:lang w:val="en-US" w:eastAsia="zh-CN"/>
        </w:rPr>
        <w:t>投标人</w:t>
      </w:r>
      <w:r>
        <w:rPr>
          <w:rFonts w:hint="eastAsia" w:asciiTheme="minorEastAsia" w:hAnsiTheme="minorEastAsia" w:eastAsiaTheme="minorEastAsia" w:cstheme="minorEastAsia"/>
          <w:color w:val="auto"/>
          <w:kern w:val="0"/>
          <w:sz w:val="24"/>
          <w:highlight w:val="none"/>
        </w:rPr>
        <w:t>财务状况报告………………………………………………………………（页码）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五、投标人直接控股股东信息表</w:t>
      </w:r>
      <w:r>
        <w:rPr>
          <w:rFonts w:hint="eastAsia" w:asciiTheme="minorEastAsia" w:hAnsiTheme="minorEastAsia" w:eastAsiaTheme="minorEastAsia" w:cstheme="minorEastAsia"/>
          <w:color w:val="auto"/>
          <w:kern w:val="0"/>
          <w:sz w:val="24"/>
          <w:highlight w:val="none"/>
        </w:rPr>
        <w:t>………………………………………………………（页码）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六、投标人直接关联关系信息表</w:t>
      </w:r>
      <w:r>
        <w:rPr>
          <w:rFonts w:hint="eastAsia" w:asciiTheme="minorEastAsia" w:hAnsiTheme="minorEastAsia" w:eastAsiaTheme="minorEastAsia" w:cstheme="minorEastAsia"/>
          <w:color w:val="auto"/>
          <w:kern w:val="0"/>
          <w:sz w:val="24"/>
          <w:highlight w:val="none"/>
        </w:rPr>
        <w:t>………………………………………………………（页码）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七、投标资格声明函……………………………………………………………………（页码）</w:t>
      </w:r>
    </w:p>
    <w:p>
      <w:pPr>
        <w:snapToGrid w:val="0"/>
        <w:spacing w:line="360" w:lineRule="auto"/>
        <w:rPr>
          <w:rFonts w:hint="eastAsia"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八、在全国投资项目在线审批监管平台完成备案工作的咨询服务机构的证明……（页码）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九、</w:t>
      </w:r>
      <w:r>
        <w:rPr>
          <w:rFonts w:hint="eastAsia" w:asciiTheme="minorEastAsia" w:hAnsiTheme="minorEastAsia" w:eastAsiaTheme="minorEastAsia" w:cstheme="minorEastAsia"/>
          <w:color w:val="auto"/>
          <w:kern w:val="0"/>
          <w:sz w:val="24"/>
          <w:highlight w:val="none"/>
        </w:rPr>
        <w:t>投标人应为中小微企业/监狱企业/残疾人福利性单位………………………………（页码）</w:t>
      </w:r>
    </w:p>
    <w:p>
      <w:pPr>
        <w:snapToGrid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lang w:val="en-US" w:eastAsia="zh-CN"/>
        </w:rPr>
        <w:t>十</w:t>
      </w:r>
      <w:r>
        <w:rPr>
          <w:rFonts w:hint="eastAsia" w:asciiTheme="minorEastAsia" w:hAnsiTheme="minorEastAsia" w:eastAsiaTheme="minorEastAsia" w:cstheme="minorEastAsia"/>
          <w:color w:val="auto"/>
          <w:sz w:val="24"/>
          <w:highlight w:val="none"/>
        </w:rPr>
        <w:t>、除招标文件规定必须提供以外，投标人认为需要提供的其他证明材料</w:t>
      </w:r>
      <w:r>
        <w:rPr>
          <w:rFonts w:hint="eastAsia" w:asciiTheme="minorEastAsia" w:hAnsiTheme="minorEastAsia" w:eastAsiaTheme="minorEastAsia" w:cstheme="minorEastAsia"/>
          <w:color w:val="auto"/>
          <w:kern w:val="0"/>
          <w:sz w:val="24"/>
          <w:highlight w:val="none"/>
        </w:rPr>
        <w:t>………（页码）</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注：以上目录是基本格式要求，各投标人可根据自身情况进一步向下增加内容或细化。</w:t>
      </w:r>
    </w:p>
    <w:p>
      <w:pPr>
        <w:widowControl/>
        <w:spacing w:line="360" w:lineRule="auto"/>
        <w:jc w:val="left"/>
        <w:rPr>
          <w:rFonts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p>
    <w:p>
      <w:pPr>
        <w:snapToGrid w:val="0"/>
        <w:spacing w:line="360" w:lineRule="auto"/>
        <w:rPr>
          <w:rFonts w:asciiTheme="minorEastAsia" w:hAnsiTheme="minorEastAsia" w:eastAsiaTheme="minorEastAsia" w:cstheme="minorEastAsia"/>
          <w:b/>
          <w:color w:val="auto"/>
          <w:kern w:val="0"/>
          <w:sz w:val="32"/>
          <w:szCs w:val="32"/>
          <w:highlight w:val="none"/>
          <w:lang w:val="zh-CN"/>
        </w:rPr>
      </w:pPr>
    </w:p>
    <w:p>
      <w:pPr>
        <w:spacing w:line="360" w:lineRule="auto"/>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一、投标人为法人或者其他组织的，提供营业执照等证明文件（如营业执照或者事业单位法人证书或者执业许可证等），投标人为自然人的，提供身份证复印件</w:t>
      </w:r>
    </w:p>
    <w:p>
      <w:pPr>
        <w:spacing w:line="360" w:lineRule="auto"/>
        <w:rPr>
          <w:rFonts w:asciiTheme="minorEastAsia" w:hAnsiTheme="minorEastAsia" w:eastAsiaTheme="minorEastAsia" w:cstheme="minorEastAsia"/>
          <w:b/>
          <w:color w:val="auto"/>
          <w:sz w:val="30"/>
          <w:szCs w:val="30"/>
          <w:highlight w:val="none"/>
        </w:rPr>
      </w:pPr>
    </w:p>
    <w:p>
      <w:pPr>
        <w:snapToGrid w:val="0"/>
        <w:spacing w:line="360" w:lineRule="auto"/>
        <w:ind w:firstLine="576"/>
        <w:jc w:val="center"/>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投标人名称(电子签章)：                              </w:t>
      </w:r>
    </w:p>
    <w:p>
      <w:pPr>
        <w:spacing w:line="360" w:lineRule="auto"/>
        <w:jc w:val="center"/>
        <w:rPr>
          <w:rFonts w:hint="default" w:asciiTheme="minorEastAsia" w:hAnsiTheme="minorEastAsia" w:eastAsiaTheme="minorEastAsia" w:cstheme="minorEastAsia"/>
          <w:b/>
          <w:color w:val="auto"/>
          <w:sz w:val="30"/>
          <w:szCs w:val="30"/>
          <w:highlight w:val="none"/>
          <w:lang w:val="en-US" w:eastAsia="zh-CN"/>
        </w:rPr>
      </w:pPr>
      <w:r>
        <w:rPr>
          <w:rFonts w:hint="eastAsia" w:asciiTheme="minorEastAsia" w:hAnsiTheme="minorEastAsia" w:eastAsiaTheme="minorEastAsia" w:cstheme="minorEastAsia"/>
          <w:color w:val="auto"/>
          <w:kern w:val="0"/>
          <w:sz w:val="24"/>
          <w:highlight w:val="none"/>
          <w:lang w:val="zh-CN"/>
        </w:rPr>
        <w:t xml:space="preserve">                   日期：  年  月</w:t>
      </w:r>
      <w:r>
        <w:rPr>
          <w:rFonts w:hint="eastAsia" w:asciiTheme="minorEastAsia" w:hAnsiTheme="minorEastAsia" w:eastAsiaTheme="minorEastAsia" w:cstheme="minorEastAsia"/>
          <w:color w:val="auto"/>
          <w:kern w:val="0"/>
          <w:sz w:val="24"/>
          <w:highlight w:val="none"/>
          <w:lang w:val="en-US" w:eastAsia="zh-CN"/>
        </w:rPr>
        <w:t xml:space="preserve">  日</w:t>
      </w:r>
    </w:p>
    <w:p>
      <w:pPr>
        <w:spacing w:line="360" w:lineRule="auto"/>
        <w:jc w:val="center"/>
        <w:rPr>
          <w:rFonts w:asciiTheme="minorEastAsia" w:hAnsiTheme="minorEastAsia" w:eastAsiaTheme="minorEastAsia" w:cstheme="minorEastAsia"/>
          <w:b/>
          <w:color w:val="auto"/>
          <w:kern w:val="0"/>
          <w:sz w:val="32"/>
          <w:szCs w:val="32"/>
          <w:highlight w:val="none"/>
          <w:lang w:val="zh-CN"/>
        </w:rPr>
      </w:pPr>
    </w:p>
    <w:p>
      <w:pPr>
        <w:spacing w:line="360" w:lineRule="auto"/>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二、投标人依法缴纳税收的相关材料</w:t>
      </w:r>
    </w:p>
    <w:p>
      <w:pPr>
        <w:snapToGrid w:val="0"/>
        <w:spacing w:line="360" w:lineRule="auto"/>
        <w:ind w:firstLine="480" w:firstLineChars="200"/>
        <w:rPr>
          <w:rFonts w:asciiTheme="minorEastAsia" w:hAnsiTheme="minorEastAsia" w:eastAsiaTheme="minorEastAsia" w:cstheme="minorEastAsia"/>
          <w:color w:val="auto"/>
          <w:sz w:val="24"/>
          <w:highlight w:val="none"/>
        </w:rPr>
      </w:pPr>
    </w:p>
    <w:p>
      <w:pPr>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pacing w:line="360" w:lineRule="auto"/>
        <w:jc w:val="center"/>
        <w:rPr>
          <w:rFonts w:asciiTheme="minorEastAsia" w:hAnsiTheme="minorEastAsia" w:eastAsiaTheme="minorEastAsia" w:cstheme="minorEastAsia"/>
          <w:b/>
          <w:color w:val="auto"/>
          <w:kern w:val="0"/>
          <w:sz w:val="32"/>
          <w:szCs w:val="32"/>
          <w:highlight w:val="none"/>
          <w:lang w:val="zh-CN"/>
        </w:rPr>
      </w:pPr>
    </w:p>
    <w:p>
      <w:pPr>
        <w:spacing w:line="360" w:lineRule="auto"/>
        <w:jc w:val="center"/>
        <w:rPr>
          <w:rFonts w:asciiTheme="minorEastAsia" w:hAnsiTheme="minorEastAsia" w:eastAsiaTheme="minorEastAsia" w:cstheme="minorEastAsia"/>
          <w:b/>
          <w:color w:val="auto"/>
          <w:kern w:val="0"/>
          <w:sz w:val="32"/>
          <w:szCs w:val="32"/>
          <w:highlight w:val="none"/>
          <w:lang w:val="zh-CN"/>
        </w:rPr>
      </w:pPr>
    </w:p>
    <w:p>
      <w:pPr>
        <w:spacing w:line="360" w:lineRule="auto"/>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三、投标人依法缴纳社会保障资金的相关材料</w:t>
      </w:r>
    </w:p>
    <w:p>
      <w:pPr>
        <w:snapToGrid w:val="0"/>
        <w:spacing w:line="360" w:lineRule="auto"/>
        <w:ind w:firstLine="480" w:firstLineChars="200"/>
        <w:rPr>
          <w:rFonts w:asciiTheme="minorEastAsia" w:hAnsiTheme="minorEastAsia" w:eastAsiaTheme="minorEastAsia" w:cstheme="minorEastAsia"/>
          <w:color w:val="auto"/>
          <w:sz w:val="24"/>
          <w:highlight w:val="none"/>
        </w:rPr>
      </w:pPr>
    </w:p>
    <w:p>
      <w:pPr>
        <w:snapToGrid w:val="0"/>
        <w:spacing w:line="360" w:lineRule="auto"/>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                                          </w:t>
      </w: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p>
    <w:p>
      <w:pPr>
        <w:snapToGrid w:val="0"/>
        <w:spacing w:line="360" w:lineRule="auto"/>
        <w:ind w:right="480"/>
        <w:jc w:val="center"/>
        <w:rPr>
          <w:rFonts w:asciiTheme="minorEastAsia" w:hAnsiTheme="minorEastAsia" w:eastAsiaTheme="minorEastAsia" w:cstheme="minorEastAsia"/>
          <w:b/>
          <w:color w:val="auto"/>
          <w:kern w:val="0"/>
          <w:sz w:val="32"/>
          <w:szCs w:val="32"/>
          <w:highlight w:val="none"/>
          <w:lang w:val="zh-CN"/>
        </w:rPr>
      </w:pPr>
    </w:p>
    <w:p>
      <w:pPr>
        <w:spacing w:line="360" w:lineRule="auto"/>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rPr>
        <w:br w:type="page"/>
      </w:r>
      <w:r>
        <w:rPr>
          <w:rFonts w:hint="eastAsia" w:asciiTheme="minorEastAsia" w:hAnsiTheme="minorEastAsia" w:eastAsiaTheme="minorEastAsia" w:cstheme="minorEastAsia"/>
          <w:b/>
          <w:color w:val="auto"/>
          <w:kern w:val="0"/>
          <w:sz w:val="32"/>
          <w:szCs w:val="32"/>
          <w:highlight w:val="none"/>
        </w:rPr>
        <w:t>四、</w:t>
      </w:r>
      <w:r>
        <w:rPr>
          <w:rFonts w:hint="eastAsia" w:asciiTheme="minorEastAsia" w:hAnsiTheme="minorEastAsia" w:eastAsiaTheme="minorEastAsia" w:cstheme="minorEastAsia"/>
          <w:b/>
          <w:color w:val="auto"/>
          <w:kern w:val="0"/>
          <w:sz w:val="32"/>
          <w:szCs w:val="32"/>
          <w:highlight w:val="none"/>
          <w:lang w:val="en-US" w:eastAsia="zh-CN"/>
        </w:rPr>
        <w:t>投标人</w:t>
      </w:r>
      <w:r>
        <w:rPr>
          <w:rFonts w:hint="eastAsia" w:asciiTheme="minorEastAsia" w:hAnsiTheme="minorEastAsia" w:eastAsiaTheme="minorEastAsia" w:cstheme="minorEastAsia"/>
          <w:b/>
          <w:color w:val="auto"/>
          <w:kern w:val="0"/>
          <w:sz w:val="32"/>
          <w:szCs w:val="32"/>
          <w:highlight w:val="none"/>
          <w:lang w:val="zh-CN"/>
        </w:rPr>
        <w:t>财务状况报告</w:t>
      </w:r>
    </w:p>
    <w:p>
      <w:pPr>
        <w:snapToGrid w:val="0"/>
        <w:spacing w:line="360" w:lineRule="auto"/>
        <w:ind w:firstLine="5040" w:firstLineChars="2100"/>
        <w:rPr>
          <w:rFonts w:asciiTheme="minorEastAsia" w:hAnsiTheme="minorEastAsia" w:eastAsiaTheme="minorEastAsia" w:cstheme="minorEastAsia"/>
          <w:color w:val="auto"/>
          <w:kern w:val="0"/>
          <w:sz w:val="24"/>
          <w:highlight w:val="none"/>
          <w:lang w:val="zh-CN"/>
        </w:rPr>
      </w:pPr>
    </w:p>
    <w:p>
      <w:pPr>
        <w:snapToGrid w:val="0"/>
        <w:spacing w:line="360" w:lineRule="auto"/>
        <w:ind w:firstLine="5040" w:firstLineChars="2100"/>
        <w:rPr>
          <w:rFonts w:asciiTheme="minorEastAsia" w:hAnsiTheme="minorEastAsia" w:eastAsiaTheme="minorEastAsia" w:cstheme="minorEastAsia"/>
          <w:color w:val="auto"/>
          <w:kern w:val="0"/>
          <w:sz w:val="24"/>
          <w:highlight w:val="none"/>
          <w:lang w:val="zh-CN"/>
        </w:rPr>
      </w:pP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 xml:space="preserve"> 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pacing w:line="360" w:lineRule="auto"/>
        <w:rPr>
          <w:rFonts w:asciiTheme="minorEastAsia" w:hAnsiTheme="minorEastAsia" w:eastAsiaTheme="minorEastAsia" w:cstheme="minorEastAsia"/>
          <w:b/>
          <w:color w:val="auto"/>
          <w:kern w:val="0"/>
          <w:sz w:val="32"/>
          <w:szCs w:val="32"/>
          <w:highlight w:val="none"/>
          <w:lang w:val="zh-CN"/>
        </w:rPr>
      </w:pPr>
    </w:p>
    <w:p>
      <w:pPr>
        <w:spacing w:line="360" w:lineRule="auto"/>
        <w:jc w:val="center"/>
        <w:rPr>
          <w:rFonts w:asciiTheme="minorEastAsia" w:hAnsiTheme="minorEastAsia" w:eastAsiaTheme="minorEastAsia" w:cstheme="minorEastAsia"/>
          <w:b/>
          <w:color w:val="auto"/>
          <w:kern w:val="0"/>
          <w:sz w:val="32"/>
          <w:szCs w:val="32"/>
          <w:highlight w:val="none"/>
          <w:lang w:val="zh-CN"/>
        </w:rPr>
      </w:pPr>
      <w:r>
        <w:rPr>
          <w:rFonts w:hint="eastAsia" w:asciiTheme="minorEastAsia" w:hAnsiTheme="minorEastAsia" w:eastAsiaTheme="minorEastAsia" w:cstheme="minorEastAsia"/>
          <w:b/>
          <w:color w:val="auto"/>
          <w:kern w:val="0"/>
          <w:sz w:val="32"/>
          <w:szCs w:val="32"/>
          <w:highlight w:val="none"/>
          <w:lang w:val="zh-CN"/>
        </w:rPr>
        <w:t>五、投标人直接控股股东信息</w:t>
      </w:r>
      <w:r>
        <w:rPr>
          <w:rFonts w:hint="eastAsia" w:asciiTheme="minorEastAsia" w:hAnsiTheme="minorEastAsia" w:eastAsiaTheme="minorEastAsia" w:cstheme="minorEastAsia"/>
          <w:b/>
          <w:color w:val="auto"/>
          <w:kern w:val="0"/>
          <w:sz w:val="32"/>
          <w:szCs w:val="32"/>
          <w:highlight w:val="none"/>
        </w:rPr>
        <w:t>表</w:t>
      </w:r>
    </w:p>
    <w:p>
      <w:pPr>
        <w:snapToGrid w:val="0"/>
        <w:spacing w:line="360" w:lineRule="auto"/>
        <w:ind w:right="480"/>
        <w:jc w:val="center"/>
        <w:rPr>
          <w:rFonts w:asciiTheme="minorEastAsia" w:hAnsiTheme="minorEastAsia" w:eastAsiaTheme="minorEastAsia" w:cstheme="minorEastAsia"/>
          <w:b/>
          <w:color w:val="auto"/>
          <w:sz w:val="28"/>
          <w:szCs w:val="28"/>
          <w:highlight w:val="none"/>
        </w:rPr>
      </w:pPr>
    </w:p>
    <w:tbl>
      <w:tblPr>
        <w:tblStyle w:val="23"/>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722"/>
        <w:gridCol w:w="1418"/>
      </w:tblGrid>
      <w:tr>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出资比例</w:t>
            </w:r>
          </w:p>
        </w:tc>
        <w:tc>
          <w:tcPr>
            <w:tcW w:w="3722"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身份证号码或者统一社会信用代码</w:t>
            </w:r>
          </w:p>
        </w:tc>
        <w:tc>
          <w:tcPr>
            <w:tcW w:w="1418"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r>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722"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1418"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bl>
    <w:p>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2.本表所指的控股关系仅限于直接控股关系，不包括间接的控股关系。公司实际控制人与公司之间的关系不属于本表所指的直接控股关系。</w:t>
      </w:r>
    </w:p>
    <w:p>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3.供应商不存在直接控股股东的，则填“无”。</w:t>
      </w: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napToGrid w:val="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br w:type="page"/>
      </w:r>
    </w:p>
    <w:p>
      <w:pPr>
        <w:snapToGrid w:val="0"/>
        <w:spacing w:line="360" w:lineRule="auto"/>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六、投标人直接管理关系信息表</w:t>
      </w:r>
    </w:p>
    <w:tbl>
      <w:tblPr>
        <w:tblStyle w:val="23"/>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b/>
                <w:bCs/>
                <w:color w:val="auto"/>
                <w:kern w:val="0"/>
                <w:sz w:val="24"/>
                <w:highlight w:val="none"/>
              </w:rPr>
            </w:pPr>
            <w:r>
              <w:rPr>
                <w:rFonts w:hint="eastAsia" w:asciiTheme="minorEastAsia" w:hAnsiTheme="minorEastAsia" w:eastAsiaTheme="minorEastAsia" w:cstheme="minorEastAsia"/>
                <w:b/>
                <w:bCs/>
                <w:color w:val="auto"/>
                <w:kern w:val="0"/>
                <w:sz w:val="24"/>
                <w:highlight w:val="none"/>
              </w:rPr>
              <w:t>备注</w:t>
            </w: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r>
        <w:tblPrEx>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r>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noWrap/>
            <w:tcMar>
              <w:top w:w="120" w:type="dxa"/>
              <w:left w:w="120" w:type="dxa"/>
              <w:bottom w:w="120" w:type="dxa"/>
              <w:right w:w="120" w:type="dxa"/>
            </w:tcMar>
            <w:vAlign w:val="center"/>
          </w:tcPr>
          <w:p>
            <w:pPr>
              <w:spacing w:line="360" w:lineRule="auto"/>
              <w:jc w:val="center"/>
              <w:rPr>
                <w:rFonts w:asciiTheme="minorEastAsia" w:hAnsiTheme="minorEastAsia" w:eastAsiaTheme="minorEastAsia" w:cstheme="minorEastAsia"/>
                <w:color w:val="auto"/>
                <w:kern w:val="0"/>
                <w:sz w:val="24"/>
                <w:highlight w:val="none"/>
              </w:rPr>
            </w:pPr>
          </w:p>
        </w:tc>
      </w:tr>
    </w:tbl>
    <w:p>
      <w:pPr>
        <w:snapToGrid w:val="0"/>
        <w:spacing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w:t>
      </w:r>
    </w:p>
    <w:p>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1.管理关系：是指不具有出资持股关系的其他单位之间存在的管理与被管理关系，如一些上下级关系的事业单位和团体组织。</w:t>
      </w:r>
    </w:p>
    <w:p>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pacing w:val="-6"/>
          <w:sz w:val="24"/>
          <w:highlight w:val="none"/>
        </w:rPr>
        <w:t>本表所指的管理关系仅限于直接管理关系，不包括间接的管理关系。</w:t>
      </w:r>
    </w:p>
    <w:p>
      <w:pPr>
        <w:snapToGrid w:val="0"/>
        <w:spacing w:line="360" w:lineRule="auto"/>
        <w:ind w:firstLine="480" w:firstLineChars="20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3.供应商不存在直接管理关系的，则填“无”。</w:t>
      </w: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jc w:val="left"/>
        <w:rPr>
          <w:rFonts w:asciiTheme="minorEastAsia" w:hAnsiTheme="minorEastAsia" w:eastAsiaTheme="minorEastAsia" w:cstheme="minorEastAsia"/>
          <w:color w:val="auto"/>
          <w:sz w:val="24"/>
          <w:highlight w:val="none"/>
        </w:rPr>
      </w:pP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napToGrid w:val="0"/>
        <w:spacing w:before="50" w:afterLines="50"/>
        <w:jc w:val="left"/>
        <w:rPr>
          <w:rFonts w:asciiTheme="minorEastAsia" w:hAnsiTheme="minorEastAsia" w:eastAsiaTheme="minorEastAsia" w:cstheme="minorEastAsia"/>
          <w:color w:val="auto"/>
          <w:szCs w:val="21"/>
          <w:highlight w:val="none"/>
        </w:rPr>
      </w:pPr>
    </w:p>
    <w:p>
      <w:pPr>
        <w:snapToGrid w:val="0"/>
        <w:spacing w:beforeLines="50" w:after="50"/>
        <w:jc w:val="left"/>
        <w:rPr>
          <w:rFonts w:asciiTheme="minorEastAsia" w:hAnsiTheme="minorEastAsia" w:eastAsiaTheme="minorEastAsia" w:cstheme="minorEastAsia"/>
          <w:b/>
          <w:color w:val="auto"/>
          <w:sz w:val="24"/>
          <w:szCs w:val="20"/>
          <w:highlight w:val="none"/>
        </w:rPr>
      </w:pPr>
    </w:p>
    <w:p>
      <w:pPr>
        <w:snapToGrid w:val="0"/>
        <w:spacing w:beforeLines="50" w:after="50"/>
        <w:jc w:val="left"/>
        <w:rPr>
          <w:rFonts w:asciiTheme="minorEastAsia" w:hAnsiTheme="minorEastAsia" w:eastAsiaTheme="minorEastAsia" w:cstheme="minorEastAsia"/>
          <w:b/>
          <w:color w:val="auto"/>
          <w:sz w:val="24"/>
          <w:highlight w:val="none"/>
        </w:rPr>
      </w:pPr>
    </w:p>
    <w:p>
      <w:pPr>
        <w:snapToGrid w:val="0"/>
        <w:spacing w:beforeLines="50" w:after="50"/>
        <w:jc w:val="left"/>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24"/>
          <w:szCs w:val="20"/>
          <w:highlight w:val="none"/>
        </w:rPr>
        <w:t xml:space="preserve"> </w:t>
      </w:r>
    </w:p>
    <w:p>
      <w:pPr>
        <w:snapToGrid w:val="0"/>
        <w:spacing w:beforeLines="50" w:after="50"/>
        <w:jc w:val="left"/>
        <w:rPr>
          <w:rFonts w:asciiTheme="minorEastAsia" w:hAnsiTheme="minorEastAsia" w:eastAsiaTheme="minorEastAsia" w:cstheme="minorEastAsia"/>
          <w:b/>
          <w:color w:val="auto"/>
          <w:sz w:val="24"/>
          <w:szCs w:val="20"/>
          <w:highlight w:val="none"/>
        </w:rPr>
      </w:pPr>
    </w:p>
    <w:p>
      <w:pPr>
        <w:snapToGrid w:val="0"/>
        <w:spacing w:beforeLines="50" w:after="50"/>
        <w:jc w:val="left"/>
        <w:rPr>
          <w:rFonts w:asciiTheme="minorEastAsia" w:hAnsiTheme="minorEastAsia" w:eastAsiaTheme="minorEastAsia" w:cstheme="minorEastAsia"/>
          <w:b/>
          <w:color w:val="auto"/>
          <w:sz w:val="24"/>
          <w:szCs w:val="20"/>
          <w:highlight w:val="none"/>
        </w:rPr>
      </w:pPr>
    </w:p>
    <w:p>
      <w:pPr>
        <w:snapToGrid w:val="0"/>
        <w:spacing w:before="50" w:afterLines="50"/>
        <w:jc w:val="left"/>
        <w:rPr>
          <w:rFonts w:asciiTheme="minorEastAsia" w:hAnsiTheme="minorEastAsia" w:eastAsiaTheme="minorEastAsia" w:cstheme="minorEastAsia"/>
          <w:color w:val="auto"/>
          <w:highlight w:val="none"/>
        </w:rPr>
      </w:pPr>
    </w:p>
    <w:p>
      <w:pPr>
        <w:snapToGrid w:val="0"/>
        <w:spacing w:before="50" w:afterLines="5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七、投标资格声明</w:t>
      </w:r>
    </w:p>
    <w:p>
      <w:pPr>
        <w:tabs>
          <w:tab w:val="left" w:pos="7200"/>
        </w:tabs>
        <w:spacing w:line="360" w:lineRule="auto"/>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致：</w:t>
      </w:r>
      <w:r>
        <w:rPr>
          <w:rFonts w:hint="eastAsia" w:asciiTheme="minorEastAsia" w:hAnsiTheme="minorEastAsia" w:eastAsiaTheme="minorEastAsia" w:cstheme="minorEastAsia"/>
          <w:color w:val="auto"/>
          <w:szCs w:val="21"/>
          <w:highlight w:val="none"/>
          <w:u w:val="single"/>
          <w:lang w:eastAsia="zh-CN"/>
        </w:rPr>
        <w:t>广西阳光采购服务公司</w:t>
      </w:r>
      <w:r>
        <w:rPr>
          <w:rFonts w:hint="eastAsia" w:asciiTheme="minorEastAsia" w:hAnsiTheme="minorEastAsia" w:eastAsiaTheme="minorEastAsia" w:cstheme="minorEastAsia"/>
          <w:color w:val="auto"/>
          <w:szCs w:val="21"/>
          <w:highlight w:val="none"/>
          <w:u w:val="single"/>
        </w:rPr>
        <w:t xml:space="preserve"> </w:t>
      </w:r>
    </w:p>
    <w:p>
      <w:pPr>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我方愿意参加贵方组织的_</w:t>
      </w:r>
      <w:r>
        <w:rPr>
          <w:rFonts w:hint="eastAsia" w:asciiTheme="minorEastAsia" w:hAnsiTheme="minorEastAsia" w:eastAsiaTheme="minorEastAsia" w:cstheme="minorEastAsia"/>
          <w:color w:val="auto"/>
          <w:szCs w:val="21"/>
          <w:highlight w:val="none"/>
          <w:u w:val="single"/>
          <w:lang w:eastAsia="zh-CN"/>
        </w:rPr>
        <w:t>2025年西乡塘区糖料蔗病虫害绿色防控项目</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_（项目编号：</w:t>
      </w:r>
      <w:r>
        <w:rPr>
          <w:rFonts w:hint="eastAsia" w:asciiTheme="minorEastAsia" w:hAnsiTheme="minorEastAsia" w:eastAsiaTheme="minorEastAsia" w:cstheme="minorEastAsia"/>
          <w:color w:val="auto"/>
          <w:szCs w:val="21"/>
          <w:highlight w:val="none"/>
          <w:lang w:eastAsia="zh-CN"/>
        </w:rPr>
        <w:t>NNZC2026-G3-070001-GXYG</w:t>
      </w:r>
      <w:r>
        <w:rPr>
          <w:rFonts w:hint="eastAsia" w:asciiTheme="minorEastAsia" w:hAnsiTheme="minorEastAsia" w:eastAsiaTheme="minorEastAsia" w:cstheme="minorEastAsia"/>
          <w:color w:val="auto"/>
          <w:szCs w:val="21"/>
          <w:highlight w:val="none"/>
        </w:rPr>
        <w:t xml:space="preserve"> ）项目的投标，为便于贵方公正、择优地确定中标人，我方就本次投标有关事项郑重声明如下：</w:t>
      </w:r>
    </w:p>
    <w:p>
      <w:pPr>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我方承诺已经具备《中华人民共和国政府采购法》第二十二条中规定的参加政府采购活动的供应商应当具备的条件并按本项目投标文件“第三章”“第二节投标人须知前附表”中“资格证明文件组成”完整提供证明材料。</w:t>
      </w:r>
    </w:p>
    <w:p>
      <w:pPr>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我方不是采购人的附属机构；在获知本项目采购信息后，与采购人聘请的为此项目提供咨询服务的公司及其附属机构没有任何联系。</w:t>
      </w:r>
    </w:p>
    <w:p>
      <w:pPr>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3.经查询，在“信用中国”和“中国政府采购网”网站我方未被列入失信被执行人、重大税收违法案件当事人名单、政府采购严重违法失信行为记录名单。</w:t>
      </w:r>
    </w:p>
    <w:p>
      <w:pPr>
        <w:snapToGrid w:val="0"/>
        <w:spacing w:line="360" w:lineRule="auto"/>
        <w:ind w:firstLine="420" w:firstLineChars="200"/>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4.以上事项如有虚假或隐瞒，我方愿意承担一切后果，并不再寻求任何旨在减轻或免除法律责任的辩解。 </w:t>
      </w:r>
    </w:p>
    <w:p>
      <w:pPr>
        <w:tabs>
          <w:tab w:val="left" w:pos="7200"/>
        </w:tabs>
        <w:spacing w:line="360" w:lineRule="auto"/>
        <w:ind w:firstLine="315" w:firstLineChars="15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p>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1.投标人应当通过 “信用中国”（www.creditchina.gov.cn）和“中国政府采购网”网站（www.ccgp.gov.cn）查询投标人相关主体的信用记录。查询时间为本项目投标截止时间前10日至投标截止时间中任意一天。对列入失信被执行人、重大税收违法案件当事人名单、政府采购严重违法失信行为记录名单的投标人，将被拒绝参与本项目政府采购活动。</w:t>
      </w:r>
    </w:p>
    <w:p>
      <w:pPr>
        <w:spacing w:line="360" w:lineRule="auto"/>
        <w:ind w:firstLine="420" w:firstLineChars="200"/>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snapToGrid w:val="0"/>
        <w:spacing w:before="50" w:afterLines="50" w:line="360" w:lineRule="auto"/>
        <w:jc w:val="left"/>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 xml:space="preserve"> </w:t>
      </w:r>
      <w:r>
        <w:rPr>
          <w:rFonts w:hint="eastAsia" w:asciiTheme="minorEastAsia" w:hAnsiTheme="minorEastAsia" w:eastAsiaTheme="minorEastAsia" w:cstheme="minorEastAsia"/>
          <w:b/>
          <w:color w:val="auto"/>
          <w:sz w:val="21"/>
          <w:szCs w:val="21"/>
          <w:highlight w:val="none"/>
        </w:rPr>
        <w:t xml:space="preserve">  3.如为联合体投标，盖章处须加盖联合体各方公章并由联合体各方法定代表人分别签署，否则投标无效。</w:t>
      </w:r>
    </w:p>
    <w:p>
      <w:pPr>
        <w:snapToGrid w:val="0"/>
        <w:spacing w:before="50" w:afterLines="100" w:line="360" w:lineRule="auto"/>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w:t>
      </w:r>
    </w:p>
    <w:p>
      <w:pPr>
        <w:snapToGrid w:val="0"/>
        <w:spacing w:before="50" w:afterLines="100" w:line="360" w:lineRule="auto"/>
        <w:ind w:left="7428" w:leftChars="2223" w:hanging="2760" w:hangingChars="115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r>
        <w:rPr>
          <w:rFonts w:hint="eastAsia" w:asciiTheme="minorEastAsia" w:hAnsiTheme="minorEastAsia" w:eastAsiaTheme="minorEastAsia" w:cstheme="minorEastAsia"/>
          <w:color w:val="auto"/>
          <w:szCs w:val="21"/>
          <w:highlight w:val="none"/>
        </w:rPr>
        <w:t xml:space="preserve">                                     年    月    日</w:t>
      </w:r>
    </w:p>
    <w:p>
      <w:pPr>
        <w:pStyle w:val="13"/>
        <w:spacing w:line="600" w:lineRule="exact"/>
        <w:jc w:val="center"/>
        <w:rPr>
          <w:rFonts w:asciiTheme="minorEastAsia" w:hAnsiTheme="minorEastAsia" w:eastAsiaTheme="minorEastAsia" w:cstheme="minorEastAsia"/>
          <w:b/>
          <w:bCs/>
          <w:color w:val="auto"/>
          <w:sz w:val="30"/>
          <w:szCs w:val="30"/>
          <w:highlight w:val="none"/>
        </w:rPr>
      </w:pPr>
    </w:p>
    <w:p>
      <w:pPr>
        <w:pStyle w:val="13"/>
        <w:spacing w:line="600" w:lineRule="exact"/>
        <w:jc w:val="center"/>
        <w:rPr>
          <w:rFonts w:asciiTheme="minorEastAsia" w:hAnsiTheme="minorEastAsia" w:eastAsiaTheme="minorEastAsia" w:cstheme="minorEastAsia"/>
          <w:b/>
          <w:bCs/>
          <w:color w:val="auto"/>
          <w:sz w:val="30"/>
          <w:szCs w:val="30"/>
          <w:highlight w:val="none"/>
        </w:rPr>
      </w:pPr>
    </w:p>
    <w:p>
      <w:pPr>
        <w:widowControl/>
        <w:jc w:val="left"/>
        <w:rPr>
          <w:rFonts w:asciiTheme="minorEastAsia" w:hAnsiTheme="minorEastAsia" w:eastAsiaTheme="minorEastAsia" w:cstheme="minorEastAsia"/>
          <w:b/>
          <w:bCs/>
          <w:color w:val="auto"/>
          <w:sz w:val="30"/>
          <w:szCs w:val="30"/>
          <w:highlight w:val="none"/>
        </w:rPr>
        <w:sectPr>
          <w:pgSz w:w="11906" w:h="16838"/>
          <w:pgMar w:top="1134" w:right="1134" w:bottom="1134" w:left="1134" w:header="720" w:footer="720" w:gutter="0"/>
          <w:cols w:space="720" w:num="1"/>
          <w:docGrid w:type="lines" w:linePitch="331" w:charSpace="0"/>
        </w:sectPr>
      </w:pPr>
    </w:p>
    <w:p>
      <w:pPr>
        <w:numPr>
          <w:ilvl w:val="0"/>
          <w:numId w:val="4"/>
        </w:numPr>
        <w:snapToGrid w:val="0"/>
        <w:spacing w:before="50" w:afterLines="50"/>
        <w:jc w:val="center"/>
        <w:rPr>
          <w:rFonts w:hint="eastAsia" w:asciiTheme="minorEastAsia" w:hAnsiTheme="minorEastAsia" w:eastAsiaTheme="minorEastAsia" w:cstheme="minorEastAsia"/>
          <w:b/>
          <w:color w:val="auto"/>
          <w:sz w:val="32"/>
          <w:szCs w:val="32"/>
          <w:highlight w:val="none"/>
        </w:rPr>
        <w:sectPr>
          <w:pgSz w:w="11906" w:h="16838"/>
          <w:pgMar w:top="1134" w:right="1134" w:bottom="1134" w:left="1134" w:header="720" w:footer="720" w:gutter="0"/>
          <w:cols w:space="720" w:num="1"/>
          <w:docGrid w:type="lines" w:linePitch="331" w:charSpace="0"/>
        </w:sectPr>
      </w:pPr>
      <w:r>
        <w:rPr>
          <w:rFonts w:hint="eastAsia" w:asciiTheme="minorEastAsia" w:hAnsiTheme="minorEastAsia" w:eastAsiaTheme="minorEastAsia" w:cstheme="minorEastAsia"/>
          <w:b/>
          <w:color w:val="auto"/>
          <w:sz w:val="32"/>
          <w:szCs w:val="32"/>
          <w:highlight w:val="none"/>
        </w:rPr>
        <w:t>在全国投资项目在线审批监管平台完成备案工作的咨询服务机构的证明</w:t>
      </w:r>
    </w:p>
    <w:p>
      <w:pPr>
        <w:numPr>
          <w:ilvl w:val="0"/>
          <w:numId w:val="4"/>
        </w:numPr>
        <w:snapToGrid w:val="0"/>
        <w:spacing w:before="50" w:afterLines="5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投标人应为中小微企业/监狱企业/残疾人福利性单位：</w:t>
      </w:r>
    </w:p>
    <w:p>
      <w:pPr>
        <w:pStyle w:val="13"/>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1、中小企业声明函（格式）</w:t>
      </w:r>
    </w:p>
    <w:p>
      <w:pPr>
        <w:pStyle w:val="13"/>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Cs/>
          <w:i/>
          <w:iCs/>
          <w:color w:val="auto"/>
          <w:sz w:val="30"/>
          <w:szCs w:val="30"/>
          <w:highlight w:val="none"/>
        </w:rPr>
        <w:t>（属于中小企业时提供）</w:t>
      </w:r>
    </w:p>
    <w:p>
      <w:pPr>
        <w:pStyle w:val="11"/>
        <w:spacing w:line="240" w:lineRule="auto"/>
        <w:ind w:firstLine="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说明：</w:t>
      </w:r>
    </w:p>
    <w:p>
      <w:pPr>
        <w:pStyle w:val="11"/>
        <w:spacing w:line="240" w:lineRule="auto"/>
        <w:ind w:firstLine="40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1、本声明函主要供参加政府采购活动的中小企业填写，非中小企业无需填写。</w:t>
      </w:r>
    </w:p>
    <w:p>
      <w:pPr>
        <w:pStyle w:val="11"/>
        <w:spacing w:line="240" w:lineRule="auto"/>
        <w:ind w:firstLine="404" w:firstLineChars="200"/>
        <w:rPr>
          <w:rFonts w:asciiTheme="minorEastAsia" w:hAnsiTheme="minorEastAsia" w:eastAsiaTheme="minorEastAsia" w:cstheme="minorEastAsia"/>
          <w:color w:val="auto"/>
          <w:sz w:val="21"/>
          <w:szCs w:val="21"/>
          <w:highlight w:val="none"/>
        </w:rPr>
      </w:pPr>
      <w:r>
        <w:rPr>
          <w:rFonts w:hint="eastAsia" w:asciiTheme="minorEastAsia" w:hAnsiTheme="minorEastAsia" w:eastAsiaTheme="minorEastAsia" w:cstheme="minorEastAsia"/>
          <w:color w:val="auto"/>
          <w:sz w:val="21"/>
          <w:szCs w:val="21"/>
          <w:highlight w:val="none"/>
        </w:rPr>
        <w:t>2、小型、微型企业提供中型企业提供的服务的，视同为中型企业。</w:t>
      </w:r>
    </w:p>
    <w:p>
      <w:pPr>
        <w:pStyle w:val="11"/>
        <w:spacing w:line="240" w:lineRule="auto"/>
        <w:ind w:firstLine="404" w:firstLineChars="200"/>
        <w:rPr>
          <w:rFonts w:asciiTheme="minorEastAsia" w:hAnsiTheme="minorEastAsia" w:eastAsiaTheme="minorEastAsia" w:cstheme="minorEastAsia"/>
          <w:color w:val="auto"/>
          <w:sz w:val="21"/>
          <w:szCs w:val="21"/>
          <w:highlight w:val="none"/>
        </w:rPr>
      </w:pPr>
    </w:p>
    <w:p>
      <w:pPr>
        <w:pStyle w:val="10"/>
        <w:spacing w:line="500" w:lineRule="exact"/>
        <w:ind w:right="142"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本公司（联合体）郑重声明，根据《政府采购促进中小企业发展管理办法》（财库﹝2020﹞46号）的规定，本公司（联合体）参加</w:t>
      </w:r>
      <w:r>
        <w:rPr>
          <w:rFonts w:hint="eastAsia" w:asciiTheme="minorEastAsia" w:hAnsiTheme="minorEastAsia" w:eastAsiaTheme="minorEastAsia" w:cstheme="minorEastAsia"/>
          <w:color w:val="auto"/>
          <w:highlight w:val="none"/>
          <w:u w:val="single"/>
          <w:lang w:eastAsia="zh-CN"/>
        </w:rPr>
        <w:t>南宁市西乡塘区农业农村局</w:t>
      </w:r>
      <w:r>
        <w:rPr>
          <w:rFonts w:hint="eastAsia" w:asciiTheme="minorEastAsia" w:hAnsiTheme="minorEastAsia" w:eastAsiaTheme="minorEastAsia" w:cstheme="minorEastAsia"/>
          <w:color w:val="auto"/>
          <w:highlight w:val="none"/>
        </w:rPr>
        <w:t>的</w:t>
      </w:r>
      <w:r>
        <w:rPr>
          <w:rFonts w:hint="eastAsia" w:asciiTheme="minorEastAsia" w:hAnsiTheme="minorEastAsia" w:eastAsiaTheme="minorEastAsia" w:cstheme="minorEastAsia"/>
          <w:color w:val="auto"/>
          <w:highlight w:val="none"/>
          <w:u w:val="single"/>
          <w:lang w:eastAsia="zh-CN"/>
        </w:rPr>
        <w:t>2025年西乡塘区糖料蔗病虫害绿色防控项目</w:t>
      </w:r>
      <w:r>
        <w:rPr>
          <w:rFonts w:hint="eastAsia" w:asciiTheme="minorEastAsia" w:hAnsiTheme="minorEastAsia" w:eastAsiaTheme="minorEastAsia" w:cstheme="minorEastAsia"/>
          <w:color w:val="auto"/>
          <w:highlight w:val="none"/>
        </w:rPr>
        <w:t>采购活动，服务全部由符合政策要求的中小企业承接。相关企业（含联合体中的中小企业、签订分包意向协议的中小企业）的具体情况如下：</w:t>
      </w:r>
    </w:p>
    <w:p>
      <w:pPr>
        <w:tabs>
          <w:tab w:val="left" w:pos="1384"/>
          <w:tab w:val="left" w:pos="4562"/>
          <w:tab w:val="left" w:pos="6803"/>
        </w:tabs>
        <w:spacing w:before="13" w:line="500" w:lineRule="exact"/>
        <w:ind w:right="142" w:firstLine="600" w:firstLineChars="286"/>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r>
        <w:rPr>
          <w:rFonts w:hint="eastAsia" w:asciiTheme="minorEastAsia" w:hAnsiTheme="minorEastAsia" w:eastAsiaTheme="minorEastAsia" w:cstheme="minorEastAsia"/>
          <w:color w:val="auto"/>
          <w:szCs w:val="21"/>
          <w:highlight w:val="none"/>
          <w:u w:val="single"/>
        </w:rPr>
        <w:t>（标的名称）</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rPr>
        <w:t>（采购文件中明确的所属行业）</w:t>
      </w:r>
      <w:r>
        <w:rPr>
          <w:rFonts w:hint="eastAsia" w:asciiTheme="minorEastAsia" w:hAnsiTheme="minorEastAsia" w:eastAsiaTheme="minorEastAsia" w:cstheme="minorEastAsia"/>
          <w:color w:val="auto"/>
          <w:szCs w:val="21"/>
          <w:highlight w:val="none"/>
        </w:rPr>
        <w:t>；承接企业为</w:t>
      </w:r>
      <w:r>
        <w:rPr>
          <w:rFonts w:hint="eastAsia" w:asciiTheme="minorEastAsia" w:hAnsiTheme="minorEastAsia" w:eastAsiaTheme="minorEastAsia" w:cstheme="minorEastAsia"/>
          <w:color w:val="auto"/>
          <w:szCs w:val="21"/>
          <w:highlight w:val="none"/>
          <w:u w:val="single"/>
        </w:rPr>
        <w:t>（企业名称）</w:t>
      </w:r>
      <w:r>
        <w:rPr>
          <w:rFonts w:hint="eastAsia" w:asciiTheme="minorEastAsia" w:hAnsiTheme="minorEastAsia" w:eastAsiaTheme="minorEastAsia" w:cstheme="minorEastAsia"/>
          <w:color w:val="auto"/>
          <w:szCs w:val="21"/>
          <w:highlight w:val="none"/>
        </w:rPr>
        <w:t>，从业人员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人，营业收入为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万元，资产总额为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万元，属于</w:t>
      </w:r>
      <w:r>
        <w:rPr>
          <w:rFonts w:hint="eastAsia" w:asciiTheme="minorEastAsia" w:hAnsiTheme="minorEastAsia" w:eastAsiaTheme="minorEastAsia" w:cstheme="minorEastAsia"/>
          <w:color w:val="auto"/>
          <w:szCs w:val="21"/>
          <w:highlight w:val="none"/>
          <w:u w:val="single"/>
        </w:rPr>
        <w:t>（中型企业、小型企业、微型企业）</w:t>
      </w:r>
      <w:r>
        <w:rPr>
          <w:rFonts w:hint="eastAsia" w:asciiTheme="minorEastAsia" w:hAnsiTheme="minorEastAsia" w:eastAsiaTheme="minorEastAsia" w:cstheme="minorEastAsia"/>
          <w:color w:val="auto"/>
          <w:szCs w:val="21"/>
          <w:highlight w:val="none"/>
        </w:rPr>
        <w:t>；</w:t>
      </w:r>
    </w:p>
    <w:p>
      <w:pPr>
        <w:tabs>
          <w:tab w:val="left" w:pos="1065"/>
          <w:tab w:val="left" w:pos="4262"/>
          <w:tab w:val="left" w:pos="6477"/>
        </w:tabs>
        <w:spacing w:before="20" w:line="500" w:lineRule="exact"/>
        <w:ind w:right="84" w:firstLine="600" w:firstLineChars="286"/>
        <w:rPr>
          <w:rFonts w:asciiTheme="minorEastAsia" w:hAnsiTheme="minorEastAsia" w:eastAsiaTheme="minorEastAsia" w:cstheme="minorEastAsia"/>
          <w:color w:val="auto"/>
          <w:szCs w:val="21"/>
          <w:highlight w:val="none"/>
          <w:u w:val="single"/>
        </w:rPr>
      </w:pPr>
      <w:r>
        <w:rPr>
          <w:rFonts w:hint="eastAsia" w:asciiTheme="minorEastAsia" w:hAnsiTheme="minorEastAsia" w:eastAsiaTheme="minorEastAsia" w:cstheme="minorEastAsia"/>
          <w:color w:val="auto"/>
          <w:szCs w:val="21"/>
          <w:highlight w:val="none"/>
        </w:rPr>
        <w:t>2.</w:t>
      </w:r>
      <w:r>
        <w:rPr>
          <w:rFonts w:hint="eastAsia" w:asciiTheme="minorEastAsia" w:hAnsiTheme="minorEastAsia" w:eastAsiaTheme="minorEastAsia" w:cstheme="minorEastAsia"/>
          <w:color w:val="auto"/>
          <w:szCs w:val="21"/>
          <w:highlight w:val="none"/>
          <w:u w:val="single"/>
        </w:rPr>
        <w:t>（标的名称）</w:t>
      </w:r>
      <w:r>
        <w:rPr>
          <w:rFonts w:hint="eastAsia" w:asciiTheme="minorEastAsia" w:hAnsiTheme="minorEastAsia" w:eastAsiaTheme="minorEastAsia" w:cstheme="minorEastAsia"/>
          <w:color w:val="auto"/>
          <w:szCs w:val="21"/>
          <w:highlight w:val="none"/>
        </w:rPr>
        <w:t>，属于</w:t>
      </w:r>
      <w:r>
        <w:rPr>
          <w:rFonts w:hint="eastAsia" w:asciiTheme="minorEastAsia" w:hAnsiTheme="minorEastAsia" w:eastAsiaTheme="minorEastAsia" w:cstheme="minorEastAsia"/>
          <w:color w:val="auto"/>
          <w:szCs w:val="21"/>
          <w:highlight w:val="none"/>
          <w:u w:val="single"/>
        </w:rPr>
        <w:t>（采购文件中明确的所属行业）</w:t>
      </w:r>
      <w:r>
        <w:rPr>
          <w:rFonts w:hint="eastAsia" w:asciiTheme="minorEastAsia" w:hAnsiTheme="minorEastAsia" w:eastAsiaTheme="minorEastAsia" w:cstheme="minorEastAsia"/>
          <w:color w:val="auto"/>
          <w:szCs w:val="21"/>
          <w:highlight w:val="none"/>
        </w:rPr>
        <w:t>；承接企业为</w:t>
      </w:r>
      <w:r>
        <w:rPr>
          <w:rFonts w:hint="eastAsia" w:asciiTheme="minorEastAsia" w:hAnsiTheme="minorEastAsia" w:eastAsiaTheme="minorEastAsia" w:cstheme="minorEastAsia"/>
          <w:color w:val="auto"/>
          <w:szCs w:val="21"/>
          <w:highlight w:val="none"/>
          <w:u w:val="single"/>
        </w:rPr>
        <w:t>（企业名称）</w:t>
      </w:r>
      <w:r>
        <w:rPr>
          <w:rFonts w:hint="eastAsia" w:asciiTheme="minorEastAsia" w:hAnsiTheme="minorEastAsia" w:eastAsiaTheme="minorEastAsia" w:cstheme="minorEastAsia"/>
          <w:color w:val="auto"/>
          <w:szCs w:val="21"/>
          <w:highlight w:val="none"/>
        </w:rPr>
        <w:t>，从业人员</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人，营业收入为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万元，资产总额为</w:t>
      </w:r>
      <w:r>
        <w:rPr>
          <w:rFonts w:hint="eastAsia" w:asciiTheme="minorEastAsia" w:hAnsiTheme="minorEastAsia" w:eastAsiaTheme="minorEastAsia" w:cstheme="minorEastAsia"/>
          <w:color w:val="auto"/>
          <w:szCs w:val="21"/>
          <w:highlight w:val="none"/>
          <w:u w:val="single"/>
        </w:rPr>
        <w:t xml:space="preserve">      </w:t>
      </w:r>
      <w:r>
        <w:rPr>
          <w:rFonts w:hint="eastAsia" w:asciiTheme="minorEastAsia" w:hAnsiTheme="minorEastAsia" w:eastAsiaTheme="minorEastAsia" w:cstheme="minorEastAsia"/>
          <w:color w:val="auto"/>
          <w:szCs w:val="21"/>
          <w:highlight w:val="none"/>
        </w:rPr>
        <w:t>万元，属于</w:t>
      </w:r>
      <w:r>
        <w:rPr>
          <w:rFonts w:hint="eastAsia" w:asciiTheme="minorEastAsia" w:hAnsiTheme="minorEastAsia" w:eastAsiaTheme="minorEastAsia" w:cstheme="minorEastAsia"/>
          <w:color w:val="auto"/>
          <w:szCs w:val="21"/>
          <w:highlight w:val="none"/>
          <w:u w:val="single"/>
        </w:rPr>
        <w:t>（中型企业、小型企业、微型企业）</w:t>
      </w:r>
      <w:r>
        <w:rPr>
          <w:rFonts w:hint="eastAsia" w:asciiTheme="minorEastAsia" w:hAnsiTheme="minorEastAsia" w:eastAsiaTheme="minorEastAsia" w:cstheme="minorEastAsia"/>
          <w:color w:val="auto"/>
          <w:szCs w:val="21"/>
          <w:highlight w:val="none"/>
        </w:rPr>
        <w:t>；</w:t>
      </w:r>
    </w:p>
    <w:p>
      <w:pPr>
        <w:pStyle w:val="10"/>
        <w:spacing w:before="34" w:line="500" w:lineRule="exact"/>
        <w:ind w:left="765" w:right="142" w:hanging="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 xml:space="preserve">…… </w:t>
      </w:r>
    </w:p>
    <w:p>
      <w:pPr>
        <w:pStyle w:val="10"/>
        <w:spacing w:before="34" w:line="500" w:lineRule="exact"/>
        <w:ind w:right="142"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以上企业，不属于大企业的分支机构，不存在控股股东为大企业的情形，也不存在与大企业的负责人为同一人的情形。</w:t>
      </w:r>
    </w:p>
    <w:p>
      <w:pPr>
        <w:pStyle w:val="10"/>
        <w:spacing w:before="34" w:line="500" w:lineRule="exact"/>
        <w:ind w:right="142"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本企业对上述声明内容的真实性负责。如有虚假，将依法承担相应责任。</w:t>
      </w:r>
    </w:p>
    <w:p>
      <w:pPr>
        <w:pStyle w:val="13"/>
        <w:spacing w:line="360" w:lineRule="auto"/>
        <w:ind w:firstLine="420" w:firstLineChars="200"/>
        <w:rPr>
          <w:rFonts w:asciiTheme="minorEastAsia" w:hAnsiTheme="minorEastAsia" w:eastAsiaTheme="minorEastAsia" w:cstheme="minorEastAsia"/>
          <w:color w:val="auto"/>
          <w:szCs w:val="21"/>
          <w:highlight w:val="none"/>
        </w:rPr>
      </w:pPr>
    </w:p>
    <w:p>
      <w:pPr>
        <w:pStyle w:val="13"/>
        <w:spacing w:line="360" w:lineRule="auto"/>
        <w:ind w:firstLine="420" w:firstLineChars="200"/>
        <w:rPr>
          <w:rFonts w:asciiTheme="minorEastAsia" w:hAnsiTheme="minorEastAsia" w:eastAsiaTheme="minorEastAsia" w:cstheme="minorEastAsia"/>
          <w:color w:val="auto"/>
          <w:szCs w:val="21"/>
          <w:highlight w:val="none"/>
        </w:rPr>
      </w:pP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pStyle w:val="13"/>
        <w:spacing w:line="360" w:lineRule="auto"/>
        <w:ind w:firstLine="420" w:firstLineChars="200"/>
        <w:rPr>
          <w:rFonts w:asciiTheme="minorEastAsia" w:hAnsiTheme="minorEastAsia" w:eastAsiaTheme="minorEastAsia" w:cstheme="minorEastAsia"/>
          <w:color w:val="auto"/>
          <w:szCs w:val="21"/>
          <w:highlight w:val="none"/>
        </w:rPr>
      </w:pPr>
    </w:p>
    <w:p>
      <w:pPr>
        <w:snapToGrid w:val="0"/>
        <w:spacing w:before="50" w:afterLines="50" w:line="360" w:lineRule="auto"/>
        <w:jc w:val="left"/>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注：</w:t>
      </w:r>
    </w:p>
    <w:p>
      <w:pPr>
        <w:numPr>
          <w:ilvl w:val="0"/>
          <w:numId w:val="5"/>
        </w:numPr>
        <w:snapToGrid w:val="0"/>
        <w:spacing w:before="50" w:afterLines="50" w:line="360" w:lineRule="auto"/>
        <w:ind w:left="660" w:hanging="360"/>
        <w:jc w:val="left"/>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从业人员、营业收入、资产总额填报上一年度数据，无上一年度数据的新成立企业可不填报。</w:t>
      </w:r>
    </w:p>
    <w:p>
      <w:pPr>
        <w:snapToGrid w:val="0"/>
        <w:spacing w:before="50" w:afterLines="50" w:line="360" w:lineRule="auto"/>
        <w:ind w:firstLine="300" w:firstLineChars="150"/>
        <w:jc w:val="left"/>
        <w:rPr>
          <w:rFonts w:asciiTheme="minorEastAsia" w:hAnsiTheme="minorEastAsia" w:eastAsiaTheme="minorEastAsia" w:cstheme="minorEastAsia"/>
          <w:color w:val="auto"/>
          <w:sz w:val="20"/>
          <w:highlight w:val="none"/>
        </w:rPr>
      </w:pPr>
      <w:r>
        <w:rPr>
          <w:rFonts w:hint="eastAsia" w:asciiTheme="minorEastAsia" w:hAnsiTheme="minorEastAsia" w:eastAsiaTheme="minorEastAsia" w:cstheme="minorEastAsia"/>
          <w:color w:val="auto"/>
          <w:sz w:val="20"/>
          <w:highlight w:val="none"/>
        </w:rPr>
        <w:t>2、请根据自己的真实情况出具《中小企业声明函》。依法享受中小企业优惠政策的，采购人或者采购代理机构在公告中标结果时，同时公告其《中小企业声明函》，接受社会监督。</w:t>
      </w:r>
    </w:p>
    <w:p>
      <w:pPr>
        <w:widowControl/>
        <w:spacing w:line="360" w:lineRule="auto"/>
        <w:jc w:val="left"/>
        <w:rPr>
          <w:rFonts w:asciiTheme="minorEastAsia" w:hAnsiTheme="minorEastAsia" w:eastAsiaTheme="minorEastAsia" w:cstheme="minorEastAsia"/>
          <w:color w:val="auto"/>
          <w:sz w:val="20"/>
          <w:highlight w:val="none"/>
        </w:rPr>
        <w:sectPr>
          <w:pgSz w:w="11906" w:h="16838"/>
          <w:pgMar w:top="1134" w:right="1134" w:bottom="1134" w:left="1134" w:header="720" w:footer="720" w:gutter="0"/>
          <w:cols w:space="720" w:num="1"/>
          <w:docGrid w:type="lines" w:linePitch="331" w:charSpace="0"/>
        </w:sectPr>
      </w:pPr>
    </w:p>
    <w:p>
      <w:pPr>
        <w:pStyle w:val="13"/>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2、监狱企业证明文件（格式）</w:t>
      </w:r>
    </w:p>
    <w:p>
      <w:pPr>
        <w:pStyle w:val="14"/>
        <w:ind w:left="0" w:leftChars="0"/>
        <w:jc w:val="center"/>
        <w:rPr>
          <w:color w:val="auto"/>
          <w:kern w:val="0"/>
          <w:highlight w:val="none"/>
        </w:rPr>
      </w:pPr>
      <w:r>
        <w:rPr>
          <w:rFonts w:hint="eastAsia" w:asciiTheme="minorEastAsia" w:hAnsiTheme="minorEastAsia" w:eastAsiaTheme="minorEastAsia" w:cstheme="minorEastAsia"/>
          <w:bCs/>
          <w:i/>
          <w:iCs/>
          <w:color w:val="auto"/>
          <w:sz w:val="30"/>
          <w:szCs w:val="30"/>
          <w:highlight w:val="none"/>
        </w:rPr>
        <w:t>（属于监狱企业时提供）</w:t>
      </w:r>
    </w:p>
    <w:p>
      <w:pPr>
        <w:pStyle w:val="13"/>
        <w:spacing w:line="460" w:lineRule="exact"/>
        <w:ind w:firstLine="840" w:firstLineChars="350"/>
        <w:jc w:val="left"/>
        <w:rPr>
          <w:rFonts w:ascii="仿宋_GB2312" w:hAnsi="宋体" w:eastAsia="仿宋_GB2312"/>
          <w:color w:val="auto"/>
          <w:sz w:val="24"/>
          <w:szCs w:val="24"/>
          <w:highlight w:val="none"/>
        </w:rPr>
      </w:pPr>
      <w:r>
        <w:rPr>
          <w:rFonts w:hint="eastAsia" w:ascii="仿宋_GB2312" w:hAnsi="宋体" w:eastAsia="仿宋_GB2312"/>
          <w:color w:val="auto"/>
          <w:sz w:val="24"/>
          <w:szCs w:val="24"/>
          <w:highlight w:val="none"/>
        </w:rPr>
        <w:t>按《关于政府采购支持监狱企业发展有关问题的通知》(财库〔2014〕68 号)认定为监狱企业的，在政府采购活动中，监狱企业视同小型、微型企业。监狱企业参加政府采购活动时，应当提供由省级以上监狱管理局、戒毒管理局(含新疆生产建设兵团)出具的属于监狱企业的证明文件。</w:t>
      </w:r>
    </w:p>
    <w:p>
      <w:pPr>
        <w:snapToGrid w:val="0"/>
        <w:spacing w:line="360" w:lineRule="auto"/>
        <w:ind w:left="5626" w:leftChars="1736" w:hanging="1980" w:hangingChars="825"/>
        <w:rPr>
          <w:rFonts w:hint="eastAsia" w:asciiTheme="minorEastAsia" w:hAnsiTheme="minorEastAsia" w:eastAsiaTheme="minorEastAsia" w:cstheme="minorEastAsia"/>
          <w:color w:val="auto"/>
          <w:kern w:val="0"/>
          <w:sz w:val="24"/>
          <w:highlight w:val="none"/>
          <w:lang w:val="zh-CN"/>
        </w:rPr>
      </w:pPr>
    </w:p>
    <w:p>
      <w:pPr>
        <w:snapToGrid w:val="0"/>
        <w:ind w:left="5626" w:leftChars="1736" w:hanging="1980" w:hangingChars="825"/>
        <w:rPr>
          <w:rFonts w:hint="eastAsia" w:asciiTheme="minorEastAsia" w:hAnsiTheme="minorEastAsia" w:eastAsiaTheme="minorEastAsia" w:cstheme="minorEastAsia"/>
          <w:color w:val="auto"/>
          <w:kern w:val="0"/>
          <w:sz w:val="24"/>
          <w:highlight w:val="none"/>
          <w:lang w:val="zh-CN"/>
        </w:rPr>
      </w:pPr>
    </w:p>
    <w:p>
      <w:pPr>
        <w:snapToGrid w:val="0"/>
        <w:spacing w:line="360" w:lineRule="auto"/>
        <w:ind w:left="5626" w:leftChars="1736" w:hanging="1980" w:hangingChars="825"/>
        <w:rPr>
          <w:rFonts w:hint="eastAsia" w:asciiTheme="minorEastAsia" w:hAnsiTheme="minorEastAsia" w:eastAsiaTheme="minorEastAsia" w:cstheme="minorEastAsia"/>
          <w:color w:val="auto"/>
          <w:kern w:val="0"/>
          <w:sz w:val="24"/>
          <w:highlight w:val="none"/>
          <w:lang w:val="zh-CN"/>
        </w:rPr>
      </w:pPr>
    </w:p>
    <w:p>
      <w:pPr>
        <w:snapToGrid w:val="0"/>
        <w:spacing w:line="360" w:lineRule="auto"/>
        <w:ind w:left="5626" w:leftChars="1736" w:hanging="1980" w:hangingChars="825"/>
        <w:rPr>
          <w:rFonts w:hint="eastAsia" w:asciiTheme="minorEastAsia" w:hAnsiTheme="minorEastAsia" w:eastAsiaTheme="minorEastAsia" w:cstheme="minorEastAsia"/>
          <w:color w:val="auto"/>
          <w:kern w:val="0"/>
          <w:sz w:val="24"/>
          <w:highlight w:val="none"/>
          <w:lang w:val="zh-CN"/>
        </w:rPr>
      </w:pPr>
    </w:p>
    <w:p>
      <w:pPr>
        <w:snapToGrid w:val="0"/>
        <w:spacing w:line="360" w:lineRule="auto"/>
        <w:ind w:left="5626" w:leftChars="1736" w:hanging="1980"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p>
      <w:pPr>
        <w:pStyle w:val="13"/>
        <w:numPr>
          <w:ilvl w:val="0"/>
          <w:numId w:val="6"/>
        </w:numPr>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
          <w:color w:val="auto"/>
          <w:sz w:val="30"/>
          <w:szCs w:val="30"/>
          <w:highlight w:val="none"/>
        </w:rPr>
        <w:t>残疾人福利性单位声明函（格式）</w:t>
      </w:r>
    </w:p>
    <w:p>
      <w:pPr>
        <w:pStyle w:val="13"/>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bCs/>
          <w:i/>
          <w:iCs/>
          <w:color w:val="auto"/>
          <w:sz w:val="30"/>
          <w:szCs w:val="30"/>
          <w:highlight w:val="none"/>
        </w:rPr>
        <w:t>（属于残疾人福利性单位时提供）</w:t>
      </w:r>
    </w:p>
    <w:p>
      <w:pPr>
        <w:pStyle w:val="13"/>
        <w:spacing w:line="360" w:lineRule="auto"/>
        <w:jc w:val="center"/>
        <w:rPr>
          <w:rFonts w:asciiTheme="minorEastAsia" w:hAnsiTheme="minorEastAsia" w:eastAsiaTheme="minorEastAsia" w:cstheme="minorEastAsia"/>
          <w:b/>
          <w:color w:val="auto"/>
          <w:sz w:val="30"/>
          <w:szCs w:val="30"/>
          <w:highlight w:val="none"/>
        </w:rPr>
      </w:pPr>
    </w:p>
    <w:p>
      <w:pPr>
        <w:pStyle w:val="13"/>
        <w:spacing w:line="360" w:lineRule="auto"/>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30"/>
          <w:szCs w:val="30"/>
          <w:highlight w:val="none"/>
        </w:rPr>
        <w:t xml:space="preserve">   </w:t>
      </w:r>
      <w:r>
        <w:rPr>
          <w:rFonts w:hint="eastAsia" w:asciiTheme="minorEastAsia" w:hAnsiTheme="minorEastAsia" w:eastAsiaTheme="minorEastAsia" w:cstheme="minorEastAsia"/>
          <w:color w:val="auto"/>
          <w:sz w:val="24"/>
          <w:szCs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Theme="minorEastAsia" w:hAnsiTheme="minorEastAsia" w:eastAsiaTheme="minorEastAsia" w:cstheme="minorEastAsia"/>
          <w:color w:val="auto"/>
          <w:sz w:val="24"/>
          <w:szCs w:val="24"/>
          <w:highlight w:val="none"/>
          <w:u w:val="single"/>
          <w:lang w:eastAsia="zh-CN"/>
        </w:rPr>
        <w:t>南宁市西乡塘区农业农村局</w:t>
      </w:r>
      <w:r>
        <w:rPr>
          <w:rFonts w:hint="eastAsia" w:asciiTheme="minorEastAsia" w:hAnsiTheme="minorEastAsia" w:eastAsiaTheme="minorEastAsia" w:cstheme="minorEastAsia"/>
          <w:color w:val="auto"/>
          <w:sz w:val="24"/>
          <w:szCs w:val="24"/>
          <w:highlight w:val="none"/>
          <w:u w:val="single"/>
        </w:rPr>
        <w:t xml:space="preserve"> </w:t>
      </w:r>
      <w:r>
        <w:rPr>
          <w:rFonts w:hint="eastAsia" w:asciiTheme="minorEastAsia" w:hAnsiTheme="minorEastAsia" w:eastAsiaTheme="minorEastAsia" w:cstheme="minorEastAsia"/>
          <w:color w:val="auto"/>
          <w:sz w:val="24"/>
          <w:szCs w:val="24"/>
          <w:highlight w:val="none"/>
        </w:rPr>
        <w:t>单位的</w:t>
      </w:r>
      <w:r>
        <w:rPr>
          <w:rFonts w:hint="eastAsia" w:asciiTheme="minorEastAsia" w:hAnsiTheme="minorEastAsia" w:eastAsiaTheme="minorEastAsia" w:cstheme="minorEastAsia"/>
          <w:color w:val="auto"/>
          <w:sz w:val="24"/>
          <w:szCs w:val="24"/>
          <w:highlight w:val="none"/>
          <w:u w:val="single"/>
          <w:lang w:eastAsia="zh-CN"/>
        </w:rPr>
        <w:t>2025年西乡塘区糖料蔗病虫害绿色防控项目</w:t>
      </w:r>
      <w:r>
        <w:rPr>
          <w:rFonts w:hint="eastAsia" w:asciiTheme="minorEastAsia" w:hAnsiTheme="minorEastAsia" w:eastAsiaTheme="minorEastAsia" w:cstheme="minorEastAsia"/>
          <w:color w:val="auto"/>
          <w:sz w:val="24"/>
          <w:szCs w:val="24"/>
          <w:highlight w:val="none"/>
        </w:rPr>
        <w:t>项目采购活动提供本单位制造的货物（由本单位承担工程/提供服务），或者提供其他残疾人福利性单位制造的货物（不包括使用非残疾人福利性单位注册商标的货物）。</w:t>
      </w:r>
    </w:p>
    <w:p>
      <w:pPr>
        <w:pStyle w:val="13"/>
        <w:spacing w:line="360" w:lineRule="auto"/>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本公司对上述声明的真实性负责。如有虚假，将依法承担相应责任。</w:t>
      </w:r>
    </w:p>
    <w:p>
      <w:pPr>
        <w:pStyle w:val="13"/>
        <w:spacing w:line="360" w:lineRule="auto"/>
        <w:jc w:val="left"/>
        <w:rPr>
          <w:rFonts w:asciiTheme="minorEastAsia" w:hAnsiTheme="minorEastAsia" w:eastAsiaTheme="minorEastAsia" w:cstheme="minorEastAsia"/>
          <w:b/>
          <w:color w:val="auto"/>
          <w:szCs w:val="21"/>
          <w:highlight w:val="none"/>
        </w:rPr>
      </w:pPr>
    </w:p>
    <w:p>
      <w:pPr>
        <w:pStyle w:val="13"/>
        <w:spacing w:line="360" w:lineRule="auto"/>
        <w:jc w:val="left"/>
        <w:rPr>
          <w:rFonts w:asciiTheme="minorEastAsia" w:hAnsiTheme="minorEastAsia" w:eastAsiaTheme="minorEastAsia" w:cstheme="minorEastAsia"/>
          <w:b/>
          <w:color w:val="auto"/>
          <w:szCs w:val="21"/>
          <w:highlight w:val="none"/>
        </w:rPr>
      </w:pPr>
    </w:p>
    <w:p>
      <w:pPr>
        <w:snapToGrid w:val="0"/>
        <w:spacing w:line="360" w:lineRule="auto"/>
        <w:ind w:left="5137" w:leftChars="1736" w:hanging="1491"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pStyle w:val="13"/>
        <w:spacing w:line="360" w:lineRule="auto"/>
        <w:ind w:left="5132" w:leftChars="1979" w:hanging="976" w:hangingChars="488"/>
        <w:rPr>
          <w:rFonts w:asciiTheme="minorEastAsia" w:hAnsiTheme="minorEastAsia" w:eastAsiaTheme="minorEastAsia" w:cstheme="minorEastAsia"/>
          <w:color w:val="auto"/>
          <w:sz w:val="20"/>
          <w:highlight w:val="none"/>
        </w:rPr>
      </w:pPr>
    </w:p>
    <w:p>
      <w:pPr>
        <w:spacing w:line="360" w:lineRule="auto"/>
        <w:ind w:right="420"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请根据自己的真实情况出具《残疾人福利性单位声明函》。依法享受中小企业优惠政策的，采购人或者采购代理机构在公告中标结果时，同时公告其《残疾人福利性单位声明函》，接受社会监督；根据《关于政府采购支持监狱企业发展有关问题的通知》（财库[2014]68号）的规定，投标人提供由省级以上监狱管理局、戒毒管理局（含新疆生产建设兵团）出具的属于监狱企业证明文件的，视同为小型和微型企业。</w:t>
      </w:r>
    </w:p>
    <w:p>
      <w:pPr>
        <w:widowControl/>
        <w:spacing w:line="360" w:lineRule="auto"/>
        <w:jc w:val="left"/>
        <w:rPr>
          <w:rFonts w:asciiTheme="minorEastAsia" w:hAnsiTheme="minorEastAsia" w:eastAsiaTheme="minorEastAsia" w:cstheme="minorEastAsia"/>
          <w:color w:val="auto"/>
          <w:sz w:val="20"/>
          <w:highlight w:val="none"/>
        </w:rPr>
        <w:sectPr>
          <w:pgSz w:w="11906" w:h="16838"/>
          <w:pgMar w:top="1134" w:right="1134" w:bottom="1134" w:left="1134" w:header="720" w:footer="720" w:gutter="0"/>
          <w:cols w:space="720" w:num="1"/>
          <w:docGrid w:type="lines" w:linePitch="331" w:charSpace="0"/>
        </w:sectPr>
      </w:pPr>
    </w:p>
    <w:p>
      <w:pPr>
        <w:pStyle w:val="13"/>
        <w:spacing w:line="600" w:lineRule="exact"/>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lang w:val="en-US" w:eastAsia="zh-CN"/>
        </w:rPr>
        <w:t>十</w:t>
      </w:r>
      <w:r>
        <w:rPr>
          <w:rFonts w:hint="eastAsia" w:asciiTheme="minorEastAsia" w:hAnsiTheme="minorEastAsia" w:eastAsiaTheme="minorEastAsia" w:cstheme="minorEastAsia"/>
          <w:b/>
          <w:bCs/>
          <w:color w:val="auto"/>
          <w:sz w:val="30"/>
          <w:szCs w:val="30"/>
          <w:highlight w:val="none"/>
        </w:rPr>
        <w:t>、除招标文件规定必须提供以外，投标人认为需要提供的其他证明材料</w:t>
      </w:r>
    </w:p>
    <w:p>
      <w:pPr>
        <w:pStyle w:val="13"/>
        <w:spacing w:line="600" w:lineRule="exact"/>
        <w:jc w:val="center"/>
        <w:rPr>
          <w:rFonts w:asciiTheme="minorEastAsia" w:hAnsiTheme="minorEastAsia" w:eastAsiaTheme="minorEastAsia" w:cstheme="minorEastAsia"/>
          <w:b/>
          <w:bCs/>
          <w:color w:val="auto"/>
          <w:sz w:val="30"/>
          <w:szCs w:val="30"/>
          <w:highlight w:val="none"/>
        </w:rPr>
      </w:pPr>
    </w:p>
    <w:p>
      <w:pPr>
        <w:pStyle w:val="13"/>
        <w:spacing w:line="600" w:lineRule="exact"/>
        <w:jc w:val="center"/>
        <w:rPr>
          <w:rFonts w:asciiTheme="minorEastAsia" w:hAnsiTheme="minorEastAsia" w:eastAsiaTheme="minorEastAsia" w:cstheme="minorEastAsia"/>
          <w:b/>
          <w:bCs/>
          <w:color w:val="auto"/>
          <w:sz w:val="30"/>
          <w:szCs w:val="30"/>
          <w:highlight w:val="none"/>
        </w:rPr>
      </w:pP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spacing w:line="360" w:lineRule="auto"/>
        <w:jc w:val="left"/>
        <w:rPr>
          <w:rFonts w:asciiTheme="minorEastAsia" w:hAnsiTheme="minorEastAsia" w:eastAsiaTheme="minorEastAsia" w:cstheme="minorEastAsia"/>
          <w:color w:val="auto"/>
          <w:szCs w:val="21"/>
          <w:highlight w:val="none"/>
        </w:rPr>
        <w:sectPr>
          <w:pgSz w:w="11906" w:h="16838"/>
          <w:pgMar w:top="1134" w:right="1134" w:bottom="1134" w:left="1134" w:header="720" w:footer="720" w:gutter="0"/>
          <w:cols w:space="720" w:num="1"/>
          <w:docGrid w:type="lines" w:linePitch="331" w:charSpace="0"/>
        </w:sectPr>
      </w:pPr>
    </w:p>
    <w:p>
      <w:pPr>
        <w:pStyle w:val="13"/>
        <w:rPr>
          <w:rFonts w:asciiTheme="minorEastAsia" w:hAnsiTheme="minorEastAsia" w:eastAsiaTheme="minorEastAsia" w:cstheme="minorEastAsia"/>
          <w:color w:val="auto"/>
          <w:szCs w:val="21"/>
          <w:highlight w:val="none"/>
        </w:rPr>
      </w:pPr>
    </w:p>
    <w:p>
      <w:pPr>
        <w:pStyle w:val="13"/>
        <w:jc w:val="center"/>
        <w:outlineLvl w:val="1"/>
        <w:rPr>
          <w:rFonts w:asciiTheme="minorEastAsia" w:hAnsiTheme="minorEastAsia" w:eastAsiaTheme="minorEastAsia" w:cstheme="minorEastAsia"/>
          <w:b/>
          <w:bCs/>
          <w:color w:val="auto"/>
          <w:sz w:val="28"/>
          <w:szCs w:val="28"/>
          <w:highlight w:val="none"/>
        </w:rPr>
      </w:pPr>
      <w:bookmarkStart w:id="244" w:name="_Toc29299"/>
      <w:bookmarkStart w:id="245" w:name="_Toc19686838"/>
      <w:r>
        <w:rPr>
          <w:rFonts w:hint="eastAsia" w:asciiTheme="minorEastAsia" w:hAnsiTheme="minorEastAsia" w:eastAsiaTheme="minorEastAsia" w:cstheme="minorEastAsia"/>
          <w:b/>
          <w:bCs/>
          <w:color w:val="auto"/>
          <w:sz w:val="28"/>
          <w:szCs w:val="28"/>
          <w:highlight w:val="none"/>
        </w:rPr>
        <w:t>第三节 商务文件格式</w:t>
      </w:r>
      <w:bookmarkEnd w:id="244"/>
      <w:bookmarkEnd w:id="245"/>
    </w:p>
    <w:p>
      <w:pPr>
        <w:snapToGrid w:val="0"/>
        <w:spacing w:beforeLines="50" w:after="50"/>
        <w:rPr>
          <w:rFonts w:asciiTheme="minorEastAsia" w:hAnsiTheme="minorEastAsia" w:eastAsiaTheme="minorEastAsia" w:cstheme="minorEastAsia"/>
          <w:color w:val="auto"/>
          <w:sz w:val="30"/>
          <w:szCs w:val="20"/>
          <w:highlight w:val="none"/>
        </w:rPr>
      </w:pPr>
    </w:p>
    <w:p>
      <w:pPr>
        <w:snapToGrid w:val="0"/>
        <w:spacing w:beforeLines="50" w:after="50"/>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 xml:space="preserve">             电子投标文件</w:t>
      </w:r>
    </w:p>
    <w:p>
      <w:pPr>
        <w:snapToGrid w:val="0"/>
        <w:spacing w:beforeLines="50" w:after="50"/>
        <w:rPr>
          <w:rFonts w:asciiTheme="minorEastAsia" w:hAnsiTheme="minorEastAsia" w:eastAsiaTheme="minorEastAsia" w:cstheme="minorEastAsia"/>
          <w:color w:val="auto"/>
          <w:sz w:val="24"/>
          <w:szCs w:val="20"/>
          <w:highlight w:val="none"/>
        </w:rPr>
      </w:pPr>
    </w:p>
    <w:p>
      <w:pPr>
        <w:snapToGrid w:val="0"/>
        <w:spacing w:beforeLines="50" w:after="50"/>
        <w:jc w:val="center"/>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b/>
          <w:color w:val="auto"/>
          <w:sz w:val="32"/>
          <w:szCs w:val="32"/>
          <w:highlight w:val="none"/>
        </w:rPr>
        <w:t>商务文件（封面）</w:t>
      </w: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ind w:firstLine="540" w:firstLineChars="225"/>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项目名称：</w:t>
      </w:r>
      <w:r>
        <w:rPr>
          <w:rFonts w:hint="eastAsia" w:asciiTheme="minorEastAsia" w:hAnsiTheme="minorEastAsia" w:eastAsiaTheme="minorEastAsia" w:cstheme="minorEastAsia"/>
          <w:bCs/>
          <w:color w:val="auto"/>
          <w:sz w:val="24"/>
          <w:highlight w:val="none"/>
          <w:lang w:eastAsia="zh-CN"/>
        </w:rPr>
        <w:t>2025年西乡塘区糖料蔗病虫害绿色防控项目</w:t>
      </w:r>
    </w:p>
    <w:p>
      <w:pPr>
        <w:snapToGrid w:val="0"/>
        <w:spacing w:beforeLines="50" w:after="50"/>
        <w:ind w:firstLine="540" w:firstLineChars="225"/>
        <w:rPr>
          <w:rFonts w:asciiTheme="minorEastAsia" w:hAnsiTheme="minorEastAsia" w:eastAsiaTheme="minorEastAsia" w:cstheme="minorEastAsia"/>
          <w:bCs/>
          <w:color w:val="auto"/>
          <w:sz w:val="24"/>
          <w:szCs w:val="20"/>
          <w:highlight w:val="none"/>
        </w:rPr>
      </w:pPr>
    </w:p>
    <w:p>
      <w:pPr>
        <w:snapToGrid w:val="0"/>
        <w:spacing w:beforeLines="50" w:after="50"/>
        <w:ind w:firstLine="540" w:firstLineChars="225"/>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项目编号：</w:t>
      </w:r>
      <w:r>
        <w:rPr>
          <w:rFonts w:hint="eastAsia" w:asciiTheme="minorEastAsia" w:hAnsiTheme="minorEastAsia" w:eastAsiaTheme="minorEastAsia" w:cstheme="minorEastAsia"/>
          <w:bCs/>
          <w:color w:val="auto"/>
          <w:sz w:val="24"/>
          <w:highlight w:val="none"/>
          <w:lang w:eastAsia="zh-CN"/>
        </w:rPr>
        <w:t>NNZC2026-G3-070001-GXYG</w:t>
      </w:r>
    </w:p>
    <w:p>
      <w:pPr>
        <w:snapToGrid w:val="0"/>
        <w:spacing w:beforeLines="50" w:after="50"/>
        <w:ind w:firstLine="540" w:firstLineChars="225"/>
        <w:rPr>
          <w:rFonts w:asciiTheme="minorEastAsia" w:hAnsiTheme="minorEastAsia" w:eastAsiaTheme="minorEastAsia" w:cstheme="minorEastAsia"/>
          <w:bCs/>
          <w:color w:val="auto"/>
          <w:sz w:val="24"/>
          <w:szCs w:val="20"/>
          <w:highlight w:val="none"/>
        </w:rPr>
      </w:pPr>
      <w:r>
        <w:rPr>
          <w:rFonts w:hint="eastAsia" w:asciiTheme="minorEastAsia" w:hAnsiTheme="minorEastAsia" w:eastAsiaTheme="minorEastAsia" w:cstheme="minorEastAsia"/>
          <w:bCs/>
          <w:color w:val="auto"/>
          <w:sz w:val="24"/>
          <w:highlight w:val="none"/>
        </w:rPr>
        <w:t xml:space="preserve"> </w:t>
      </w:r>
    </w:p>
    <w:p>
      <w:pPr>
        <w:snapToGrid w:val="0"/>
        <w:spacing w:beforeLines="50" w:after="50"/>
        <w:ind w:firstLine="540" w:firstLineChars="225"/>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pPr>
        <w:snapToGrid w:val="0"/>
        <w:spacing w:beforeLines="50" w:after="50"/>
        <w:ind w:firstLine="540" w:firstLineChars="225"/>
        <w:rPr>
          <w:rFonts w:asciiTheme="minorEastAsia" w:hAnsiTheme="minorEastAsia" w:eastAsiaTheme="minorEastAsia" w:cstheme="minorEastAsia"/>
          <w:bCs/>
          <w:color w:val="auto"/>
          <w:sz w:val="24"/>
          <w:szCs w:val="20"/>
          <w:highlight w:val="none"/>
        </w:rPr>
      </w:pPr>
    </w:p>
    <w:p>
      <w:pPr>
        <w:pStyle w:val="7"/>
        <w:snapToGrid w:val="0"/>
        <w:spacing w:before="50" w:after="50"/>
        <w:ind w:firstLine="540" w:firstLineChars="225"/>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投标人名称：</w:t>
      </w:r>
    </w:p>
    <w:p>
      <w:pPr>
        <w:pStyle w:val="7"/>
        <w:snapToGrid w:val="0"/>
        <w:spacing w:before="50" w:after="50"/>
        <w:ind w:firstLine="540" w:firstLineChars="225"/>
        <w:rPr>
          <w:rFonts w:asciiTheme="minorEastAsia" w:hAnsiTheme="minorEastAsia" w:eastAsiaTheme="minorEastAsia" w:cstheme="minorEastAsia"/>
          <w:bCs/>
          <w:color w:val="auto"/>
          <w:sz w:val="24"/>
          <w:szCs w:val="24"/>
          <w:highlight w:val="none"/>
        </w:rPr>
      </w:pPr>
    </w:p>
    <w:p>
      <w:pPr>
        <w:pStyle w:val="7"/>
        <w:snapToGrid w:val="0"/>
        <w:spacing w:before="50" w:after="50"/>
        <w:ind w:firstLine="540" w:firstLineChars="225"/>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投标人地址：</w:t>
      </w:r>
    </w:p>
    <w:p>
      <w:pPr>
        <w:pStyle w:val="7"/>
        <w:snapToGrid w:val="0"/>
        <w:spacing w:before="50" w:after="50"/>
        <w:ind w:firstLine="960" w:firstLineChars="400"/>
        <w:rPr>
          <w:rFonts w:asciiTheme="minorEastAsia" w:hAnsiTheme="minorEastAsia" w:eastAsiaTheme="minorEastAsia" w:cstheme="minorEastAsia"/>
          <w:bCs/>
          <w:color w:val="auto"/>
          <w:sz w:val="24"/>
          <w:szCs w:val="24"/>
          <w:highlight w:val="none"/>
        </w:rPr>
      </w:pPr>
    </w:p>
    <w:p>
      <w:pPr>
        <w:snapToGrid w:val="0"/>
        <w:spacing w:beforeLines="50" w:after="50"/>
        <w:ind w:firstLine="645"/>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snapToGrid w:val="0"/>
        <w:spacing w:beforeLines="50" w:after="50"/>
        <w:rPr>
          <w:rFonts w:asciiTheme="minorEastAsia" w:hAnsiTheme="minorEastAsia" w:eastAsiaTheme="minorEastAsia" w:cstheme="minorEastAsia"/>
          <w:color w:val="auto"/>
          <w:sz w:val="24"/>
          <w:szCs w:val="20"/>
          <w:highlight w:val="none"/>
        </w:rPr>
      </w:pPr>
      <w:r>
        <w:rPr>
          <w:rFonts w:hint="eastAsia" w:asciiTheme="minorEastAsia" w:hAnsiTheme="minorEastAsia" w:eastAsiaTheme="minorEastAsia" w:cstheme="minorEastAsia"/>
          <w:color w:val="auto"/>
          <w:sz w:val="24"/>
          <w:szCs w:val="20"/>
          <w:highlight w:val="none"/>
        </w:rPr>
        <w:t xml:space="preserve"> </w:t>
      </w: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color w:val="auto"/>
          <w:sz w:val="24"/>
          <w:szCs w:val="20"/>
          <w:highlight w:val="none"/>
        </w:rPr>
      </w:pPr>
    </w:p>
    <w:p>
      <w:pPr>
        <w:spacing w:line="360" w:lineRule="auto"/>
        <w:ind w:right="420"/>
        <w:rPr>
          <w:rFonts w:asciiTheme="minorEastAsia" w:hAnsiTheme="minorEastAsia" w:eastAsiaTheme="minorEastAsia" w:cstheme="minorEastAsia"/>
          <w:b/>
          <w:color w:val="auto"/>
          <w:kern w:val="0"/>
          <w:sz w:val="36"/>
          <w:szCs w:val="36"/>
          <w:highlight w:val="none"/>
        </w:rPr>
      </w:pPr>
      <w:r>
        <w:rPr>
          <w:rFonts w:hint="eastAsia" w:asciiTheme="minorEastAsia" w:hAnsiTheme="minorEastAsia" w:eastAsiaTheme="minorEastAsia" w:cstheme="minorEastAsia"/>
          <w:b/>
          <w:color w:val="auto"/>
          <w:kern w:val="0"/>
          <w:sz w:val="36"/>
          <w:szCs w:val="36"/>
          <w:highlight w:val="none"/>
        </w:rPr>
        <w:t xml:space="preserve"> </w:t>
      </w:r>
    </w:p>
    <w:p>
      <w:pPr>
        <w:rPr>
          <w:rFonts w:asciiTheme="minorEastAsia" w:hAnsiTheme="minorEastAsia" w:eastAsiaTheme="minorEastAsia" w:cstheme="minorEastAsia"/>
          <w:b/>
          <w:color w:val="auto"/>
          <w:kern w:val="0"/>
          <w:sz w:val="24"/>
          <w:highlight w:val="none"/>
        </w:rPr>
      </w:pPr>
    </w:p>
    <w:p>
      <w:pPr>
        <w:jc w:val="center"/>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商务文件目录</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一、无串标行为承诺函…………………………………………………………………（页码）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二、法定代表人身份证明及法定代表人有效身份证正反面复印件………（页码）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三、法定代表人授权委托书</w:t>
      </w:r>
      <w:r>
        <w:rPr>
          <w:rFonts w:hint="eastAsia" w:asciiTheme="minorEastAsia" w:hAnsiTheme="minorEastAsia" w:eastAsiaTheme="minorEastAsia" w:cstheme="minorEastAsia"/>
          <w:color w:val="auto"/>
          <w:highlight w:val="none"/>
          <w:lang w:val="en-US" w:eastAsia="zh-CN"/>
        </w:rPr>
        <w:t>及委托代理人有效身份证正反面复印件</w:t>
      </w:r>
      <w:r>
        <w:rPr>
          <w:rFonts w:hint="eastAsia" w:asciiTheme="minorEastAsia" w:hAnsiTheme="minorEastAsia" w:eastAsiaTheme="minorEastAsia" w:cstheme="minorEastAsia"/>
          <w:color w:val="auto"/>
          <w:highlight w:val="none"/>
        </w:rPr>
        <w:t>（如有委托时）……………………………………（页码）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商务条款偏离表………………………………</w:t>
      </w:r>
      <w:r>
        <w:rPr>
          <w:rFonts w:hint="eastAsia" w:asciiTheme="minorEastAsia" w:hAnsiTheme="minorEastAsia" w:eastAsiaTheme="minorEastAsia" w:cstheme="minorEastAsia"/>
          <w:color w:val="auto"/>
          <w:highlight w:val="none"/>
        </w:rPr>
        <w:t>……………………………………（页码）</w:t>
      </w:r>
    </w:p>
    <w:p>
      <w:pPr>
        <w:pStyle w:val="34"/>
        <w:spacing w:line="360" w:lineRule="auto"/>
        <w:rPr>
          <w:rFonts w:asciiTheme="minorEastAsia" w:hAnsiTheme="minorEastAsia" w:eastAsiaTheme="minorEastAsia" w:cstheme="minorEastAsia"/>
          <w:color w:val="auto"/>
          <w:highlight w:val="none"/>
        </w:rPr>
      </w:pPr>
      <w:bookmarkStart w:id="246" w:name="OLE_LINK6"/>
      <w:bookmarkStart w:id="247" w:name="OLE_LINK7"/>
      <w:bookmarkStart w:id="248" w:name="OLE_LINK5"/>
      <w:r>
        <w:rPr>
          <w:rFonts w:hint="eastAsia" w:asciiTheme="minorEastAsia" w:hAnsiTheme="minorEastAsia" w:eastAsiaTheme="minorEastAsia" w:cstheme="minorEastAsia"/>
          <w:color w:val="auto"/>
          <w:highlight w:val="none"/>
        </w:rPr>
        <w:t>五、投标人情况介绍</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六、投标人类似业绩的证明文件（如有要求）</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bookmarkEnd w:id="246"/>
      <w:bookmarkEnd w:id="247"/>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七、</w:t>
      </w:r>
      <w:r>
        <w:rPr>
          <w:rFonts w:hint="eastAsia" w:asciiTheme="minorEastAsia" w:hAnsiTheme="minorEastAsia" w:eastAsiaTheme="minorEastAsia" w:cstheme="minorEastAsia"/>
          <w:color w:val="auto"/>
          <w:highlight w:val="none"/>
          <w:lang w:val="en-US" w:eastAsia="zh-CN"/>
        </w:rPr>
        <w:t>除招标文件规定必须提供以外，投标人认为需要提供的其他证明材料</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bookmarkEnd w:id="248"/>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注：以上目录是基本格式要求，各投标人可根据自身情况进一步向下增加内容或细化。</w:t>
      </w:r>
    </w:p>
    <w:p>
      <w:pPr>
        <w:widowControl/>
        <w:spacing w:line="360" w:lineRule="auto"/>
        <w:jc w:val="left"/>
        <w:rPr>
          <w:rFonts w:asciiTheme="minorEastAsia" w:hAnsiTheme="minorEastAsia" w:eastAsiaTheme="minorEastAsia" w:cstheme="minorEastAsia"/>
          <w:color w:val="auto"/>
          <w:highlight w:val="none"/>
        </w:rPr>
        <w:sectPr>
          <w:pgSz w:w="11906" w:h="16838"/>
          <w:pgMar w:top="1134" w:right="1134" w:bottom="1134" w:left="1134" w:header="720" w:footer="720" w:gutter="0"/>
          <w:cols w:space="720" w:num="1"/>
          <w:docGrid w:type="lines" w:linePitch="331" w:charSpace="0"/>
        </w:sectPr>
      </w:pPr>
    </w:p>
    <w:p>
      <w:pPr>
        <w:snapToGrid w:val="0"/>
        <w:spacing w:beforeLines="50" w:after="50"/>
        <w:ind w:left="42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一、无串标行为承诺函</w:t>
      </w:r>
    </w:p>
    <w:p>
      <w:pPr>
        <w:snapToGrid w:val="0"/>
        <w:spacing w:beforeLines="50" w:after="50"/>
        <w:ind w:left="42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投标人参加本项目无围标串标行为的承诺函</w:t>
      </w:r>
    </w:p>
    <w:p>
      <w:pPr>
        <w:snapToGrid w:val="0"/>
        <w:spacing w:beforeLines="50" w:after="50"/>
        <w:rPr>
          <w:rFonts w:asciiTheme="minorEastAsia" w:hAnsiTheme="minorEastAsia" w:eastAsiaTheme="minorEastAsia" w:cstheme="minorEastAsia"/>
          <w:b/>
          <w:color w:val="auto"/>
          <w:szCs w:val="21"/>
          <w:highlight w:val="none"/>
        </w:rPr>
      </w:pPr>
    </w:p>
    <w:p>
      <w:pPr>
        <w:snapToGrid w:val="0"/>
        <w:spacing w:beforeLines="50" w:after="50" w:line="360" w:lineRule="auto"/>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一、我方承诺无下列相互串通投标的情形：</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1.不同投标人的投标文件由同一单位或者个人编制；或者不同投标人报名的IP地址一致的；或者编制标书硬件设备CPU编号、硬盘编号、网卡地址一致的情况。</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2.不同投标人委托同一单位或者个人办理投标事宜；</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3.不同的投标人的投标文件载明的项目管理员为同一个人；</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4.不同投标人的投标文件异常一致或者投标报价呈规律性差异；</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5.不同投标人的投标文件相互混装；</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6.不同投标人的投标保证金从同一单位或者个人账户转出。</w:t>
      </w:r>
    </w:p>
    <w:p>
      <w:pPr>
        <w:snapToGrid w:val="0"/>
        <w:spacing w:beforeLines="50" w:after="50"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
          <w:color w:val="auto"/>
          <w:szCs w:val="21"/>
          <w:highlight w:val="none"/>
        </w:rPr>
        <w:t>二、我方承诺无下列恶意串通的情形：</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1.投标人直接或者间接从采购人或者采购代理机构处获得其他投标人的相关信息并修改其投标文件或者投标文件；</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2.投标人按照采购人或者采购代理机构的授意撤换、修改投标文件或者投标文件；</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3.投标人之间协商报价、技术方案等投标文件或者投标文件的实质性内容；</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4.属于同一集团、协会、商会等组织成员的投标人按照该组织要求协同参加政府采购活动；</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5.投标人之间事先约定一致抬高或者压低投标报价，或者在招标项目中事先约定轮流以高价位或者低价位中标，或者事先约定由某一特定投标人中标，然后再参加投标；</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6.投标人之间商定部分投标人放弃参加政府采购活动或者放弃中标；</w:t>
      </w:r>
    </w:p>
    <w:p>
      <w:pPr>
        <w:snapToGrid w:val="0"/>
        <w:spacing w:beforeLines="50" w:after="50" w:line="360" w:lineRule="auto"/>
        <w:ind w:firstLine="411" w:firstLineChars="196"/>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7.投标人与采购人或者采购代理机构之间、投标人相互之间，为谋求特定投标人中标或者排斥其他投标人的其他串通行为。</w:t>
      </w:r>
    </w:p>
    <w:p>
      <w:pPr>
        <w:snapToGrid w:val="0"/>
        <w:spacing w:beforeLines="50" w:after="50" w:line="360" w:lineRule="auto"/>
        <w:ind w:firstLine="413" w:firstLineChars="196"/>
        <w:jc w:val="left"/>
        <w:rPr>
          <w:rFonts w:asciiTheme="minorEastAsia" w:hAnsiTheme="minorEastAsia" w:eastAsiaTheme="minorEastAsia" w:cstheme="minorEastAsia"/>
          <w:b/>
          <w:color w:val="auto"/>
          <w:szCs w:val="21"/>
          <w:highlight w:val="none"/>
        </w:rPr>
      </w:pPr>
      <w:r>
        <w:rPr>
          <w:rFonts w:hint="eastAsia" w:asciiTheme="minorEastAsia" w:hAnsiTheme="minorEastAsia" w:eastAsiaTheme="minorEastAsia" w:cstheme="minorEastAsia"/>
          <w:b/>
          <w:color w:val="auto"/>
          <w:szCs w:val="21"/>
          <w:highlight w:val="none"/>
        </w:rPr>
        <w:t>以上情形一经核查属实，我方愿意承担一切后果，接受政府采购监管部门对我方认定存在围标串标行为，并不再寻求任何旨在减轻或者免除法律责任的辩解。</w:t>
      </w:r>
    </w:p>
    <w:p>
      <w:pPr>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pStyle w:val="13"/>
        <w:snapToGrid w:val="0"/>
        <w:spacing w:before="295" w:after="295"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bCs/>
          <w:color w:val="auto"/>
          <w:sz w:val="30"/>
          <w:szCs w:val="30"/>
          <w:highlight w:val="none"/>
        </w:rPr>
        <w:t>二、法定代表人身份证明</w:t>
      </w:r>
    </w:p>
    <w:p>
      <w:pPr>
        <w:spacing w:beforeLines="100" w:afterLines="50"/>
        <w:ind w:left="540"/>
        <w:jc w:val="center"/>
        <w:rPr>
          <w:rFonts w:asciiTheme="minorEastAsia" w:hAnsiTheme="minorEastAsia" w:eastAsiaTheme="minorEastAsia" w:cstheme="minorEastAsia"/>
          <w:b/>
          <w:color w:val="auto"/>
          <w:sz w:val="32"/>
          <w:szCs w:val="32"/>
          <w:highlight w:val="none"/>
        </w:rPr>
      </w:pPr>
    </w:p>
    <w:p>
      <w:pPr>
        <w:spacing w:beforeLines="100" w:afterLines="50"/>
        <w:ind w:left="540"/>
        <w:jc w:val="cente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b/>
          <w:color w:val="auto"/>
          <w:sz w:val="32"/>
          <w:szCs w:val="32"/>
          <w:highlight w:val="none"/>
        </w:rPr>
        <w:t>法定代表人身份证明</w:t>
      </w: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投 标 人：</w:t>
      </w:r>
      <w:r>
        <w:rPr>
          <w:rFonts w:hint="eastAsia" w:asciiTheme="minorEastAsia" w:hAnsiTheme="minorEastAsia" w:eastAsiaTheme="minorEastAsia" w:cstheme="minorEastAsia"/>
          <w:color w:val="auto"/>
          <w:sz w:val="24"/>
          <w:highlight w:val="none"/>
          <w:u w:val="single"/>
        </w:rPr>
        <w:t xml:space="preserve">                                                        </w:t>
      </w: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    址：</w:t>
      </w:r>
      <w:r>
        <w:rPr>
          <w:rFonts w:hint="eastAsia" w:asciiTheme="minorEastAsia" w:hAnsiTheme="minorEastAsia" w:eastAsiaTheme="minorEastAsia" w:cstheme="minorEastAsia"/>
          <w:color w:val="auto"/>
          <w:sz w:val="24"/>
          <w:highlight w:val="none"/>
          <w:u w:val="single"/>
        </w:rPr>
        <w:t xml:space="preserve">                                                        </w:t>
      </w: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姓    名：</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性      别：</w:t>
      </w:r>
      <w:r>
        <w:rPr>
          <w:rFonts w:hint="eastAsia" w:asciiTheme="minorEastAsia" w:hAnsiTheme="minorEastAsia" w:eastAsiaTheme="minorEastAsia" w:cstheme="minorEastAsia"/>
          <w:color w:val="auto"/>
          <w:sz w:val="24"/>
          <w:highlight w:val="none"/>
          <w:u w:val="single"/>
        </w:rPr>
        <w:t xml:space="preserve">                </w:t>
      </w:r>
    </w:p>
    <w:p>
      <w:pPr>
        <w:spacing w:line="500" w:lineRule="exact"/>
        <w:ind w:left="540"/>
        <w:rPr>
          <w:rFonts w:asciiTheme="minorEastAsia" w:hAnsiTheme="minorEastAsia" w:eastAsiaTheme="minorEastAsia" w:cstheme="minorEastAsia"/>
          <w:color w:val="auto"/>
          <w:sz w:val="24"/>
          <w:highlight w:val="none"/>
          <w:u w:val="single"/>
        </w:rPr>
      </w:pPr>
      <w:r>
        <w:rPr>
          <w:rFonts w:hint="eastAsia" w:asciiTheme="minorEastAsia" w:hAnsiTheme="minorEastAsia" w:eastAsiaTheme="minorEastAsia" w:cstheme="minorEastAsia"/>
          <w:color w:val="auto"/>
          <w:sz w:val="24"/>
          <w:highlight w:val="none"/>
        </w:rPr>
        <w:t>年    龄：</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职      务：</w:t>
      </w:r>
      <w:r>
        <w:rPr>
          <w:rFonts w:hint="eastAsia" w:asciiTheme="minorEastAsia" w:hAnsiTheme="minorEastAsia" w:eastAsiaTheme="minorEastAsia" w:cstheme="minorEastAsia"/>
          <w:color w:val="auto"/>
          <w:sz w:val="24"/>
          <w:highlight w:val="none"/>
          <w:u w:val="single"/>
        </w:rPr>
        <w:t xml:space="preserve">                </w:t>
      </w: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身份证号码：</w:t>
      </w:r>
      <w:r>
        <w:rPr>
          <w:rFonts w:hint="eastAsia" w:asciiTheme="minorEastAsia" w:hAnsiTheme="minorEastAsia" w:eastAsiaTheme="minorEastAsia" w:cstheme="minorEastAsia"/>
          <w:color w:val="auto"/>
          <w:sz w:val="24"/>
          <w:highlight w:val="none"/>
          <w:u w:val="single"/>
        </w:rPr>
        <w:t xml:space="preserve">                                 </w:t>
      </w: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系</w:t>
      </w:r>
      <w:r>
        <w:rPr>
          <w:rFonts w:hint="eastAsia" w:asciiTheme="minorEastAsia" w:hAnsiTheme="minorEastAsia" w:eastAsiaTheme="minorEastAsia" w:cstheme="minorEastAsia"/>
          <w:color w:val="auto"/>
          <w:sz w:val="24"/>
          <w:highlight w:val="none"/>
          <w:u w:val="single"/>
        </w:rPr>
        <w:t xml:space="preserve">            （投标人名称）              </w:t>
      </w:r>
      <w:r>
        <w:rPr>
          <w:rFonts w:hint="eastAsia" w:asciiTheme="minorEastAsia" w:hAnsiTheme="minorEastAsia" w:eastAsiaTheme="minorEastAsia" w:cstheme="minorEastAsia"/>
          <w:color w:val="auto"/>
          <w:sz w:val="24"/>
          <w:highlight w:val="none"/>
        </w:rPr>
        <w:t>的法定代表人。</w:t>
      </w: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特此证明。</w:t>
      </w:r>
    </w:p>
    <w:p>
      <w:pPr>
        <w:spacing w:line="500" w:lineRule="exact"/>
        <w:ind w:left="540"/>
        <w:rPr>
          <w:rFonts w:asciiTheme="minorEastAsia" w:hAnsiTheme="minorEastAsia" w:eastAsiaTheme="minorEastAsia" w:cstheme="minorEastAsia"/>
          <w:color w:val="auto"/>
          <w:sz w:val="24"/>
          <w:highlight w:val="none"/>
        </w:rPr>
      </w:pPr>
    </w:p>
    <w:p>
      <w:pPr>
        <w:spacing w:line="500" w:lineRule="exact"/>
        <w:ind w:left="540"/>
        <w:rPr>
          <w:rFonts w:asciiTheme="minorEastAsia" w:hAnsiTheme="minorEastAsia" w:eastAsiaTheme="minorEastAsia" w:cstheme="minorEastAsia"/>
          <w:color w:val="auto"/>
          <w:sz w:val="24"/>
          <w:highlight w:val="none"/>
        </w:rPr>
      </w:pPr>
    </w:p>
    <w:p>
      <w:pPr>
        <w:spacing w:line="500" w:lineRule="exact"/>
        <w:ind w:left="5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附件：法定代表人有效身份证正反面复印件</w:t>
      </w:r>
    </w:p>
    <w:p>
      <w:pPr>
        <w:spacing w:line="500" w:lineRule="exact"/>
        <w:ind w:left="540"/>
        <w:rPr>
          <w:rFonts w:asciiTheme="minorEastAsia" w:hAnsiTheme="minorEastAsia" w:eastAsiaTheme="minorEastAsia" w:cstheme="minorEastAsia"/>
          <w:color w:val="auto"/>
          <w:sz w:val="24"/>
          <w:highlight w:val="none"/>
        </w:rPr>
      </w:pPr>
    </w:p>
    <w:p>
      <w:pPr>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napToGrid w:val="0"/>
        <w:spacing w:beforeLines="50" w:after="50"/>
        <w:jc w:val="center"/>
        <w:rPr>
          <w:rFonts w:asciiTheme="minorEastAsia" w:hAnsiTheme="minorEastAsia" w:eastAsiaTheme="minorEastAsia" w:cstheme="minorEastAsia"/>
          <w:b/>
          <w:color w:val="auto"/>
          <w:sz w:val="24"/>
          <w:highlight w:val="none"/>
        </w:rPr>
      </w:pPr>
    </w:p>
    <w:p>
      <w:pPr>
        <w:snapToGrid w:val="0"/>
        <w:spacing w:beforeLines="50" w:after="50"/>
        <w:ind w:firstLine="600" w:firstLineChars="2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注：自然人投标的无需提供</w:t>
      </w:r>
    </w:p>
    <w:p>
      <w:pPr>
        <w:snapToGrid w:val="0"/>
        <w:spacing w:beforeLines="50" w:after="50"/>
        <w:ind w:firstLine="600" w:firstLineChars="250"/>
        <w:jc w:val="left"/>
        <w:rPr>
          <w:rFonts w:asciiTheme="minorEastAsia" w:hAnsiTheme="minorEastAsia" w:eastAsiaTheme="minorEastAsia" w:cstheme="minorEastAsia"/>
          <w:color w:val="auto"/>
          <w:sz w:val="24"/>
          <w:highlight w:val="none"/>
        </w:rPr>
      </w:pPr>
    </w:p>
    <w:p>
      <w:pPr>
        <w:snapToGrid w:val="0"/>
        <w:spacing w:beforeLines="50" w:after="50"/>
        <w:ind w:firstLine="602" w:firstLineChars="250"/>
        <w:jc w:val="left"/>
        <w:rPr>
          <w:rFonts w:asciiTheme="minorEastAsia" w:hAnsiTheme="minorEastAsia" w:eastAsiaTheme="minorEastAsia" w:cstheme="minorEastAsia"/>
          <w:b/>
          <w:color w:val="auto"/>
          <w:sz w:val="24"/>
          <w:szCs w:val="20"/>
          <w:highlight w:val="none"/>
        </w:rPr>
      </w:pPr>
    </w:p>
    <w:tbl>
      <w:tblPr>
        <w:tblStyle w:val="23"/>
        <w:tblpPr w:leftFromText="180" w:rightFromText="180" w:vertAnchor="text" w:horzAnchor="margin" w:tblpY="1169"/>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5" w:hRule="atLeast"/>
        </w:trPr>
        <w:tc>
          <w:tcPr>
            <w:tcW w:w="8461"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b/>
                <w:color w:val="auto"/>
                <w:sz w:val="24"/>
                <w:highlight w:val="none"/>
              </w:rPr>
            </w:pP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法定代</w:t>
            </w:r>
            <w:r>
              <w:rPr>
                <w:rFonts w:hint="eastAsia" w:asciiTheme="minorEastAsia" w:hAnsiTheme="minorEastAsia" w:eastAsiaTheme="minorEastAsia" w:cstheme="minorEastAsia"/>
                <w:b/>
                <w:color w:val="auto"/>
                <w:sz w:val="24"/>
                <w:highlight w:val="none"/>
                <w:lang w:eastAsia="zh-CN"/>
              </w:rPr>
              <w:t>表人</w:t>
            </w:r>
            <w:r>
              <w:rPr>
                <w:rFonts w:hint="eastAsia" w:asciiTheme="minorEastAsia" w:hAnsiTheme="minorEastAsia" w:eastAsiaTheme="minorEastAsia" w:cstheme="minorEastAsia"/>
                <w:b/>
                <w:color w:val="auto"/>
                <w:sz w:val="24"/>
                <w:highlight w:val="none"/>
              </w:rPr>
              <w:t>身份证复印件粘贴处（正、反面）</w:t>
            </w:r>
          </w:p>
        </w:tc>
      </w:tr>
    </w:tbl>
    <w:p>
      <w:pPr>
        <w:pStyle w:val="13"/>
        <w:snapToGrid w:val="0"/>
        <w:spacing w:before="295" w:after="295" w:line="360" w:lineRule="auto"/>
        <w:jc w:val="center"/>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w:t>
      </w: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bCs/>
          <w:color w:val="auto"/>
          <w:sz w:val="30"/>
          <w:szCs w:val="30"/>
          <w:highlight w:val="none"/>
        </w:rPr>
        <w:t>三、法定代表人授权委托书（如有委托时）</w:t>
      </w:r>
    </w:p>
    <w:p>
      <w:pPr>
        <w:snapToGrid w:val="0"/>
        <w:spacing w:beforeLines="50" w:after="50"/>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法定代表人授权委托书</w:t>
      </w:r>
    </w:p>
    <w:p>
      <w:pPr>
        <w:snapToGrid w:val="0"/>
        <w:spacing w:beforeLines="50" w:after="50"/>
        <w:jc w:val="center"/>
        <w:rPr>
          <w:rFonts w:asciiTheme="minorEastAsia" w:hAnsiTheme="minorEastAsia" w:eastAsiaTheme="minorEastAsia" w:cstheme="minorEastAsia"/>
          <w:b/>
          <w:color w:val="auto"/>
          <w:sz w:val="24"/>
          <w:highlight w:val="none"/>
        </w:rPr>
      </w:pP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eastAsia="zh-CN"/>
        </w:rPr>
        <w:t>广西阳光采购服务公司</w:t>
      </w:r>
      <w:r>
        <w:rPr>
          <w:rFonts w:hint="eastAsia" w:asciiTheme="minorEastAsia" w:hAnsiTheme="minorEastAsia" w:eastAsiaTheme="minorEastAsia" w:cstheme="minorEastAsia"/>
          <w:color w:val="auto"/>
          <w:highlight w:val="none"/>
          <w:u w:val="single"/>
        </w:rPr>
        <w:t xml:space="preserve"> </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本人</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（姓名）系</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（投标人名称）的法定代表人，现授权我单位在职正式员工</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（姓名和职务）为我方代理人。代理人根据授权，以我方名义签署、澄清、说明、补正、递交、撤回、修改贵方组织的</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u w:val="single"/>
          <w:lang w:eastAsia="zh-CN"/>
        </w:rPr>
        <w:t>2025年西乡塘区糖料蔗病虫害绿色防控项目</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u w:val="single"/>
          <w:lang w:eastAsia="zh-CN"/>
        </w:rPr>
        <w:t>NNZC2026-G3-070001-GXYG</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）的投标文件、签订合同和处理一切有关事宜，其法律后果由我方承担。</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本授权书于</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年</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月</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日签字生效，委托期限：</w:t>
      </w:r>
      <w:r>
        <w:rPr>
          <w:rFonts w:hint="eastAsia" w:asciiTheme="minorEastAsia" w:hAnsiTheme="minorEastAsia" w:eastAsiaTheme="minorEastAsia" w:cstheme="minorEastAsia"/>
          <w:color w:val="auto"/>
          <w:spacing w:val="10"/>
          <w:sz w:val="24"/>
          <w:highlight w:val="none"/>
          <w:u w:val="single"/>
        </w:rPr>
        <w:t xml:space="preserve">    </w:t>
      </w:r>
      <w:r>
        <w:rPr>
          <w:rFonts w:hint="eastAsia" w:asciiTheme="minorEastAsia" w:hAnsiTheme="minorEastAsia" w:eastAsiaTheme="minorEastAsia" w:cstheme="minorEastAsia"/>
          <w:color w:val="auto"/>
          <w:highlight w:val="none"/>
        </w:rPr>
        <w:t>。</w:t>
      </w:r>
    </w:p>
    <w:p>
      <w:pPr>
        <w:pStyle w:val="13"/>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代理人无转委托权。</w:t>
      </w:r>
    </w:p>
    <w:p>
      <w:pPr>
        <w:pStyle w:val="13"/>
        <w:spacing w:line="360" w:lineRule="auto"/>
        <w:ind w:firstLine="420"/>
        <w:rPr>
          <w:rFonts w:asciiTheme="minorEastAsia" w:hAnsiTheme="minorEastAsia" w:eastAsiaTheme="minorEastAsia" w:cstheme="minorEastAsia"/>
          <w:color w:val="auto"/>
          <w:highlight w:val="none"/>
        </w:rPr>
      </w:pP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投标人（或联合体投标</w:t>
      </w:r>
      <w:r>
        <w:rPr>
          <w:rFonts w:hint="eastAsia" w:asciiTheme="minorEastAsia" w:hAnsiTheme="minorEastAsia" w:eastAsiaTheme="minorEastAsia" w:cstheme="minorEastAsia"/>
          <w:color w:val="auto"/>
          <w:kern w:val="0"/>
          <w:szCs w:val="21"/>
          <w:highlight w:val="none"/>
        </w:rPr>
        <w:t>牵头人名称</w:t>
      </w:r>
      <w:r>
        <w:rPr>
          <w:rFonts w:hint="eastAsia" w:asciiTheme="minorEastAsia" w:hAnsiTheme="minorEastAsia" w:eastAsiaTheme="minorEastAsia" w:cstheme="minorEastAsia"/>
          <w:color w:val="auto"/>
          <w:highlight w:val="none"/>
        </w:rPr>
        <w:t>）（盖单位公章）：</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法定代表人（签字）：</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法定代表人身份证号码：</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委托代理人（签字）：</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委托代理人身份证号码：</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pPr>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1.法定代表人和委托代理人必须在授权委托书上亲笔签名，不得使用印章、签名章或者其他电子制版签名代替，</w:t>
      </w:r>
      <w:r>
        <w:rPr>
          <w:rFonts w:hint="eastAsia" w:asciiTheme="minorEastAsia" w:hAnsiTheme="minorEastAsia" w:eastAsiaTheme="minorEastAsia" w:cstheme="minorEastAsia"/>
          <w:b/>
          <w:bCs/>
          <w:color w:val="auto"/>
          <w:szCs w:val="21"/>
          <w:highlight w:val="none"/>
        </w:rPr>
        <w:t>否则作无效投标处理</w:t>
      </w:r>
      <w:r>
        <w:rPr>
          <w:rFonts w:hint="eastAsia" w:asciiTheme="minorEastAsia" w:hAnsiTheme="minorEastAsia" w:eastAsiaTheme="minorEastAsia" w:cstheme="minorEastAsia"/>
          <w:color w:val="auto"/>
          <w:szCs w:val="21"/>
          <w:highlight w:val="none"/>
        </w:rPr>
        <w:t>；</w:t>
      </w:r>
    </w:p>
    <w:p>
      <w:pPr>
        <w:snapToGrid/>
        <w:spacing w:before="0" w:afterLines="-2147483648" w:line="360" w:lineRule="auto"/>
        <w:jc w:val="lef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2.供应商为其他组织或者自然人时，本招标文件规定的法定代表人指负责人或者自然人。本招标文件所称负责人是指参加投标的其他组织营业执照上的负责人，本招标文件所称自然人指参与投标的自然人本人。</w:t>
      </w:r>
    </w:p>
    <w:p>
      <w:pPr>
        <w:snapToGrid w:val="0"/>
        <w:spacing w:before="50" w:afterLines="50" w:line="360" w:lineRule="auto"/>
        <w:jc w:val="left"/>
        <w:rPr>
          <w:rFonts w:hint="eastAsia" w:asciiTheme="minorEastAsia" w:hAnsiTheme="minorEastAsia" w:eastAsiaTheme="minorEastAsia" w:cstheme="minorEastAsia"/>
          <w:color w:val="auto"/>
          <w:szCs w:val="21"/>
          <w:highlight w:val="none"/>
        </w:rPr>
      </w:pPr>
    </w:p>
    <w:p>
      <w:pPr>
        <w:snapToGrid w:val="0"/>
        <w:spacing w:before="50" w:afterLines="50" w:line="360" w:lineRule="auto"/>
        <w:jc w:val="left"/>
        <w:rPr>
          <w:rFonts w:hint="eastAsia" w:asciiTheme="minorEastAsia" w:hAnsiTheme="minorEastAsia" w:eastAsiaTheme="minorEastAsia" w:cstheme="minorEastAsia"/>
          <w:color w:val="auto"/>
          <w:szCs w:val="21"/>
          <w:highlight w:val="none"/>
        </w:rPr>
      </w:pPr>
    </w:p>
    <w:p>
      <w:pPr>
        <w:snapToGrid w:val="0"/>
        <w:spacing w:before="50" w:afterLines="50" w:line="360" w:lineRule="auto"/>
        <w:jc w:val="left"/>
        <w:rPr>
          <w:rFonts w:hint="eastAsia" w:asciiTheme="minorEastAsia" w:hAnsiTheme="minorEastAsia" w:eastAsiaTheme="minorEastAsia" w:cstheme="minorEastAsia"/>
          <w:color w:val="auto"/>
          <w:szCs w:val="21"/>
          <w:highlight w:val="none"/>
        </w:rPr>
      </w:pPr>
    </w:p>
    <w:p>
      <w:pPr>
        <w:snapToGrid w:val="0"/>
        <w:spacing w:before="50" w:afterLines="50" w:line="360" w:lineRule="auto"/>
        <w:jc w:val="left"/>
        <w:rPr>
          <w:rFonts w:hint="eastAsia" w:asciiTheme="minorEastAsia" w:hAnsiTheme="minorEastAsia" w:eastAsiaTheme="minorEastAsia" w:cstheme="minorEastAsia"/>
          <w:color w:val="auto"/>
          <w:szCs w:val="21"/>
          <w:highlight w:val="none"/>
        </w:rPr>
      </w:pPr>
    </w:p>
    <w:p>
      <w:pPr>
        <w:snapToGrid w:val="0"/>
        <w:spacing w:before="50" w:afterLines="50" w:line="360" w:lineRule="auto"/>
        <w:jc w:val="left"/>
        <w:rPr>
          <w:rFonts w:hint="eastAsia" w:asciiTheme="minorEastAsia" w:hAnsiTheme="minorEastAsia" w:eastAsiaTheme="minorEastAsia" w:cstheme="minorEastAsia"/>
          <w:color w:val="auto"/>
          <w:szCs w:val="21"/>
          <w:highlight w:val="none"/>
        </w:rPr>
      </w:pPr>
    </w:p>
    <w:p>
      <w:pPr>
        <w:spacing w:line="360" w:lineRule="auto"/>
        <w:rPr>
          <w:rFonts w:asciiTheme="minorEastAsia" w:hAnsiTheme="minorEastAsia" w:eastAsiaTheme="minorEastAsia" w:cstheme="minorEastAsia"/>
          <w:b/>
          <w:color w:val="auto"/>
          <w:sz w:val="24"/>
          <w:highlight w:val="none"/>
        </w:rPr>
      </w:pP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附件：</w:t>
      </w:r>
    </w:p>
    <w:tbl>
      <w:tblPr>
        <w:tblStyle w:val="23"/>
        <w:tblpPr w:leftFromText="180" w:rightFromText="180" w:vertAnchor="text" w:horzAnchor="margin" w:tblpY="263"/>
        <w:tblW w:w="79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40" w:hRule="atLeast"/>
        </w:trPr>
        <w:tc>
          <w:tcPr>
            <w:tcW w:w="7985" w:type="dxa"/>
            <w:tcBorders>
              <w:top w:val="single" w:color="auto" w:sz="4" w:space="0"/>
              <w:left w:val="single" w:color="auto" w:sz="4" w:space="0"/>
              <w:bottom w:val="single" w:color="auto" w:sz="4" w:space="0"/>
              <w:right w:val="single" w:color="auto" w:sz="4" w:space="0"/>
            </w:tcBorders>
            <w:noWrap/>
          </w:tcPr>
          <w:p>
            <w:pPr>
              <w:spacing w:line="360" w:lineRule="auto"/>
              <w:rPr>
                <w:rFonts w:asciiTheme="minorEastAsia" w:hAnsiTheme="minorEastAsia" w:eastAsiaTheme="minorEastAsia" w:cstheme="minorEastAsia"/>
                <w:b/>
                <w:color w:val="auto"/>
                <w:sz w:val="24"/>
                <w:highlight w:val="none"/>
              </w:rPr>
            </w:pP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t>全权代表身份证复印件粘贴处（正、反面）</w:t>
            </w:r>
          </w:p>
        </w:tc>
      </w:tr>
    </w:tbl>
    <w:p>
      <w:pPr>
        <w:snapToGrid w:val="0"/>
        <w:spacing w:before="50" w:afterLines="50" w:line="360" w:lineRule="auto"/>
        <w:jc w:val="left"/>
        <w:rPr>
          <w:rFonts w:asciiTheme="minorEastAsia" w:hAnsiTheme="minorEastAsia" w:eastAsiaTheme="minorEastAsia" w:cstheme="minorEastAsia"/>
          <w:color w:val="auto"/>
          <w:szCs w:val="21"/>
          <w:highlight w:val="none"/>
        </w:rPr>
      </w:pPr>
    </w:p>
    <w:p>
      <w:pPr>
        <w:snapToGrid w:val="0"/>
        <w:spacing w:beforeLines="50" w:after="50"/>
        <w:ind w:firstLine="566" w:firstLineChars="236"/>
        <w:jc w:val="center"/>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color w:val="auto"/>
          <w:sz w:val="24"/>
          <w:highlight w:val="none"/>
        </w:rPr>
        <w:br w:type="page"/>
      </w:r>
    </w:p>
    <w:p>
      <w:pPr>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四、商务条款偏离表</w:t>
      </w:r>
    </w:p>
    <w:p>
      <w:pPr>
        <w:jc w:val="center"/>
        <w:rPr>
          <w:rFonts w:asciiTheme="minorEastAsia" w:hAnsiTheme="minorEastAsia" w:eastAsiaTheme="minorEastAsia" w:cstheme="minorEastAsia"/>
          <w:b/>
          <w:color w:val="auto"/>
          <w:sz w:val="24"/>
          <w:szCs w:val="20"/>
          <w:highlight w:val="none"/>
        </w:rPr>
      </w:pPr>
      <w:r>
        <w:rPr>
          <w:rFonts w:hint="eastAsia" w:asciiTheme="minorEastAsia" w:hAnsiTheme="minorEastAsia" w:eastAsiaTheme="minorEastAsia" w:cstheme="minorEastAsia"/>
          <w:color w:val="auto"/>
          <w:sz w:val="30"/>
          <w:szCs w:val="20"/>
          <w:highlight w:val="none"/>
        </w:rPr>
        <w:t>(注：按项目需求表具体项目修改)</w:t>
      </w:r>
    </w:p>
    <w:p>
      <w:pPr>
        <w:snapToGrid w:val="0"/>
        <w:spacing w:before="50"/>
        <w:jc w:val="left"/>
        <w:rPr>
          <w:rFonts w:asciiTheme="minorEastAsia" w:hAnsiTheme="minorEastAsia" w:eastAsiaTheme="minorEastAsia" w:cstheme="minorEastAsia"/>
          <w:color w:val="auto"/>
          <w:sz w:val="24"/>
          <w:highlight w:val="none"/>
        </w:rPr>
      </w:pPr>
    </w:p>
    <w:p>
      <w:pPr>
        <w:pStyle w:val="13"/>
        <w:spacing w:line="360" w:lineRule="auto"/>
        <w:ind w:left="-424" w:leftChars="-202" w:firstLine="846"/>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highlight w:val="none"/>
        </w:rPr>
        <w:t>请逐条对应本项目招标文件第二章“服务需求一览表”中“商务条款”的要求，详细填写相应的具体内容。“偏离说明”一栏应当选择“正偏离”、“负偏离”或“无偏离”进行填写。</w:t>
      </w:r>
    </w:p>
    <w:tbl>
      <w:tblPr>
        <w:tblStyle w:val="23"/>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757"/>
        <w:gridCol w:w="2516"/>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tcBorders>
              <w:top w:val="single" w:color="auto" w:sz="4" w:space="0"/>
              <w:left w:val="single" w:color="auto" w:sz="4" w:space="0"/>
              <w:right w:val="single" w:color="auto" w:sz="4" w:space="0"/>
            </w:tcBorders>
            <w:noWrap/>
          </w:tcPr>
          <w:p>
            <w:pPr>
              <w:spacing w:line="3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招标文件的商务需求</w:t>
            </w:r>
          </w:p>
        </w:tc>
        <w:tc>
          <w:tcPr>
            <w:tcW w:w="2516" w:type="dxa"/>
            <w:tcBorders>
              <w:top w:val="single" w:color="auto" w:sz="4" w:space="0"/>
              <w:left w:val="single" w:color="auto" w:sz="4" w:space="0"/>
              <w:right w:val="single" w:color="auto" w:sz="4" w:space="0"/>
            </w:tcBorders>
            <w:noWrap/>
          </w:tcPr>
          <w:p>
            <w:pPr>
              <w:spacing w:line="34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投标文件承诺的商务条款</w:t>
            </w:r>
          </w:p>
        </w:tc>
        <w:tc>
          <w:tcPr>
            <w:tcW w:w="2516" w:type="dxa"/>
            <w:tcBorders>
              <w:top w:val="single" w:color="auto" w:sz="4" w:space="0"/>
              <w:left w:val="single" w:color="auto" w:sz="4" w:space="0"/>
              <w:right w:val="single" w:color="auto" w:sz="4" w:space="0"/>
            </w:tcBorders>
            <w:noWrap/>
          </w:tcPr>
          <w:p>
            <w:pPr>
              <w:spacing w:line="300" w:lineRule="exact"/>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一</w:t>
            </w:r>
          </w:p>
        </w:tc>
        <w:tc>
          <w:tcPr>
            <w:tcW w:w="3757" w:type="dxa"/>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noWrap/>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spacing w:line="34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spacing w:line="30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spacing w:line="34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spacing w:line="30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二</w:t>
            </w:r>
          </w:p>
        </w:tc>
        <w:tc>
          <w:tcPr>
            <w:tcW w:w="3757" w:type="dxa"/>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noWrap/>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spacing w:line="34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spacing w:line="30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spacing w:line="34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spacing w:line="30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691" w:type="dxa"/>
            <w:vMerge w:val="restart"/>
            <w:tcBorders>
              <w:top w:val="single" w:color="auto" w:sz="4" w:space="0"/>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757" w:type="dxa"/>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noWrap/>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tc>
        <w:tc>
          <w:tcPr>
            <w:tcW w:w="2516" w:type="dxa"/>
            <w:tcBorders>
              <w:top w:val="single" w:color="auto" w:sz="4" w:space="0"/>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spacing w:line="34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spacing w:line="30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spacing w:line="34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spacing w:line="300" w:lineRule="exact"/>
              <w:rPr>
                <w:rFonts w:asciiTheme="minorEastAsia" w:hAnsiTheme="minorEastAsia" w:eastAsiaTheme="minorEastAsia" w:cstheme="minorEastAsia"/>
                <w:color w:val="auto"/>
                <w:szCs w:val="21"/>
                <w:highlight w:val="none"/>
              </w:rPr>
            </w:pPr>
          </w:p>
        </w:tc>
        <w:tc>
          <w:tcPr>
            <w:tcW w:w="2516" w:type="dxa"/>
            <w:tcBorders>
              <w:left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691" w:type="dxa"/>
            <w:vMerge w:val="continue"/>
            <w:tcBorders>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p>
        </w:tc>
        <w:tc>
          <w:tcPr>
            <w:tcW w:w="3757" w:type="dxa"/>
            <w:tcBorders>
              <w:top w:val="single" w:color="auto" w:sz="4" w:space="0"/>
              <w:left w:val="single" w:color="auto" w:sz="4" w:space="0"/>
              <w:bottom w:val="single" w:color="auto" w:sz="4" w:space="0"/>
              <w:right w:val="single" w:color="auto" w:sz="4" w:space="0"/>
            </w:tcBorders>
            <w:noWrap/>
          </w:tcPr>
          <w:p>
            <w:pPr>
              <w:spacing w:line="34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516" w:type="dxa"/>
            <w:tcBorders>
              <w:left w:val="single" w:color="auto" w:sz="4" w:space="0"/>
              <w:bottom w:val="single" w:color="auto" w:sz="4" w:space="0"/>
              <w:right w:val="single" w:color="auto" w:sz="4" w:space="0"/>
            </w:tcBorders>
            <w:noWrap/>
          </w:tcPr>
          <w:p>
            <w:pPr>
              <w:spacing w:line="300" w:lineRule="exact"/>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p>
            <w:pPr>
              <w:spacing w:line="300" w:lineRule="exact"/>
              <w:rPr>
                <w:rFonts w:asciiTheme="minorEastAsia" w:hAnsiTheme="minorEastAsia" w:eastAsiaTheme="minorEastAsia" w:cstheme="minorEastAsia"/>
                <w:color w:val="auto"/>
                <w:szCs w:val="21"/>
                <w:highlight w:val="none"/>
              </w:rPr>
            </w:pPr>
          </w:p>
        </w:tc>
      </w:tr>
    </w:tbl>
    <w:p>
      <w:pPr>
        <w:pStyle w:val="13"/>
        <w:spacing w:line="360" w:lineRule="auto"/>
        <w:ind w:left="-708" w:leftChars="-337"/>
        <w:rPr>
          <w:rFonts w:asciiTheme="minorEastAsia" w:hAnsiTheme="minorEastAsia" w:eastAsiaTheme="minorEastAsia" w:cstheme="minorEastAsia"/>
          <w:color w:val="auto"/>
          <w:highlight w:val="none"/>
        </w:rPr>
      </w:pPr>
    </w:p>
    <w:p>
      <w:pPr>
        <w:pStyle w:val="13"/>
        <w:spacing w:line="360" w:lineRule="auto"/>
        <w:ind w:left="-708" w:leftChars="-337"/>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w:t>
      </w:r>
    </w:p>
    <w:p>
      <w:pPr>
        <w:pStyle w:val="13"/>
        <w:spacing w:line="360" w:lineRule="auto"/>
        <w:ind w:left="-708" w:leftChars="-337"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1.表格内容均需按要求填写并盖章，不得留空，否则按投标无效处理。</w:t>
      </w:r>
    </w:p>
    <w:p>
      <w:pPr>
        <w:pStyle w:val="13"/>
        <w:spacing w:line="360" w:lineRule="auto"/>
        <w:ind w:left="-603" w:leftChars="-287" w:firstLine="315" w:firstLineChars="15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2.当投标文件的商务内容低于招标文件要求时，投标人应当如实写明“负偏离”，否则视为虚假应标。</w:t>
      </w:r>
    </w:p>
    <w:p>
      <w:pPr>
        <w:pStyle w:val="13"/>
        <w:spacing w:line="360" w:lineRule="auto"/>
        <w:ind w:left="-708" w:leftChars="-337"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Cs w:val="21"/>
          <w:highlight w:val="none"/>
        </w:rPr>
        <w:t>3.采购需求中带“▲”及“★”的条款，也要分别在本表“投标文件的商务需求”、“投标文件承诺的商务条款”中标记。</w:t>
      </w:r>
    </w:p>
    <w:p>
      <w:pPr>
        <w:snapToGrid w:val="0"/>
        <w:spacing w:before="50" w:after="50"/>
        <w:rPr>
          <w:rFonts w:asciiTheme="minorEastAsia" w:hAnsiTheme="minorEastAsia" w:eastAsiaTheme="minorEastAsia" w:cstheme="minorEastAsia"/>
          <w:color w:val="auto"/>
          <w:sz w:val="24"/>
          <w:highlight w:val="none"/>
        </w:rPr>
      </w:pPr>
    </w:p>
    <w:p>
      <w:pPr>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jc w:val="left"/>
        <w:rPr>
          <w:rFonts w:asciiTheme="minorEastAsia" w:hAnsiTheme="minorEastAsia" w:eastAsiaTheme="minorEastAsia" w:cstheme="minorEastAsia"/>
          <w:color w:val="auto"/>
          <w:szCs w:val="21"/>
          <w:highlight w:val="none"/>
        </w:rPr>
        <w:sectPr>
          <w:pgSz w:w="11906" w:h="16838"/>
          <w:pgMar w:top="1440" w:right="1797" w:bottom="1440" w:left="1797" w:header="851" w:footer="992" w:gutter="0"/>
          <w:cols w:space="720" w:num="1"/>
        </w:sectPr>
      </w:pPr>
    </w:p>
    <w:p>
      <w:pPr>
        <w:snapToGrid w:val="0"/>
        <w:spacing w:beforeLines="50" w:after="50"/>
        <w:ind w:firstLine="602" w:firstLineChars="20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五、投标人情况介绍</w:t>
      </w:r>
    </w:p>
    <w:p>
      <w:pPr>
        <w:spacing w:line="360" w:lineRule="auto"/>
        <w:ind w:firstLine="4048" w:firstLineChars="1687"/>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 w:val="24"/>
          <w:highlight w:val="none"/>
        </w:rPr>
        <w:t>（格式自拟）</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snapToGrid w:val="0"/>
        <w:spacing w:beforeLines="50" w:after="50"/>
        <w:ind w:firstLine="602" w:firstLineChars="200"/>
        <w:jc w:val="center"/>
        <w:rPr>
          <w:rFonts w:asciiTheme="minorEastAsia" w:hAnsiTheme="minorEastAsia" w:eastAsiaTheme="minorEastAsia" w:cstheme="minorEastAsia"/>
          <w:b/>
          <w:bCs/>
          <w:color w:val="auto"/>
          <w:sz w:val="30"/>
          <w:szCs w:val="30"/>
          <w:highlight w:val="none"/>
        </w:rPr>
      </w:pPr>
    </w:p>
    <w:p>
      <w:pPr>
        <w:widowControl/>
        <w:jc w:val="left"/>
        <w:rPr>
          <w:rFonts w:asciiTheme="minorEastAsia" w:hAnsiTheme="minorEastAsia" w:eastAsiaTheme="minorEastAsia" w:cstheme="minorEastAsia"/>
          <w:b/>
          <w:bCs/>
          <w:color w:val="auto"/>
          <w:sz w:val="30"/>
          <w:szCs w:val="30"/>
          <w:highlight w:val="none"/>
        </w:rPr>
        <w:sectPr>
          <w:pgSz w:w="11906" w:h="16838"/>
          <w:pgMar w:top="1134" w:right="1134" w:bottom="1134" w:left="1134" w:header="720" w:footer="720" w:gutter="0"/>
          <w:cols w:space="720" w:num="1"/>
          <w:docGrid w:type="lines" w:linePitch="331" w:charSpace="0"/>
        </w:sectPr>
      </w:pPr>
    </w:p>
    <w:p>
      <w:pPr>
        <w:snapToGrid w:val="0"/>
        <w:spacing w:beforeLines="50" w:after="50"/>
        <w:ind w:firstLine="602" w:firstLineChars="20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六、投标人类似的业绩证明文件（如有要求）</w:t>
      </w:r>
    </w:p>
    <w:p>
      <w:pPr>
        <w:pStyle w:val="18"/>
        <w:snapToGrid w:val="0"/>
        <w:ind w:left="480" w:hanging="480"/>
        <w:rPr>
          <w:rFonts w:asciiTheme="minorEastAsia" w:hAnsiTheme="minorEastAsia" w:eastAsiaTheme="minorEastAsia" w:cstheme="minorEastAsia"/>
          <w:color w:val="auto"/>
          <w:sz w:val="24"/>
          <w:highlight w:val="none"/>
        </w:rPr>
      </w:pPr>
    </w:p>
    <w:p>
      <w:pPr>
        <w:pStyle w:val="18"/>
        <w:snapToGrid w:val="0"/>
        <w:ind w:left="480" w:hanging="480"/>
        <w:rPr>
          <w:rFonts w:asciiTheme="minorEastAsia" w:hAnsiTheme="minorEastAsia" w:eastAsiaTheme="minorEastAsia" w:cstheme="minorEastAsia"/>
          <w:color w:val="auto"/>
          <w:sz w:val="24"/>
          <w:highlight w:val="none"/>
        </w:rPr>
      </w:pPr>
    </w:p>
    <w:p>
      <w:pPr>
        <w:pStyle w:val="18"/>
        <w:snapToGrid w:val="0"/>
        <w:ind w:left="480" w:hanging="480"/>
        <w:rPr>
          <w:rFonts w:asciiTheme="minorEastAsia" w:hAnsiTheme="minorEastAsia" w:eastAsiaTheme="minorEastAsia" w:cstheme="minorEastAsia"/>
          <w:color w:val="auto"/>
          <w:sz w:val="24"/>
          <w:highlight w:val="none"/>
        </w:rPr>
      </w:pPr>
    </w:p>
    <w:p>
      <w:pPr>
        <w:autoSpaceDE w:val="0"/>
        <w:autoSpaceDN w:val="0"/>
        <w:spacing w:line="360" w:lineRule="auto"/>
        <w:ind w:firstLine="12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附表 :相关项目业绩一览表（投标人同类项目合同复印件、用户验收报告、用户评价意见格式自拟）</w:t>
      </w:r>
    </w:p>
    <w:tbl>
      <w:tblPr>
        <w:tblStyle w:val="23"/>
        <w:tblW w:w="0" w:type="auto"/>
        <w:tblInd w:w="113"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28"/>
        <w:gridCol w:w="3420"/>
        <w:gridCol w:w="1715"/>
        <w:gridCol w:w="1559"/>
        <w:gridCol w:w="1559"/>
        <w:gridCol w:w="1418"/>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2628"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采购人名称</w:t>
            </w:r>
          </w:p>
        </w:tc>
        <w:tc>
          <w:tcPr>
            <w:tcW w:w="3420"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p>
        </w:tc>
        <w:tc>
          <w:tcPr>
            <w:tcW w:w="1715"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金额</w:t>
            </w:r>
          </w:p>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（万元）</w:t>
            </w:r>
          </w:p>
        </w:tc>
        <w:tc>
          <w:tcPr>
            <w:tcW w:w="4536" w:type="dxa"/>
            <w:gridSpan w:val="3"/>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附件在投标文件中页码</w:t>
            </w:r>
          </w:p>
        </w:tc>
        <w:tc>
          <w:tcPr>
            <w:tcW w:w="2268" w:type="dxa"/>
            <w:vMerge w:val="restart"/>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采购人联系人及</w:t>
            </w:r>
          </w:p>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联系电话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262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 w:val="24"/>
                <w:highlight w:val="none"/>
              </w:rPr>
            </w:pPr>
          </w:p>
        </w:tc>
        <w:tc>
          <w:tcPr>
            <w:tcW w:w="3420"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 w:val="24"/>
                <w:highlight w:val="none"/>
              </w:rPr>
            </w:pPr>
          </w:p>
        </w:tc>
        <w:tc>
          <w:tcPr>
            <w:tcW w:w="171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合同</w:t>
            </w:r>
          </w:p>
        </w:tc>
        <w:tc>
          <w:tcPr>
            <w:tcW w:w="1559"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验收报告</w:t>
            </w:r>
          </w:p>
        </w:tc>
        <w:tc>
          <w:tcPr>
            <w:tcW w:w="1418" w:type="dxa"/>
            <w:tcBorders>
              <w:top w:val="single" w:color="auto" w:sz="4" w:space="0"/>
              <w:left w:val="single" w:color="auto" w:sz="4" w:space="0"/>
              <w:bottom w:val="single" w:color="auto" w:sz="4" w:space="0"/>
              <w:right w:val="single" w:color="auto" w:sz="4" w:space="0"/>
            </w:tcBorders>
            <w:noWrap/>
            <w:vAlign w:val="center"/>
          </w:tcPr>
          <w:p>
            <w:pPr>
              <w:snapToGrid w:val="0"/>
              <w:spacing w:line="240" w:lineRule="exact"/>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用户评价</w:t>
            </w:r>
          </w:p>
        </w:tc>
        <w:tc>
          <w:tcPr>
            <w:tcW w:w="226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2628"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tcPr>
          <w:p>
            <w:pPr>
              <w:snapToGrid w:val="0"/>
              <w:spacing w:line="240" w:lineRule="exact"/>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262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62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3420"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715"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559"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141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c>
          <w:tcPr>
            <w:tcW w:w="2268" w:type="dxa"/>
            <w:tcBorders>
              <w:top w:val="single" w:color="auto" w:sz="4" w:space="0"/>
              <w:left w:val="single" w:color="auto" w:sz="4" w:space="0"/>
              <w:bottom w:val="single" w:color="auto" w:sz="4" w:space="0"/>
              <w:right w:val="single" w:color="auto" w:sz="4" w:space="0"/>
            </w:tcBorders>
            <w:noWrap/>
          </w:tcPr>
          <w:p>
            <w:pPr>
              <w:snapToGrid w:val="0"/>
              <w:spacing w:before="50" w:afterLines="50" w:line="400" w:lineRule="exact"/>
              <w:jc w:val="left"/>
              <w:rPr>
                <w:rFonts w:asciiTheme="minorEastAsia" w:hAnsiTheme="minorEastAsia" w:eastAsiaTheme="minorEastAsia" w:cstheme="minorEastAsia"/>
                <w:color w:val="auto"/>
                <w:sz w:val="24"/>
                <w:highlight w:val="none"/>
              </w:rPr>
            </w:pPr>
          </w:p>
        </w:tc>
      </w:tr>
    </w:tbl>
    <w:p>
      <w:pPr>
        <w:pStyle w:val="13"/>
        <w:spacing w:line="360" w:lineRule="auto"/>
        <w:ind w:left="7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注：投标人可按上述格式自行编制，</w:t>
      </w:r>
      <w:r>
        <w:rPr>
          <w:rFonts w:hint="eastAsia" w:asciiTheme="minorEastAsia" w:hAnsiTheme="minorEastAsia" w:eastAsiaTheme="minorEastAsia" w:cstheme="minorEastAsia"/>
          <w:color w:val="auto"/>
          <w:highlight w:val="none"/>
          <w:lang w:val="en-US" w:eastAsia="zh-CN"/>
        </w:rPr>
        <w:t>并按评审标准的要求提供证明材料。</w:t>
      </w:r>
      <w:r>
        <w:rPr>
          <w:rFonts w:hint="eastAsia" w:asciiTheme="minorEastAsia" w:hAnsiTheme="minorEastAsia" w:eastAsiaTheme="minorEastAsia" w:cstheme="minorEastAsia"/>
          <w:color w:val="auto"/>
          <w:highlight w:val="none"/>
        </w:rPr>
        <w:t>。</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10080" w:firstLineChars="48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10080" w:firstLineChars="420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spacing w:line="360" w:lineRule="auto"/>
        <w:jc w:val="left"/>
        <w:rPr>
          <w:rFonts w:asciiTheme="minorEastAsia" w:hAnsiTheme="minorEastAsia" w:eastAsiaTheme="minorEastAsia" w:cstheme="minorEastAsia"/>
          <w:color w:val="auto"/>
          <w:kern w:val="0"/>
          <w:sz w:val="24"/>
          <w:highlight w:val="none"/>
          <w:lang w:val="zh-CN"/>
        </w:rPr>
        <w:sectPr>
          <w:pgSz w:w="16838" w:h="11906" w:orient="landscape"/>
          <w:pgMar w:top="1134" w:right="1134" w:bottom="1134" w:left="1134" w:header="720" w:footer="720" w:gutter="0"/>
          <w:cols w:space="720" w:num="1"/>
          <w:docGrid w:type="lines" w:linePitch="331" w:charSpace="0"/>
        </w:sectPr>
      </w:pPr>
    </w:p>
    <w:p>
      <w:pPr>
        <w:pStyle w:val="13"/>
        <w:jc w:val="center"/>
        <w:outlineLvl w:val="1"/>
        <w:rPr>
          <w:rFonts w:asciiTheme="minorEastAsia" w:hAnsiTheme="minorEastAsia" w:eastAsiaTheme="minorEastAsia" w:cstheme="minorEastAsia"/>
          <w:b/>
          <w:bCs/>
          <w:color w:val="auto"/>
          <w:sz w:val="28"/>
          <w:szCs w:val="28"/>
          <w:highlight w:val="none"/>
        </w:rPr>
      </w:pPr>
      <w:bookmarkStart w:id="249" w:name="_Toc21227"/>
      <w:bookmarkStart w:id="250" w:name="_Toc19686839"/>
      <w:r>
        <w:rPr>
          <w:rFonts w:hint="eastAsia" w:asciiTheme="minorEastAsia" w:hAnsiTheme="minorEastAsia" w:eastAsiaTheme="minorEastAsia" w:cstheme="minorEastAsia"/>
          <w:b/>
          <w:bCs/>
          <w:color w:val="auto"/>
          <w:sz w:val="28"/>
          <w:szCs w:val="28"/>
          <w:highlight w:val="none"/>
        </w:rPr>
        <w:t>第四节 技术文件格式</w:t>
      </w:r>
      <w:bookmarkEnd w:id="249"/>
      <w:bookmarkEnd w:id="250"/>
    </w:p>
    <w:p>
      <w:pPr>
        <w:snapToGrid w:val="0"/>
        <w:spacing w:beforeLines="50" w:after="50"/>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电子投标文件</w:t>
      </w:r>
    </w:p>
    <w:p>
      <w:pPr>
        <w:snapToGrid w:val="0"/>
        <w:spacing w:beforeLines="50" w:after="50"/>
        <w:rPr>
          <w:rFonts w:asciiTheme="minorEastAsia" w:hAnsiTheme="minorEastAsia" w:eastAsiaTheme="minorEastAsia" w:cstheme="minorEastAsia"/>
          <w:color w:val="auto"/>
          <w:sz w:val="24"/>
          <w:szCs w:val="20"/>
          <w:highlight w:val="none"/>
        </w:rPr>
      </w:pPr>
    </w:p>
    <w:p>
      <w:pPr>
        <w:snapToGrid w:val="0"/>
        <w:spacing w:beforeLines="50" w:after="50"/>
        <w:jc w:val="center"/>
        <w:rPr>
          <w:rFonts w:asciiTheme="minorEastAsia" w:hAnsiTheme="minorEastAsia" w:eastAsiaTheme="minorEastAsia" w:cstheme="minorEastAsia"/>
          <w:b/>
          <w:bCs/>
          <w:color w:val="auto"/>
          <w:sz w:val="32"/>
          <w:szCs w:val="32"/>
          <w:highlight w:val="none"/>
        </w:rPr>
      </w:pPr>
    </w:p>
    <w:p>
      <w:pPr>
        <w:snapToGrid w:val="0"/>
        <w:spacing w:beforeLines="50" w:after="50"/>
        <w:jc w:val="center"/>
        <w:rPr>
          <w:rFonts w:asciiTheme="minorEastAsia" w:hAnsiTheme="minorEastAsia" w:eastAsiaTheme="minorEastAsia" w:cstheme="minorEastAsia"/>
          <w:b/>
          <w:bCs/>
          <w:color w:val="auto"/>
          <w:sz w:val="32"/>
          <w:szCs w:val="32"/>
          <w:highlight w:val="none"/>
        </w:rPr>
      </w:pPr>
    </w:p>
    <w:p>
      <w:pPr>
        <w:snapToGrid w:val="0"/>
        <w:spacing w:beforeLines="50" w:after="50"/>
        <w:jc w:val="center"/>
        <w:rPr>
          <w:rFonts w:asciiTheme="minorEastAsia" w:hAnsiTheme="minorEastAsia" w:eastAsiaTheme="minorEastAsia" w:cstheme="minorEastAsia"/>
          <w:b/>
          <w:bCs/>
          <w:color w:val="auto"/>
          <w:sz w:val="32"/>
          <w:szCs w:val="32"/>
          <w:highlight w:val="none"/>
        </w:rPr>
      </w:pPr>
    </w:p>
    <w:p>
      <w:pPr>
        <w:snapToGrid w:val="0"/>
        <w:spacing w:beforeLines="50" w:after="50"/>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技术文件（封面）</w:t>
      </w:r>
    </w:p>
    <w:p>
      <w:pPr>
        <w:snapToGrid w:val="0"/>
        <w:spacing w:beforeLines="50" w:after="50"/>
        <w:rPr>
          <w:rFonts w:asciiTheme="minorEastAsia" w:hAnsiTheme="minorEastAsia" w:eastAsiaTheme="minorEastAsia" w:cstheme="minorEastAsia"/>
          <w:bCs/>
          <w:color w:val="auto"/>
          <w:sz w:val="24"/>
          <w:szCs w:val="20"/>
          <w:highlight w:val="none"/>
        </w:rPr>
      </w:pPr>
    </w:p>
    <w:p>
      <w:pPr>
        <w:snapToGrid w:val="0"/>
        <w:spacing w:beforeLines="50" w:after="50" w:line="400" w:lineRule="exact"/>
        <w:ind w:firstLine="360" w:firstLineChars="150"/>
        <w:rPr>
          <w:rFonts w:hint="eastAsia" w:asciiTheme="minorEastAsia" w:hAnsiTheme="minorEastAsia" w:eastAsiaTheme="minorEastAsia" w:cstheme="minorEastAsia"/>
          <w:bCs/>
          <w:color w:val="auto"/>
          <w:sz w:val="24"/>
          <w:szCs w:val="20"/>
          <w:highlight w:val="none"/>
          <w:lang w:eastAsia="zh-CN"/>
        </w:rPr>
      </w:pPr>
      <w:r>
        <w:rPr>
          <w:rFonts w:hint="eastAsia" w:asciiTheme="minorEastAsia" w:hAnsiTheme="minorEastAsia" w:eastAsiaTheme="minorEastAsia" w:cstheme="minorEastAsia"/>
          <w:bCs/>
          <w:color w:val="auto"/>
          <w:sz w:val="24"/>
          <w:highlight w:val="none"/>
        </w:rPr>
        <w:t xml:space="preserve">项目名称： </w:t>
      </w:r>
      <w:r>
        <w:rPr>
          <w:rFonts w:hint="eastAsia" w:asciiTheme="minorEastAsia" w:hAnsiTheme="minorEastAsia" w:eastAsiaTheme="minorEastAsia" w:cstheme="minorEastAsia"/>
          <w:bCs/>
          <w:color w:val="auto"/>
          <w:sz w:val="24"/>
          <w:highlight w:val="none"/>
          <w:lang w:eastAsia="zh-CN"/>
        </w:rPr>
        <w:t>2025年西乡塘区糖料蔗病虫害绿色防控项目</w:t>
      </w:r>
    </w:p>
    <w:p>
      <w:pPr>
        <w:snapToGrid w:val="0"/>
        <w:spacing w:beforeLines="50" w:after="50" w:line="400" w:lineRule="exact"/>
        <w:ind w:firstLine="360" w:firstLineChars="150"/>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 xml:space="preserve">项目编号： </w:t>
      </w:r>
      <w:r>
        <w:rPr>
          <w:rFonts w:hint="eastAsia" w:asciiTheme="minorEastAsia" w:hAnsiTheme="minorEastAsia" w:eastAsiaTheme="minorEastAsia" w:cstheme="minorEastAsia"/>
          <w:bCs/>
          <w:color w:val="auto"/>
          <w:sz w:val="24"/>
          <w:highlight w:val="none"/>
          <w:lang w:eastAsia="zh-CN"/>
        </w:rPr>
        <w:t>NNZC2026-G3-070001-GXYG</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投标人名称：</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投标人地址：</w:t>
      </w:r>
    </w:p>
    <w:p>
      <w:pPr>
        <w:snapToGrid w:val="0"/>
        <w:spacing w:beforeLines="50" w:after="50"/>
        <w:ind w:firstLine="645"/>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snapToGrid w:val="0"/>
        <w:spacing w:beforeLines="50" w:after="50"/>
        <w:ind w:firstLine="645"/>
        <w:jc w:val="center"/>
        <w:rPr>
          <w:rFonts w:asciiTheme="minorEastAsia" w:hAnsiTheme="minorEastAsia" w:eastAsiaTheme="minorEastAsia" w:cstheme="minorEastAsia"/>
          <w:color w:val="auto"/>
          <w:sz w:val="24"/>
          <w:szCs w:val="20"/>
          <w:highlight w:val="none"/>
        </w:rPr>
      </w:pPr>
    </w:p>
    <w:p>
      <w:pPr>
        <w:jc w:val="center"/>
        <w:rPr>
          <w:rFonts w:asciiTheme="minorEastAsia" w:hAnsiTheme="minorEastAsia" w:eastAsiaTheme="minorEastAsia" w:cstheme="minorEastAsia"/>
          <w:b/>
          <w:color w:val="auto"/>
          <w:kern w:val="0"/>
          <w:sz w:val="28"/>
          <w:szCs w:val="28"/>
          <w:highlight w:val="none"/>
        </w:rPr>
      </w:pPr>
      <w:r>
        <w:rPr>
          <w:rFonts w:hint="eastAsia" w:asciiTheme="minorEastAsia" w:hAnsiTheme="minorEastAsia" w:eastAsiaTheme="minorEastAsia" w:cstheme="minorEastAsia"/>
          <w:b/>
          <w:bCs/>
          <w:color w:val="auto"/>
          <w:sz w:val="24"/>
          <w:highlight w:val="none"/>
        </w:rPr>
        <w:br w:type="page"/>
      </w:r>
      <w:r>
        <w:rPr>
          <w:rFonts w:hint="eastAsia" w:asciiTheme="minorEastAsia" w:hAnsiTheme="minorEastAsia" w:eastAsiaTheme="minorEastAsia" w:cstheme="minorEastAsia"/>
          <w:b/>
          <w:color w:val="auto"/>
          <w:kern w:val="0"/>
          <w:sz w:val="28"/>
          <w:szCs w:val="28"/>
          <w:highlight w:val="none"/>
        </w:rPr>
        <w:t>技术文件目录</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w:t>
      </w:r>
      <w:r>
        <w:rPr>
          <w:rFonts w:hint="eastAsia" w:asciiTheme="minorEastAsia" w:hAnsiTheme="minorEastAsia" w:eastAsiaTheme="minorEastAsia" w:cstheme="minorEastAsia"/>
          <w:color w:val="auto"/>
          <w:highlight w:val="none"/>
          <w:lang w:eastAsia="zh-CN"/>
        </w:rPr>
        <w:t>服务需求偏离表</w:t>
      </w:r>
      <w:r>
        <w:rPr>
          <w:rFonts w:hint="eastAsia" w:asciiTheme="minorEastAsia" w:hAnsiTheme="minorEastAsia" w:eastAsiaTheme="minorEastAsia" w:cstheme="minorEastAsia"/>
          <w:color w:val="auto"/>
          <w:highlight w:val="none"/>
        </w:rPr>
        <w:t>…………………………………………………（页码）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w:t>
      </w:r>
      <w:r>
        <w:rPr>
          <w:rFonts w:hint="eastAsia" w:asciiTheme="minorEastAsia" w:hAnsiTheme="minorEastAsia" w:eastAsiaTheme="minorEastAsia" w:cstheme="minorEastAsia"/>
          <w:color w:val="auto"/>
          <w:highlight w:val="none"/>
          <w:lang w:val="en-US" w:eastAsia="zh-CN"/>
        </w:rPr>
        <w:t>实施</w:t>
      </w:r>
      <w:r>
        <w:rPr>
          <w:rFonts w:hint="eastAsia" w:asciiTheme="minorEastAsia" w:hAnsiTheme="minorEastAsia" w:eastAsiaTheme="minorEastAsia" w:cstheme="minorEastAsia"/>
          <w:color w:val="auto"/>
          <w:highlight w:val="none"/>
        </w:rPr>
        <w:t>方案…………………………………………………………（页码）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三、服务</w:t>
      </w:r>
      <w:r>
        <w:rPr>
          <w:rFonts w:hint="eastAsia" w:asciiTheme="minorEastAsia" w:hAnsiTheme="minorEastAsia" w:eastAsiaTheme="minorEastAsia" w:cstheme="minorEastAsia"/>
          <w:color w:val="auto"/>
          <w:highlight w:val="none"/>
          <w:lang w:val="en-US" w:eastAsia="zh-CN"/>
        </w:rPr>
        <w:t>保障</w:t>
      </w:r>
      <w:r>
        <w:rPr>
          <w:rFonts w:hint="eastAsia" w:asciiTheme="minorEastAsia" w:hAnsiTheme="minorEastAsia" w:eastAsiaTheme="minorEastAsia" w:cstheme="minorEastAsia"/>
          <w:color w:val="auto"/>
          <w:highlight w:val="none"/>
        </w:rPr>
        <w:t>方案 ………………………………</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w:t>
      </w:r>
      <w:r>
        <w:rPr>
          <w:rFonts w:hint="eastAsia" w:asciiTheme="minorEastAsia" w:hAnsiTheme="minorEastAsia" w:eastAsiaTheme="minorEastAsia" w:cstheme="minorEastAsia"/>
          <w:color w:val="auto"/>
          <w:highlight w:val="none"/>
          <w:lang w:val="zh-CN"/>
        </w:rPr>
        <w:t>项目实施人员一览表 ………………………………</w:t>
      </w:r>
      <w:r>
        <w:rPr>
          <w:rFonts w:hint="eastAsia" w:asciiTheme="minorEastAsia" w:hAnsiTheme="minorEastAsia" w:eastAsiaTheme="minorEastAsia" w:cstheme="minorEastAsia"/>
          <w:color w:val="auto"/>
          <w:highlight w:val="none"/>
        </w:rPr>
        <w:t>……………（页码）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五、投标人对项目的合理化建议和改进措施</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pPr>
        <w:pStyle w:val="34"/>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六、认为需要的其他技术文件或说明（如有）</w:t>
      </w:r>
      <w:r>
        <w:rPr>
          <w:rFonts w:hint="eastAsia" w:asciiTheme="minorEastAsia" w:hAnsiTheme="minorEastAsia" w:eastAsiaTheme="minorEastAsia" w:cstheme="minorEastAsia"/>
          <w:color w:val="auto"/>
          <w:highlight w:val="none"/>
          <w:lang w:val="zh-CN"/>
        </w:rPr>
        <w:t>……………………</w:t>
      </w:r>
      <w:r>
        <w:rPr>
          <w:rFonts w:hint="eastAsia" w:asciiTheme="minorEastAsia" w:hAnsiTheme="minorEastAsia" w:eastAsiaTheme="minorEastAsia" w:cstheme="minorEastAsia"/>
          <w:color w:val="auto"/>
          <w:highlight w:val="none"/>
        </w:rPr>
        <w:t>（页码）</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注：以上目录是基本格式要求，各投标人可根据自身情况进一步向下增加内容或细化。</w:t>
      </w:r>
    </w:p>
    <w:p>
      <w:pPr>
        <w:snapToGrid w:val="0"/>
        <w:spacing w:beforeLines="50" w:after="50"/>
        <w:ind w:left="143" w:leftChars="68" w:firstLine="472" w:firstLineChars="196"/>
        <w:jc w:val="left"/>
        <w:rPr>
          <w:rFonts w:asciiTheme="minorEastAsia" w:hAnsiTheme="minorEastAsia" w:eastAsiaTheme="minorEastAsia" w:cstheme="minorEastAsia"/>
          <w:b/>
          <w:color w:val="auto"/>
          <w:sz w:val="24"/>
          <w:highlight w:val="none"/>
        </w:rPr>
      </w:pPr>
    </w:p>
    <w:p>
      <w:pPr>
        <w:snapToGrid w:val="0"/>
        <w:spacing w:beforeLines="50" w:after="50"/>
        <w:ind w:left="143" w:leftChars="68" w:firstLine="472" w:firstLineChars="196"/>
        <w:jc w:val="left"/>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b/>
          <w:color w:val="auto"/>
          <w:sz w:val="24"/>
          <w:highlight w:val="none"/>
        </w:rPr>
        <w:t xml:space="preserve"> </w:t>
      </w:r>
    </w:p>
    <w:p>
      <w:pPr>
        <w:pStyle w:val="13"/>
        <w:spacing w:line="500" w:lineRule="exact"/>
        <w:jc w:val="center"/>
        <w:rPr>
          <w:rFonts w:hint="eastAsia" w:asciiTheme="minorEastAsia" w:hAnsiTheme="minorEastAsia" w:eastAsiaTheme="minorEastAsia" w:cstheme="minorEastAsia"/>
          <w:b/>
          <w:bCs/>
          <w:color w:val="auto"/>
          <w:sz w:val="30"/>
          <w:szCs w:val="30"/>
          <w:highlight w:val="none"/>
          <w:lang w:eastAsia="zh-CN"/>
        </w:rPr>
      </w:pPr>
      <w:r>
        <w:rPr>
          <w:rFonts w:hint="eastAsia" w:asciiTheme="minorEastAsia" w:hAnsiTheme="minorEastAsia" w:eastAsiaTheme="minorEastAsia" w:cstheme="minorEastAsia"/>
          <w:b/>
          <w:bCs/>
          <w:color w:val="auto"/>
          <w:sz w:val="30"/>
          <w:szCs w:val="30"/>
          <w:highlight w:val="none"/>
        </w:rPr>
        <w:t>一、</w:t>
      </w:r>
      <w:r>
        <w:rPr>
          <w:rFonts w:hint="eastAsia" w:asciiTheme="minorEastAsia" w:hAnsiTheme="minorEastAsia" w:eastAsiaTheme="minorEastAsia" w:cstheme="minorEastAsia"/>
          <w:b/>
          <w:bCs/>
          <w:color w:val="auto"/>
          <w:sz w:val="30"/>
          <w:szCs w:val="30"/>
          <w:highlight w:val="none"/>
          <w:lang w:eastAsia="zh-CN"/>
        </w:rPr>
        <w:t>服务需求偏离表</w:t>
      </w:r>
    </w:p>
    <w:p>
      <w:pPr>
        <w:pStyle w:val="13"/>
        <w:spacing w:line="440" w:lineRule="exact"/>
        <w:ind w:firstLine="420" w:firstLineChars="200"/>
        <w:rPr>
          <w:rFonts w:asciiTheme="minorEastAsia" w:hAnsiTheme="minorEastAsia" w:eastAsiaTheme="minorEastAsia" w:cstheme="minorEastAsia"/>
          <w:color w:val="auto"/>
          <w:highlight w:val="none"/>
        </w:rPr>
      </w:pPr>
    </w:p>
    <w:p>
      <w:pPr>
        <w:pStyle w:val="13"/>
        <w:spacing w:line="60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请根据所投服务的实际技术参数，</w:t>
      </w:r>
      <w:r>
        <w:rPr>
          <w:rFonts w:hint="eastAsia" w:asciiTheme="minorEastAsia" w:hAnsiTheme="minorEastAsia" w:eastAsiaTheme="minorEastAsia" w:cstheme="minorEastAsia"/>
          <w:b/>
          <w:color w:val="auto"/>
          <w:sz w:val="28"/>
          <w:szCs w:val="28"/>
          <w:highlight w:val="none"/>
        </w:rPr>
        <w:t>逐条对应</w:t>
      </w:r>
      <w:r>
        <w:rPr>
          <w:rFonts w:hint="eastAsia" w:asciiTheme="minorEastAsia" w:hAnsiTheme="minorEastAsia" w:eastAsiaTheme="minorEastAsia" w:cstheme="minorEastAsia"/>
          <w:color w:val="auto"/>
          <w:sz w:val="24"/>
          <w:szCs w:val="24"/>
          <w:highlight w:val="none"/>
        </w:rPr>
        <w:t>本项目招标文件第二章“服务需求一览表”中的</w:t>
      </w:r>
      <w:r>
        <w:rPr>
          <w:rFonts w:hint="eastAsia" w:asciiTheme="minorEastAsia" w:hAnsiTheme="minorEastAsia" w:eastAsiaTheme="minorEastAsia" w:cstheme="minorEastAsia"/>
          <w:b/>
          <w:bCs/>
          <w:color w:val="auto"/>
          <w:sz w:val="24"/>
          <w:szCs w:val="24"/>
          <w:highlight w:val="none"/>
        </w:rPr>
        <w:t>“服务内容及要求”</w:t>
      </w:r>
      <w:r>
        <w:rPr>
          <w:rFonts w:hint="eastAsia" w:asciiTheme="minorEastAsia" w:hAnsiTheme="minorEastAsia" w:eastAsiaTheme="minorEastAsia" w:cstheme="minorEastAsia"/>
          <w:color w:val="auto"/>
          <w:sz w:val="24"/>
          <w:szCs w:val="24"/>
          <w:highlight w:val="none"/>
        </w:rPr>
        <w:t>详细填写相应的具体内容。“偏离说明”一栏应当选择“正偏离”、“负偏离”或“无偏离”进行填写。</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1260"/>
        <w:gridCol w:w="2310"/>
        <w:gridCol w:w="1516"/>
        <w:gridCol w:w="3297"/>
        <w:gridCol w:w="11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634"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项号</w:t>
            </w:r>
          </w:p>
        </w:tc>
        <w:tc>
          <w:tcPr>
            <w:tcW w:w="3570"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招标文件需求</w:t>
            </w:r>
          </w:p>
        </w:tc>
        <w:tc>
          <w:tcPr>
            <w:tcW w:w="4813" w:type="dxa"/>
            <w:gridSpan w:val="2"/>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投标文件承诺</w:t>
            </w:r>
          </w:p>
        </w:tc>
        <w:tc>
          <w:tcPr>
            <w:tcW w:w="1168" w:type="dxa"/>
            <w:vMerge w:val="restart"/>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jc w:val="center"/>
        </w:trPr>
        <w:tc>
          <w:tcPr>
            <w:tcW w:w="10185"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c>
          <w:tcPr>
            <w:tcW w:w="126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2310"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服务参数</w:t>
            </w:r>
          </w:p>
        </w:tc>
        <w:tc>
          <w:tcPr>
            <w:tcW w:w="151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服务名称</w:t>
            </w:r>
          </w:p>
        </w:tc>
        <w:tc>
          <w:tcPr>
            <w:tcW w:w="3297"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所提供服务的内容</w:t>
            </w:r>
          </w:p>
        </w:tc>
        <w:tc>
          <w:tcPr>
            <w:tcW w:w="1168" w:type="dxa"/>
            <w:vMerge w:val="continue"/>
            <w:tcBorders>
              <w:top w:val="single" w:color="auto" w:sz="4" w:space="0"/>
              <w:left w:val="single" w:color="auto" w:sz="4" w:space="0"/>
              <w:bottom w:val="single" w:color="auto" w:sz="4" w:space="0"/>
              <w:right w:val="single" w:color="auto" w:sz="4" w:space="0"/>
            </w:tcBorders>
            <w:noWrap/>
            <w:vAlign w:val="center"/>
          </w:tcPr>
          <w:p>
            <w:pPr>
              <w:widowControl/>
              <w:jc w:val="left"/>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231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51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329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2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3  ……</w:t>
            </w:r>
          </w:p>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16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正偏离（负偏离或无偏离）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3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p>
        </w:tc>
        <w:tc>
          <w:tcPr>
            <w:tcW w:w="231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p>
        </w:tc>
        <w:tc>
          <w:tcPr>
            <w:tcW w:w="151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p>
        </w:tc>
        <w:tc>
          <w:tcPr>
            <w:tcW w:w="329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p>
        </w:tc>
        <w:tc>
          <w:tcPr>
            <w:tcW w:w="1168"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10185" w:type="dxa"/>
            <w:gridSpan w:val="6"/>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u w:val="single"/>
              </w:rPr>
              <w:t>　　</w:t>
            </w:r>
            <w:r>
              <w:rPr>
                <w:rFonts w:hint="eastAsia" w:asciiTheme="minorEastAsia" w:hAnsiTheme="minorEastAsia" w:eastAsiaTheme="minorEastAsia" w:cstheme="minorEastAsia"/>
                <w:color w:val="auto"/>
                <w:szCs w:val="21"/>
                <w:highlight w:val="none"/>
              </w:rPr>
              <w:t>分标（此处有分标时填写具体分标号，无分标时填写“无”）</w:t>
            </w:r>
          </w:p>
        </w:tc>
      </w:tr>
    </w:tbl>
    <w:p>
      <w:pPr>
        <w:pStyle w:val="13"/>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注：</w:t>
      </w:r>
    </w:p>
    <w:p>
      <w:pPr>
        <w:pStyle w:val="13"/>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1.表格内容均需按要求填写并盖章，不得留空，</w:t>
      </w:r>
      <w:r>
        <w:rPr>
          <w:rFonts w:hint="eastAsia" w:asciiTheme="minorEastAsia" w:hAnsiTheme="minorEastAsia" w:eastAsiaTheme="minorEastAsia" w:cstheme="minorEastAsia"/>
          <w:bCs/>
          <w:color w:val="auto"/>
          <w:szCs w:val="21"/>
          <w:highlight w:val="none"/>
        </w:rPr>
        <w:t>否则按投标无效处理</w:t>
      </w:r>
      <w:r>
        <w:rPr>
          <w:rFonts w:hint="eastAsia" w:asciiTheme="minorEastAsia" w:hAnsiTheme="minorEastAsia" w:eastAsiaTheme="minorEastAsia" w:cstheme="minorEastAsia"/>
          <w:color w:val="auto"/>
          <w:szCs w:val="21"/>
          <w:highlight w:val="none"/>
        </w:rPr>
        <w:t>。</w:t>
      </w:r>
    </w:p>
    <w:p>
      <w:pPr>
        <w:pStyle w:val="13"/>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bCs/>
          <w:color w:val="auto"/>
          <w:szCs w:val="21"/>
          <w:highlight w:val="none"/>
        </w:rPr>
        <w:t>2.当投标文件的服务内容低于招标文件要求时，投标人应当如实写明“负偏离”，否则视为虚假应标。</w:t>
      </w:r>
    </w:p>
    <w:p>
      <w:pPr>
        <w:pStyle w:val="13"/>
        <w:spacing w:line="360" w:lineRule="auto"/>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3.</w:t>
      </w:r>
      <w:r>
        <w:rPr>
          <w:rFonts w:hint="eastAsia" w:asciiTheme="minorEastAsia" w:hAnsiTheme="minorEastAsia" w:eastAsiaTheme="minorEastAsia" w:cstheme="minorEastAsia"/>
          <w:color w:val="auto"/>
          <w:szCs w:val="21"/>
          <w:highlight w:val="none"/>
        </w:rPr>
        <w:t>采购需求中带“▲”的条款，也要分别在本表“服务参数”、“所提供服务的内容”中标记。</w:t>
      </w:r>
    </w:p>
    <w:p>
      <w:pPr>
        <w:snapToGrid w:val="0"/>
        <w:spacing w:line="360" w:lineRule="auto"/>
        <w:ind w:firstLine="5640" w:firstLineChars="2350"/>
        <w:rPr>
          <w:rFonts w:asciiTheme="minorEastAsia" w:hAnsiTheme="minorEastAsia" w:eastAsiaTheme="minorEastAsia" w:cstheme="minorEastAsia"/>
          <w:color w:val="auto"/>
          <w:kern w:val="0"/>
          <w:sz w:val="24"/>
          <w:highlight w:val="none"/>
          <w:lang w:val="zh-CN"/>
        </w:rPr>
      </w:pPr>
    </w:p>
    <w:p>
      <w:pPr>
        <w:snapToGrid w:val="0"/>
        <w:spacing w:line="360" w:lineRule="auto"/>
        <w:ind w:firstLine="5640"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jc w:val="left"/>
        <w:rPr>
          <w:rFonts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p>
    <w:p>
      <w:pPr>
        <w:snapToGrid w:val="0"/>
        <w:spacing w:beforeLines="50" w:after="5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二、</w:t>
      </w:r>
      <w:r>
        <w:rPr>
          <w:rFonts w:hint="eastAsia" w:asciiTheme="minorEastAsia" w:hAnsiTheme="minorEastAsia" w:eastAsiaTheme="minorEastAsia" w:cstheme="minorEastAsia"/>
          <w:b/>
          <w:bCs/>
          <w:color w:val="auto"/>
          <w:sz w:val="30"/>
          <w:szCs w:val="30"/>
          <w:highlight w:val="none"/>
          <w:lang w:val="en-US" w:eastAsia="zh-CN"/>
        </w:rPr>
        <w:t>实施</w:t>
      </w:r>
      <w:r>
        <w:rPr>
          <w:rFonts w:hint="eastAsia" w:asciiTheme="minorEastAsia" w:hAnsiTheme="minorEastAsia" w:eastAsiaTheme="minorEastAsia" w:cstheme="minorEastAsia"/>
          <w:b/>
          <w:bCs/>
          <w:color w:val="auto"/>
          <w:sz w:val="30"/>
          <w:szCs w:val="30"/>
          <w:highlight w:val="none"/>
        </w:rPr>
        <w:t>方案</w:t>
      </w:r>
    </w:p>
    <w:p>
      <w:pPr>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（由投标人根据采购需求及招标文件要求编制）</w:t>
      </w:r>
    </w:p>
    <w:p>
      <w:pPr>
        <w:rPr>
          <w:rFonts w:asciiTheme="minorEastAsia" w:hAnsiTheme="minorEastAsia" w:eastAsiaTheme="minorEastAsia" w:cstheme="minorEastAsia"/>
          <w:b/>
          <w:bCs/>
          <w:color w:val="auto"/>
          <w:kern w:val="0"/>
          <w:sz w:val="24"/>
          <w:highlight w:val="none"/>
          <w:lang w:val="zh-CN"/>
        </w:rPr>
      </w:pPr>
    </w:p>
    <w:p>
      <w:pPr>
        <w:rPr>
          <w:rFonts w:asciiTheme="minorEastAsia" w:hAnsiTheme="minorEastAsia" w:eastAsiaTheme="minorEastAsia" w:cstheme="minorEastAsia"/>
          <w:b/>
          <w:bCs/>
          <w:color w:val="auto"/>
          <w:kern w:val="0"/>
          <w:sz w:val="24"/>
          <w:highlight w:val="none"/>
          <w:lang w:val="zh-CN"/>
        </w:rPr>
      </w:pPr>
    </w:p>
    <w:p>
      <w:pPr>
        <w:rPr>
          <w:rFonts w:asciiTheme="minorEastAsia" w:hAnsiTheme="minorEastAsia" w:eastAsiaTheme="minorEastAsia" w:cstheme="minorEastAsia"/>
          <w:b/>
          <w:bCs/>
          <w:color w:val="auto"/>
          <w:kern w:val="0"/>
          <w:sz w:val="24"/>
          <w:highlight w:val="none"/>
          <w:lang w:val="zh-CN"/>
        </w:rPr>
      </w:pPr>
    </w:p>
    <w:p>
      <w:pPr>
        <w:rPr>
          <w:rFonts w:asciiTheme="minorEastAsia" w:hAnsiTheme="minorEastAsia" w:eastAsiaTheme="minorEastAsia" w:cstheme="minorEastAsia"/>
          <w:b/>
          <w:bCs/>
          <w:color w:val="auto"/>
          <w:kern w:val="0"/>
          <w:sz w:val="24"/>
          <w:highlight w:val="none"/>
          <w:lang w:val="zh-CN"/>
        </w:rPr>
      </w:pPr>
    </w:p>
    <w:p>
      <w:pPr>
        <w:rPr>
          <w:rFonts w:asciiTheme="minorEastAsia" w:hAnsiTheme="minorEastAsia" w:eastAsiaTheme="minorEastAsia" w:cstheme="minorEastAsia"/>
          <w:b/>
          <w:bCs/>
          <w:color w:val="auto"/>
          <w:kern w:val="0"/>
          <w:sz w:val="24"/>
          <w:highlight w:val="none"/>
          <w:lang w:val="zh-CN"/>
        </w:rPr>
      </w:pPr>
    </w:p>
    <w:p>
      <w:pPr>
        <w:autoSpaceDE w:val="0"/>
        <w:autoSpaceDN w:val="0"/>
        <w:spacing w:line="360" w:lineRule="auto"/>
        <w:ind w:firstLine="4440" w:firstLineChars="18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投标人名称（电子签章）：</w:t>
      </w:r>
    </w:p>
    <w:p>
      <w:pPr>
        <w:autoSpaceDE w:val="0"/>
        <w:autoSpaceDN w:val="0"/>
        <w:spacing w:line="360" w:lineRule="auto"/>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napToGrid w:val="0"/>
        <w:spacing w:beforeLines="50" w:after="50"/>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三、服务</w:t>
      </w:r>
      <w:r>
        <w:rPr>
          <w:rFonts w:hint="eastAsia" w:asciiTheme="minorEastAsia" w:hAnsiTheme="minorEastAsia" w:eastAsiaTheme="minorEastAsia" w:cstheme="minorEastAsia"/>
          <w:b/>
          <w:bCs/>
          <w:color w:val="auto"/>
          <w:sz w:val="30"/>
          <w:szCs w:val="30"/>
          <w:highlight w:val="none"/>
          <w:lang w:val="en-US" w:eastAsia="zh-CN"/>
        </w:rPr>
        <w:t>保障</w:t>
      </w:r>
      <w:r>
        <w:rPr>
          <w:rFonts w:hint="eastAsia" w:asciiTheme="minorEastAsia" w:hAnsiTheme="minorEastAsia" w:eastAsiaTheme="minorEastAsia" w:cstheme="minorEastAsia"/>
          <w:b/>
          <w:bCs/>
          <w:color w:val="auto"/>
          <w:sz w:val="30"/>
          <w:szCs w:val="30"/>
          <w:highlight w:val="none"/>
        </w:rPr>
        <w:t>方案</w:t>
      </w:r>
    </w:p>
    <w:p>
      <w:pPr>
        <w:autoSpaceDE w:val="0"/>
        <w:autoSpaceDN w:val="0"/>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（由投标人根据采购需求及招标文件要求编制）</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p>
    <w:p>
      <w:pPr>
        <w:snapToGrid w:val="0"/>
        <w:spacing w:line="360" w:lineRule="auto"/>
        <w:ind w:firstLine="5160" w:firstLineChars="21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spacing w:line="360" w:lineRule="auto"/>
        <w:jc w:val="left"/>
        <w:rPr>
          <w:rFonts w:asciiTheme="minorEastAsia" w:hAnsiTheme="minorEastAsia" w:eastAsiaTheme="minorEastAsia" w:cstheme="minorEastAsia"/>
          <w:color w:val="auto"/>
          <w:sz w:val="24"/>
          <w:highlight w:val="none"/>
        </w:rPr>
        <w:sectPr>
          <w:pgSz w:w="11906" w:h="16838"/>
          <w:pgMar w:top="1134" w:right="1134" w:bottom="1134" w:left="1134" w:header="720" w:footer="720" w:gutter="0"/>
          <w:cols w:space="720" w:num="1"/>
          <w:docGrid w:type="lines" w:linePitch="331" w:charSpace="0"/>
        </w:sectPr>
      </w:pPr>
    </w:p>
    <w:p>
      <w:pPr>
        <w:snapToGrid w:val="0"/>
        <w:spacing w:beforeLines="50" w:after="50"/>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四、项目实施人员一览表</w:t>
      </w:r>
    </w:p>
    <w:p>
      <w:pPr>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color w:val="auto"/>
          <w:sz w:val="24"/>
          <w:highlight w:val="none"/>
        </w:rPr>
        <w:t>（由投标人根据采购需求及招标文件要求编制）</w:t>
      </w:r>
    </w:p>
    <w:p>
      <w:pPr>
        <w:snapToGrid w:val="0"/>
        <w:spacing w:line="360" w:lineRule="auto"/>
        <w:ind w:firstLine="4320" w:firstLineChars="1800"/>
        <w:rPr>
          <w:rFonts w:asciiTheme="minorEastAsia" w:hAnsiTheme="minorEastAsia" w:eastAsiaTheme="minorEastAsia" w:cstheme="minorEastAsia"/>
          <w:color w:val="auto"/>
          <w:kern w:val="0"/>
          <w:sz w:val="24"/>
          <w:highlight w:val="none"/>
          <w:lang w:val="zh-CN"/>
        </w:rPr>
      </w:pPr>
    </w:p>
    <w:p>
      <w:pPr>
        <w:snapToGrid w:val="0"/>
        <w:spacing w:line="360" w:lineRule="auto"/>
        <w:ind w:firstLine="4320" w:firstLineChars="1800"/>
        <w:rPr>
          <w:rFonts w:asciiTheme="minorEastAsia" w:hAnsiTheme="minorEastAsia" w:eastAsiaTheme="minorEastAsia" w:cstheme="minorEastAsia"/>
          <w:color w:val="auto"/>
          <w:kern w:val="0"/>
          <w:sz w:val="24"/>
          <w:highlight w:val="none"/>
          <w:lang w:val="zh-CN"/>
        </w:rPr>
      </w:pPr>
    </w:p>
    <w:p>
      <w:pPr>
        <w:snapToGrid w:val="0"/>
        <w:spacing w:line="360" w:lineRule="auto"/>
        <w:ind w:firstLine="4320" w:firstLineChars="1800"/>
        <w:rPr>
          <w:rFonts w:asciiTheme="minorEastAsia" w:hAnsiTheme="minorEastAsia" w:eastAsiaTheme="minorEastAsia" w:cstheme="minorEastAsia"/>
          <w:color w:val="auto"/>
          <w:kern w:val="0"/>
          <w:sz w:val="24"/>
          <w:highlight w:val="none"/>
          <w:lang w:val="zh-CN"/>
        </w:rPr>
      </w:pPr>
    </w:p>
    <w:p>
      <w:pPr>
        <w:snapToGrid w:val="0"/>
        <w:spacing w:line="360" w:lineRule="auto"/>
        <w:ind w:firstLine="4320" w:firstLineChars="1800"/>
        <w:rPr>
          <w:rFonts w:asciiTheme="minorEastAsia" w:hAnsiTheme="minorEastAsia" w:eastAsiaTheme="minorEastAsia" w:cstheme="minorEastAsia"/>
          <w:color w:val="auto"/>
          <w:kern w:val="0"/>
          <w:sz w:val="24"/>
          <w:highlight w:val="none"/>
          <w:lang w:val="zh-CN"/>
        </w:rPr>
      </w:pPr>
    </w:p>
    <w:p>
      <w:pPr>
        <w:snapToGrid w:val="0"/>
        <w:spacing w:line="360" w:lineRule="auto"/>
        <w:ind w:firstLine="4320" w:firstLineChars="18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autoSpaceDE w:val="0"/>
        <w:autoSpaceDN w:val="0"/>
        <w:spacing w:line="360" w:lineRule="auto"/>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pPr>
        <w:snapToGrid w:val="0"/>
        <w:spacing w:before="50" w:after="50"/>
        <w:rPr>
          <w:rFonts w:asciiTheme="minorEastAsia" w:hAnsiTheme="minorEastAsia" w:eastAsiaTheme="minorEastAsia" w:cstheme="minorEastAsia"/>
          <w:color w:val="auto"/>
          <w:sz w:val="24"/>
          <w:highlight w:val="none"/>
        </w:rPr>
      </w:pPr>
    </w:p>
    <w:p>
      <w:pPr>
        <w:snapToGrid w:val="0"/>
        <w:spacing w:beforeLines="50" w:after="50"/>
        <w:jc w:val="lef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br w:type="page"/>
      </w:r>
      <w:r>
        <w:rPr>
          <w:rFonts w:hint="eastAsia" w:asciiTheme="minorEastAsia" w:hAnsiTheme="minorEastAsia" w:eastAsiaTheme="minorEastAsia" w:cstheme="minorEastAsia"/>
          <w:color w:val="auto"/>
          <w:sz w:val="24"/>
          <w:highlight w:val="none"/>
        </w:rPr>
        <w:t xml:space="preserve"> </w:t>
      </w:r>
    </w:p>
    <w:p>
      <w:pPr>
        <w:snapToGrid w:val="0"/>
        <w:spacing w:beforeLines="50" w:after="50"/>
        <w:ind w:left="142"/>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五、投标人对项目的合理化建议和改进措施</w:t>
      </w:r>
    </w:p>
    <w:p>
      <w:pPr>
        <w:spacing w:line="360" w:lineRule="auto"/>
        <w:ind w:firstLine="4048" w:firstLineChars="1687"/>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（格式自拟）</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r>
        <w:rPr>
          <w:rFonts w:hint="eastAsia" w:asciiTheme="minorEastAsia" w:hAnsiTheme="minorEastAsia" w:eastAsiaTheme="minorEastAsia" w:cstheme="minorEastAsia"/>
          <w:color w:val="auto"/>
          <w:szCs w:val="21"/>
          <w:highlight w:val="none"/>
        </w:rPr>
        <w:t xml:space="preserve"> </w:t>
      </w: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szCs w:val="21"/>
          <w:highlight w:val="none"/>
        </w:rPr>
      </w:pPr>
    </w:p>
    <w:p>
      <w:pPr>
        <w:snapToGrid w:val="0"/>
        <w:spacing w:line="360" w:lineRule="auto"/>
        <w:ind w:firstLine="4935" w:firstLineChars="235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szCs w:val="21"/>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autoSpaceDE w:val="0"/>
        <w:autoSpaceDN w:val="0"/>
        <w:spacing w:line="360" w:lineRule="auto"/>
        <w:ind w:firstLine="120"/>
        <w:rPr>
          <w:rFonts w:asciiTheme="minorEastAsia" w:hAnsiTheme="minorEastAsia" w:eastAsiaTheme="minorEastAsia" w:cstheme="minorEastAsia"/>
          <w:color w:val="auto"/>
          <w:sz w:val="24"/>
          <w:highlight w:val="none"/>
        </w:rPr>
      </w:pPr>
    </w:p>
    <w:p>
      <w:pPr>
        <w:spacing w:line="360" w:lineRule="auto"/>
        <w:jc w:val="cente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六、认为需要的其他技术文件或说明</w:t>
      </w:r>
    </w:p>
    <w:p>
      <w:pPr>
        <w:spacing w:line="360" w:lineRule="auto"/>
        <w:jc w:val="center"/>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（由投标人根据采购需求自行编制）</w:t>
      </w:r>
    </w:p>
    <w:p>
      <w:pPr>
        <w:spacing w:line="360" w:lineRule="auto"/>
        <w:jc w:val="center"/>
        <w:rPr>
          <w:rFonts w:asciiTheme="minorEastAsia" w:hAnsiTheme="minorEastAsia" w:eastAsiaTheme="minorEastAsia" w:cstheme="minorEastAsia"/>
          <w:color w:val="auto"/>
          <w:sz w:val="24"/>
          <w:highlight w:val="none"/>
        </w:rPr>
      </w:pPr>
    </w:p>
    <w:p>
      <w:pPr>
        <w:autoSpaceDE w:val="0"/>
        <w:autoSpaceDN w:val="0"/>
        <w:spacing w:line="360" w:lineRule="auto"/>
        <w:ind w:firstLine="4800" w:firstLineChars="20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kern w:val="0"/>
          <w:sz w:val="24"/>
          <w:highlight w:val="none"/>
        </w:rPr>
        <w:t>投标人名称（电子</w:t>
      </w:r>
      <w:r>
        <w:rPr>
          <w:rFonts w:hint="eastAsia" w:asciiTheme="minorEastAsia" w:hAnsiTheme="minorEastAsia" w:eastAsiaTheme="minorEastAsia" w:cstheme="minorEastAsia"/>
          <w:color w:val="auto"/>
          <w:kern w:val="0"/>
          <w:sz w:val="24"/>
          <w:highlight w:val="none"/>
          <w:lang w:val="zh-CN"/>
        </w:rPr>
        <w:t>签章</w:t>
      </w:r>
      <w:r>
        <w:rPr>
          <w:rFonts w:hint="eastAsia" w:asciiTheme="minorEastAsia" w:hAnsiTheme="minorEastAsia" w:eastAsiaTheme="minorEastAsia" w:cstheme="minorEastAsia"/>
          <w:color w:val="auto"/>
          <w:kern w:val="0"/>
          <w:sz w:val="24"/>
          <w:highlight w:val="none"/>
        </w:rPr>
        <w:t xml:space="preserve">）：                       </w:t>
      </w:r>
    </w:p>
    <w:p>
      <w:pPr>
        <w:autoSpaceDE w:val="0"/>
        <w:autoSpaceDN w:val="0"/>
        <w:spacing w:line="360" w:lineRule="auto"/>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日期：  年  月   日</w:t>
      </w:r>
    </w:p>
    <w:p>
      <w:pPr>
        <w:widowControl/>
        <w:jc w:val="left"/>
        <w:rPr>
          <w:rFonts w:asciiTheme="minorEastAsia" w:hAnsiTheme="minorEastAsia" w:eastAsiaTheme="minorEastAsia" w:cstheme="minorEastAsia"/>
          <w:b/>
          <w:bCs/>
          <w:color w:val="auto"/>
          <w:sz w:val="24"/>
          <w:highlight w:val="none"/>
        </w:rPr>
        <w:sectPr>
          <w:pgSz w:w="11906" w:h="16838"/>
          <w:pgMar w:top="1134" w:right="1134" w:bottom="1134" w:left="1134" w:header="720" w:footer="720" w:gutter="0"/>
          <w:cols w:space="720" w:num="1"/>
          <w:docGrid w:type="lines" w:linePitch="331" w:charSpace="0"/>
        </w:sectPr>
      </w:pPr>
    </w:p>
    <w:p>
      <w:pPr>
        <w:pStyle w:val="13"/>
        <w:jc w:val="center"/>
        <w:outlineLvl w:val="1"/>
        <w:rPr>
          <w:rFonts w:asciiTheme="minorEastAsia" w:hAnsiTheme="minorEastAsia" w:eastAsiaTheme="minorEastAsia" w:cstheme="minorEastAsia"/>
          <w:b/>
          <w:bCs/>
          <w:color w:val="auto"/>
          <w:sz w:val="28"/>
          <w:szCs w:val="28"/>
          <w:highlight w:val="none"/>
        </w:rPr>
      </w:pPr>
      <w:bookmarkStart w:id="251" w:name="_Toc13435"/>
      <w:r>
        <w:rPr>
          <w:rFonts w:hint="eastAsia" w:asciiTheme="minorEastAsia" w:hAnsiTheme="minorEastAsia" w:eastAsiaTheme="minorEastAsia" w:cstheme="minorEastAsia"/>
          <w:b/>
          <w:bCs/>
          <w:color w:val="auto"/>
          <w:sz w:val="28"/>
          <w:szCs w:val="28"/>
          <w:highlight w:val="none"/>
        </w:rPr>
        <w:t>第五节 报价文件格式</w:t>
      </w:r>
      <w:bookmarkEnd w:id="251"/>
    </w:p>
    <w:p>
      <w:pPr>
        <w:snapToGrid w:val="0"/>
        <w:spacing w:beforeLines="50" w:after="50" w:line="400" w:lineRule="exact"/>
        <w:rPr>
          <w:rFonts w:asciiTheme="minorEastAsia" w:hAnsiTheme="minorEastAsia" w:eastAsiaTheme="minorEastAsia" w:cstheme="minorEastAsia"/>
          <w:bCs/>
          <w:color w:val="auto"/>
          <w:sz w:val="32"/>
          <w:szCs w:val="20"/>
          <w:highlight w:val="none"/>
        </w:rPr>
      </w:pPr>
      <w:r>
        <w:rPr>
          <w:rFonts w:hint="eastAsia" w:asciiTheme="minorEastAsia" w:hAnsiTheme="minorEastAsia" w:eastAsiaTheme="minorEastAsia" w:cstheme="minorEastAsia"/>
          <w:color w:val="auto"/>
          <w:sz w:val="24"/>
          <w:highlight w:val="none"/>
        </w:rPr>
        <w:t xml:space="preserve">                                                            </w:t>
      </w:r>
      <w:r>
        <w:rPr>
          <w:rFonts w:hint="eastAsia" w:asciiTheme="minorEastAsia" w:hAnsiTheme="minorEastAsia" w:eastAsiaTheme="minorEastAsia" w:cstheme="minorEastAsia"/>
          <w:bCs/>
          <w:color w:val="auto"/>
          <w:highlight w:val="none"/>
        </w:rPr>
        <w:t>电子投标文件</w:t>
      </w:r>
    </w:p>
    <w:p>
      <w:pPr>
        <w:snapToGrid w:val="0"/>
        <w:spacing w:beforeLines="50" w:after="50" w:line="400" w:lineRule="exact"/>
        <w:jc w:val="center"/>
        <w:rPr>
          <w:rFonts w:asciiTheme="minorEastAsia" w:hAnsiTheme="minorEastAsia" w:eastAsiaTheme="minorEastAsia" w:cstheme="minorEastAsia"/>
          <w:bCs/>
          <w:color w:val="auto"/>
          <w:sz w:val="24"/>
          <w:szCs w:val="20"/>
          <w:highlight w:val="none"/>
        </w:rPr>
      </w:pPr>
    </w:p>
    <w:p>
      <w:pPr>
        <w:snapToGrid w:val="0"/>
        <w:spacing w:beforeLines="50" w:after="50" w:line="400" w:lineRule="exact"/>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报价文件（封面）</w:t>
      </w:r>
    </w:p>
    <w:p>
      <w:pPr>
        <w:snapToGrid w:val="0"/>
        <w:spacing w:beforeLines="50" w:after="50" w:line="400" w:lineRule="exact"/>
        <w:rPr>
          <w:rFonts w:asciiTheme="minorEastAsia" w:hAnsiTheme="minorEastAsia" w:eastAsiaTheme="minorEastAsia" w:cstheme="minorEastAsia"/>
          <w:bCs/>
          <w:color w:val="auto"/>
          <w:sz w:val="24"/>
          <w:szCs w:val="20"/>
          <w:highlight w:val="none"/>
        </w:rPr>
      </w:pPr>
    </w:p>
    <w:p>
      <w:pPr>
        <w:snapToGrid w:val="0"/>
        <w:spacing w:beforeLines="50" w:after="50" w:line="400" w:lineRule="exact"/>
        <w:rPr>
          <w:rFonts w:asciiTheme="minorEastAsia" w:hAnsiTheme="minorEastAsia" w:eastAsiaTheme="minorEastAsia" w:cstheme="minorEastAsia"/>
          <w:bCs/>
          <w:color w:val="auto"/>
          <w:sz w:val="24"/>
          <w:szCs w:val="20"/>
          <w:highlight w:val="none"/>
        </w:rPr>
      </w:pPr>
    </w:p>
    <w:p>
      <w:pPr>
        <w:snapToGrid w:val="0"/>
        <w:spacing w:beforeLines="50" w:after="50" w:line="400" w:lineRule="exact"/>
        <w:rPr>
          <w:rFonts w:asciiTheme="minorEastAsia" w:hAnsiTheme="minorEastAsia" w:eastAsiaTheme="minorEastAsia" w:cstheme="minorEastAsia"/>
          <w:bCs/>
          <w:color w:val="auto"/>
          <w:sz w:val="24"/>
          <w:szCs w:val="20"/>
          <w:highlight w:val="none"/>
        </w:rPr>
      </w:pPr>
    </w:p>
    <w:p>
      <w:pPr>
        <w:snapToGrid w:val="0"/>
        <w:spacing w:beforeLines="50" w:after="50" w:line="400" w:lineRule="exact"/>
        <w:rPr>
          <w:rFonts w:asciiTheme="minorEastAsia" w:hAnsiTheme="minorEastAsia" w:eastAsiaTheme="minorEastAsia" w:cstheme="minorEastAsia"/>
          <w:bCs/>
          <w:color w:val="auto"/>
          <w:sz w:val="24"/>
          <w:szCs w:val="20"/>
          <w:highlight w:val="none"/>
        </w:rPr>
      </w:pPr>
    </w:p>
    <w:p>
      <w:pPr>
        <w:snapToGrid w:val="0"/>
        <w:spacing w:beforeLines="50" w:after="50" w:line="400" w:lineRule="exact"/>
        <w:ind w:firstLine="360" w:firstLineChars="150"/>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 xml:space="preserve">项目名称： </w:t>
      </w:r>
      <w:r>
        <w:rPr>
          <w:rFonts w:hint="eastAsia" w:asciiTheme="minorEastAsia" w:hAnsiTheme="minorEastAsia" w:eastAsiaTheme="minorEastAsia" w:cstheme="minorEastAsia"/>
          <w:bCs/>
          <w:color w:val="auto"/>
          <w:sz w:val="24"/>
          <w:highlight w:val="none"/>
          <w:lang w:eastAsia="zh-CN"/>
        </w:rPr>
        <w:t>2025年西乡塘区糖料蔗病虫害绿色防控项目</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p>
    <w:p>
      <w:pPr>
        <w:snapToGrid w:val="0"/>
        <w:spacing w:beforeLines="50" w:after="50" w:line="400" w:lineRule="exact"/>
        <w:ind w:firstLine="360" w:firstLineChars="150"/>
        <w:rPr>
          <w:rFonts w:hint="eastAsia" w:asciiTheme="minorEastAsia" w:hAnsiTheme="minorEastAsia" w:eastAsiaTheme="minorEastAsia" w:cstheme="minorEastAsia"/>
          <w:bCs/>
          <w:color w:val="auto"/>
          <w:sz w:val="24"/>
          <w:highlight w:val="none"/>
          <w:lang w:eastAsia="zh-CN"/>
        </w:rPr>
      </w:pPr>
      <w:r>
        <w:rPr>
          <w:rFonts w:hint="eastAsia" w:asciiTheme="minorEastAsia" w:hAnsiTheme="minorEastAsia" w:eastAsiaTheme="minorEastAsia" w:cstheme="minorEastAsia"/>
          <w:bCs/>
          <w:color w:val="auto"/>
          <w:sz w:val="24"/>
          <w:highlight w:val="none"/>
        </w:rPr>
        <w:t xml:space="preserve">项目编号： </w:t>
      </w:r>
      <w:r>
        <w:rPr>
          <w:rFonts w:hint="eastAsia" w:asciiTheme="minorEastAsia" w:hAnsiTheme="minorEastAsia" w:eastAsiaTheme="minorEastAsia" w:cstheme="minorEastAsia"/>
          <w:bCs/>
          <w:color w:val="auto"/>
          <w:sz w:val="24"/>
          <w:highlight w:val="none"/>
          <w:lang w:eastAsia="zh-CN"/>
        </w:rPr>
        <w:t>NNZC2026-G3-070001-GXYG</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所投分标：</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投标人名称：</w:t>
      </w: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p>
    <w:p>
      <w:pPr>
        <w:snapToGrid w:val="0"/>
        <w:spacing w:beforeLines="50" w:after="50" w:line="400" w:lineRule="exact"/>
        <w:ind w:firstLine="360" w:firstLineChars="150"/>
        <w:rPr>
          <w:rFonts w:asciiTheme="minorEastAsia" w:hAnsiTheme="minorEastAsia" w:eastAsiaTheme="minorEastAsia" w:cstheme="minorEastAsia"/>
          <w:bCs/>
          <w:color w:val="auto"/>
          <w:sz w:val="24"/>
          <w:highlight w:val="none"/>
        </w:rPr>
      </w:pPr>
      <w:r>
        <w:rPr>
          <w:rFonts w:hint="eastAsia" w:asciiTheme="minorEastAsia" w:hAnsiTheme="minorEastAsia" w:eastAsiaTheme="minorEastAsia" w:cstheme="minorEastAsia"/>
          <w:bCs/>
          <w:color w:val="auto"/>
          <w:sz w:val="24"/>
          <w:highlight w:val="none"/>
        </w:rPr>
        <w:t>投标人地址：</w:t>
      </w:r>
    </w:p>
    <w:p>
      <w:pPr>
        <w:pStyle w:val="7"/>
        <w:snapToGrid w:val="0"/>
        <w:spacing w:before="50" w:after="50" w:line="400" w:lineRule="exact"/>
        <w:ind w:firstLine="960" w:firstLineChars="400"/>
        <w:rPr>
          <w:rFonts w:asciiTheme="minorEastAsia" w:hAnsiTheme="minorEastAsia" w:eastAsiaTheme="minorEastAsia" w:cstheme="minorEastAsia"/>
          <w:bCs/>
          <w:color w:val="auto"/>
          <w:sz w:val="24"/>
          <w:szCs w:val="24"/>
          <w:highlight w:val="none"/>
        </w:rPr>
      </w:pPr>
    </w:p>
    <w:p>
      <w:pPr>
        <w:snapToGrid w:val="0"/>
        <w:spacing w:beforeLines="50" w:after="50" w:line="400" w:lineRule="exact"/>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                                                       年  月  日</w:t>
      </w:r>
    </w:p>
    <w:p>
      <w:pPr>
        <w:widowControl/>
        <w:jc w:val="left"/>
        <w:rPr>
          <w:rFonts w:asciiTheme="minorEastAsia" w:hAnsiTheme="minorEastAsia" w:eastAsiaTheme="minorEastAsia" w:cstheme="minorEastAsia"/>
          <w:color w:val="auto"/>
          <w:sz w:val="24"/>
          <w:highlight w:val="none"/>
        </w:rPr>
        <w:sectPr>
          <w:pgSz w:w="11906" w:h="16838"/>
          <w:pgMar w:top="1134" w:right="1134" w:bottom="1134" w:left="1134" w:header="720" w:footer="720" w:gutter="0"/>
          <w:cols w:space="720" w:num="1"/>
          <w:docGrid w:type="lines" w:linePitch="331" w:charSpace="0"/>
        </w:sectPr>
      </w:pPr>
    </w:p>
    <w:p>
      <w:pPr>
        <w:rPr>
          <w:rFonts w:asciiTheme="minorEastAsia" w:hAnsiTheme="minorEastAsia" w:eastAsiaTheme="minorEastAsia" w:cstheme="minorEastAsia"/>
          <w:color w:val="auto"/>
          <w:highlight w:val="none"/>
        </w:rPr>
      </w:pPr>
    </w:p>
    <w:p>
      <w:pPr>
        <w:snapToGrid w:val="0"/>
        <w:spacing w:beforeLines="50" w:after="50" w:line="400" w:lineRule="exact"/>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报价文件目录</w:t>
      </w: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一、投标函………………………………………………………（页码）</w:t>
      </w:r>
    </w:p>
    <w:p>
      <w:pPr>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rPr>
        <w:t>二、开标一览表…………………………………………………（页码）</w:t>
      </w:r>
    </w:p>
    <w:p>
      <w:pPr>
        <w:widowControl/>
        <w:jc w:val="left"/>
        <w:rPr>
          <w:rFonts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p>
    <w:p>
      <w:pPr>
        <w:pStyle w:val="13"/>
        <w:spacing w:line="500" w:lineRule="exact"/>
        <w:jc w:val="center"/>
        <w:rPr>
          <w:rFonts w:asciiTheme="minorEastAsia" w:hAnsiTheme="minorEastAsia" w:eastAsiaTheme="minorEastAsia" w:cstheme="minorEastAsia"/>
          <w:b/>
          <w:bCs/>
          <w:color w:val="auto"/>
          <w:sz w:val="30"/>
          <w:szCs w:val="30"/>
          <w:highlight w:val="none"/>
        </w:rPr>
      </w:pPr>
      <w:r>
        <w:rPr>
          <w:rFonts w:hint="eastAsia" w:asciiTheme="minorEastAsia" w:hAnsiTheme="minorEastAsia" w:eastAsiaTheme="minorEastAsia" w:cstheme="minorEastAsia"/>
          <w:b/>
          <w:bCs/>
          <w:color w:val="auto"/>
          <w:sz w:val="30"/>
          <w:szCs w:val="30"/>
          <w:highlight w:val="none"/>
        </w:rPr>
        <w:t>一、投标函</w:t>
      </w:r>
    </w:p>
    <w:p>
      <w:pPr>
        <w:pStyle w:val="13"/>
        <w:spacing w:line="440" w:lineRule="exact"/>
        <w:ind w:firstLine="420" w:firstLineChars="200"/>
        <w:rPr>
          <w:rFonts w:hint="eastAsia" w:asciiTheme="minorEastAsia" w:hAnsiTheme="minorEastAsia" w:eastAsiaTheme="minorEastAsia" w:cstheme="minorEastAsia"/>
          <w:color w:val="auto"/>
          <w:highlight w:val="none"/>
          <w:lang w:eastAsia="zh-CN"/>
        </w:rPr>
      </w:pPr>
      <w:r>
        <w:rPr>
          <w:rFonts w:hint="eastAsia" w:asciiTheme="minorEastAsia" w:hAnsiTheme="minorEastAsia" w:eastAsiaTheme="minorEastAsia" w:cstheme="minorEastAsia"/>
          <w:color w:val="auto"/>
          <w:highlight w:val="none"/>
        </w:rPr>
        <w:t>致：</w:t>
      </w:r>
      <w:r>
        <w:rPr>
          <w:rFonts w:hint="eastAsia" w:asciiTheme="minorEastAsia" w:hAnsiTheme="minorEastAsia" w:eastAsiaTheme="minorEastAsia" w:cstheme="minorEastAsia"/>
          <w:color w:val="auto"/>
          <w:highlight w:val="none"/>
          <w:u w:val="single"/>
          <w:lang w:eastAsia="zh-CN"/>
        </w:rPr>
        <w:t>广西阳光采购服务公司</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我方已仔细阅读了贵方组织的</w:t>
      </w:r>
      <w:r>
        <w:rPr>
          <w:rFonts w:hint="eastAsia" w:asciiTheme="minorEastAsia" w:hAnsiTheme="minorEastAsia" w:eastAsiaTheme="minorEastAsia" w:cstheme="minorEastAsia"/>
          <w:color w:val="auto"/>
          <w:highlight w:val="none"/>
          <w:u w:val="single"/>
          <w:lang w:eastAsia="zh-CN"/>
        </w:rPr>
        <w:t>2025年西乡塘区糖料蔗病虫害绿色防控项目</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项目（项目编号：</w:t>
      </w:r>
      <w:r>
        <w:rPr>
          <w:rFonts w:hint="eastAsia" w:asciiTheme="minorEastAsia" w:hAnsiTheme="minorEastAsia" w:eastAsiaTheme="minorEastAsia" w:cstheme="minorEastAsia"/>
          <w:color w:val="auto"/>
          <w:highlight w:val="none"/>
          <w:lang w:eastAsia="zh-CN"/>
        </w:rPr>
        <w:t>NNZC2026-G3-070001-GXYG</w:t>
      </w:r>
      <w:r>
        <w:rPr>
          <w:rFonts w:hint="eastAsia" w:asciiTheme="minorEastAsia" w:hAnsiTheme="minorEastAsia" w:eastAsiaTheme="minorEastAsia" w:cstheme="minorEastAsia"/>
          <w:color w:val="auto"/>
          <w:highlight w:val="none"/>
        </w:rPr>
        <w:t>）的招标文件的全部内容，授权</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(全权代表姓名)</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(职务、职称)为全权代表，现正式递交下述文件参加贵方组织的本次政府采购活动： </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一、报价文件电子版一份（包含按投标人须知前附表要求提交的全部文件）；</w:t>
      </w:r>
    </w:p>
    <w:p>
      <w:pPr>
        <w:pStyle w:val="13"/>
        <w:spacing w:line="440" w:lineRule="exact"/>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二、资格文件电子版一份（包含按投标人须知前附表要求提交的全部文件）；</w:t>
      </w:r>
    </w:p>
    <w:p>
      <w:pPr>
        <w:pStyle w:val="13"/>
        <w:spacing w:line="440" w:lineRule="exact"/>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三、技术文件电子版一份（包含按投标人须知前附表要求提交的全部文件）；</w:t>
      </w:r>
    </w:p>
    <w:p>
      <w:pPr>
        <w:pStyle w:val="13"/>
        <w:spacing w:line="440" w:lineRule="exact"/>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四、商务文件电子版一份（包含按投标人须知前附表要求提交的全部文件）；</w:t>
      </w:r>
    </w:p>
    <w:p>
      <w:pPr>
        <w:pStyle w:val="13"/>
        <w:spacing w:line="440" w:lineRule="exact"/>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据此函，签字人兹宣布：</w:t>
      </w:r>
    </w:p>
    <w:p>
      <w:pPr>
        <w:pStyle w:val="13"/>
        <w:spacing w:line="360" w:lineRule="exact"/>
        <w:ind w:firstLine="420" w:firstLineChars="200"/>
        <w:rPr>
          <w:rFonts w:hint="eastAsia" w:eastAsia="宋体" w:asciiTheme="minorEastAsia" w:hAnsiTheme="minorEastAsia" w:cstheme="minorEastAsia"/>
          <w:color w:val="auto"/>
          <w:highlight w:val="none"/>
          <w:u w:val="single"/>
          <w:lang w:eastAsia="zh-CN"/>
        </w:rPr>
      </w:pPr>
      <w:r>
        <w:rPr>
          <w:rFonts w:hint="eastAsia" w:asciiTheme="minorEastAsia" w:hAnsiTheme="minorEastAsia" w:eastAsiaTheme="minorEastAsia" w:cstheme="minorEastAsia"/>
          <w:color w:val="auto"/>
          <w:highlight w:val="none"/>
        </w:rPr>
        <w:t>1、</w:t>
      </w:r>
      <w:r>
        <w:rPr>
          <w:rFonts w:hint="eastAsia"/>
          <w:color w:val="auto"/>
          <w:szCs w:val="20"/>
          <w:highlight w:val="none"/>
        </w:rPr>
        <w:t>我方愿意以下浮系数</w:t>
      </w:r>
      <w:r>
        <w:rPr>
          <w:rFonts w:hint="eastAsia"/>
          <w:color w:val="auto"/>
          <w:szCs w:val="20"/>
          <w:highlight w:val="none"/>
          <w:u w:val="single"/>
        </w:rPr>
        <w:t xml:space="preserve">           </w:t>
      </w:r>
      <w:r>
        <w:rPr>
          <w:rFonts w:hint="eastAsia"/>
          <w:color w:val="auto"/>
          <w:szCs w:val="20"/>
          <w:highlight w:val="none"/>
        </w:rPr>
        <w:t xml:space="preserve"> %的</w:t>
      </w:r>
      <w:r>
        <w:rPr>
          <w:rFonts w:hint="eastAsia"/>
          <w:color w:val="auto"/>
          <w:szCs w:val="20"/>
          <w:highlight w:val="none"/>
          <w:lang w:val="en-US" w:eastAsia="zh-CN"/>
        </w:rPr>
        <w:t>投标</w:t>
      </w:r>
      <w:r>
        <w:rPr>
          <w:rFonts w:hint="eastAsia"/>
          <w:color w:val="auto"/>
          <w:szCs w:val="20"/>
          <w:highlight w:val="none"/>
        </w:rPr>
        <w:t>报价，服务期限：</w:t>
      </w:r>
      <w:r>
        <w:rPr>
          <w:rFonts w:hint="eastAsia"/>
          <w:color w:val="auto"/>
          <w:szCs w:val="20"/>
          <w:highlight w:val="none"/>
          <w:u w:val="single"/>
        </w:rPr>
        <w:t xml:space="preserve">           </w:t>
      </w:r>
      <w:r>
        <w:rPr>
          <w:rFonts w:hint="eastAsia"/>
          <w:color w:val="auto"/>
          <w:szCs w:val="20"/>
          <w:highlight w:val="none"/>
        </w:rPr>
        <w:t xml:space="preserve"> ，提供本项目</w:t>
      </w:r>
      <w:r>
        <w:rPr>
          <w:rFonts w:hint="eastAsia"/>
          <w:color w:val="auto"/>
          <w:szCs w:val="20"/>
          <w:highlight w:val="none"/>
          <w:lang w:val="en-US" w:eastAsia="zh-CN"/>
        </w:rPr>
        <w:t>招标文件</w:t>
      </w:r>
      <w:r>
        <w:rPr>
          <w:rFonts w:hint="eastAsia"/>
          <w:color w:val="auto"/>
          <w:szCs w:val="20"/>
          <w:highlight w:val="none"/>
        </w:rPr>
        <w:t>第二章“服务需求一览表”中相应的采购内容</w:t>
      </w:r>
      <w:r>
        <w:rPr>
          <w:rFonts w:hint="eastAsia"/>
          <w:color w:val="auto"/>
          <w:szCs w:val="20"/>
          <w:highlight w:val="none"/>
          <w:lang w:eastAsia="zh-CN"/>
        </w:rPr>
        <w:t>。</w:t>
      </w:r>
    </w:p>
    <w:p>
      <w:pPr>
        <w:pStyle w:val="13"/>
        <w:spacing w:line="360" w:lineRule="exact"/>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2、我方同意自本项目招标文件“第三章 投标人须知”第一节 投标人须知前附表 第21.2项规定的投标截止时间（开标时间）起遵循本投标函，并承诺在“投标人须知前附表”第17.2项规定的投标有效期内不修改、撤销投标文件。</w:t>
      </w:r>
    </w:p>
    <w:p>
      <w:pPr>
        <w:pStyle w:val="13"/>
        <w:spacing w:line="360" w:lineRule="exact"/>
        <w:ind w:firstLine="420" w:firstLineChars="20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3、我方所递交的投标文件及有关资料都是内容完整、真实和准确的。</w:t>
      </w:r>
    </w:p>
    <w:p>
      <w:pPr>
        <w:pStyle w:val="13"/>
        <w:spacing w:line="440" w:lineRule="exact"/>
        <w:ind w:firstLine="482"/>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4、</w:t>
      </w:r>
      <w:r>
        <w:rPr>
          <w:rFonts w:hint="eastAsia" w:asciiTheme="minorEastAsia" w:hAnsiTheme="minorEastAsia" w:eastAsiaTheme="minorEastAsia" w:cstheme="minorEastAsia"/>
          <w:color w:val="auto"/>
          <w:szCs w:val="21"/>
          <w:highlight w:val="none"/>
        </w:rPr>
        <w:t>如本项目采购内容涉及须符合国家强制规定的，我方承诺我方本次投标（包括资格条件和所投产品）均符合国家有关强制规定。</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5、如我方中标，我方承诺在收到中标通知书后，在中标通知书规定的期限内，根据招标文件、我方的投标文件及有关澄清承诺书的要求按第五章“拟签订的合同文本”与采购人订立书面合同，并按照合同约定承担完成合同的责任和义务。</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6、我方已详细审核招标文件，我方知道必须放弃提出含糊不清或误解问题的权利。</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7、我方同意应贵方要求提供与本投标有关的任何数据或资料。若贵方需要，我方愿意提供我方作出的一切承诺的证明材料。</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8、我方完全理解贵方不一定接受投标报价最低的投标人为中标供应商的行为。</w:t>
      </w:r>
    </w:p>
    <w:p>
      <w:pPr>
        <w:pStyle w:val="13"/>
        <w:spacing w:line="440" w:lineRule="exact"/>
        <w:ind w:firstLine="420" w:firstLineChars="20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9、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13"/>
        <w:numPr>
          <w:ilvl w:val="0"/>
          <w:numId w:val="7"/>
        </w:numPr>
        <w:spacing w:line="44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提供虚假材料谋取中标、成交的；</w:t>
      </w:r>
    </w:p>
    <w:p>
      <w:pPr>
        <w:pStyle w:val="13"/>
        <w:numPr>
          <w:ilvl w:val="0"/>
          <w:numId w:val="7"/>
        </w:numPr>
        <w:spacing w:line="44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采取不正当手段诋毁、排挤其他供应商的；</w:t>
      </w:r>
    </w:p>
    <w:p>
      <w:pPr>
        <w:pStyle w:val="13"/>
        <w:numPr>
          <w:ilvl w:val="0"/>
          <w:numId w:val="7"/>
        </w:numPr>
        <w:spacing w:line="44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与采购人、其他供应商或者采购代理机构恶意串通的；</w:t>
      </w:r>
    </w:p>
    <w:p>
      <w:pPr>
        <w:pStyle w:val="13"/>
        <w:numPr>
          <w:ilvl w:val="0"/>
          <w:numId w:val="7"/>
        </w:numPr>
        <w:spacing w:line="44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向采购人、采购代理机构行贿或者提供其他不正当利益的；</w:t>
      </w:r>
    </w:p>
    <w:p>
      <w:pPr>
        <w:pStyle w:val="13"/>
        <w:numPr>
          <w:ilvl w:val="0"/>
          <w:numId w:val="7"/>
        </w:numPr>
        <w:spacing w:line="44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在招标采购过程中与采购人进行协商谈判的；</w:t>
      </w:r>
    </w:p>
    <w:p>
      <w:pPr>
        <w:pStyle w:val="13"/>
        <w:numPr>
          <w:ilvl w:val="0"/>
          <w:numId w:val="7"/>
        </w:numPr>
        <w:spacing w:line="440" w:lineRule="exact"/>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拒绝有关部门监督检查或提供虚假情况的。</w:t>
      </w:r>
    </w:p>
    <w:p>
      <w:pPr>
        <w:pStyle w:val="13"/>
        <w:spacing w:line="440" w:lineRule="exact"/>
        <w:ind w:left="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10、我方及由本人担任法定代表人的其他机构最近三年内被处罚的违法行为有：</w:t>
      </w:r>
      <w:r>
        <w:rPr>
          <w:rFonts w:hint="eastAsia" w:asciiTheme="minorEastAsia" w:hAnsiTheme="minorEastAsia" w:eastAsiaTheme="minorEastAsia" w:cstheme="minorEastAsia"/>
          <w:color w:val="auto"/>
          <w:highlight w:val="none"/>
          <w:u w:val="single"/>
        </w:rPr>
        <w:t xml:space="preserve">                                        </w:t>
      </w:r>
    </w:p>
    <w:p>
      <w:pPr>
        <w:pStyle w:val="13"/>
        <w:spacing w:line="440" w:lineRule="exact"/>
        <w:ind w:left="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11、以上事项如有虚假或隐瞒，我方愿意承担一切后果，并不再寻求任何旨在减轻或免除法律责任的辩解。</w:t>
      </w:r>
    </w:p>
    <w:p>
      <w:pPr>
        <w:pStyle w:val="13"/>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12、与本投标有关的一切正式往来信函请寄：</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地址：</w:t>
      </w:r>
      <w:r>
        <w:rPr>
          <w:rFonts w:hint="eastAsia" w:asciiTheme="minorEastAsia" w:hAnsiTheme="minorEastAsia" w:eastAsiaTheme="minorEastAsia" w:cstheme="minorEastAsia"/>
          <w:color w:val="auto"/>
          <w:highlight w:val="none"/>
          <w:u w:val="single"/>
        </w:rPr>
        <w:t xml:space="preserve">                                                        </w:t>
      </w:r>
      <w:r>
        <w:rPr>
          <w:rFonts w:hint="eastAsia" w:asciiTheme="minorEastAsia" w:hAnsiTheme="minorEastAsia" w:eastAsiaTheme="minorEastAsia" w:cstheme="minorEastAsia"/>
          <w:color w:val="auto"/>
          <w:highlight w:val="non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电话：</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rPr>
        <w:t>传真：</w:t>
      </w:r>
      <w:r>
        <w:rPr>
          <w:rFonts w:hint="eastAsia" w:asciiTheme="minorEastAsia" w:hAnsiTheme="minorEastAsia" w:eastAsiaTheme="minorEastAsia" w:cstheme="minorEastAsia"/>
          <w:color w:val="auto"/>
          <w:highlight w:val="none"/>
          <w:u w:val="single"/>
        </w:rPr>
        <w:t>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邮政编码：</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开户名称：</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开户银行：</w:t>
      </w:r>
      <w:r>
        <w:rPr>
          <w:rFonts w:hint="eastAsia" w:asciiTheme="minorEastAsia" w:hAnsiTheme="minorEastAsia" w:eastAsiaTheme="minorEastAsia" w:cstheme="minorEastAsia"/>
          <w:color w:val="auto"/>
          <w:highlight w:val="none"/>
          <w:u w:val="single"/>
        </w:rPr>
        <w:t xml:space="preserve">                                                    </w:t>
      </w:r>
    </w:p>
    <w:p>
      <w:pPr>
        <w:pStyle w:val="13"/>
        <w:spacing w:line="360" w:lineRule="auto"/>
        <w:ind w:firstLine="420"/>
        <w:rPr>
          <w:rFonts w:asciiTheme="minorEastAsia" w:hAnsiTheme="minorEastAsia" w:eastAsiaTheme="minorEastAsia" w:cstheme="minorEastAsia"/>
          <w:color w:val="auto"/>
          <w:highlight w:val="none"/>
          <w:u w:val="single"/>
        </w:rPr>
      </w:pPr>
      <w:r>
        <w:rPr>
          <w:rFonts w:hint="eastAsia" w:asciiTheme="minorEastAsia" w:hAnsiTheme="minorEastAsia" w:eastAsiaTheme="minorEastAsia" w:cstheme="minorEastAsia"/>
          <w:color w:val="auto"/>
          <w:highlight w:val="none"/>
        </w:rPr>
        <w:t>银行账号：</w:t>
      </w:r>
      <w:r>
        <w:rPr>
          <w:rFonts w:hint="eastAsia" w:asciiTheme="minorEastAsia" w:hAnsiTheme="minorEastAsia" w:eastAsiaTheme="minorEastAsia" w:cstheme="minorEastAsia"/>
          <w:color w:val="auto"/>
          <w:highlight w:val="none"/>
          <w:u w:val="single"/>
        </w:rPr>
        <w:t xml:space="preserve">                                                    </w:t>
      </w: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spacing w:line="360" w:lineRule="auto"/>
        <w:jc w:val="left"/>
        <w:rPr>
          <w:rFonts w:asciiTheme="minorEastAsia" w:hAnsiTheme="minorEastAsia" w:eastAsiaTheme="minorEastAsia" w:cstheme="minorEastAsia"/>
          <w:color w:val="auto"/>
          <w:kern w:val="0"/>
          <w:sz w:val="24"/>
          <w:highlight w:val="none"/>
          <w:lang w:val="zh-CN"/>
        </w:rPr>
        <w:sectPr>
          <w:pgSz w:w="11906" w:h="16838"/>
          <w:pgMar w:top="1134" w:right="1134" w:bottom="1134" w:left="1134" w:header="720" w:footer="720" w:gutter="0"/>
          <w:cols w:space="720" w:num="1"/>
          <w:docGrid w:type="lines" w:linePitch="331" w:charSpace="0"/>
        </w:sectPr>
      </w:pPr>
    </w:p>
    <w:p>
      <w:pPr>
        <w:pStyle w:val="13"/>
        <w:spacing w:line="360" w:lineRule="auto"/>
        <w:jc w:val="center"/>
        <w:rPr>
          <w:rFonts w:asciiTheme="minorEastAsia" w:hAnsiTheme="minorEastAsia" w:eastAsiaTheme="minorEastAsia" w:cstheme="minorEastAsia"/>
          <w:b/>
          <w:color w:val="auto"/>
          <w:sz w:val="30"/>
          <w:szCs w:val="30"/>
          <w:highlight w:val="none"/>
        </w:rPr>
      </w:pPr>
      <w:r>
        <w:rPr>
          <w:rFonts w:hint="eastAsia" w:asciiTheme="minorEastAsia" w:hAnsiTheme="minorEastAsia" w:eastAsiaTheme="minorEastAsia" w:cstheme="minorEastAsia"/>
          <w:color w:val="auto"/>
          <w:sz w:val="30"/>
          <w:highlight w:val="none"/>
        </w:rPr>
        <w:t>二、</w:t>
      </w:r>
      <w:r>
        <w:rPr>
          <w:rFonts w:hint="eastAsia" w:asciiTheme="minorEastAsia" w:hAnsiTheme="minorEastAsia" w:eastAsiaTheme="minorEastAsia" w:cstheme="minorEastAsia"/>
          <w:b/>
          <w:color w:val="auto"/>
          <w:sz w:val="30"/>
          <w:szCs w:val="30"/>
          <w:highlight w:val="none"/>
        </w:rPr>
        <w:t>开标一览表</w:t>
      </w:r>
      <w:r>
        <w:rPr>
          <w:rFonts w:hint="eastAsia" w:asciiTheme="minorEastAsia" w:hAnsiTheme="minorEastAsia" w:eastAsiaTheme="minorEastAsia" w:cstheme="minorEastAsia"/>
          <w:b/>
          <w:color w:val="auto"/>
          <w:kern w:val="0"/>
          <w:sz w:val="24"/>
          <w:highlight w:val="none"/>
          <w:lang w:val="zh-CN"/>
        </w:rPr>
        <w:t>(单位均为人民币元)</w:t>
      </w:r>
    </w:p>
    <w:p>
      <w:pPr>
        <w:snapToGrid w:val="0"/>
        <w:spacing w:before="50" w:after="50"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2025年西乡塘区糖料蔗病虫害绿色防控项目</w:t>
      </w:r>
      <w:r>
        <w:rPr>
          <w:rFonts w:hint="eastAsia" w:asciiTheme="minorEastAsia" w:hAnsiTheme="minorEastAsia" w:eastAsiaTheme="minorEastAsia" w:cstheme="minorEastAsia"/>
          <w:color w:val="auto"/>
          <w:sz w:val="24"/>
          <w:highlight w:val="none"/>
        </w:rPr>
        <w:t xml:space="preserve">  </w:t>
      </w:r>
    </w:p>
    <w:p>
      <w:pPr>
        <w:snapToGrid w:val="0"/>
        <w:spacing w:before="50" w:after="50"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项目编号：</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u w:val="single"/>
          <w:lang w:eastAsia="zh-CN"/>
        </w:rPr>
        <w:t>NNZC2026-G3-070001-GXYG</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p>
      <w:pPr>
        <w:pStyle w:val="13"/>
        <w:spacing w:line="360" w:lineRule="auto"/>
        <w:rPr>
          <w:rFonts w:asciiTheme="minorEastAsia" w:hAnsiTheme="minorEastAsia" w:eastAsiaTheme="minorEastAsia" w:cstheme="minorEastAsia"/>
          <w:b/>
          <w:color w:val="auto"/>
          <w:sz w:val="32"/>
          <w:highlight w:val="none"/>
        </w:rPr>
      </w:pPr>
      <w:r>
        <w:rPr>
          <w:rFonts w:hint="eastAsia" w:asciiTheme="minorEastAsia" w:hAnsiTheme="minorEastAsia" w:eastAsiaTheme="minorEastAsia" w:cstheme="minorEastAsia"/>
          <w:color w:val="auto"/>
          <w:sz w:val="24"/>
          <w:highlight w:val="none"/>
        </w:rPr>
        <w:t>投标人名称：</w:t>
      </w:r>
      <w:r>
        <w:rPr>
          <w:rFonts w:hint="eastAsia" w:asciiTheme="minorEastAsia" w:hAnsiTheme="minorEastAsia" w:eastAsiaTheme="minorEastAsia" w:cstheme="minorEastAsia"/>
          <w:color w:val="auto"/>
          <w:sz w:val="24"/>
          <w:highlight w:val="none"/>
          <w:u w:val="single"/>
        </w:rPr>
        <w:t xml:space="preserve">                     </w:t>
      </w:r>
      <w:r>
        <w:rPr>
          <w:rFonts w:hint="eastAsia" w:asciiTheme="minorEastAsia" w:hAnsiTheme="minorEastAsia" w:eastAsiaTheme="minorEastAsia" w:cstheme="minorEastAsia"/>
          <w:color w:val="auto"/>
          <w:sz w:val="24"/>
          <w:highlight w:val="none"/>
        </w:rPr>
        <w:t xml:space="preserve">   </w:t>
      </w:r>
    </w:p>
    <w:tbl>
      <w:tblPr>
        <w:tblStyle w:val="23"/>
        <w:tblW w:w="9813"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260"/>
        <w:gridCol w:w="2064"/>
        <w:gridCol w:w="1452"/>
        <w:gridCol w:w="2016"/>
        <w:gridCol w:w="1345"/>
        <w:gridCol w:w="9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trPr>
        <w:tc>
          <w:tcPr>
            <w:tcW w:w="719"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序号</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服务名称</w:t>
            </w:r>
          </w:p>
        </w:tc>
        <w:tc>
          <w:tcPr>
            <w:tcW w:w="2064"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lang w:val="en-US" w:eastAsia="zh-CN"/>
              </w:rPr>
              <w:t>服务参数</w:t>
            </w:r>
          </w:p>
        </w:tc>
        <w:tc>
          <w:tcPr>
            <w:tcW w:w="1452"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数量</w:t>
            </w:r>
          </w:p>
        </w:tc>
        <w:tc>
          <w:tcPr>
            <w:tcW w:w="2016" w:type="dxa"/>
            <w:tcBorders>
              <w:top w:val="single" w:color="auto" w:sz="4" w:space="0"/>
              <w:left w:val="single" w:color="auto" w:sz="4" w:space="0"/>
              <w:bottom w:val="single" w:color="auto" w:sz="4" w:space="0"/>
              <w:right w:val="single" w:color="auto" w:sz="4" w:space="0"/>
            </w:tcBorders>
            <w:noWrap/>
            <w:vAlign w:val="center"/>
          </w:tcPr>
          <w:p>
            <w:pPr>
              <w:jc w:val="center"/>
              <w:rPr>
                <w:rFonts w:asciiTheme="minorEastAsia" w:hAnsiTheme="minorEastAsia" w:eastAsiaTheme="minorEastAsia" w:cstheme="minorEastAsia"/>
                <w:color w:val="auto"/>
                <w:szCs w:val="22"/>
                <w:highlight w:val="none"/>
              </w:rPr>
            </w:pPr>
            <w:r>
              <w:rPr>
                <w:rFonts w:hint="eastAsia" w:ascii="宋体" w:hAnsi="宋体" w:cs="宋体"/>
                <w:color w:val="auto"/>
                <w:highlight w:val="none"/>
              </w:rPr>
              <w:t>下浮系数（%）</w:t>
            </w:r>
          </w:p>
        </w:tc>
        <w:tc>
          <w:tcPr>
            <w:tcW w:w="134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服务期限</w:t>
            </w: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19"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1</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1452"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201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1345" w:type="dxa"/>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atLeast"/>
        </w:trPr>
        <w:tc>
          <w:tcPr>
            <w:tcW w:w="719"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2</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1452"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201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1345" w:type="dxa"/>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6" w:hRule="atLeast"/>
        </w:trPr>
        <w:tc>
          <w:tcPr>
            <w:tcW w:w="719"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w:t>
            </w:r>
          </w:p>
        </w:tc>
        <w:tc>
          <w:tcPr>
            <w:tcW w:w="1260"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2064"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1452"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2016"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c>
          <w:tcPr>
            <w:tcW w:w="1345" w:type="dxa"/>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2"/>
                <w:highlight w:val="none"/>
              </w:rPr>
            </w:pPr>
          </w:p>
        </w:tc>
        <w:tc>
          <w:tcPr>
            <w:tcW w:w="957" w:type="dxa"/>
            <w:tcBorders>
              <w:top w:val="single" w:color="auto" w:sz="4" w:space="0"/>
              <w:left w:val="single" w:color="auto" w:sz="4" w:space="0"/>
              <w:bottom w:val="single" w:color="auto" w:sz="4" w:space="0"/>
              <w:right w:val="single" w:color="auto" w:sz="4" w:space="0"/>
            </w:tcBorders>
            <w:noWrap/>
            <w:vAlign w:val="center"/>
          </w:tcPr>
          <w:p>
            <w:pPr>
              <w:rPr>
                <w:rFonts w:asciiTheme="minorEastAsia" w:hAnsiTheme="minorEastAsia" w:eastAsiaTheme="minorEastAsia" w:cstheme="minorEastAsia"/>
                <w:color w:val="auto"/>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tcPr>
          <w:p>
            <w:pPr>
              <w:jc w:val="left"/>
              <w:rPr>
                <w:rFonts w:asciiTheme="minorEastAsia" w:hAnsiTheme="minorEastAsia" w:eastAsiaTheme="minorEastAsia" w:cstheme="minorEastAsia"/>
                <w:color w:val="auto"/>
                <w:szCs w:val="22"/>
                <w:highlight w:val="none"/>
              </w:rPr>
            </w:pPr>
            <w:r>
              <w:rPr>
                <w:rFonts w:hint="eastAsia" w:ascii="宋体" w:hAnsi="宋体"/>
                <w:color w:val="auto"/>
                <w:szCs w:val="22"/>
                <w:highlight w:val="none"/>
              </w:rPr>
              <w:t>报价合计（包含税费等所有费用）：</w:t>
            </w:r>
            <w:r>
              <w:rPr>
                <w:rFonts w:hint="eastAsia" w:ascii="宋体" w:hAnsi="宋体" w:cs="宋体"/>
                <w:color w:val="auto"/>
                <w:highlight w:val="none"/>
              </w:rPr>
              <w:t>下浮系数：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验收标准：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trPr>
        <w:tc>
          <w:tcPr>
            <w:tcW w:w="9813" w:type="dxa"/>
            <w:gridSpan w:val="7"/>
            <w:tcBorders>
              <w:top w:val="single" w:color="auto" w:sz="4" w:space="0"/>
              <w:left w:val="single" w:color="auto" w:sz="4" w:space="0"/>
              <w:bottom w:val="single" w:color="auto" w:sz="4" w:space="0"/>
              <w:right w:val="single" w:color="auto" w:sz="4" w:space="0"/>
            </w:tcBorders>
            <w:noWrap/>
          </w:tcPr>
          <w:p>
            <w:pPr>
              <w:rPr>
                <w:rFonts w:asciiTheme="minorEastAsia" w:hAnsiTheme="minorEastAsia" w:eastAsiaTheme="minorEastAsia" w:cstheme="minorEastAsia"/>
                <w:color w:val="auto"/>
                <w:szCs w:val="22"/>
                <w:highlight w:val="none"/>
              </w:rPr>
            </w:pPr>
            <w:r>
              <w:rPr>
                <w:rFonts w:hint="eastAsia" w:asciiTheme="minorEastAsia" w:hAnsiTheme="minorEastAsia" w:eastAsiaTheme="minorEastAsia" w:cstheme="minorEastAsia"/>
                <w:color w:val="auto"/>
                <w:szCs w:val="22"/>
                <w:highlight w:val="none"/>
              </w:rPr>
              <w:t>优惠及其它：</w:t>
            </w:r>
          </w:p>
        </w:tc>
      </w:tr>
    </w:tbl>
    <w:p>
      <w:pPr>
        <w:snapToGrid w:val="0"/>
        <w:spacing w:before="50" w:after="50"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 xml:space="preserve">注： </w:t>
      </w:r>
    </w:p>
    <w:p>
      <w:pPr>
        <w:snapToGrid w:val="0"/>
        <w:spacing w:before="50" w:after="50"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1、 投标人需按本表格式填写，不得自行更改，也不得留空, 如有多分标，按分标分别提供开标一览表，必须加盖投标人有效电子公章，</w:t>
      </w:r>
      <w:r>
        <w:rPr>
          <w:rFonts w:hint="eastAsia" w:asciiTheme="minorEastAsia" w:hAnsiTheme="minorEastAsia" w:eastAsiaTheme="minorEastAsia" w:cstheme="minorEastAsia"/>
          <w:b/>
          <w:color w:val="auto"/>
          <w:kern w:val="0"/>
          <w:sz w:val="24"/>
          <w:highlight w:val="none"/>
          <w:lang w:val="zh-CN"/>
        </w:rPr>
        <w:t>否则其投标作无效标处理。</w:t>
      </w:r>
    </w:p>
    <w:p>
      <w:pPr>
        <w:snapToGrid w:val="0"/>
        <w:spacing w:before="50" w:after="50"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2、本表内容均不能涂改，</w:t>
      </w:r>
      <w:r>
        <w:rPr>
          <w:rFonts w:hint="eastAsia" w:asciiTheme="minorEastAsia" w:hAnsiTheme="minorEastAsia" w:eastAsiaTheme="minorEastAsia" w:cstheme="minorEastAsia"/>
          <w:b/>
          <w:color w:val="auto"/>
          <w:kern w:val="0"/>
          <w:sz w:val="24"/>
          <w:highlight w:val="none"/>
          <w:lang w:val="zh-CN"/>
        </w:rPr>
        <w:t>否则其投标作无效标处理。</w:t>
      </w:r>
    </w:p>
    <w:p>
      <w:pPr>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en-US" w:eastAsia="zh-CN"/>
        </w:rPr>
        <w:t>3</w:t>
      </w:r>
      <w:r>
        <w:rPr>
          <w:rFonts w:hint="eastAsia" w:asciiTheme="minorEastAsia" w:hAnsiTheme="minorEastAsia" w:eastAsiaTheme="minorEastAsia" w:cstheme="minorEastAsia"/>
          <w:color w:val="auto"/>
          <w:kern w:val="0"/>
          <w:sz w:val="24"/>
          <w:highlight w:val="none"/>
          <w:lang w:val="zh-CN"/>
        </w:rPr>
        <w:t>、特别提示：采购机构将对项目名称和项目编号，中标供应商名称、地址和中标金额，主要中标标的的名称、服务范围、服务要求、服务时间、服务标准等予以公示。</w:t>
      </w:r>
    </w:p>
    <w:p>
      <w:pPr>
        <w:snapToGrid w:val="0"/>
        <w:spacing w:line="360" w:lineRule="auto"/>
        <w:ind w:firstLine="480" w:firstLineChars="200"/>
        <w:jc w:val="left"/>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szCs w:val="22"/>
          <w:highlight w:val="none"/>
          <w:lang w:val="en-US" w:eastAsia="zh-CN"/>
        </w:rPr>
        <w:t>4</w:t>
      </w:r>
      <w:r>
        <w:rPr>
          <w:rFonts w:hint="eastAsia" w:asciiTheme="minorEastAsia" w:hAnsiTheme="minorEastAsia" w:eastAsiaTheme="minorEastAsia" w:cstheme="minorEastAsia"/>
          <w:color w:val="auto"/>
          <w:kern w:val="0"/>
          <w:sz w:val="24"/>
          <w:szCs w:val="22"/>
          <w:highlight w:val="none"/>
          <w:lang w:val="zh-CN"/>
        </w:rPr>
        <w:t>、</w:t>
      </w:r>
      <w:r>
        <w:rPr>
          <w:rFonts w:hint="eastAsia" w:asciiTheme="minorEastAsia" w:hAnsiTheme="minorEastAsia" w:eastAsiaTheme="minorEastAsia" w:cstheme="minorEastAsia"/>
          <w:color w:val="auto"/>
          <w:kern w:val="0"/>
          <w:sz w:val="24"/>
          <w:highlight w:val="none"/>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pPr>
        <w:snapToGrid w:val="0"/>
        <w:spacing w:line="360" w:lineRule="auto"/>
        <w:ind w:firstLine="5040" w:firstLineChars="2100"/>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widowControl/>
        <w:jc w:val="left"/>
        <w:rPr>
          <w:rFonts w:asciiTheme="minorEastAsia" w:hAnsiTheme="minorEastAsia" w:eastAsiaTheme="minorEastAsia" w:cstheme="minorEastAsia"/>
          <w:color w:val="auto"/>
          <w:sz w:val="30"/>
          <w:szCs w:val="20"/>
          <w:highlight w:val="none"/>
        </w:rPr>
        <w:sectPr>
          <w:pgSz w:w="11906" w:h="16838"/>
          <w:pgMar w:top="1134" w:right="1134" w:bottom="1134" w:left="1134" w:header="720" w:footer="720" w:gutter="0"/>
          <w:cols w:space="720" w:num="1"/>
          <w:docGrid w:type="lines" w:linePitch="331" w:charSpace="0"/>
        </w:sectPr>
      </w:pPr>
    </w:p>
    <w:p>
      <w:pPr>
        <w:snapToGrid w:val="0"/>
        <w:spacing w:beforeLines="50" w:after="50"/>
        <w:jc w:val="center"/>
        <w:outlineLvl w:val="1"/>
        <w:rPr>
          <w:rFonts w:asciiTheme="minorEastAsia" w:hAnsiTheme="minorEastAsia" w:eastAsiaTheme="minorEastAsia" w:cstheme="minorEastAsia"/>
          <w:b/>
          <w:bCs/>
          <w:color w:val="auto"/>
          <w:sz w:val="28"/>
          <w:szCs w:val="28"/>
          <w:highlight w:val="none"/>
        </w:rPr>
      </w:pPr>
      <w:bookmarkStart w:id="252" w:name="_Toc15635"/>
      <w:bookmarkStart w:id="253" w:name="_Toc19686840"/>
      <w:r>
        <w:rPr>
          <w:rFonts w:hint="eastAsia" w:asciiTheme="minorEastAsia" w:hAnsiTheme="minorEastAsia" w:eastAsiaTheme="minorEastAsia" w:cstheme="minorEastAsia"/>
          <w:b/>
          <w:bCs/>
          <w:color w:val="auto"/>
          <w:sz w:val="28"/>
          <w:szCs w:val="28"/>
          <w:highlight w:val="none"/>
        </w:rPr>
        <w:t>第六节 其他文书、文件格式</w:t>
      </w:r>
      <w:bookmarkEnd w:id="252"/>
      <w:bookmarkEnd w:id="253"/>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r>
        <w:rPr>
          <w:rFonts w:hint="eastAsia" w:asciiTheme="minorEastAsia" w:hAnsiTheme="minorEastAsia" w:eastAsiaTheme="minorEastAsia" w:cstheme="minorEastAsia"/>
          <w:b/>
          <w:bCs/>
          <w:color w:val="auto"/>
          <w:sz w:val="32"/>
          <w:szCs w:val="32"/>
          <w:highlight w:val="none"/>
        </w:rPr>
        <w:t>知识产权合规性声明</w:t>
      </w:r>
    </w:p>
    <w:p>
      <w:pP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w:t>
      </w:r>
    </w:p>
    <w:p>
      <w:pP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    本企业自愿参与政府投资政府采购的</w:t>
      </w:r>
      <w:r>
        <w:rPr>
          <w:rFonts w:hint="eastAsia" w:asciiTheme="minorEastAsia" w:hAnsiTheme="minorEastAsia" w:eastAsiaTheme="minorEastAsia" w:cstheme="minorEastAsia"/>
          <w:color w:val="auto"/>
          <w:sz w:val="30"/>
          <w:szCs w:val="30"/>
          <w:highlight w:val="none"/>
          <w:u w:val="single"/>
          <w:lang w:eastAsia="zh-CN"/>
        </w:rPr>
        <w:t>2025年西乡塘区糖料蔗病虫害绿色防控项目</w:t>
      </w:r>
      <w:r>
        <w:rPr>
          <w:rFonts w:hint="eastAsia" w:asciiTheme="minorEastAsia" w:hAnsiTheme="minorEastAsia" w:eastAsiaTheme="minorEastAsia" w:cstheme="minorEastAsia"/>
          <w:color w:val="auto"/>
          <w:sz w:val="30"/>
          <w:szCs w:val="30"/>
          <w:highlight w:val="none"/>
        </w:rPr>
        <w:t>项目，</w:t>
      </w:r>
      <w:r>
        <w:rPr>
          <w:rFonts w:hint="eastAsia" w:asciiTheme="minorEastAsia" w:hAnsiTheme="minorEastAsia" w:eastAsiaTheme="minorEastAsia" w:cstheme="minorEastAsia"/>
          <w:b/>
          <w:bCs/>
          <w:color w:val="auto"/>
          <w:sz w:val="30"/>
          <w:szCs w:val="30"/>
          <w:highlight w:val="none"/>
        </w:rPr>
        <w:t>在此郑重承诺：</w:t>
      </w:r>
      <w:r>
        <w:rPr>
          <w:rFonts w:hint="eastAsia" w:asciiTheme="minorEastAsia" w:hAnsiTheme="minorEastAsia" w:eastAsiaTheme="minorEastAsia" w:cstheme="minorEastAsia"/>
          <w:color w:val="auto"/>
          <w:sz w:val="30"/>
          <w:szCs w:val="30"/>
          <w:highlight w:val="none"/>
        </w:rPr>
        <w:t>遵守中国知识产权法律、法规、规章、规范性文件及在中国适用的与知识产权有关的国际公约，所参与项目的知识产权明晰无争议，归属或技术来源正当合法。近三年在知识产权领域不存在违反法律、法规、规章及其他规范性文件的失信行为。所参与的项目不对其他单位及个人的知识产权构成侵权。如经核查确有违反上述承诺应遵守的行为，本企业将承担由此产生的全部责任。</w:t>
      </w:r>
    </w:p>
    <w:p>
      <w:pPr>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r>
        <w:rPr>
          <w:rFonts w:hint="eastAsia" w:asciiTheme="minorEastAsia" w:hAnsiTheme="minorEastAsia" w:eastAsiaTheme="minorEastAsia" w:cstheme="minorEastAsia"/>
          <w:b/>
          <w:color w:val="auto"/>
          <w:sz w:val="18"/>
          <w:szCs w:val="18"/>
          <w:highlight w:val="none"/>
        </w:rPr>
        <w:t xml:space="preserve">           </w:t>
      </w:r>
    </w:p>
    <w:p>
      <w:pPr>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p>
    <w:p>
      <w:pPr>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p>
    <w:p>
      <w:pPr>
        <w:snapToGrid w:val="0"/>
        <w:spacing w:line="360" w:lineRule="auto"/>
        <w:ind w:left="5137" w:leftChars="1736" w:hanging="1491" w:hangingChars="825"/>
        <w:rPr>
          <w:rFonts w:asciiTheme="minorEastAsia" w:hAnsiTheme="minorEastAsia" w:eastAsiaTheme="minorEastAsia" w:cstheme="minorEastAsia"/>
          <w:b/>
          <w:color w:val="auto"/>
          <w:sz w:val="18"/>
          <w:szCs w:val="18"/>
          <w:highlight w:val="none"/>
        </w:rPr>
      </w:pPr>
    </w:p>
    <w:p>
      <w:pPr>
        <w:snapToGrid w:val="0"/>
        <w:spacing w:line="360" w:lineRule="auto"/>
        <w:ind w:left="5137" w:leftChars="1736" w:hanging="1491" w:hangingChars="825"/>
        <w:rPr>
          <w:rFonts w:asciiTheme="minorEastAsia" w:hAnsiTheme="minorEastAsia" w:eastAsiaTheme="minorEastAsia" w:cstheme="minorEastAsia"/>
          <w:color w:val="auto"/>
          <w:kern w:val="0"/>
          <w:sz w:val="24"/>
          <w:highlight w:val="none"/>
        </w:rPr>
      </w:pPr>
      <w:r>
        <w:rPr>
          <w:rFonts w:hint="eastAsia" w:asciiTheme="minorEastAsia" w:hAnsiTheme="minorEastAsia" w:eastAsiaTheme="minorEastAsia" w:cstheme="minorEastAsia"/>
          <w:b/>
          <w:color w:val="auto"/>
          <w:sz w:val="18"/>
          <w:szCs w:val="18"/>
          <w:highlight w:val="none"/>
        </w:rPr>
        <w:t xml:space="preserve">      </w:t>
      </w:r>
      <w:r>
        <w:rPr>
          <w:rFonts w:hint="eastAsia" w:asciiTheme="minorEastAsia" w:hAnsiTheme="minorEastAsia" w:eastAsiaTheme="minorEastAsia" w:cstheme="minorEastAsia"/>
          <w:color w:val="auto"/>
          <w:kern w:val="0"/>
          <w:sz w:val="24"/>
          <w:highlight w:val="none"/>
          <w:lang w:val="zh-CN"/>
        </w:rPr>
        <w:t>投标人名称(电子签章)：</w:t>
      </w:r>
    </w:p>
    <w:p>
      <w:pPr>
        <w:snapToGrid w:val="0"/>
        <w:spacing w:line="360" w:lineRule="auto"/>
        <w:ind w:firstLine="5160" w:firstLineChars="2150"/>
        <w:rPr>
          <w:rFonts w:asciiTheme="minorEastAsia" w:hAnsiTheme="minorEastAsia" w:eastAsiaTheme="minorEastAsia" w:cstheme="minorEastAsia"/>
          <w:color w:val="auto"/>
          <w:kern w:val="0"/>
          <w:sz w:val="24"/>
          <w:highlight w:val="none"/>
          <w:lang w:val="zh-CN"/>
        </w:rPr>
      </w:pPr>
      <w:r>
        <w:rPr>
          <w:rFonts w:hint="eastAsia" w:asciiTheme="minorEastAsia" w:hAnsiTheme="minorEastAsia" w:eastAsiaTheme="minorEastAsia" w:cstheme="minorEastAsia"/>
          <w:color w:val="auto"/>
          <w:kern w:val="0"/>
          <w:sz w:val="24"/>
          <w:highlight w:val="none"/>
          <w:lang w:val="zh-CN"/>
        </w:rPr>
        <w:t>日期</w:t>
      </w:r>
      <w:r>
        <w:rPr>
          <w:rFonts w:hint="eastAsia" w:asciiTheme="minorEastAsia" w:hAnsiTheme="minorEastAsia" w:eastAsiaTheme="minorEastAsia" w:cstheme="minorEastAsia"/>
          <w:color w:val="auto"/>
          <w:kern w:val="0"/>
          <w:sz w:val="24"/>
          <w:highlight w:val="none"/>
        </w:rPr>
        <w:t xml:space="preserve">：  年  </w:t>
      </w:r>
      <w:r>
        <w:rPr>
          <w:rFonts w:hint="eastAsia" w:asciiTheme="minorEastAsia" w:hAnsiTheme="minorEastAsia" w:eastAsiaTheme="minorEastAsia" w:cstheme="minorEastAsia"/>
          <w:color w:val="auto"/>
          <w:kern w:val="0"/>
          <w:sz w:val="24"/>
          <w:highlight w:val="none"/>
          <w:lang w:val="zh-CN"/>
        </w:rPr>
        <w:t>月</w:t>
      </w:r>
      <w:r>
        <w:rPr>
          <w:rFonts w:hint="eastAsia" w:asciiTheme="minorEastAsia" w:hAnsiTheme="minorEastAsia" w:eastAsiaTheme="minorEastAsia" w:cstheme="minorEastAsia"/>
          <w:color w:val="auto"/>
          <w:kern w:val="0"/>
          <w:sz w:val="24"/>
          <w:highlight w:val="none"/>
        </w:rPr>
        <w:t xml:space="preserve">   </w:t>
      </w:r>
      <w:r>
        <w:rPr>
          <w:rFonts w:hint="eastAsia" w:asciiTheme="minorEastAsia" w:hAnsiTheme="minorEastAsia" w:eastAsiaTheme="minorEastAsia" w:cstheme="minorEastAsia"/>
          <w:color w:val="auto"/>
          <w:kern w:val="0"/>
          <w:sz w:val="24"/>
          <w:highlight w:val="none"/>
          <w:lang w:val="zh-CN"/>
        </w:rPr>
        <w:t>日</w:t>
      </w: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r>
        <w:rPr>
          <w:rFonts w:hint="eastAsia" w:asciiTheme="minorEastAsia" w:hAnsiTheme="minorEastAsia" w:eastAsiaTheme="minorEastAsia" w:cstheme="minorEastAsia"/>
          <w:b/>
          <w:color w:val="auto"/>
          <w:sz w:val="30"/>
          <w:szCs w:val="30"/>
          <w:highlight w:val="none"/>
        </w:rPr>
        <w:br w:type="page"/>
      </w: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rPr>
          <w:rFonts w:asciiTheme="minorEastAsia" w:hAnsiTheme="minorEastAsia" w:eastAsiaTheme="minorEastAsia" w:cstheme="minorEastAsia"/>
          <w:b/>
          <w:color w:val="auto"/>
          <w:sz w:val="36"/>
          <w:highlight w:val="none"/>
        </w:rPr>
      </w:pPr>
    </w:p>
    <w:p>
      <w:pPr>
        <w:pStyle w:val="13"/>
        <w:tabs>
          <w:tab w:val="left" w:pos="2472"/>
        </w:tabs>
        <w:spacing w:line="460" w:lineRule="exact"/>
        <w:jc w:val="center"/>
        <w:outlineLvl w:val="0"/>
        <w:rPr>
          <w:rFonts w:asciiTheme="minorEastAsia" w:hAnsiTheme="minorEastAsia" w:eastAsiaTheme="minorEastAsia" w:cstheme="minorEastAsia"/>
          <w:b/>
          <w:color w:val="auto"/>
          <w:sz w:val="36"/>
          <w:highlight w:val="none"/>
        </w:rPr>
      </w:pPr>
      <w:bookmarkStart w:id="254" w:name="_Toc14561"/>
      <w:r>
        <w:rPr>
          <w:rFonts w:hint="eastAsia" w:asciiTheme="minorEastAsia" w:hAnsiTheme="minorEastAsia" w:eastAsiaTheme="minorEastAsia" w:cstheme="minorEastAsia"/>
          <w:b/>
          <w:color w:val="auto"/>
          <w:sz w:val="36"/>
          <w:highlight w:val="none"/>
        </w:rPr>
        <w:t>第七章 质疑、投诉证明材料格式</w:t>
      </w:r>
      <w:bookmarkEnd w:id="254"/>
    </w:p>
    <w:p>
      <w:pPr>
        <w:widowControl/>
        <w:spacing w:line="360" w:lineRule="auto"/>
        <w:jc w:val="left"/>
        <w:rPr>
          <w:rFonts w:asciiTheme="minorEastAsia" w:hAnsiTheme="minorEastAsia" w:eastAsiaTheme="minorEastAsia" w:cstheme="minorEastAsia"/>
          <w:color w:val="auto"/>
          <w:sz w:val="20"/>
          <w:highlight w:val="none"/>
        </w:rPr>
        <w:sectPr>
          <w:pgSz w:w="11906" w:h="16838"/>
          <w:pgMar w:top="1134" w:right="1134" w:bottom="1134" w:left="1134" w:header="720" w:footer="720" w:gutter="0"/>
          <w:cols w:space="720" w:num="1"/>
          <w:docGrid w:type="lines" w:linePitch="331" w:charSpace="0"/>
        </w:sectPr>
      </w:pPr>
    </w:p>
    <w:p>
      <w:pPr>
        <w:widowControl/>
        <w:shd w:val="clear" w:color="auto" w:fill="FFFFFF"/>
        <w:spacing w:line="260" w:lineRule="exact"/>
        <w:jc w:val="left"/>
        <w:rPr>
          <w:rFonts w:asciiTheme="minorEastAsia" w:hAnsiTheme="minorEastAsia" w:eastAsiaTheme="minorEastAsia" w:cstheme="minorEastAsia"/>
          <w:b/>
          <w:bCs/>
          <w:color w:val="auto"/>
          <w:sz w:val="28"/>
          <w:szCs w:val="28"/>
          <w:highlight w:val="none"/>
        </w:rPr>
      </w:pPr>
    </w:p>
    <w:p>
      <w:pPr>
        <w:pStyle w:val="3"/>
        <w:jc w:val="center"/>
        <w:rPr>
          <w:rFonts w:asciiTheme="minorEastAsia" w:hAnsiTheme="minorEastAsia" w:eastAsiaTheme="minorEastAsia" w:cstheme="minorEastAsia"/>
          <w:b w:val="0"/>
          <w:bCs w:val="0"/>
          <w:color w:val="auto"/>
          <w:highlight w:val="none"/>
        </w:rPr>
      </w:pPr>
      <w:bookmarkStart w:id="255" w:name="_Toc27750"/>
      <w:r>
        <w:rPr>
          <w:rFonts w:hint="eastAsia" w:asciiTheme="minorEastAsia" w:hAnsiTheme="minorEastAsia" w:eastAsiaTheme="minorEastAsia" w:cstheme="minorEastAsia"/>
          <w:b w:val="0"/>
          <w:bCs w:val="0"/>
          <w:color w:val="auto"/>
          <w:highlight w:val="none"/>
        </w:rPr>
        <w:t>第一节 质疑函（格式）</w:t>
      </w:r>
      <w:bookmarkEnd w:id="255"/>
    </w:p>
    <w:p>
      <w:pPr>
        <w:jc w:val="center"/>
        <w:rPr>
          <w:rFonts w:asciiTheme="minorEastAsia" w:hAnsiTheme="minorEastAsia" w:eastAsiaTheme="minorEastAsia" w:cstheme="minorEastAsia"/>
          <w:b/>
          <w:bCs/>
          <w:color w:val="auto"/>
          <w:sz w:val="44"/>
          <w:szCs w:val="44"/>
          <w:highlight w:val="none"/>
        </w:rPr>
      </w:pPr>
      <w:r>
        <w:rPr>
          <w:rFonts w:hint="eastAsia" w:asciiTheme="minorEastAsia" w:hAnsiTheme="minorEastAsia" w:eastAsiaTheme="minorEastAsia" w:cstheme="minorEastAsia"/>
          <w:b/>
          <w:bCs/>
          <w:color w:val="auto"/>
          <w:sz w:val="44"/>
          <w:szCs w:val="44"/>
          <w:highlight w:val="none"/>
        </w:rPr>
        <w:t>质疑函范本</w:t>
      </w:r>
    </w:p>
    <w:p>
      <w:pPr>
        <w:adjustRightInd w:val="0"/>
        <w:snapToGrid w:val="0"/>
        <w:spacing w:beforeLines="100"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一、质疑供应商基本信息</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质疑供应商：</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地址：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授权代表：</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地址： </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二、质疑项目基本情况</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质疑项目的名称：</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dotted"/>
          <w:lang w:eastAsia="zh-CN"/>
        </w:rPr>
        <w:t>2025年西乡塘区糖料蔗病虫害绿色防控项目</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质疑项目的编号：</w:t>
      </w:r>
      <w:r>
        <w:rPr>
          <w:rFonts w:hint="eastAsia" w:asciiTheme="minorEastAsia" w:hAnsiTheme="minorEastAsia" w:eastAsiaTheme="minorEastAsia" w:cstheme="minorEastAsia"/>
          <w:color w:val="auto"/>
          <w:sz w:val="32"/>
          <w:szCs w:val="32"/>
          <w:highlight w:val="none"/>
          <w:u w:val="dotted"/>
          <w:lang w:eastAsia="zh-CN"/>
        </w:rPr>
        <w:t>NNZC2026-G3-070001-GXYG</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包号：</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采购人名称：</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dotted"/>
          <w:lang w:eastAsia="zh-CN"/>
        </w:rPr>
        <w:t>南宁市西乡塘区农业农村局</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采购文件获取日期：</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三、质疑事项具体内容</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质疑事项1：</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事实依据：</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法律依据：</w:t>
      </w: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质疑事项2</w:t>
      </w:r>
    </w:p>
    <w:p>
      <w:pPr>
        <w:adjustRightInd w:val="0"/>
        <w:snapToGrid w:val="0"/>
        <w:spacing w:line="360" w:lineRule="auto"/>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w:t>
      </w:r>
    </w:p>
    <w:p>
      <w:pPr>
        <w:adjustRightInd w:val="0"/>
        <w:snapToGrid w:val="0"/>
        <w:spacing w:line="360" w:lineRule="auto"/>
        <w:rPr>
          <w:rFonts w:asciiTheme="minorEastAsia" w:hAnsiTheme="minorEastAsia" w:eastAsiaTheme="minorEastAsia" w:cstheme="minorEastAsia"/>
          <w:bCs/>
          <w:color w:val="auto"/>
          <w:sz w:val="32"/>
          <w:szCs w:val="32"/>
          <w:highlight w:val="none"/>
        </w:rPr>
      </w:pPr>
      <w:r>
        <w:rPr>
          <w:rFonts w:hint="eastAsia" w:asciiTheme="minorEastAsia" w:hAnsiTheme="minorEastAsia" w:eastAsiaTheme="minorEastAsia" w:cstheme="minorEastAsia"/>
          <w:bCs/>
          <w:color w:val="auto"/>
          <w:sz w:val="32"/>
          <w:szCs w:val="32"/>
          <w:highlight w:val="none"/>
        </w:rPr>
        <w:t>四、与质疑事项相关的质疑请求</w:t>
      </w:r>
    </w:p>
    <w:p>
      <w:pPr>
        <w:adjustRightInd w:val="0"/>
        <w:snapToGrid w:val="0"/>
        <w:spacing w:line="360" w:lineRule="auto"/>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请求：</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签字(签章)：                   公章：                      </w:t>
      </w:r>
    </w:p>
    <w:p>
      <w:pPr>
        <w:rPr>
          <w:rFonts w:asciiTheme="minorEastAsia" w:hAnsiTheme="minorEastAsia" w:eastAsiaTheme="minorEastAsia" w:cstheme="minorEastAsia"/>
          <w:color w:val="auto"/>
          <w:sz w:val="30"/>
          <w:szCs w:val="30"/>
          <w:highlight w:val="none"/>
        </w:rPr>
      </w:pPr>
      <w:r>
        <w:rPr>
          <w:rFonts w:hint="eastAsia" w:asciiTheme="minorEastAsia" w:hAnsiTheme="minorEastAsia" w:eastAsiaTheme="minorEastAsia" w:cstheme="minorEastAsia"/>
          <w:color w:val="auto"/>
          <w:sz w:val="30"/>
          <w:szCs w:val="30"/>
          <w:highlight w:val="none"/>
        </w:rPr>
        <w:t xml:space="preserve">日期：    </w:t>
      </w:r>
    </w:p>
    <w:p>
      <w:pPr>
        <w:adjustRightInd w:val="0"/>
        <w:snapToGrid w:val="0"/>
        <w:spacing w:line="360" w:lineRule="auto"/>
        <w:rPr>
          <w:rFonts w:asciiTheme="minorEastAsia" w:hAnsiTheme="minorEastAsia" w:eastAsiaTheme="minorEastAsia" w:cstheme="minorEastAsia"/>
          <w:color w:val="auto"/>
          <w:sz w:val="32"/>
          <w:szCs w:val="32"/>
          <w:highlight w:val="none"/>
        </w:rPr>
      </w:pPr>
    </w:p>
    <w:p>
      <w:pPr>
        <w:adjustRightInd w:val="0"/>
        <w:snapToGrid w:val="0"/>
        <w:spacing w:line="360" w:lineRule="auto"/>
        <w:rPr>
          <w:rFonts w:asciiTheme="minorEastAsia" w:hAnsiTheme="minorEastAsia" w:eastAsiaTheme="minorEastAsia" w:cstheme="minorEastAsia"/>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jc w:val="center"/>
        <w:rPr>
          <w:rFonts w:asciiTheme="minorEastAsia" w:hAnsiTheme="minorEastAsia" w:eastAsiaTheme="minorEastAsia" w:cstheme="minorEastAsia"/>
          <w:b/>
          <w:bCs/>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质疑函制作说明：</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1.供应商提出质疑时，应提交质疑函和必要的证明材料。</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2.质疑供应商若委托代理人进行质疑的，质疑函应按要求列明“授权代表”的有关内容，并在附件中提交由质疑</w:t>
      </w:r>
      <w:r>
        <w:rPr>
          <w:rFonts w:hint="eastAsia" w:asciiTheme="minorEastAsia" w:hAnsiTheme="minorEastAsia" w:eastAsiaTheme="minorEastAsia" w:cstheme="minorEastAsia"/>
          <w:color w:val="auto"/>
          <w:kern w:val="0"/>
          <w:sz w:val="32"/>
          <w:szCs w:val="32"/>
          <w:highlight w:val="none"/>
        </w:rPr>
        <w:t>供应商签署的授权委托书。授权委托书应载明代理人的姓名或者名称、代理事项、具体权限、期限和相关事项。</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3.质疑供应商若对项目的某一分包进行质疑，质疑函中应列明具体分包号。</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4.质疑函的质疑事项应具体、明确，并有必要的事实依据和法律依据。</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5.质疑函的质疑请求应与质疑事项相关。</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6.质疑供应商为自然人的，质疑函应由本人签字；质疑供应商为法人或者其他组织的，质疑函应由法定代表人、主要负责人，或者其授权代表签字或者盖章，并加盖公章。</w:t>
      </w:r>
    </w:p>
    <w:p>
      <w:pPr>
        <w:widowControl/>
        <w:ind w:firstLine="600" w:firstLineChars="200"/>
        <w:jc w:val="left"/>
        <w:rPr>
          <w:rFonts w:asciiTheme="minorEastAsia" w:hAnsiTheme="minorEastAsia" w:eastAsiaTheme="minorEastAsia" w:cstheme="minorEastAsia"/>
          <w:color w:val="auto"/>
          <w:sz w:val="30"/>
          <w:szCs w:val="30"/>
          <w:highlight w:val="none"/>
        </w:rPr>
      </w:pPr>
    </w:p>
    <w:p>
      <w:pPr>
        <w:widowControl/>
        <w:spacing w:line="360" w:lineRule="auto"/>
        <w:jc w:val="left"/>
        <w:rPr>
          <w:rFonts w:asciiTheme="minorEastAsia" w:hAnsiTheme="minorEastAsia" w:eastAsiaTheme="minorEastAsia" w:cstheme="minorEastAsia"/>
          <w:color w:val="auto"/>
          <w:kern w:val="0"/>
          <w:sz w:val="24"/>
          <w:highlight w:val="none"/>
        </w:rPr>
        <w:sectPr>
          <w:pgSz w:w="11906" w:h="16838"/>
          <w:pgMar w:top="1134" w:right="1134" w:bottom="1134" w:left="1134" w:header="720" w:footer="720" w:gutter="0"/>
          <w:cols w:space="720" w:num="1"/>
          <w:docGrid w:type="lines" w:linePitch="331" w:charSpace="0"/>
        </w:sectPr>
      </w:pPr>
    </w:p>
    <w:p>
      <w:pPr>
        <w:pStyle w:val="3"/>
        <w:jc w:val="center"/>
        <w:rPr>
          <w:rFonts w:asciiTheme="minorEastAsia" w:hAnsiTheme="minorEastAsia" w:eastAsiaTheme="minorEastAsia" w:cstheme="minorEastAsia"/>
          <w:b w:val="0"/>
          <w:bCs w:val="0"/>
          <w:color w:val="auto"/>
          <w:highlight w:val="none"/>
        </w:rPr>
      </w:pPr>
      <w:bookmarkStart w:id="256" w:name="_Toc26110"/>
      <w:r>
        <w:rPr>
          <w:rFonts w:hint="eastAsia" w:asciiTheme="minorEastAsia" w:hAnsiTheme="minorEastAsia" w:eastAsiaTheme="minorEastAsia" w:cstheme="minorEastAsia"/>
          <w:b w:val="0"/>
          <w:bCs w:val="0"/>
          <w:color w:val="auto"/>
          <w:highlight w:val="none"/>
        </w:rPr>
        <w:t>第二节 投诉书（格式）</w:t>
      </w:r>
      <w:bookmarkEnd w:id="256"/>
    </w:p>
    <w:p>
      <w:pPr>
        <w:jc w:val="center"/>
        <w:rPr>
          <w:rFonts w:asciiTheme="minorEastAsia" w:hAnsiTheme="minorEastAsia" w:eastAsiaTheme="minorEastAsia" w:cstheme="minorEastAsia"/>
          <w:b/>
          <w:color w:val="auto"/>
          <w:sz w:val="44"/>
          <w:szCs w:val="44"/>
          <w:highlight w:val="none"/>
        </w:rPr>
      </w:pPr>
      <w:r>
        <w:rPr>
          <w:rFonts w:hint="eastAsia" w:asciiTheme="minorEastAsia" w:hAnsiTheme="minorEastAsia" w:eastAsiaTheme="minorEastAsia" w:cstheme="minorEastAsia"/>
          <w:b/>
          <w:color w:val="auto"/>
          <w:sz w:val="44"/>
          <w:szCs w:val="44"/>
          <w:highlight w:val="none"/>
        </w:rPr>
        <w:t>投诉书范本</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一、投诉相关主体基本情况</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投诉人：</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tabs>
          <w:tab w:val="left" w:pos="6510"/>
        </w:tabs>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法定代表人/主要负责人：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pPr>
        <w:tabs>
          <w:tab w:val="left" w:pos="6510"/>
        </w:tabs>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授权代表：</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被投诉人1：</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联系人：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被投诉人2</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相关供应商：</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地     址：</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邮编：</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联系人：</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联系电话：</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二、投诉项目基本情况</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采购项目名称：</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dotted"/>
          <w:lang w:eastAsia="zh-CN"/>
        </w:rPr>
        <w:t>2025年西乡塘区糖料蔗病虫害绿色防控项目</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采购项目编号：</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dotted"/>
          <w:lang w:eastAsia="zh-CN"/>
        </w:rPr>
        <w:t>NNZC2026-G3-070001-GXYG</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包号：</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采购人名称：</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u w:val="dotted"/>
          <w:lang w:eastAsia="zh-CN"/>
        </w:rPr>
        <w:t>南宁市西乡塘区农业农村局</w:t>
      </w:r>
      <w:r>
        <w:rPr>
          <w:rFonts w:hint="eastAsia" w:asciiTheme="minorEastAsia" w:hAnsiTheme="minorEastAsia" w:eastAsiaTheme="minorEastAsia" w:cstheme="minorEastAsia"/>
          <w:color w:val="auto"/>
          <w:sz w:val="32"/>
          <w:szCs w:val="32"/>
          <w:highlight w:val="none"/>
          <w:u w:val="single"/>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代理机构名称：</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采购文件公告:</w:t>
      </w:r>
      <w:r>
        <w:rPr>
          <w:rFonts w:hint="eastAsia" w:asciiTheme="minorEastAsia" w:hAnsiTheme="minorEastAsia" w:eastAsiaTheme="minorEastAsia" w:cstheme="minorEastAsia"/>
          <w:color w:val="auto"/>
          <w:sz w:val="32"/>
          <w:szCs w:val="32"/>
          <w:highlight w:val="none"/>
          <w:u w:val="dotted"/>
        </w:rPr>
        <w:t xml:space="preserve">是/否 </w:t>
      </w:r>
      <w:r>
        <w:rPr>
          <w:rFonts w:hint="eastAsia" w:asciiTheme="minorEastAsia" w:hAnsiTheme="minorEastAsia" w:eastAsiaTheme="minorEastAsia" w:cstheme="minorEastAsia"/>
          <w:color w:val="auto"/>
          <w:sz w:val="32"/>
          <w:szCs w:val="32"/>
          <w:highlight w:val="none"/>
        </w:rPr>
        <w:t>公告期限：</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采购结果公告:</w:t>
      </w:r>
      <w:r>
        <w:rPr>
          <w:rFonts w:hint="eastAsia" w:asciiTheme="minorEastAsia" w:hAnsiTheme="minorEastAsia" w:eastAsiaTheme="minorEastAsia" w:cstheme="minorEastAsia"/>
          <w:color w:val="auto"/>
          <w:sz w:val="32"/>
          <w:szCs w:val="32"/>
          <w:highlight w:val="none"/>
          <w:u w:val="dotted"/>
        </w:rPr>
        <w:t xml:space="preserve">是/否 </w:t>
      </w:r>
      <w:r>
        <w:rPr>
          <w:rFonts w:hint="eastAsia" w:asciiTheme="minorEastAsia" w:hAnsiTheme="minorEastAsia" w:eastAsiaTheme="minorEastAsia" w:cstheme="minorEastAsia"/>
          <w:color w:val="auto"/>
          <w:sz w:val="32"/>
          <w:szCs w:val="32"/>
          <w:highlight w:val="none"/>
        </w:rPr>
        <w:t>公告期限：</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三、质疑基本情况</w:t>
      </w:r>
    </w:p>
    <w:p>
      <w:pPr>
        <w:ind w:firstLine="640" w:firstLineChars="200"/>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投诉人于</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日,向</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提出质疑，质疑事项为：</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pPr>
        <w:ind w:firstLine="480" w:firstLineChars="150"/>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u w:val="dotted"/>
        </w:rPr>
        <w:t>采购人/代理机构</w:t>
      </w:r>
      <w:r>
        <w:rPr>
          <w:rFonts w:hint="eastAsia" w:asciiTheme="minorEastAsia" w:hAnsiTheme="minorEastAsia" w:eastAsiaTheme="minorEastAsia" w:cstheme="minorEastAsia"/>
          <w:color w:val="auto"/>
          <w:sz w:val="32"/>
          <w:szCs w:val="32"/>
          <w:highlight w:val="none"/>
        </w:rPr>
        <w:t>于</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日,就质疑事项作出了答复/没有在法定期限内作出答复。</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四、投诉事项具体内容</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投诉事项 1：</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事实依据：</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法律依据：</w:t>
      </w: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u w:val="dotted"/>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投诉事项2</w:t>
      </w:r>
    </w:p>
    <w:p>
      <w:pPr>
        <w:rPr>
          <w:rFonts w:asciiTheme="minorEastAsia" w:hAnsiTheme="minorEastAsia" w:eastAsiaTheme="minorEastAsia" w:cstheme="minorEastAsia"/>
          <w:color w:val="auto"/>
          <w:sz w:val="32"/>
          <w:szCs w:val="32"/>
          <w:highlight w:val="none"/>
          <w:u w:val="dotted"/>
        </w:rPr>
      </w:pPr>
      <w:r>
        <w:rPr>
          <w:rFonts w:hint="eastAsia" w:asciiTheme="minorEastAsia" w:hAnsiTheme="minorEastAsia" w:eastAsiaTheme="minorEastAsia" w:cstheme="minorEastAsia"/>
          <w:color w:val="auto"/>
          <w:sz w:val="32"/>
          <w:szCs w:val="32"/>
          <w:highlight w:val="none"/>
        </w:rPr>
        <w:t>……</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五、与投诉事项相关的投诉请求</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请求：</w:t>
      </w:r>
      <w:r>
        <w:rPr>
          <w:rFonts w:hint="eastAsia" w:asciiTheme="minorEastAsia" w:hAnsiTheme="minorEastAsia" w:eastAsiaTheme="minorEastAsia" w:cstheme="minorEastAsia"/>
          <w:color w:val="auto"/>
          <w:sz w:val="32"/>
          <w:szCs w:val="32"/>
          <w:highlight w:val="none"/>
          <w:u w:val="dotted"/>
        </w:rPr>
        <w:t xml:space="preserve">                                              </w:t>
      </w:r>
      <w:r>
        <w:rPr>
          <w:rFonts w:hint="eastAsia" w:asciiTheme="minorEastAsia" w:hAnsiTheme="minorEastAsia" w:eastAsiaTheme="minorEastAsia" w:cstheme="minorEastAsia"/>
          <w:color w:val="auto"/>
          <w:sz w:val="32"/>
          <w:szCs w:val="32"/>
          <w:highlight w:val="none"/>
        </w:rPr>
        <w:t xml:space="preserve"> </w:t>
      </w:r>
    </w:p>
    <w:p>
      <w:pPr>
        <w:rPr>
          <w:rFonts w:asciiTheme="minorEastAsia" w:hAnsiTheme="minorEastAsia" w:eastAsiaTheme="minorEastAsia" w:cstheme="minorEastAsia"/>
          <w:color w:val="auto"/>
          <w:sz w:val="32"/>
          <w:szCs w:val="32"/>
          <w:highlight w:val="none"/>
          <w:u w:val="single"/>
        </w:rPr>
      </w:pPr>
      <w:r>
        <w:rPr>
          <w:rFonts w:hint="eastAsia" w:asciiTheme="minorEastAsia" w:hAnsiTheme="minorEastAsia" w:eastAsiaTheme="minorEastAsia" w:cstheme="minorEastAsia"/>
          <w:color w:val="auto"/>
          <w:sz w:val="32"/>
          <w:szCs w:val="32"/>
          <w:highlight w:val="none"/>
        </w:rPr>
        <w:t xml:space="preserve">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签字(签章)：                   公章：                      </w:t>
      </w:r>
    </w:p>
    <w:p>
      <w:pPr>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日期：    </w:t>
      </w:r>
    </w:p>
    <w:p>
      <w:pPr>
        <w:rPr>
          <w:rFonts w:asciiTheme="minorEastAsia" w:hAnsiTheme="minorEastAsia" w:eastAsiaTheme="minorEastAsia" w:cstheme="minorEastAsia"/>
          <w:b/>
          <w:color w:val="auto"/>
          <w:sz w:val="32"/>
          <w:szCs w:val="32"/>
          <w:highlight w:val="none"/>
        </w:rPr>
      </w:pPr>
    </w:p>
    <w:p>
      <w:pPr>
        <w:rPr>
          <w:rFonts w:asciiTheme="minorEastAsia" w:hAnsiTheme="minorEastAsia" w:eastAsiaTheme="minorEastAsia" w:cstheme="minorEastAsia"/>
          <w:b/>
          <w:color w:val="auto"/>
          <w:sz w:val="32"/>
          <w:szCs w:val="32"/>
          <w:highlight w:val="none"/>
        </w:rPr>
      </w:pPr>
      <w:r>
        <w:rPr>
          <w:rFonts w:hint="eastAsia" w:asciiTheme="minorEastAsia" w:hAnsiTheme="minorEastAsia" w:eastAsiaTheme="minorEastAsia" w:cstheme="minorEastAsia"/>
          <w:b/>
          <w:color w:val="auto"/>
          <w:sz w:val="32"/>
          <w:szCs w:val="32"/>
          <w:highlight w:val="none"/>
        </w:rPr>
        <w:t>投诉书制作说明：</w:t>
      </w:r>
    </w:p>
    <w:p>
      <w:pPr>
        <w:widowControl/>
        <w:ind w:firstLine="640" w:firstLineChars="200"/>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1.投诉人提起投诉时，应当提交投诉书和必要的证明材料，并按照被投诉人和与投诉事项有关的供应商数量提供投诉书副本。</w:t>
      </w:r>
    </w:p>
    <w:p>
      <w:pPr>
        <w:widowControl/>
        <w:ind w:firstLine="640" w:firstLineChars="200"/>
        <w:jc w:val="left"/>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2.投诉人若委托代理人进行投诉的，投诉书应按照要求列明“授权代表”的有关内容，并在附件中提交由</w:t>
      </w:r>
      <w:r>
        <w:rPr>
          <w:rFonts w:hint="eastAsia" w:asciiTheme="minorEastAsia" w:hAnsiTheme="minorEastAsia" w:eastAsiaTheme="minorEastAsia" w:cstheme="minorEastAsia"/>
          <w:color w:val="auto"/>
          <w:kern w:val="0"/>
          <w:sz w:val="32"/>
          <w:szCs w:val="32"/>
          <w:highlight w:val="none"/>
        </w:rPr>
        <w:t>投诉人签署的授权委托书。授权委托书应当载明代理人的姓名或者名称、代理事项、具体权限、期限和相关事项。</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3.投诉人若对项目的某一分包进行投诉，投诉书应列明具体分包号。</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4.投诉书应简要列明质疑事项，质疑函、质疑答复等作为附件材料提供。</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5.投诉书的投诉事项应具体、明确，并有必要的事实依据和法律依据。</w:t>
      </w:r>
    </w:p>
    <w:p>
      <w:pPr>
        <w:widowControl/>
        <w:ind w:firstLine="640" w:firstLineChars="200"/>
        <w:jc w:val="left"/>
        <w:rPr>
          <w:rFonts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6.投诉书的投诉请求应与投诉事项相关。</w:t>
      </w:r>
    </w:p>
    <w:p>
      <w:pPr>
        <w:widowControl/>
        <w:ind w:firstLine="640" w:firstLineChars="200"/>
        <w:jc w:val="left"/>
        <w:rPr>
          <w:rFonts w:asciiTheme="minorEastAsia" w:hAnsiTheme="minorEastAsia" w:eastAsiaTheme="minorEastAsia" w:cstheme="minorEastAsia"/>
          <w:color w:val="auto"/>
          <w:kern w:val="0"/>
          <w:sz w:val="32"/>
          <w:szCs w:val="32"/>
          <w:highlight w:val="none"/>
        </w:rPr>
      </w:pPr>
      <w:r>
        <w:rPr>
          <w:rFonts w:hint="eastAsia" w:asciiTheme="minorEastAsia" w:hAnsiTheme="minorEastAsia" w:eastAsiaTheme="minorEastAsia" w:cstheme="minorEastAsia"/>
          <w:color w:val="auto"/>
          <w:sz w:val="32"/>
          <w:szCs w:val="32"/>
          <w:highlight w:val="none"/>
        </w:rPr>
        <w:t>7.投诉人为自然人的，投诉书应当由本人签字；投诉人为法人或者其他组织的，投诉书应当由法定代表人、主要负责人，或者其授权代表签字或者盖章，并加盖公章。</w:t>
      </w:r>
    </w:p>
    <w:p>
      <w:pPr>
        <w:snapToGrid w:val="0"/>
        <w:spacing w:before="50" w:afterLines="50" w:line="360" w:lineRule="auto"/>
        <w:ind w:firstLine="480" w:firstLineChars="200"/>
        <w:jc w:val="left"/>
        <w:rPr>
          <w:rFonts w:asciiTheme="minorEastAsia" w:hAnsiTheme="minorEastAsia" w:eastAsiaTheme="minorEastAsia" w:cstheme="minorEastAsia"/>
          <w:color w:val="auto"/>
          <w:sz w:val="24"/>
          <w:highlight w:val="none"/>
        </w:rPr>
      </w:pPr>
    </w:p>
    <w:p>
      <w:pPr>
        <w:rPr>
          <w:rFonts w:asciiTheme="minorEastAsia" w:hAnsiTheme="minorEastAsia" w:eastAsiaTheme="minorEastAsia" w:cstheme="minorEastAsia"/>
          <w:color w:val="auto"/>
          <w:highlight w:val="none"/>
        </w:rPr>
      </w:pPr>
    </w:p>
    <w:p>
      <w:pPr>
        <w:rPr>
          <w:rFonts w:asciiTheme="minorEastAsia" w:hAnsiTheme="minorEastAsia" w:eastAsiaTheme="minorEastAsia" w:cstheme="minorEastAsia"/>
          <w:color w:val="auto"/>
          <w:highlight w:val="none"/>
        </w:rPr>
      </w:pPr>
    </w:p>
    <w:sectPr>
      <w:footerReference r:id="rId9" w:type="first"/>
      <w:headerReference r:id="rId6" w:type="default"/>
      <w:footerReference r:id="rId7" w:type="default"/>
      <w:footerReference r:id="rId8" w:type="even"/>
      <w:pgSz w:w="11906" w:h="16838"/>
      <w:pgMar w:top="1134" w:right="1134" w:bottom="1134" w:left="1134" w:header="720" w:footer="720" w:gutter="0"/>
      <w:cols w:space="720" w:num="1"/>
      <w:docGrid w:type="lines"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right"/>
                          </w:pPr>
                          <w:r>
                            <w:t xml:space="preserve">— </w:t>
                          </w:r>
                          <w:r>
                            <w:fldChar w:fldCharType="begin"/>
                          </w:r>
                          <w:r>
                            <w:instrText xml:space="preserve"> PAGE  \* MERGEFORMAT </w:instrText>
                          </w:r>
                          <w:r>
                            <w:fldChar w:fldCharType="separate"/>
                          </w:r>
                          <w:r>
                            <w:t>23</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7c75Y4AgAAbw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zqGCC6WRhgIqW+9GiFdtcO&#10;fHamOIGmM/2ceMvXNUrZMB8emMNgoHw8nXCPpZQGKc1gUVIZ9/Vf5zEe/YKXkgaDllONd0WJ/KDR&#10;RwCG0XCjsRsNfVB3BpOL3qCWzsQFF+Rols6oL3hPy5gDLqY5MuU0jOZd6Icd75GL5bILOlhX76v+&#10;AqbQsrDRW8tjmiiVt8tDgLSd4lGgXhV0Km4wh13PhjcTB/3PfRf19J9YP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7tzvljgCAABvBAAADgAAAAAAAAABACAAAAAfAQAAZHJzL2Uyb0RvYy54&#10;bWxQSwUGAAAAAAYABgBZAQAAyQUAAAAA&#10;">
              <v:fill on="f" focussize="0,0"/>
              <v:stroke on="f" weight="0.5pt"/>
              <v:imagedata o:title=""/>
              <o:lock v:ext="edit" aspectratio="f"/>
              <v:textbox inset="0mm,0mm,0mm,0mm" style="mso-fit-shape-to-text:t;">
                <w:txbxContent>
                  <w:p>
                    <w:pPr>
                      <w:pStyle w:val="2"/>
                      <w:jc w:val="right"/>
                    </w:pPr>
                    <w:r>
                      <w:t xml:space="preserve">— </w:t>
                    </w:r>
                    <w:r>
                      <w:fldChar w:fldCharType="begin"/>
                    </w:r>
                    <w:r>
                      <w:instrText xml:space="preserve"> PAGE  \* MERGEFORMAT </w:instrText>
                    </w:r>
                    <w:r>
                      <w:fldChar w:fldCharType="separate"/>
                    </w:r>
                    <w:r>
                      <w:t>23</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jc w:val="center"/>
                          </w:pPr>
                          <w:r>
                            <w:fldChar w:fldCharType="begin"/>
                          </w:r>
                          <w:r>
                            <w:instrText xml:space="preserve"> PAGE   \* MERGEFORMAT </w:instrText>
                          </w:r>
                          <w:r>
                            <w:fldChar w:fldCharType="separate"/>
                          </w:r>
                          <w:r>
                            <w:rPr>
                              <w:lang w:val="zh-CN"/>
                            </w:rPr>
                            <w:t>100</w:t>
                          </w:r>
                          <w:r>
                            <w:rPr>
                              <w:lang w:val="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pPr>
                      <w:pStyle w:val="2"/>
                      <w:jc w:val="center"/>
                    </w:pPr>
                    <w:r>
                      <w:fldChar w:fldCharType="begin"/>
                    </w:r>
                    <w:r>
                      <w:instrText xml:space="preserve"> PAGE   \* MERGEFORMAT </w:instrText>
                    </w:r>
                    <w:r>
                      <w:fldChar w:fldCharType="separate"/>
                    </w:r>
                    <w:r>
                      <w:rPr>
                        <w:lang w:val="zh-CN"/>
                      </w:rPr>
                      <w:t>100</w:t>
                    </w:r>
                    <w:r>
                      <w:rPr>
                        <w:lang w:val="zh-CN"/>
                      </w:rPr>
                      <w:fldChar w:fldCharType="end"/>
                    </w:r>
                  </w:p>
                </w:txbxContent>
              </v:textbox>
            </v:shape>
          </w:pict>
        </mc:Fallback>
      </mc:AlternateContent>
    </w:r>
  </w:p>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26"/>
      </w:rPr>
    </w:pPr>
    <w:r>
      <w:fldChar w:fldCharType="begin"/>
    </w:r>
    <w:r>
      <w:rPr>
        <w:rStyle w:val="26"/>
      </w:rPr>
      <w:instrText xml:space="preserve">PAGE  </w:instrText>
    </w:r>
    <w:r>
      <w:fldChar w:fldCharType="end"/>
    </w:r>
  </w:p>
  <w:p>
    <w:pPr>
      <w:pStyle w:val="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26"/>
      </w:rPr>
    </w:pPr>
    <w:r>
      <w:fldChar w:fldCharType="begin"/>
    </w:r>
    <w:r>
      <w:rPr>
        <w:rStyle w:val="26"/>
      </w:rPr>
      <w:instrText xml:space="preserve">PAGE  </w:instrText>
    </w:r>
    <w:r>
      <w:fldChar w:fldCharType="separate"/>
    </w:r>
    <w:r>
      <w:rPr>
        <w:rStyle w:val="26"/>
      </w:rPr>
      <w:t>122</w:t>
    </w:r>
    <w:r>
      <w:fldChar w:fldCharType="end"/>
    </w:r>
  </w:p>
  <w:p>
    <w:pPr>
      <w:pStyle w:val="2"/>
      <w:ind w:right="360"/>
      <w:jc w:val="both"/>
    </w:pPr>
    <w:r>
      <w:rPr>
        <w:rFonts w:hint="eastAsia"/>
      </w:rPr>
      <w:t>121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hint="eastAsia"/>
      </w:rPr>
      <w:t>南宁市政府采购公开招标采购文件（项目编号：</w:t>
    </w:r>
    <w:r>
      <w:rPr>
        <w:rFonts w:hint="eastAsia"/>
        <w:lang w:eastAsia="zh-CN"/>
      </w:rPr>
      <w:t>NNZC2026-G3-070001-GXYG</w:t>
    </w:r>
    <w:r>
      <w:rPr>
        <w:rFonts w:hint="eastAsia"/>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tabs>
        <w:tab w:val="center" w:pos="0"/>
        <w:tab w:val="clear" w:pos="4153"/>
      </w:tabs>
    </w:pPr>
    <w:r>
      <w:rPr>
        <w:rFonts w:hint="eastAsia"/>
      </w:rPr>
      <w:t>项目编号：@采购文件模板实体.项目编号1@</w:t>
    </w:r>
  </w:p>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C3C4FD3"/>
    <w:multiLevelType w:val="singleLevel"/>
    <w:tmpl w:val="DC3C4FD3"/>
    <w:lvl w:ilvl="0" w:tentative="0">
      <w:start w:val="1"/>
      <w:numFmt w:val="decimal"/>
      <w:suff w:val="nothing"/>
      <w:lvlText w:val="（%1）"/>
      <w:lvlJc w:val="left"/>
    </w:lvl>
  </w:abstractNum>
  <w:abstractNum w:abstractNumId="1">
    <w:nsid w:val="F7698BBC"/>
    <w:multiLevelType w:val="singleLevel"/>
    <w:tmpl w:val="F7698BBC"/>
    <w:lvl w:ilvl="0" w:tentative="0">
      <w:start w:val="8"/>
      <w:numFmt w:val="chineseCounting"/>
      <w:suff w:val="nothing"/>
      <w:lvlText w:val="%1、"/>
      <w:lvlJc w:val="left"/>
      <w:rPr>
        <w:rFonts w:hint="eastAsia"/>
      </w:rPr>
    </w:lvl>
  </w:abstractNum>
  <w:abstractNum w:abstractNumId="2">
    <w:nsid w:val="00000007"/>
    <w:multiLevelType w:val="multilevel"/>
    <w:tmpl w:val="00000007"/>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3">
    <w:nsid w:val="34444808"/>
    <w:multiLevelType w:val="multilevel"/>
    <w:tmpl w:val="34444808"/>
    <w:lvl w:ilvl="0" w:tentative="0">
      <w:start w:val="1"/>
      <w:numFmt w:val="decimal"/>
      <w:lvlText w:val="%1、"/>
      <w:lvlJc w:val="left"/>
      <w:pPr>
        <w:ind w:left="660" w:hanging="360"/>
      </w:pPr>
      <w:rPr>
        <w:rFonts w:hint="default"/>
      </w:rPr>
    </w:lvl>
    <w:lvl w:ilvl="1" w:tentative="0">
      <w:start w:val="1"/>
      <w:numFmt w:val="lowerLetter"/>
      <w:lvlText w:val="%2)"/>
      <w:lvlJc w:val="left"/>
      <w:pPr>
        <w:ind w:left="1140" w:hanging="420"/>
      </w:pPr>
    </w:lvl>
    <w:lvl w:ilvl="2" w:tentative="0">
      <w:start w:val="1"/>
      <w:numFmt w:val="lowerRoman"/>
      <w:lvlText w:val="%3."/>
      <w:lvlJc w:val="right"/>
      <w:pPr>
        <w:ind w:left="1560" w:hanging="420"/>
      </w:pPr>
    </w:lvl>
    <w:lvl w:ilvl="3" w:tentative="0">
      <w:start w:val="1"/>
      <w:numFmt w:val="decimal"/>
      <w:lvlText w:val="%4."/>
      <w:lvlJc w:val="left"/>
      <w:pPr>
        <w:ind w:left="1980" w:hanging="420"/>
      </w:pPr>
    </w:lvl>
    <w:lvl w:ilvl="4" w:tentative="0">
      <w:start w:val="1"/>
      <w:numFmt w:val="lowerLetter"/>
      <w:lvlText w:val="%5)"/>
      <w:lvlJc w:val="left"/>
      <w:pPr>
        <w:ind w:left="2400" w:hanging="420"/>
      </w:pPr>
    </w:lvl>
    <w:lvl w:ilvl="5" w:tentative="0">
      <w:start w:val="1"/>
      <w:numFmt w:val="lowerRoman"/>
      <w:lvlText w:val="%6."/>
      <w:lvlJc w:val="right"/>
      <w:pPr>
        <w:ind w:left="2820" w:hanging="420"/>
      </w:pPr>
    </w:lvl>
    <w:lvl w:ilvl="6" w:tentative="0">
      <w:start w:val="1"/>
      <w:numFmt w:val="decimal"/>
      <w:lvlText w:val="%7."/>
      <w:lvlJc w:val="left"/>
      <w:pPr>
        <w:ind w:left="3240" w:hanging="420"/>
      </w:pPr>
    </w:lvl>
    <w:lvl w:ilvl="7" w:tentative="0">
      <w:start w:val="1"/>
      <w:numFmt w:val="lowerLetter"/>
      <w:lvlText w:val="%8)"/>
      <w:lvlJc w:val="left"/>
      <w:pPr>
        <w:ind w:left="3660" w:hanging="420"/>
      </w:pPr>
    </w:lvl>
    <w:lvl w:ilvl="8" w:tentative="0">
      <w:start w:val="1"/>
      <w:numFmt w:val="lowerRoman"/>
      <w:lvlText w:val="%9."/>
      <w:lvlJc w:val="right"/>
      <w:pPr>
        <w:ind w:left="4080" w:hanging="420"/>
      </w:pPr>
    </w:lvl>
  </w:abstractNum>
  <w:abstractNum w:abstractNumId="4">
    <w:nsid w:val="45643F3D"/>
    <w:multiLevelType w:val="singleLevel"/>
    <w:tmpl w:val="45643F3D"/>
    <w:lvl w:ilvl="0" w:tentative="0">
      <w:start w:val="3"/>
      <w:numFmt w:val="decimal"/>
      <w:lvlText w:val="%1."/>
      <w:lvlJc w:val="left"/>
      <w:pPr>
        <w:tabs>
          <w:tab w:val="left" w:pos="312"/>
        </w:tabs>
      </w:pPr>
    </w:lvl>
  </w:abstractNum>
  <w:abstractNum w:abstractNumId="5">
    <w:nsid w:val="51536378"/>
    <w:multiLevelType w:val="singleLevel"/>
    <w:tmpl w:val="51536378"/>
    <w:lvl w:ilvl="0" w:tentative="0">
      <w:start w:val="1"/>
      <w:numFmt w:val="decimal"/>
      <w:suff w:val="nothing"/>
      <w:lvlText w:val="（%1）"/>
      <w:lvlJc w:val="left"/>
      <w:pPr>
        <w:ind w:left="0" w:firstLine="0"/>
      </w:pPr>
    </w:lvl>
  </w:abstractNum>
  <w:abstractNum w:abstractNumId="6">
    <w:nsid w:val="72962756"/>
    <w:multiLevelType w:val="multilevel"/>
    <w:tmpl w:val="72962756"/>
    <w:lvl w:ilvl="0" w:tentative="0">
      <w:start w:val="1"/>
      <w:numFmt w:val="japaneseCounting"/>
      <w:lvlText w:val="（%1）"/>
      <w:lvlJc w:val="left"/>
      <w:pPr>
        <w:ind w:left="1237" w:hanging="765"/>
      </w:pPr>
      <w:rPr>
        <w:rFonts w:hint="default"/>
      </w:rPr>
    </w:lvl>
    <w:lvl w:ilvl="1" w:tentative="0">
      <w:start w:val="1"/>
      <w:numFmt w:val="lowerLetter"/>
      <w:lvlText w:val="%2)"/>
      <w:lvlJc w:val="left"/>
      <w:pPr>
        <w:ind w:left="1312" w:hanging="420"/>
      </w:pPr>
    </w:lvl>
    <w:lvl w:ilvl="2" w:tentative="0">
      <w:start w:val="1"/>
      <w:numFmt w:val="lowerRoman"/>
      <w:lvlText w:val="%3."/>
      <w:lvlJc w:val="right"/>
      <w:pPr>
        <w:ind w:left="1732" w:hanging="420"/>
      </w:pPr>
    </w:lvl>
    <w:lvl w:ilvl="3" w:tentative="0">
      <w:start w:val="1"/>
      <w:numFmt w:val="decimal"/>
      <w:lvlText w:val="%4."/>
      <w:lvlJc w:val="left"/>
      <w:pPr>
        <w:ind w:left="2152" w:hanging="420"/>
      </w:pPr>
    </w:lvl>
    <w:lvl w:ilvl="4" w:tentative="0">
      <w:start w:val="1"/>
      <w:numFmt w:val="lowerLetter"/>
      <w:lvlText w:val="%5)"/>
      <w:lvlJc w:val="left"/>
      <w:pPr>
        <w:ind w:left="2572" w:hanging="420"/>
      </w:pPr>
    </w:lvl>
    <w:lvl w:ilvl="5" w:tentative="0">
      <w:start w:val="1"/>
      <w:numFmt w:val="lowerRoman"/>
      <w:lvlText w:val="%6."/>
      <w:lvlJc w:val="right"/>
      <w:pPr>
        <w:ind w:left="2992" w:hanging="420"/>
      </w:pPr>
    </w:lvl>
    <w:lvl w:ilvl="6" w:tentative="0">
      <w:start w:val="1"/>
      <w:numFmt w:val="decimal"/>
      <w:lvlText w:val="%7."/>
      <w:lvlJc w:val="left"/>
      <w:pPr>
        <w:ind w:left="3412" w:hanging="420"/>
      </w:pPr>
    </w:lvl>
    <w:lvl w:ilvl="7" w:tentative="0">
      <w:start w:val="1"/>
      <w:numFmt w:val="lowerLetter"/>
      <w:lvlText w:val="%8)"/>
      <w:lvlJc w:val="left"/>
      <w:pPr>
        <w:ind w:left="3832" w:hanging="420"/>
      </w:pPr>
    </w:lvl>
    <w:lvl w:ilvl="8" w:tentative="0">
      <w:start w:val="1"/>
      <w:numFmt w:val="lowerRoman"/>
      <w:lvlText w:val="%9."/>
      <w:lvlJc w:val="right"/>
      <w:pPr>
        <w:ind w:left="4252" w:hanging="420"/>
      </w:pPr>
    </w:lvl>
  </w:abstractNum>
  <w:num w:numId="1">
    <w:abstractNumId w:val="0"/>
  </w:num>
  <w:num w:numId="2">
    <w:abstractNumId w:val="5"/>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mOGQyNWI4YTk0YzdlODRkYzlkM2Y4OWUwYzRhYTYifQ=="/>
  </w:docVars>
  <w:rsids>
    <w:rsidRoot w:val="007B5CB3"/>
    <w:rsid w:val="000E5316"/>
    <w:rsid w:val="001B69E0"/>
    <w:rsid w:val="00372C4E"/>
    <w:rsid w:val="00524477"/>
    <w:rsid w:val="00565E4F"/>
    <w:rsid w:val="006F06F9"/>
    <w:rsid w:val="00787F6B"/>
    <w:rsid w:val="007B5CB3"/>
    <w:rsid w:val="00DE6C47"/>
    <w:rsid w:val="00EF1E6A"/>
    <w:rsid w:val="00FB68EA"/>
    <w:rsid w:val="00FD5494"/>
    <w:rsid w:val="01520363"/>
    <w:rsid w:val="019674B7"/>
    <w:rsid w:val="03215A07"/>
    <w:rsid w:val="033C5C40"/>
    <w:rsid w:val="03C422A4"/>
    <w:rsid w:val="03F0476C"/>
    <w:rsid w:val="08A74FB5"/>
    <w:rsid w:val="08E6104B"/>
    <w:rsid w:val="099B14A9"/>
    <w:rsid w:val="0A287E69"/>
    <w:rsid w:val="0AB21E79"/>
    <w:rsid w:val="0BD635ED"/>
    <w:rsid w:val="0BE81B6C"/>
    <w:rsid w:val="0CA67794"/>
    <w:rsid w:val="0EFE40CF"/>
    <w:rsid w:val="113F6A24"/>
    <w:rsid w:val="11F04BAD"/>
    <w:rsid w:val="13130905"/>
    <w:rsid w:val="13AD4DEB"/>
    <w:rsid w:val="13FD0B9D"/>
    <w:rsid w:val="14FD0EC0"/>
    <w:rsid w:val="162F3076"/>
    <w:rsid w:val="175FEF62"/>
    <w:rsid w:val="1763654B"/>
    <w:rsid w:val="17697E5C"/>
    <w:rsid w:val="17DF4D5A"/>
    <w:rsid w:val="18A62A00"/>
    <w:rsid w:val="18FC0AFE"/>
    <w:rsid w:val="19660B1E"/>
    <w:rsid w:val="197F715C"/>
    <w:rsid w:val="1A5B192A"/>
    <w:rsid w:val="1A8707A2"/>
    <w:rsid w:val="1AD24FB9"/>
    <w:rsid w:val="1B86093B"/>
    <w:rsid w:val="1DF4681E"/>
    <w:rsid w:val="1E4E0A42"/>
    <w:rsid w:val="1ED757AE"/>
    <w:rsid w:val="1F2BC332"/>
    <w:rsid w:val="1F6358B3"/>
    <w:rsid w:val="1F6825BB"/>
    <w:rsid w:val="1FADEC2C"/>
    <w:rsid w:val="1FEB428A"/>
    <w:rsid w:val="20293178"/>
    <w:rsid w:val="21203381"/>
    <w:rsid w:val="216029CA"/>
    <w:rsid w:val="233A6C5C"/>
    <w:rsid w:val="2352548B"/>
    <w:rsid w:val="23F3E645"/>
    <w:rsid w:val="259C4FDD"/>
    <w:rsid w:val="26B66A46"/>
    <w:rsid w:val="27162A32"/>
    <w:rsid w:val="283B4790"/>
    <w:rsid w:val="28C00E11"/>
    <w:rsid w:val="2A428374"/>
    <w:rsid w:val="2A506E02"/>
    <w:rsid w:val="2ABFBF42"/>
    <w:rsid w:val="2B602462"/>
    <w:rsid w:val="2C71577B"/>
    <w:rsid w:val="2D156B17"/>
    <w:rsid w:val="2DEE2434"/>
    <w:rsid w:val="2DFE606D"/>
    <w:rsid w:val="2EFF2243"/>
    <w:rsid w:val="2F5F427B"/>
    <w:rsid w:val="3025014F"/>
    <w:rsid w:val="3072DAE0"/>
    <w:rsid w:val="31437F61"/>
    <w:rsid w:val="3359EAAE"/>
    <w:rsid w:val="340F5638"/>
    <w:rsid w:val="34DBACD9"/>
    <w:rsid w:val="35AE33B0"/>
    <w:rsid w:val="35ECC83D"/>
    <w:rsid w:val="36647A21"/>
    <w:rsid w:val="376E2A64"/>
    <w:rsid w:val="382A6CD5"/>
    <w:rsid w:val="386341A5"/>
    <w:rsid w:val="39E3559D"/>
    <w:rsid w:val="39FB0CA5"/>
    <w:rsid w:val="3ADF44F4"/>
    <w:rsid w:val="3BD9D2F9"/>
    <w:rsid w:val="3BF750E1"/>
    <w:rsid w:val="3BFF9C3A"/>
    <w:rsid w:val="3C3A521C"/>
    <w:rsid w:val="3DAFA26C"/>
    <w:rsid w:val="3EEECC26"/>
    <w:rsid w:val="3F3A2728"/>
    <w:rsid w:val="3F6DC35C"/>
    <w:rsid w:val="3F6E89F1"/>
    <w:rsid w:val="3F7A0547"/>
    <w:rsid w:val="3FDDA833"/>
    <w:rsid w:val="3FE4156D"/>
    <w:rsid w:val="3FFDDD1F"/>
    <w:rsid w:val="3FFF1901"/>
    <w:rsid w:val="40D87B25"/>
    <w:rsid w:val="40E65C5D"/>
    <w:rsid w:val="446613DF"/>
    <w:rsid w:val="44B244EA"/>
    <w:rsid w:val="456719A5"/>
    <w:rsid w:val="46220F1F"/>
    <w:rsid w:val="46462AD9"/>
    <w:rsid w:val="476D15CF"/>
    <w:rsid w:val="47DC362C"/>
    <w:rsid w:val="48C11028"/>
    <w:rsid w:val="49B94213"/>
    <w:rsid w:val="49F7474D"/>
    <w:rsid w:val="4A021FF3"/>
    <w:rsid w:val="4A5676C5"/>
    <w:rsid w:val="4C742085"/>
    <w:rsid w:val="4CEE5883"/>
    <w:rsid w:val="4D5FCF02"/>
    <w:rsid w:val="4F5BE202"/>
    <w:rsid w:val="4F65C897"/>
    <w:rsid w:val="4FC7AB2B"/>
    <w:rsid w:val="4FD9F8FD"/>
    <w:rsid w:val="50185EE2"/>
    <w:rsid w:val="50290AEE"/>
    <w:rsid w:val="50493858"/>
    <w:rsid w:val="504B57F2"/>
    <w:rsid w:val="50EA4A1D"/>
    <w:rsid w:val="518E5997"/>
    <w:rsid w:val="51E909F0"/>
    <w:rsid w:val="51F9D297"/>
    <w:rsid w:val="51FA188E"/>
    <w:rsid w:val="52D7336D"/>
    <w:rsid w:val="533030D1"/>
    <w:rsid w:val="5377272B"/>
    <w:rsid w:val="54240834"/>
    <w:rsid w:val="556B1685"/>
    <w:rsid w:val="557742CC"/>
    <w:rsid w:val="55CD4C0E"/>
    <w:rsid w:val="55FFA1DF"/>
    <w:rsid w:val="570F62D0"/>
    <w:rsid w:val="57CF1346"/>
    <w:rsid w:val="58E9311A"/>
    <w:rsid w:val="59CE4083"/>
    <w:rsid w:val="59DE17F1"/>
    <w:rsid w:val="59F0F7DE"/>
    <w:rsid w:val="5B8F09B5"/>
    <w:rsid w:val="5BECF23C"/>
    <w:rsid w:val="5C1A1103"/>
    <w:rsid w:val="5C62639E"/>
    <w:rsid w:val="5CFFBBC0"/>
    <w:rsid w:val="5D3D4922"/>
    <w:rsid w:val="5D3F0663"/>
    <w:rsid w:val="5D4C0510"/>
    <w:rsid w:val="5E510478"/>
    <w:rsid w:val="5EE30EB9"/>
    <w:rsid w:val="5EE52114"/>
    <w:rsid w:val="5EFB44F7"/>
    <w:rsid w:val="5F69331F"/>
    <w:rsid w:val="5F9F1A34"/>
    <w:rsid w:val="5FBFF516"/>
    <w:rsid w:val="5FEDC66C"/>
    <w:rsid w:val="5FF36F18"/>
    <w:rsid w:val="5FFB426A"/>
    <w:rsid w:val="5FFF3BE6"/>
    <w:rsid w:val="604F6772"/>
    <w:rsid w:val="61D5D266"/>
    <w:rsid w:val="623A2A12"/>
    <w:rsid w:val="624B5741"/>
    <w:rsid w:val="62AA63A9"/>
    <w:rsid w:val="62BA2B10"/>
    <w:rsid w:val="634A5FE0"/>
    <w:rsid w:val="634F8575"/>
    <w:rsid w:val="6377B2EC"/>
    <w:rsid w:val="6415668A"/>
    <w:rsid w:val="649E0AF9"/>
    <w:rsid w:val="65074C58"/>
    <w:rsid w:val="66535657"/>
    <w:rsid w:val="66BE1541"/>
    <w:rsid w:val="67B72ABC"/>
    <w:rsid w:val="67BAEE22"/>
    <w:rsid w:val="67BEB412"/>
    <w:rsid w:val="67F7D249"/>
    <w:rsid w:val="6830029F"/>
    <w:rsid w:val="686D2352"/>
    <w:rsid w:val="687769E1"/>
    <w:rsid w:val="692FCC80"/>
    <w:rsid w:val="69B9B359"/>
    <w:rsid w:val="69BD323B"/>
    <w:rsid w:val="6AB11709"/>
    <w:rsid w:val="6B317451"/>
    <w:rsid w:val="6B7DA9FF"/>
    <w:rsid w:val="6BAC3984"/>
    <w:rsid w:val="6BBB7FF5"/>
    <w:rsid w:val="6BDFADBA"/>
    <w:rsid w:val="6BEF0EF7"/>
    <w:rsid w:val="6CAA158D"/>
    <w:rsid w:val="6D5A4442"/>
    <w:rsid w:val="6DB85E51"/>
    <w:rsid w:val="6DF64E7A"/>
    <w:rsid w:val="6E7EB433"/>
    <w:rsid w:val="6EF721ED"/>
    <w:rsid w:val="6EF8530B"/>
    <w:rsid w:val="6EFC6072"/>
    <w:rsid w:val="6F7D3CD6"/>
    <w:rsid w:val="6FA6D871"/>
    <w:rsid w:val="6FB75003"/>
    <w:rsid w:val="6FCD7E03"/>
    <w:rsid w:val="6FDFE229"/>
    <w:rsid w:val="6FDFF6C2"/>
    <w:rsid w:val="6FF1B51E"/>
    <w:rsid w:val="6FFFAD42"/>
    <w:rsid w:val="70F6F2D9"/>
    <w:rsid w:val="71F2043E"/>
    <w:rsid w:val="71FFF52B"/>
    <w:rsid w:val="723FEF7E"/>
    <w:rsid w:val="728601C9"/>
    <w:rsid w:val="72D721DC"/>
    <w:rsid w:val="72F33A41"/>
    <w:rsid w:val="72FFD337"/>
    <w:rsid w:val="73676E22"/>
    <w:rsid w:val="74781483"/>
    <w:rsid w:val="750E3E20"/>
    <w:rsid w:val="75B570E6"/>
    <w:rsid w:val="75CF091B"/>
    <w:rsid w:val="75FD8C5A"/>
    <w:rsid w:val="76511237"/>
    <w:rsid w:val="76BFECB7"/>
    <w:rsid w:val="778650A2"/>
    <w:rsid w:val="778A5E63"/>
    <w:rsid w:val="77B22445"/>
    <w:rsid w:val="77BB1DE1"/>
    <w:rsid w:val="77D50CBF"/>
    <w:rsid w:val="77EF2889"/>
    <w:rsid w:val="77F50107"/>
    <w:rsid w:val="77FF9E8A"/>
    <w:rsid w:val="77FFF192"/>
    <w:rsid w:val="78154D61"/>
    <w:rsid w:val="78A371FC"/>
    <w:rsid w:val="78CC2A74"/>
    <w:rsid w:val="7935BB99"/>
    <w:rsid w:val="79EF79C6"/>
    <w:rsid w:val="79FB5AF2"/>
    <w:rsid w:val="7A8022CA"/>
    <w:rsid w:val="7AA385B8"/>
    <w:rsid w:val="7AFB5E36"/>
    <w:rsid w:val="7AFE5C54"/>
    <w:rsid w:val="7B7BA8EB"/>
    <w:rsid w:val="7BBEBD4B"/>
    <w:rsid w:val="7BBF933C"/>
    <w:rsid w:val="7BDD3E69"/>
    <w:rsid w:val="7BF32D6A"/>
    <w:rsid w:val="7C791B97"/>
    <w:rsid w:val="7CF7EDC6"/>
    <w:rsid w:val="7D2FC9B0"/>
    <w:rsid w:val="7D7E4F8B"/>
    <w:rsid w:val="7D9D73BC"/>
    <w:rsid w:val="7DBBA9D4"/>
    <w:rsid w:val="7DBC32D6"/>
    <w:rsid w:val="7DEDF879"/>
    <w:rsid w:val="7DEF5EA4"/>
    <w:rsid w:val="7DEFC14B"/>
    <w:rsid w:val="7E3E1E49"/>
    <w:rsid w:val="7E554A5A"/>
    <w:rsid w:val="7E631E8F"/>
    <w:rsid w:val="7EBD76D2"/>
    <w:rsid w:val="7EBDE941"/>
    <w:rsid w:val="7F038896"/>
    <w:rsid w:val="7F3A171C"/>
    <w:rsid w:val="7F3B8432"/>
    <w:rsid w:val="7F7DDEE9"/>
    <w:rsid w:val="7F7F5520"/>
    <w:rsid w:val="7FC80D06"/>
    <w:rsid w:val="7FDD7C70"/>
    <w:rsid w:val="7FDFDAF6"/>
    <w:rsid w:val="7FEBCBDF"/>
    <w:rsid w:val="7FF5FA6C"/>
    <w:rsid w:val="7FFA9D08"/>
    <w:rsid w:val="7FFE5DF8"/>
    <w:rsid w:val="7FFE71C6"/>
    <w:rsid w:val="83DB1D45"/>
    <w:rsid w:val="98F7F6CE"/>
    <w:rsid w:val="9DFFC609"/>
    <w:rsid w:val="9F3B62BC"/>
    <w:rsid w:val="9F6BDB46"/>
    <w:rsid w:val="9FD4F612"/>
    <w:rsid w:val="9FF6C3D5"/>
    <w:rsid w:val="A7D30287"/>
    <w:rsid w:val="AD5EF420"/>
    <w:rsid w:val="AFB1D1AE"/>
    <w:rsid w:val="B4EF76FF"/>
    <w:rsid w:val="B7B70F5E"/>
    <w:rsid w:val="B7EDFD16"/>
    <w:rsid w:val="B8F5777A"/>
    <w:rsid w:val="B9BEC972"/>
    <w:rsid w:val="B9F74285"/>
    <w:rsid w:val="BAFF65D3"/>
    <w:rsid w:val="BAFFFA5F"/>
    <w:rsid w:val="BBEBB2A6"/>
    <w:rsid w:val="BCCFCFD2"/>
    <w:rsid w:val="BD370D06"/>
    <w:rsid w:val="BDBAADCF"/>
    <w:rsid w:val="BEB64497"/>
    <w:rsid w:val="BEBBE18E"/>
    <w:rsid w:val="BF5D7D23"/>
    <w:rsid w:val="BF7D25B7"/>
    <w:rsid w:val="BF7E82E0"/>
    <w:rsid w:val="BF7F9695"/>
    <w:rsid w:val="BFEC8D4A"/>
    <w:rsid w:val="BFF67F8A"/>
    <w:rsid w:val="BFF7FB85"/>
    <w:rsid w:val="BFFA41F7"/>
    <w:rsid w:val="BFFA5948"/>
    <w:rsid w:val="C3FF7292"/>
    <w:rsid w:val="C7AB62B2"/>
    <w:rsid w:val="CBFFF79B"/>
    <w:rsid w:val="CCD7E003"/>
    <w:rsid w:val="CFEDD025"/>
    <w:rsid w:val="D1BFE4AC"/>
    <w:rsid w:val="D5FB373E"/>
    <w:rsid w:val="D6FD8C60"/>
    <w:rsid w:val="DB7F42A1"/>
    <w:rsid w:val="DBDD3C40"/>
    <w:rsid w:val="DC8F7DCC"/>
    <w:rsid w:val="DCEFF330"/>
    <w:rsid w:val="DD7B7513"/>
    <w:rsid w:val="DDFE77C6"/>
    <w:rsid w:val="DDFF2A6A"/>
    <w:rsid w:val="DED90015"/>
    <w:rsid w:val="DF7B0FED"/>
    <w:rsid w:val="DFAF3231"/>
    <w:rsid w:val="DFAF4F32"/>
    <w:rsid w:val="DFBD6787"/>
    <w:rsid w:val="DFC14313"/>
    <w:rsid w:val="DFFEE93D"/>
    <w:rsid w:val="DFFFDEDD"/>
    <w:rsid w:val="E5DFAB2E"/>
    <w:rsid w:val="E6DF1DBC"/>
    <w:rsid w:val="E797B0FA"/>
    <w:rsid w:val="E7BEB492"/>
    <w:rsid w:val="E8BD9E91"/>
    <w:rsid w:val="EB5FCB68"/>
    <w:rsid w:val="EB770C58"/>
    <w:rsid w:val="EBF6BCEB"/>
    <w:rsid w:val="EBF8F8A9"/>
    <w:rsid w:val="EBFFAC84"/>
    <w:rsid w:val="EC1BC58A"/>
    <w:rsid w:val="ECECB1C4"/>
    <w:rsid w:val="EEDF29F7"/>
    <w:rsid w:val="EF2F8197"/>
    <w:rsid w:val="EF9F8C53"/>
    <w:rsid w:val="EFAD8BB5"/>
    <w:rsid w:val="EFBF7C5F"/>
    <w:rsid w:val="EFE54E74"/>
    <w:rsid w:val="EFFF19A8"/>
    <w:rsid w:val="F0FAE9E2"/>
    <w:rsid w:val="F33D912D"/>
    <w:rsid w:val="F3BB28E4"/>
    <w:rsid w:val="F42F796B"/>
    <w:rsid w:val="F47769D0"/>
    <w:rsid w:val="F4D3F6A9"/>
    <w:rsid w:val="F4F57643"/>
    <w:rsid w:val="F5FB393B"/>
    <w:rsid w:val="F73E2F8D"/>
    <w:rsid w:val="F7E753A5"/>
    <w:rsid w:val="F7FE56A7"/>
    <w:rsid w:val="F87E4B0A"/>
    <w:rsid w:val="F9DFEB85"/>
    <w:rsid w:val="F9FB28FD"/>
    <w:rsid w:val="F9FFB243"/>
    <w:rsid w:val="FB3FC475"/>
    <w:rsid w:val="FBA7756B"/>
    <w:rsid w:val="FBEDB5AD"/>
    <w:rsid w:val="FBEF3AAA"/>
    <w:rsid w:val="FBFB1181"/>
    <w:rsid w:val="FCF7C459"/>
    <w:rsid w:val="FD5C55CB"/>
    <w:rsid w:val="FD731026"/>
    <w:rsid w:val="FD9F2D4E"/>
    <w:rsid w:val="FDCFB5C7"/>
    <w:rsid w:val="FDE73F90"/>
    <w:rsid w:val="FDE9E1B9"/>
    <w:rsid w:val="FE7EBC75"/>
    <w:rsid w:val="FEBA7E28"/>
    <w:rsid w:val="FED53400"/>
    <w:rsid w:val="FEEF34E6"/>
    <w:rsid w:val="FEF6A441"/>
    <w:rsid w:val="FF5BCB4D"/>
    <w:rsid w:val="FF6FA569"/>
    <w:rsid w:val="FF7B8C58"/>
    <w:rsid w:val="FF7DE2E0"/>
    <w:rsid w:val="FF7F0EBA"/>
    <w:rsid w:val="FF9F9443"/>
    <w:rsid w:val="FFA3B8C5"/>
    <w:rsid w:val="FFB964D5"/>
    <w:rsid w:val="FFBB11C5"/>
    <w:rsid w:val="FFDF9E1A"/>
    <w:rsid w:val="FFDFB8DA"/>
    <w:rsid w:val="FFDFF685"/>
    <w:rsid w:val="FFE1819F"/>
    <w:rsid w:val="FFF46914"/>
    <w:rsid w:val="FFFBA109"/>
    <w:rsid w:val="FFFBA416"/>
    <w:rsid w:val="FFFCDCAA"/>
    <w:rsid w:val="FFFD4529"/>
    <w:rsid w:val="FFFD9A44"/>
    <w:rsid w:val="FFFF5F0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autoRedefine/>
    <w:semiHidden/>
    <w:unhideWhenUsed/>
    <w:qFormat/>
    <w:uiPriority w:val="0"/>
    <w:pPr>
      <w:keepNext/>
      <w:keepLines/>
      <w:spacing w:line="413" w:lineRule="auto"/>
      <w:outlineLvl w:val="1"/>
    </w:pPr>
    <w:rPr>
      <w:rFonts w:ascii="Arial" w:hAnsi="Arial" w:eastAsia="黑体"/>
      <w:b/>
      <w:bCs/>
      <w:sz w:val="32"/>
      <w:szCs w:val="32"/>
    </w:rPr>
  </w:style>
  <w:style w:type="paragraph" w:styleId="4">
    <w:name w:val="heading 3"/>
    <w:basedOn w:val="1"/>
    <w:next w:val="1"/>
    <w:semiHidden/>
    <w:unhideWhenUsed/>
    <w:qFormat/>
    <w:uiPriority w:val="0"/>
    <w:pPr>
      <w:keepNext/>
      <w:keepLines/>
      <w:spacing w:line="600" w:lineRule="exact"/>
      <w:ind w:firstLine="643" w:firstLineChars="200"/>
      <w:outlineLvl w:val="2"/>
    </w:pPr>
    <w:rPr>
      <w:b/>
      <w:bCs/>
      <w:sz w:val="32"/>
      <w:szCs w:val="32"/>
    </w:rPr>
  </w:style>
  <w:style w:type="paragraph" w:styleId="5">
    <w:name w:val="heading 4"/>
    <w:basedOn w:val="1"/>
    <w:next w:val="1"/>
    <w:qFormat/>
    <w:uiPriority w:val="0"/>
    <w:pPr>
      <w:tabs>
        <w:tab w:val="left" w:pos="2155"/>
      </w:tabs>
      <w:adjustRightInd w:val="0"/>
      <w:spacing w:line="360" w:lineRule="auto"/>
      <w:ind w:left="2155" w:hanging="1078"/>
      <w:textAlignment w:val="baseline"/>
      <w:outlineLvl w:val="3"/>
    </w:pPr>
    <w:rPr>
      <w:rFonts w:ascii="Arial" w:eastAsia="黑体"/>
      <w:kern w:val="0"/>
      <w:sz w:val="28"/>
      <w:szCs w:val="20"/>
    </w:rPr>
  </w:style>
  <w:style w:type="paragraph" w:styleId="6">
    <w:name w:val="heading 5"/>
    <w:basedOn w:val="1"/>
    <w:next w:val="1"/>
    <w:autoRedefine/>
    <w:semiHidden/>
    <w:unhideWhenUsed/>
    <w:qFormat/>
    <w:uiPriority w:val="0"/>
    <w:pPr>
      <w:keepNext/>
      <w:keepLines/>
      <w:spacing w:before="280" w:after="290" w:line="376" w:lineRule="auto"/>
      <w:outlineLvl w:val="4"/>
    </w:pPr>
    <w:rPr>
      <w:b/>
      <w:bCs/>
      <w:sz w:val="28"/>
      <w:szCs w:val="28"/>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autoRedefine/>
    <w:qFormat/>
    <w:uiPriority w:val="0"/>
    <w:pPr>
      <w:tabs>
        <w:tab w:val="center" w:pos="4153"/>
        <w:tab w:val="right" w:pos="8306"/>
      </w:tabs>
      <w:snapToGrid w:val="0"/>
      <w:jc w:val="left"/>
    </w:pPr>
    <w:rPr>
      <w:sz w:val="18"/>
      <w:szCs w:val="18"/>
    </w:rPr>
  </w:style>
  <w:style w:type="paragraph" w:styleId="7">
    <w:name w:val="Normal Indent"/>
    <w:basedOn w:val="1"/>
    <w:qFormat/>
    <w:uiPriority w:val="99"/>
    <w:pPr>
      <w:ind w:firstLine="420"/>
    </w:pPr>
    <w:rPr>
      <w:szCs w:val="20"/>
    </w:rPr>
  </w:style>
  <w:style w:type="paragraph" w:styleId="8">
    <w:name w:val="Document Map"/>
    <w:basedOn w:val="1"/>
    <w:link w:val="38"/>
    <w:qFormat/>
    <w:uiPriority w:val="0"/>
    <w:rPr>
      <w:rFonts w:ascii="宋体"/>
      <w:sz w:val="18"/>
      <w:szCs w:val="18"/>
    </w:rPr>
  </w:style>
  <w:style w:type="paragraph" w:styleId="9">
    <w:name w:val="annotation text"/>
    <w:basedOn w:val="1"/>
    <w:link w:val="39"/>
    <w:qFormat/>
    <w:uiPriority w:val="0"/>
    <w:pPr>
      <w:jc w:val="left"/>
    </w:pPr>
  </w:style>
  <w:style w:type="paragraph" w:styleId="10">
    <w:name w:val="Body Text"/>
    <w:basedOn w:val="1"/>
    <w:autoRedefine/>
    <w:unhideWhenUsed/>
    <w:qFormat/>
    <w:uiPriority w:val="0"/>
    <w:pPr>
      <w:spacing w:after="120"/>
    </w:pPr>
  </w:style>
  <w:style w:type="paragraph" w:styleId="11">
    <w:name w:val="Body Text Indent"/>
    <w:basedOn w:val="1"/>
    <w:autoRedefine/>
    <w:semiHidden/>
    <w:unhideWhenUsed/>
    <w:qFormat/>
    <w:uiPriority w:val="99"/>
    <w:pPr>
      <w:spacing w:line="200" w:lineRule="exact"/>
      <w:ind w:firstLine="301"/>
    </w:pPr>
    <w:rPr>
      <w:rFonts w:ascii="宋体" w:hAnsi="Courier New"/>
      <w:spacing w:val="-4"/>
      <w:sz w:val="18"/>
      <w:szCs w:val="20"/>
    </w:rPr>
  </w:style>
  <w:style w:type="paragraph" w:styleId="12">
    <w:name w:val="toc 3"/>
    <w:basedOn w:val="1"/>
    <w:next w:val="1"/>
    <w:autoRedefine/>
    <w:qFormat/>
    <w:uiPriority w:val="0"/>
    <w:pPr>
      <w:jc w:val="left"/>
    </w:pPr>
    <w:rPr>
      <w:rFonts w:ascii="Calibri" w:hAnsi="Calibri"/>
      <w:smallCaps/>
      <w:sz w:val="22"/>
      <w:szCs w:val="22"/>
    </w:rPr>
  </w:style>
  <w:style w:type="paragraph" w:styleId="13">
    <w:name w:val="Plain Text"/>
    <w:basedOn w:val="1"/>
    <w:next w:val="14"/>
    <w:autoRedefine/>
    <w:unhideWhenUsed/>
    <w:qFormat/>
    <w:uiPriority w:val="0"/>
    <w:rPr>
      <w:rFonts w:ascii="宋体" w:hAnsi="Courier New"/>
      <w:szCs w:val="20"/>
    </w:rPr>
  </w:style>
  <w:style w:type="paragraph" w:styleId="14">
    <w:name w:val="Date"/>
    <w:basedOn w:val="1"/>
    <w:next w:val="1"/>
    <w:autoRedefine/>
    <w:unhideWhenUsed/>
    <w:qFormat/>
    <w:uiPriority w:val="99"/>
    <w:pPr>
      <w:ind w:left="100" w:leftChars="2500"/>
    </w:pPr>
  </w:style>
  <w:style w:type="paragraph" w:styleId="15">
    <w:name w:val="Balloon Text"/>
    <w:basedOn w:val="1"/>
    <w:link w:val="37"/>
    <w:autoRedefine/>
    <w:qFormat/>
    <w:uiPriority w:val="0"/>
    <w:rPr>
      <w:sz w:val="18"/>
      <w:szCs w:val="18"/>
    </w:rPr>
  </w:style>
  <w:style w:type="paragraph" w:styleId="1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autoRedefine/>
    <w:qFormat/>
    <w:uiPriority w:val="0"/>
    <w:pPr>
      <w:spacing w:before="360" w:after="360"/>
      <w:jc w:val="left"/>
    </w:pPr>
    <w:rPr>
      <w:rFonts w:ascii="Calibri" w:hAnsi="Calibri"/>
      <w:b/>
      <w:bCs/>
      <w:caps/>
      <w:sz w:val="22"/>
      <w:szCs w:val="22"/>
      <w:u w:val="single"/>
    </w:rPr>
  </w:style>
  <w:style w:type="paragraph" w:styleId="18">
    <w:name w:val="List"/>
    <w:basedOn w:val="1"/>
    <w:autoRedefine/>
    <w:qFormat/>
    <w:uiPriority w:val="0"/>
    <w:pPr>
      <w:ind w:left="200" w:hanging="200" w:hangingChars="200"/>
    </w:pPr>
    <w:rPr>
      <w:sz w:val="28"/>
    </w:rPr>
  </w:style>
  <w:style w:type="paragraph" w:styleId="19">
    <w:name w:val="toc 2"/>
    <w:basedOn w:val="1"/>
    <w:next w:val="1"/>
    <w:autoRedefine/>
    <w:qFormat/>
    <w:uiPriority w:val="0"/>
    <w:pPr>
      <w:jc w:val="left"/>
    </w:pPr>
    <w:rPr>
      <w:rFonts w:ascii="Calibri" w:hAnsi="Calibri"/>
      <w:b/>
      <w:bCs/>
      <w:smallCaps/>
      <w:sz w:val="22"/>
      <w:szCs w:val="22"/>
    </w:rPr>
  </w:style>
  <w:style w:type="paragraph" w:styleId="20">
    <w:name w:val="Normal (Web)"/>
    <w:basedOn w:val="1"/>
    <w:autoRedefine/>
    <w:qFormat/>
    <w:uiPriority w:val="0"/>
    <w:pPr>
      <w:spacing w:beforeAutospacing="1" w:afterAutospacing="1"/>
      <w:jc w:val="left"/>
    </w:pPr>
    <w:rPr>
      <w:kern w:val="0"/>
      <w:sz w:val="24"/>
    </w:rPr>
  </w:style>
  <w:style w:type="paragraph" w:styleId="21">
    <w:name w:val="Title"/>
    <w:basedOn w:val="1"/>
    <w:next w:val="1"/>
    <w:autoRedefine/>
    <w:qFormat/>
    <w:uiPriority w:val="0"/>
    <w:pPr>
      <w:spacing w:before="240" w:after="60"/>
      <w:jc w:val="center"/>
      <w:outlineLvl w:val="0"/>
    </w:pPr>
    <w:rPr>
      <w:rFonts w:ascii="Cambria" w:hAnsi="Cambria"/>
      <w:b/>
      <w:bCs/>
      <w:sz w:val="32"/>
      <w:szCs w:val="32"/>
    </w:rPr>
  </w:style>
  <w:style w:type="paragraph" w:styleId="22">
    <w:name w:val="annotation subject"/>
    <w:basedOn w:val="9"/>
    <w:next w:val="9"/>
    <w:link w:val="40"/>
    <w:autoRedefine/>
    <w:qFormat/>
    <w:uiPriority w:val="0"/>
    <w:rPr>
      <w:b/>
      <w:bCs/>
    </w:rPr>
  </w:style>
  <w:style w:type="table" w:styleId="24">
    <w:name w:val="Table Grid"/>
    <w:basedOn w:val="2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page number"/>
    <w:autoRedefine/>
    <w:qFormat/>
    <w:uiPriority w:val="0"/>
  </w:style>
  <w:style w:type="character" w:styleId="27">
    <w:name w:val="Hyperlink"/>
    <w:autoRedefine/>
    <w:qFormat/>
    <w:uiPriority w:val="0"/>
    <w:rPr>
      <w:color w:val="0000FF"/>
      <w:u w:val="single"/>
    </w:rPr>
  </w:style>
  <w:style w:type="character" w:styleId="28">
    <w:name w:val="annotation reference"/>
    <w:autoRedefine/>
    <w:semiHidden/>
    <w:unhideWhenUsed/>
    <w:qFormat/>
    <w:uiPriority w:val="99"/>
    <w:rPr>
      <w:sz w:val="21"/>
      <w:szCs w:val="21"/>
    </w:rPr>
  </w:style>
  <w:style w:type="character" w:styleId="29">
    <w:name w:val="HTML Sample"/>
    <w:basedOn w:val="25"/>
    <w:autoRedefine/>
    <w:qFormat/>
    <w:uiPriority w:val="0"/>
    <w:rPr>
      <w:rFonts w:ascii="Courier New" w:hAnsi="Courier New"/>
    </w:rPr>
  </w:style>
  <w:style w:type="paragraph" w:styleId="30">
    <w:name w:val="Intense Quote"/>
    <w:next w:val="1"/>
    <w:autoRedefine/>
    <w:qFormat/>
    <w:uiPriority w:val="0"/>
    <w:pPr>
      <w:wordWrap w:val="0"/>
      <w:spacing w:before="360" w:after="360"/>
      <w:ind w:left="950" w:right="950"/>
      <w:jc w:val="center"/>
    </w:pPr>
    <w:rPr>
      <w:rFonts w:ascii="Calibri" w:hAnsi="Calibri" w:eastAsia="宋体" w:cs="Times New Roman"/>
      <w:i/>
      <w:sz w:val="21"/>
      <w:lang w:val="en-US" w:eastAsia="zh-CN" w:bidi="ar-SA"/>
    </w:rPr>
  </w:style>
  <w:style w:type="character" w:customStyle="1" w:styleId="31">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paragraph" w:customStyle="1" w:styleId="32">
    <w:name w:val="正文2"/>
    <w:basedOn w:val="1"/>
    <w:autoRedefine/>
    <w:qFormat/>
    <w:uiPriority w:val="0"/>
    <w:pPr>
      <w:adjustRightInd w:val="0"/>
      <w:spacing w:before="156" w:line="360" w:lineRule="auto"/>
      <w:ind w:firstLine="510" w:firstLineChars="200"/>
    </w:pPr>
    <w:rPr>
      <w:sz w:val="24"/>
      <w:szCs w:val="20"/>
    </w:rPr>
  </w:style>
  <w:style w:type="paragraph" w:customStyle="1" w:styleId="33">
    <w:name w:val="正文缩进1"/>
    <w:basedOn w:val="1"/>
    <w:next w:val="11"/>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34">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35">
    <w:name w:val="Table Paragraph"/>
    <w:basedOn w:val="1"/>
    <w:autoRedefine/>
    <w:qFormat/>
    <w:uiPriority w:val="1"/>
    <w:pPr>
      <w:jc w:val="left"/>
    </w:pPr>
    <w:rPr>
      <w:rFonts w:ascii="Calibri" w:hAnsi="Calibri"/>
      <w:kern w:val="0"/>
      <w:sz w:val="22"/>
      <w:szCs w:val="22"/>
      <w:lang w:eastAsia="en-US"/>
    </w:rPr>
  </w:style>
  <w:style w:type="paragraph" w:customStyle="1" w:styleId="36">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7">
    <w:name w:val="批注框文本 Char"/>
    <w:basedOn w:val="25"/>
    <w:link w:val="15"/>
    <w:autoRedefine/>
    <w:qFormat/>
    <w:uiPriority w:val="0"/>
    <w:rPr>
      <w:kern w:val="2"/>
      <w:sz w:val="18"/>
      <w:szCs w:val="18"/>
    </w:rPr>
  </w:style>
  <w:style w:type="character" w:customStyle="1" w:styleId="38">
    <w:name w:val="文档结构图 Char"/>
    <w:basedOn w:val="25"/>
    <w:link w:val="8"/>
    <w:autoRedefine/>
    <w:qFormat/>
    <w:uiPriority w:val="0"/>
    <w:rPr>
      <w:rFonts w:ascii="宋体"/>
      <w:kern w:val="2"/>
      <w:sz w:val="18"/>
      <w:szCs w:val="18"/>
    </w:rPr>
  </w:style>
  <w:style w:type="character" w:customStyle="1" w:styleId="39">
    <w:name w:val="批注文字 Char"/>
    <w:basedOn w:val="25"/>
    <w:link w:val="9"/>
    <w:autoRedefine/>
    <w:qFormat/>
    <w:uiPriority w:val="0"/>
    <w:rPr>
      <w:kern w:val="2"/>
      <w:sz w:val="21"/>
      <w:szCs w:val="24"/>
    </w:rPr>
  </w:style>
  <w:style w:type="character" w:customStyle="1" w:styleId="40">
    <w:name w:val="批注主题 Char"/>
    <w:basedOn w:val="39"/>
    <w:link w:val="22"/>
    <w:autoRedefine/>
    <w:qFormat/>
    <w:uiPriority w:val="0"/>
  </w:style>
  <w:style w:type="paragraph" w:customStyle="1" w:styleId="41">
    <w:name w:val="*正文"/>
    <w:basedOn w:val="1"/>
    <w:autoRedefine/>
    <w:qFormat/>
    <w:uiPriority w:val="0"/>
    <w:pPr>
      <w:snapToGrid w:val="0"/>
      <w:spacing w:line="360" w:lineRule="auto"/>
      <w:ind w:firstLine="482"/>
      <w:jc w:val="left"/>
    </w:pPr>
    <w:rPr>
      <w:rFonts w:ascii="宋体" w:hAnsi="宋体"/>
      <w:kern w:val="0"/>
      <w:sz w:val="24"/>
      <w:szCs w:val="20"/>
    </w:rPr>
  </w:style>
  <w:style w:type="paragraph" w:customStyle="1" w:styleId="42">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3">
    <w:name w:val="纯文本1"/>
    <w:basedOn w:val="1"/>
    <w:autoRedefine/>
    <w:qFormat/>
    <w:uiPriority w:val="0"/>
    <w:pPr>
      <w:adjustRightInd/>
    </w:pPr>
    <w:rPr>
      <w:rFonts w:ascii="宋体" w:hAnsi="Courier New"/>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99</Pages>
  <Words>2450</Words>
  <Characters>3021</Characters>
  <Lines>445</Lines>
  <Paragraphs>125</Paragraphs>
  <TotalTime>5</TotalTime>
  <ScaleCrop>false</ScaleCrop>
  <LinksUpToDate>false</LinksUpToDate>
  <CharactersWithSpaces>3140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2024-08-24T17:09:00Z</dcterms:created>
  <dc:creator>lenovo</dc:creator>
  <cp:lastModifiedBy>鞠丰泽</cp:lastModifiedBy>
  <cp:lastPrinted>2025-12-23T11:57:00Z</cp:lastPrinted>
  <dcterms:modified xsi:type="dcterms:W3CDTF">2026-01-02T09:49:07Z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F39761D9B68E4CD789C559B180A2977F_12</vt:lpwstr>
  </property>
  <property fmtid="{D5CDD505-2E9C-101B-9397-08002B2CF9AE}" pid="4" name="KSOTemplateDocerSaveRecord">
    <vt:lpwstr>eyJoZGlkIjoiNzA2ODhiZDJmY2ZiZGE1MjYwMmI0MDc5ZmFmMjI3M2QiLCJ1c2VySWQiOiI4MTcwMzMwNTcifQ==</vt:lpwstr>
  </property>
</Properties>
</file>