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720" w:leftChars="343" w:firstLine="1084" w:firstLineChars="300"/>
        <w:outlineLvl w:val="0"/>
        <w:rPr>
          <w:rFonts w:ascii="宋体" w:hAnsi="宋体" w:cs="宋体"/>
          <w:b/>
          <w:sz w:val="36"/>
          <w:szCs w:val="36"/>
        </w:rPr>
      </w:pPr>
      <w:bookmarkStart w:id="0" w:name="_Toc215759056"/>
      <w:r>
        <w:rPr>
          <w:rFonts w:hint="eastAsia" w:ascii="宋体" w:hAnsi="宋体" w:cs="宋体"/>
          <w:b/>
          <w:sz w:val="36"/>
          <w:szCs w:val="36"/>
        </w:rPr>
        <w:t>第五部分 拟签订的合同文本</w:t>
      </w:r>
      <w:bookmarkEnd w:id="0"/>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bCs/>
          <w:spacing w:val="-20"/>
          <w:kern w:val="44"/>
          <w:sz w:val="48"/>
          <w:szCs w:val="48"/>
        </w:rPr>
        <w:t>北海市政府采购合同</w:t>
      </w:r>
    </w:p>
    <w:p>
      <w:pPr>
        <w:spacing w:line="480" w:lineRule="auto"/>
        <w:jc w:val="center"/>
        <w:rPr>
          <w:rFonts w:ascii="宋体" w:hAnsi="宋体" w:cs="宋体"/>
          <w:b/>
          <w:sz w:val="36"/>
          <w:szCs w:val="36"/>
        </w:rPr>
      </w:pPr>
      <w:r>
        <w:rPr>
          <w:rFonts w:hint="eastAsia" w:ascii="宋体" w:hAnsi="宋体" w:cs="宋体"/>
          <w:b/>
          <w:sz w:val="36"/>
          <w:szCs w:val="36"/>
        </w:rPr>
        <w:t>（服务类）</w:t>
      </w:r>
    </w:p>
    <w:p>
      <w:pPr>
        <w:pStyle w:val="9"/>
        <w:ind w:firstLine="2843" w:firstLineChars="1180"/>
        <w:rPr>
          <w:rFonts w:ascii="宋体" w:hAnsi="宋体" w:cs="宋体"/>
          <w:b/>
          <w:szCs w:val="24"/>
        </w:rPr>
      </w:pPr>
    </w:p>
    <w:p>
      <w:pPr>
        <w:pStyle w:val="2"/>
      </w:pPr>
    </w:p>
    <w:p>
      <w:pPr>
        <w:pStyle w:val="2"/>
      </w:pPr>
    </w:p>
    <w:p>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签订时间：</w:t>
      </w:r>
      <w:r>
        <w:rPr>
          <w:sz w:val="32"/>
          <w:szCs w:val="32"/>
          <w:u w:val="single"/>
        </w:rPr>
        <w:t xml:space="preserve">                             </w:t>
      </w:r>
    </w:p>
    <w:p>
      <w:pPr>
        <w:pStyle w:val="3"/>
      </w:pPr>
      <w:r>
        <w:br w:type="page"/>
      </w:r>
    </w:p>
    <w:p>
      <w:pPr>
        <w:adjustRightInd/>
        <w:spacing w:line="360" w:lineRule="auto"/>
        <w:ind w:left="1680" w:leftChars="800"/>
        <w:rPr>
          <w:sz w:val="32"/>
          <w:szCs w:val="32"/>
        </w:rPr>
        <w:sectPr>
          <w:headerReference r:id="rId4" w:type="first"/>
          <w:footerReference r:id="rId7" w:type="first"/>
          <w:headerReference r:id="rId3" w:type="default"/>
          <w:footerReference r:id="rId5" w:type="default"/>
          <w:footerReference r:id="rId6" w:type="even"/>
          <w:pgSz w:w="11907" w:h="16840"/>
          <w:pgMar w:top="1474" w:right="1814" w:bottom="1474" w:left="1814" w:header="851" w:footer="851" w:gutter="0"/>
          <w:cols w:space="720" w:num="1"/>
        </w:sectPr>
      </w:pPr>
    </w:p>
    <w:p>
      <w:pPr>
        <w:spacing w:line="360" w:lineRule="auto"/>
        <w:ind w:firstLine="2645" w:firstLineChars="1098"/>
        <w:outlineLvl w:val="1"/>
        <w:rPr>
          <w:rFonts w:ascii="宋体" w:hAnsi="宋体" w:cs="宋体"/>
          <w:b/>
          <w:sz w:val="24"/>
        </w:rPr>
      </w:pPr>
      <w:bookmarkStart w:id="1" w:name="_Toc22209"/>
      <w:r>
        <w:rPr>
          <w:rFonts w:hint="eastAsia" w:ascii="宋体" w:hAnsi="宋体"/>
          <w:b/>
          <w:sz w:val="24"/>
        </w:rPr>
        <w:t>第一节 政府采购合同协议书</w:t>
      </w:r>
      <w:bookmarkEnd w:id="1"/>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sz w:val="24"/>
          <w:u w:val="single"/>
        </w:rPr>
        <w:t>（采购人）</w:t>
      </w:r>
      <w:r>
        <w:rPr>
          <w:rFonts w:ascii="宋体" w:hAnsi="宋体"/>
          <w:sz w:val="24"/>
          <w:u w:val="single"/>
        </w:rPr>
        <w:t xml:space="preserve">   </w:t>
      </w:r>
      <w:r>
        <w:rPr>
          <w:rFonts w:hint="eastAsia" w:ascii="宋体" w:hAnsi="宋体"/>
          <w:sz w:val="24"/>
        </w:rPr>
        <w:t>以</w:t>
      </w:r>
      <w:r>
        <w:rPr>
          <w:rFonts w:ascii="宋体" w:hAnsi="宋体"/>
          <w:sz w:val="24"/>
          <w:u w:val="single"/>
        </w:rPr>
        <w:t xml:space="preserve">   </w:t>
      </w:r>
      <w:r>
        <w:rPr>
          <w:rFonts w:hint="eastAsia" w:ascii="宋体" w:hAnsi="宋体" w:cs="宋体"/>
          <w:sz w:val="24"/>
          <w:u w:val="single"/>
        </w:rPr>
        <w:t>公开招标</w:t>
      </w:r>
      <w:r>
        <w:rPr>
          <w:rFonts w:ascii="宋体" w:hAnsi="宋体"/>
          <w:sz w:val="24"/>
          <w:u w:val="single"/>
        </w:rPr>
        <w:t xml:space="preserve">  </w:t>
      </w:r>
      <w:r>
        <w:rPr>
          <w:rFonts w:hint="eastAsia" w:ascii="宋体" w:hAnsi="宋体"/>
          <w:sz w:val="24"/>
        </w:rPr>
        <w:t>对</w:t>
      </w:r>
      <w:r>
        <w:rPr>
          <w:rFonts w:ascii="宋体" w:hAnsi="宋体"/>
          <w:sz w:val="24"/>
          <w:u w:val="single"/>
        </w:rPr>
        <w:t xml:space="preserve">  </w:t>
      </w:r>
      <w:r>
        <w:rPr>
          <w:rFonts w:hint="eastAsia" w:ascii="宋体" w:hAnsi="宋体" w:cs="宋体"/>
          <w:sz w:val="24"/>
          <w:u w:val="single"/>
        </w:rPr>
        <w:t xml:space="preserve">合浦县人民医院保洁服务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（中标供应商名称） </w:t>
      </w:r>
      <w:r>
        <w:rPr>
          <w:rFonts w:hint="eastAsia" w:ascii="宋体" w:hAnsi="宋体"/>
          <w:sz w:val="24"/>
        </w:rPr>
        <w:t>为该项目</w:t>
      </w:r>
      <w:r>
        <w:rPr>
          <w:rFonts w:hint="eastAsia" w:ascii="宋体" w:hAnsi="宋体" w:cs="宋体"/>
          <w:sz w:val="24"/>
        </w:rPr>
        <w:t>中标供应商</w:t>
      </w:r>
      <w:r>
        <w:rPr>
          <w:rFonts w:hint="eastAsia" w:ascii="宋体" w:hAnsi="宋体"/>
          <w:sz w:val="24"/>
        </w:rPr>
        <w:t>。现于</w:t>
      </w:r>
      <w:r>
        <w:rPr>
          <w:rFonts w:hint="eastAsia" w:ascii="宋体" w:hAnsi="宋体" w:cs="宋体"/>
          <w:sz w:val="24"/>
        </w:rPr>
        <w:t>中标通知书</w:t>
      </w:r>
      <w:r>
        <w:rPr>
          <w:rFonts w:hint="eastAsia" w:ascii="宋体" w:hAnsi="宋体"/>
          <w:sz w:val="24"/>
        </w:rPr>
        <w:t>发出之日起</w:t>
      </w:r>
      <w:r>
        <w:rPr>
          <w:rFonts w:hint="eastAsia" w:ascii="宋体" w:hAnsi="宋体"/>
          <w:sz w:val="24"/>
          <w:u w:val="single"/>
        </w:rPr>
        <w:t>5</w:t>
      </w:r>
      <w:r>
        <w:rPr>
          <w:rFonts w:hint="eastAsia" w:ascii="宋体" w:hAnsi="宋体"/>
          <w:sz w:val="24"/>
        </w:rPr>
        <w:t>个工作日内，按照采购文件确定的事项签订本合同。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（采购人）   </w:t>
      </w:r>
      <w:r>
        <w:rPr>
          <w:rFonts w:ascii="宋体" w:hAnsi="宋体"/>
          <w:sz w:val="24"/>
          <w:lang w:val="zh-CN"/>
        </w:rPr>
        <w:t>(以下简称：甲方)和</w:t>
      </w:r>
      <w:r>
        <w:rPr>
          <w:rFonts w:ascii="宋体" w:hAnsi="宋体"/>
          <w:sz w:val="24"/>
          <w:u w:val="single"/>
        </w:rPr>
        <w:t xml:space="preserve">   （中标供应商名称）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rPr>
          <w:rFonts w:ascii="宋体" w:hAnsi="宋体"/>
          <w:sz w:val="24"/>
        </w:rPr>
      </w:pPr>
      <w:bookmarkStart w:id="2" w:name="_Toc20421"/>
      <w:bookmarkStart w:id="3" w:name="_Toc28855"/>
      <w:bookmarkStart w:id="4" w:name="_Toc15367"/>
      <w:bookmarkStart w:id="5" w:name="_Toc19273"/>
      <w:bookmarkStart w:id="6" w:name="_Toc22967"/>
      <w:r>
        <w:rPr>
          <w:rFonts w:ascii="宋体" w:hAnsi="宋体"/>
          <w:b/>
          <w:sz w:val="24"/>
        </w:rPr>
        <w:t xml:space="preserve">1.1 </w:t>
      </w:r>
      <w:r>
        <w:rPr>
          <w:rFonts w:hint="eastAsia" w:ascii="宋体" w:hAnsi="宋体"/>
          <w:b/>
          <w:sz w:val="24"/>
        </w:rPr>
        <w:t>合同组成部分</w:t>
      </w:r>
      <w:bookmarkEnd w:id="2"/>
      <w:bookmarkEnd w:id="3"/>
      <w:bookmarkEnd w:id="4"/>
      <w:bookmarkEnd w:id="5"/>
      <w:bookmarkEnd w:id="6"/>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ascii="宋体" w:hAnsi="宋体"/>
          <w:sz w:val="24"/>
        </w:rPr>
        <w:t xml:space="preserve">1.1.2 </w:t>
      </w:r>
      <w:r>
        <w:rPr>
          <w:rFonts w:hint="eastAsia" w:ascii="宋体" w:hAnsi="宋体"/>
          <w:sz w:val="24"/>
        </w:rPr>
        <w:t>中标通知书；</w:t>
      </w:r>
    </w:p>
    <w:p>
      <w:pPr>
        <w:spacing w:line="360" w:lineRule="auto"/>
        <w:ind w:firstLine="480" w:firstLineChars="200"/>
        <w:rPr>
          <w:rFonts w:ascii="宋体" w:hAnsi="宋体"/>
          <w:sz w:val="24"/>
        </w:rPr>
      </w:pPr>
      <w:r>
        <w:rPr>
          <w:rFonts w:ascii="宋体" w:hAnsi="宋体"/>
          <w:sz w:val="24"/>
        </w:rPr>
        <w:t xml:space="preserve">1.1.3 </w:t>
      </w:r>
      <w:r>
        <w:rPr>
          <w:rFonts w:hint="eastAsia" w:ascii="宋体" w:hAnsi="宋体"/>
          <w:sz w:val="24"/>
        </w:rPr>
        <w:t>投标文件（含澄清或者说明文件）；</w:t>
      </w:r>
    </w:p>
    <w:p>
      <w:pPr>
        <w:spacing w:line="360" w:lineRule="auto"/>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pPr>
        <w:spacing w:line="360" w:lineRule="auto"/>
        <w:ind w:firstLine="480" w:firstLineChars="200"/>
        <w:rPr>
          <w:rFonts w:ascii="宋体" w:hAnsi="宋体"/>
          <w:sz w:val="24"/>
        </w:rPr>
      </w:pPr>
      <w:r>
        <w:rPr>
          <w:rFonts w:ascii="宋体" w:hAnsi="宋体"/>
          <w:sz w:val="24"/>
        </w:rPr>
        <w:t xml:space="preserve">1.1.5 </w:t>
      </w:r>
      <w:r>
        <w:rPr>
          <w:rFonts w:hint="eastAsia" w:ascii="宋体" w:hAnsi="宋体"/>
          <w:sz w:val="24"/>
        </w:rPr>
        <w:t>其他相关采购文件。</w:t>
      </w:r>
    </w:p>
    <w:p>
      <w:pPr>
        <w:spacing w:line="360" w:lineRule="auto"/>
        <w:ind w:firstLine="482" w:firstLineChars="200"/>
        <w:rPr>
          <w:rFonts w:ascii="宋体" w:hAnsi="宋体"/>
          <w:b/>
          <w:sz w:val="24"/>
        </w:rPr>
      </w:pPr>
      <w:bookmarkStart w:id="7" w:name="_Toc6773"/>
      <w:bookmarkStart w:id="8" w:name="_Toc6311"/>
      <w:bookmarkStart w:id="9" w:name="_Toc2918"/>
      <w:bookmarkStart w:id="10" w:name="_Toc18585"/>
      <w:bookmarkStart w:id="11" w:name="_Toc22185"/>
      <w:r>
        <w:rPr>
          <w:rFonts w:ascii="宋体" w:hAnsi="宋体"/>
          <w:b/>
          <w:sz w:val="24"/>
        </w:rPr>
        <w:t xml:space="preserve">1.2 </w:t>
      </w:r>
      <w:r>
        <w:rPr>
          <w:rFonts w:hint="eastAsia" w:ascii="宋体" w:hAnsi="宋体"/>
          <w:b/>
          <w:sz w:val="24"/>
        </w:rPr>
        <w:t>标的</w:t>
      </w:r>
      <w:bookmarkEnd w:id="7"/>
      <w:bookmarkEnd w:id="8"/>
      <w:bookmarkEnd w:id="9"/>
      <w:bookmarkEnd w:id="10"/>
      <w:bookmarkEnd w:id="11"/>
    </w:p>
    <w:p>
      <w:pPr>
        <w:spacing w:line="360" w:lineRule="auto"/>
        <w:ind w:firstLine="480" w:firstLineChars="200"/>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ascii="宋体" w:hAnsi="宋体"/>
          <w:sz w:val="24"/>
          <w:u w:val="single"/>
        </w:rPr>
        <w:t xml:space="preserve">        </w:t>
      </w:r>
      <w:r>
        <w:rPr>
          <w:rFonts w:hint="eastAsia" w:ascii="宋体" w:hAnsi="宋体" w:cs="宋体"/>
          <w:sz w:val="24"/>
          <w:u w:val="single"/>
        </w:rPr>
        <w:t>合浦县人民医院保洁服务</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u w:val="single"/>
        </w:rPr>
        <w:t>；</w:t>
      </w:r>
    </w:p>
    <w:p>
      <w:pPr>
        <w:spacing w:line="360" w:lineRule="auto"/>
        <w:ind w:firstLine="480" w:firstLineChars="200"/>
        <w:jc w:val="left"/>
        <w:rPr>
          <w:rFonts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pPr>
        <w:pStyle w:val="10"/>
        <w:spacing w:before="0" w:beforeAutospacing="0" w:after="0" w:afterAutospacing="0" w:line="360" w:lineRule="auto"/>
        <w:ind w:firstLine="480"/>
      </w:pPr>
      <w:r>
        <w:rPr>
          <w:rFonts w:hint="eastAsia"/>
        </w:rPr>
        <w:t>1.2.5合同</w:t>
      </w:r>
      <w:r>
        <w:rPr>
          <w:rFonts w:hint="eastAsia"/>
          <w:u w:val="single"/>
        </w:rPr>
        <w:t xml:space="preserve">     </w:t>
      </w:r>
      <w:r>
        <w:rPr>
          <w:rFonts w:hint="eastAsia"/>
        </w:rPr>
        <w:t>（是</w:t>
      </w:r>
      <w:r>
        <w:rPr>
          <w:rFonts w:hint="eastAsia" w:ascii="仿宋" w:hAnsi="仿宋" w:eastAsia="仿宋" w:cs="仿宋"/>
        </w:rPr>
        <w:t>/</w:t>
      </w:r>
      <w:r>
        <w:rPr>
          <w:rFonts w:hint="eastAsia"/>
        </w:rPr>
        <w:t>否）涉及货物。若涉及货物的，则：</w:t>
      </w:r>
    </w:p>
    <w:p>
      <w:pPr>
        <w:spacing w:line="360" w:lineRule="auto"/>
        <w:ind w:firstLine="480" w:firstLineChars="200"/>
        <w:rPr>
          <w:rFonts w:ascii="宋体" w:hAnsi="宋体" w:cs="宋体"/>
          <w:sz w:val="24"/>
          <w:u w:val="single"/>
        </w:rPr>
      </w:pPr>
      <w:bookmarkStart w:id="12" w:name="_Toc21124"/>
      <w:bookmarkStart w:id="13" w:name="_Toc1386"/>
      <w:bookmarkStart w:id="14" w:name="_Toc13918"/>
      <w:bookmarkStart w:id="15" w:name="_Toc4929"/>
      <w:bookmarkStart w:id="16" w:name="_Toc5635"/>
      <w:r>
        <w:rPr>
          <w:rFonts w:hint="eastAsia" w:ascii="宋体" w:hAnsi="宋体" w:cs="宋体"/>
          <w:sz w:val="24"/>
        </w:rPr>
        <w:t>1.2.5.1 货物名称、品牌、规格型号、花色：</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1.2.5.2 货物数量：</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1.2.5.3 货物质量：</w:t>
      </w:r>
      <w:r>
        <w:rPr>
          <w:rFonts w:hint="eastAsia" w:ascii="宋体" w:hAnsi="宋体" w:cs="宋体"/>
          <w:sz w:val="24"/>
          <w:u w:val="single"/>
        </w:rPr>
        <w:t xml:space="preserve">　　　　　　　　　                      　 </w:t>
      </w:r>
      <w:r>
        <w:rPr>
          <w:rFonts w:hint="eastAsia" w:ascii="宋体" w:hAnsi="宋体" w:cs="宋体"/>
          <w:sz w:val="24"/>
        </w:rPr>
        <w:t>；</w:t>
      </w:r>
    </w:p>
    <w:p>
      <w:pPr>
        <w:spacing w:line="360" w:lineRule="auto"/>
        <w:ind w:firstLine="482" w:firstLineChars="200"/>
        <w:rPr>
          <w:rFonts w:ascii="宋体" w:hAnsi="宋体"/>
          <w:b/>
          <w:sz w:val="24"/>
        </w:rPr>
      </w:pPr>
      <w:r>
        <w:rPr>
          <w:rFonts w:ascii="宋体" w:hAnsi="宋体"/>
          <w:b/>
          <w:sz w:val="24"/>
        </w:rPr>
        <w:t>1.3 价款</w:t>
      </w:r>
      <w:bookmarkEnd w:id="12"/>
      <w:bookmarkEnd w:id="13"/>
      <w:bookmarkEnd w:id="14"/>
      <w:bookmarkEnd w:id="15"/>
      <w:bookmarkEnd w:id="16"/>
    </w:p>
    <w:p>
      <w:pPr>
        <w:spacing w:line="360" w:lineRule="auto"/>
        <w:ind w:firstLine="480" w:firstLineChars="200"/>
        <w:rPr>
          <w:rFonts w:ascii="宋体" w:hAnsi="宋体"/>
          <w:sz w:val="24"/>
        </w:rPr>
      </w:pPr>
      <w:r>
        <w:rPr>
          <w:rFonts w:hint="eastAsia" w:ascii="宋体" w:hAnsi="宋体" w:cs="宋体"/>
          <w:sz w:val="24"/>
        </w:rPr>
        <w:t>本项目采用以下第</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元人民币，根据商务要求表付款方式支付）</w:t>
      </w:r>
      <w:r>
        <w:rPr>
          <w:rFonts w:ascii="宋体" w:hAnsi="宋体"/>
          <w:sz w:val="24"/>
        </w:rPr>
        <w:t>。</w:t>
      </w:r>
    </w:p>
    <w:p>
      <w:pPr>
        <w:spacing w:line="360" w:lineRule="auto"/>
        <w:ind w:firstLine="480" w:firstLineChars="200"/>
        <w:rPr>
          <w:rFonts w:ascii="宋体" w:hAnsi="宋体"/>
          <w:sz w:val="24"/>
          <w:u w:val="single"/>
        </w:rPr>
      </w:pPr>
      <w:r>
        <w:rPr>
          <w:rFonts w:ascii="宋体" w:hAnsi="宋体"/>
          <w:sz w:val="24"/>
        </w:rPr>
        <w:t>分项价格：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1"/>
              <w:spacing w:line="360" w:lineRule="auto"/>
              <w:jc w:val="center"/>
              <w:rPr>
                <w:rFonts w:hAnsi="宋体"/>
                <w:sz w:val="24"/>
                <w:szCs w:val="24"/>
              </w:rPr>
            </w:pPr>
            <w:r>
              <w:rPr>
                <w:rFonts w:hAnsi="宋体"/>
                <w:sz w:val="24"/>
                <w:szCs w:val="24"/>
              </w:rPr>
              <w:t>序号</w:t>
            </w:r>
          </w:p>
        </w:tc>
        <w:tc>
          <w:tcPr>
            <w:tcW w:w="3402" w:type="dxa"/>
            <w:vAlign w:val="center"/>
          </w:tcPr>
          <w:p>
            <w:pPr>
              <w:pStyle w:val="11"/>
              <w:spacing w:line="360" w:lineRule="auto"/>
              <w:ind w:firstLine="200"/>
              <w:jc w:val="center"/>
              <w:rPr>
                <w:rFonts w:hAnsi="宋体"/>
                <w:sz w:val="24"/>
                <w:szCs w:val="24"/>
              </w:rPr>
            </w:pPr>
            <w:r>
              <w:rPr>
                <w:rFonts w:hint="eastAsia" w:hAnsi="宋体"/>
                <w:sz w:val="24"/>
                <w:szCs w:val="24"/>
              </w:rPr>
              <w:t>分项名称</w:t>
            </w:r>
          </w:p>
        </w:tc>
        <w:tc>
          <w:tcPr>
            <w:tcW w:w="2552" w:type="dxa"/>
            <w:vAlign w:val="center"/>
          </w:tcPr>
          <w:p>
            <w:pPr>
              <w:pStyle w:val="11"/>
              <w:spacing w:line="360" w:lineRule="auto"/>
              <w:jc w:val="center"/>
              <w:rPr>
                <w:rFonts w:hAnsi="宋体"/>
                <w:sz w:val="24"/>
                <w:szCs w:val="24"/>
              </w:rPr>
            </w:pPr>
            <w:r>
              <w:rPr>
                <w:rFonts w:hAnsi="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1"/>
              <w:spacing w:line="360" w:lineRule="auto"/>
              <w:ind w:firstLine="200"/>
              <w:jc w:val="center"/>
              <w:rPr>
                <w:rFonts w:hAnsi="宋体"/>
                <w:sz w:val="24"/>
                <w:szCs w:val="24"/>
              </w:rPr>
            </w:pPr>
          </w:p>
        </w:tc>
        <w:tc>
          <w:tcPr>
            <w:tcW w:w="3402" w:type="dxa"/>
            <w:vAlign w:val="center"/>
          </w:tcPr>
          <w:p>
            <w:pPr>
              <w:pStyle w:val="11"/>
              <w:spacing w:line="360" w:lineRule="auto"/>
              <w:ind w:firstLine="200"/>
              <w:jc w:val="center"/>
              <w:rPr>
                <w:rFonts w:hAnsi="宋体"/>
                <w:sz w:val="24"/>
                <w:szCs w:val="24"/>
              </w:rPr>
            </w:pPr>
          </w:p>
        </w:tc>
        <w:tc>
          <w:tcPr>
            <w:tcW w:w="2552" w:type="dxa"/>
            <w:vAlign w:val="center"/>
          </w:tcPr>
          <w:p>
            <w:pPr>
              <w:pStyle w:val="1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1"/>
              <w:spacing w:line="360" w:lineRule="auto"/>
              <w:ind w:firstLine="200"/>
              <w:jc w:val="center"/>
              <w:rPr>
                <w:rFonts w:hAnsi="宋体"/>
                <w:sz w:val="24"/>
                <w:szCs w:val="24"/>
              </w:rPr>
            </w:pPr>
          </w:p>
        </w:tc>
        <w:tc>
          <w:tcPr>
            <w:tcW w:w="3402" w:type="dxa"/>
            <w:vAlign w:val="center"/>
          </w:tcPr>
          <w:p>
            <w:pPr>
              <w:pStyle w:val="11"/>
              <w:spacing w:line="360" w:lineRule="auto"/>
              <w:ind w:firstLine="200"/>
              <w:jc w:val="center"/>
              <w:rPr>
                <w:rFonts w:hAnsi="宋体"/>
                <w:sz w:val="24"/>
                <w:szCs w:val="24"/>
              </w:rPr>
            </w:pPr>
          </w:p>
        </w:tc>
        <w:tc>
          <w:tcPr>
            <w:tcW w:w="2552" w:type="dxa"/>
            <w:vAlign w:val="center"/>
          </w:tcPr>
          <w:p>
            <w:pPr>
              <w:pStyle w:val="1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1"/>
              <w:spacing w:line="360" w:lineRule="auto"/>
              <w:ind w:firstLine="200"/>
              <w:jc w:val="center"/>
              <w:rPr>
                <w:rFonts w:hAnsi="宋体"/>
                <w:sz w:val="24"/>
                <w:szCs w:val="24"/>
              </w:rPr>
            </w:pPr>
          </w:p>
        </w:tc>
        <w:tc>
          <w:tcPr>
            <w:tcW w:w="3402" w:type="dxa"/>
            <w:vAlign w:val="center"/>
          </w:tcPr>
          <w:p>
            <w:pPr>
              <w:pStyle w:val="11"/>
              <w:spacing w:line="360" w:lineRule="auto"/>
              <w:ind w:firstLine="200"/>
              <w:jc w:val="center"/>
              <w:rPr>
                <w:rFonts w:hAnsi="宋体"/>
                <w:sz w:val="24"/>
                <w:szCs w:val="24"/>
              </w:rPr>
            </w:pPr>
          </w:p>
        </w:tc>
        <w:tc>
          <w:tcPr>
            <w:tcW w:w="2552" w:type="dxa"/>
            <w:vAlign w:val="center"/>
          </w:tcPr>
          <w:p>
            <w:pPr>
              <w:pStyle w:val="1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1"/>
              <w:spacing w:line="360" w:lineRule="auto"/>
              <w:ind w:firstLine="200"/>
              <w:jc w:val="center"/>
              <w:rPr>
                <w:rFonts w:hAnsi="宋体"/>
                <w:sz w:val="24"/>
                <w:szCs w:val="24"/>
              </w:rPr>
            </w:pPr>
          </w:p>
        </w:tc>
        <w:tc>
          <w:tcPr>
            <w:tcW w:w="3402" w:type="dxa"/>
            <w:vAlign w:val="center"/>
          </w:tcPr>
          <w:p>
            <w:pPr>
              <w:pStyle w:val="11"/>
              <w:spacing w:line="360" w:lineRule="auto"/>
              <w:ind w:firstLine="200"/>
              <w:jc w:val="center"/>
              <w:rPr>
                <w:rFonts w:hAnsi="宋体"/>
                <w:sz w:val="24"/>
                <w:szCs w:val="24"/>
              </w:rPr>
            </w:pPr>
          </w:p>
        </w:tc>
        <w:tc>
          <w:tcPr>
            <w:tcW w:w="2552" w:type="dxa"/>
            <w:vAlign w:val="center"/>
          </w:tcPr>
          <w:p>
            <w:pPr>
              <w:pStyle w:val="1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11"/>
              <w:spacing w:line="360" w:lineRule="auto"/>
              <w:ind w:firstLine="200"/>
              <w:jc w:val="center"/>
              <w:rPr>
                <w:rFonts w:hAnsi="宋体"/>
                <w:sz w:val="24"/>
                <w:szCs w:val="24"/>
              </w:rPr>
            </w:pPr>
            <w:r>
              <w:rPr>
                <w:rFonts w:hint="eastAsia" w:hAnsi="宋体"/>
                <w:sz w:val="24"/>
                <w:szCs w:val="24"/>
              </w:rPr>
              <w:t>总价</w:t>
            </w:r>
          </w:p>
        </w:tc>
        <w:tc>
          <w:tcPr>
            <w:tcW w:w="2552" w:type="dxa"/>
            <w:vAlign w:val="center"/>
          </w:tcPr>
          <w:p>
            <w:pPr>
              <w:pStyle w:val="11"/>
              <w:spacing w:line="360" w:lineRule="auto"/>
              <w:ind w:firstLine="200"/>
              <w:jc w:val="center"/>
              <w:rPr>
                <w:rFonts w:hAnsi="宋体"/>
                <w:sz w:val="24"/>
                <w:szCs w:val="24"/>
              </w:rPr>
            </w:pPr>
          </w:p>
        </w:tc>
      </w:tr>
    </w:tbl>
    <w:p>
      <w:pPr>
        <w:spacing w:line="360" w:lineRule="auto"/>
        <w:ind w:firstLine="480" w:firstLineChars="200"/>
        <w:rPr>
          <w:rFonts w:ascii="宋体" w:hAnsi="宋体"/>
          <w:sz w:val="24"/>
        </w:rPr>
      </w:pPr>
      <w:bookmarkStart w:id="17" w:name="_Toc14993"/>
      <w:bookmarkStart w:id="18" w:name="_Toc30158"/>
      <w:bookmarkStart w:id="19" w:name="_Toc26916"/>
      <w:bookmarkStart w:id="20" w:name="_Toc3654"/>
      <w:bookmarkStart w:id="21" w:name="_Toc30506"/>
      <w:r>
        <w:rPr>
          <w:rFonts w:hint="eastAsia" w:ascii="宋体" w:hAnsi="宋体"/>
          <w:bCs/>
          <w:sz w:val="24"/>
        </w:rPr>
        <w:t>1.3.2单价合同，本合同单价（含税）标准为：</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pPr>
        <w:pStyle w:val="12"/>
      </w:pPr>
      <w:r>
        <w:rPr>
          <w:rFonts w:hint="eastAsia"/>
        </w:rPr>
        <w:t xml:space="preserve">    1.3.3其他计价方式：                   。</w:t>
      </w:r>
    </w:p>
    <w:bookmarkEnd w:id="17"/>
    <w:bookmarkEnd w:id="18"/>
    <w:bookmarkEnd w:id="19"/>
    <w:bookmarkEnd w:id="20"/>
    <w:bookmarkEnd w:id="21"/>
    <w:p>
      <w:pPr>
        <w:pStyle w:val="10"/>
        <w:spacing w:before="0" w:beforeAutospacing="0" w:after="0" w:afterAutospacing="0" w:line="360" w:lineRule="auto"/>
        <w:ind w:firstLine="480"/>
        <w:rPr>
          <w:b/>
        </w:rPr>
      </w:pPr>
      <w:bookmarkStart w:id="22" w:name="_Toc22618"/>
      <w:bookmarkStart w:id="23" w:name="_Toc10340"/>
      <w:bookmarkStart w:id="24" w:name="_Toc1814"/>
      <w:bookmarkStart w:id="25" w:name="_Toc4760"/>
      <w:bookmarkStart w:id="26" w:name="_Toc3625"/>
      <w:bookmarkStart w:id="27" w:name="_Toc11108"/>
      <w:bookmarkStart w:id="28" w:name="_Toc31421"/>
      <w:bookmarkStart w:id="29" w:name="_Toc8772"/>
      <w:r>
        <w:rPr>
          <w:rFonts w:hint="eastAsia"/>
          <w:b/>
        </w:rPr>
        <w:t>1.4履约保证金</w:t>
      </w:r>
    </w:p>
    <w:p>
      <w:pPr>
        <w:pStyle w:val="10"/>
        <w:spacing w:before="0" w:beforeAutospacing="0" w:after="0" w:afterAutospacing="0" w:line="360" w:lineRule="auto"/>
        <w:ind w:firstLine="480"/>
      </w:pPr>
      <w:r>
        <w:rPr>
          <w:rFonts w:hint="eastAsia"/>
        </w:rPr>
        <w:t>乙方</w:t>
      </w:r>
      <w:r>
        <w:rPr>
          <w:rFonts w:hint="eastAsia"/>
          <w:u w:val="single"/>
        </w:rPr>
        <w:t xml:space="preserve">  否   </w:t>
      </w:r>
      <w:r>
        <w:rPr>
          <w:rFonts w:hint="eastAsia"/>
        </w:rPr>
        <w:t>（是</w:t>
      </w:r>
      <w:r>
        <w:rPr>
          <w:rFonts w:hint="eastAsia" w:ascii="仿宋" w:hAnsi="仿宋" w:eastAsia="仿宋" w:cs="仿宋"/>
        </w:rPr>
        <w:t>/</w:t>
      </w:r>
      <w:r>
        <w:rPr>
          <w:rFonts w:hint="eastAsia"/>
        </w:rPr>
        <w:t>否）需要支付履约保证金。若需要支付履约保证金的，则：</w:t>
      </w:r>
    </w:p>
    <w:p>
      <w:pPr>
        <w:spacing w:line="360" w:lineRule="auto"/>
        <w:ind w:firstLine="480" w:firstLineChars="20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无</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bCs/>
          <w:kern w:val="0"/>
          <w:sz w:val="24"/>
          <w:u w:val="single"/>
        </w:rPr>
        <w:t>无</w:t>
      </w:r>
      <w:r>
        <w:rPr>
          <w:rFonts w:hint="eastAsia" w:ascii="宋体" w:hAnsi="宋体" w:cs="宋体"/>
          <w:kern w:val="0"/>
          <w:sz w:val="24"/>
          <w:u w:val="single"/>
        </w:rPr>
        <w:t xml:space="preserve">     </w:t>
      </w:r>
      <w:r>
        <w:rPr>
          <w:rFonts w:hint="eastAsia" w:ascii="宋体" w:hAnsi="宋体" w:cs="宋体"/>
          <w:kern w:val="0"/>
          <w:sz w:val="24"/>
        </w:rPr>
        <w:t>；</w:t>
      </w:r>
    </w:p>
    <w:p>
      <w:pPr>
        <w:pStyle w:val="12"/>
        <w:rPr>
          <w:color w:val="auto"/>
          <w:highlight w:val="none"/>
        </w:rPr>
      </w:pPr>
      <w:r>
        <w:rPr>
          <w:rFonts w:hint="eastAsia"/>
          <w:color w:val="auto"/>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pPr>
        <w:spacing w:line="360" w:lineRule="auto"/>
        <w:ind w:firstLine="482" w:firstLineChars="200"/>
        <w:rPr>
          <w:rFonts w:ascii="宋体" w:hAnsi="宋体" w:cs="宋体"/>
          <w:b/>
          <w:sz w:val="24"/>
        </w:rPr>
      </w:pPr>
      <w:r>
        <w:rPr>
          <w:rFonts w:hint="eastAsia" w:ascii="宋体" w:hAnsi="宋体" w:cs="宋体"/>
          <w:b/>
          <w:sz w:val="24"/>
        </w:rPr>
        <w:t>1.5</w:t>
      </w:r>
      <w:bookmarkEnd w:id="22"/>
      <w:bookmarkEnd w:id="23"/>
      <w:bookmarkEnd w:id="24"/>
      <w:r>
        <w:rPr>
          <w:rFonts w:hint="eastAsia" w:ascii="宋体" w:hAnsi="宋体" w:cs="宋体"/>
          <w:b/>
          <w:sz w:val="24"/>
        </w:rPr>
        <w:t>预付款</w:t>
      </w:r>
    </w:p>
    <w:p>
      <w:pPr>
        <w:pStyle w:val="10"/>
        <w:spacing w:before="0" w:beforeAutospacing="0" w:after="0" w:afterAutospacing="0" w:line="360" w:lineRule="auto"/>
        <w:ind w:firstLine="480"/>
      </w:pPr>
      <w:r>
        <w:rPr>
          <w:rFonts w:hint="eastAsia"/>
        </w:rPr>
        <w:t>甲方</w:t>
      </w:r>
      <w:r>
        <w:rPr>
          <w:rFonts w:hint="eastAsia"/>
          <w:u w:val="single"/>
        </w:rPr>
        <w:t xml:space="preserve">  否  </w:t>
      </w:r>
      <w:r>
        <w:rPr>
          <w:rFonts w:hint="eastAsia"/>
        </w:rPr>
        <w:t>（是</w:t>
      </w:r>
      <w:r>
        <w:rPr>
          <w:rFonts w:hint="eastAsia" w:ascii="仿宋" w:hAnsi="仿宋" w:eastAsia="仿宋" w:cs="仿宋"/>
        </w:rPr>
        <w:t>/</w:t>
      </w:r>
      <w:r>
        <w:rPr>
          <w:rFonts w:hint="eastAsia"/>
        </w:rPr>
        <w:t>否）需要支付预付款。若需要支付预付款的，则：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bCs/>
          <w:kern w:val="0"/>
          <w:sz w:val="24"/>
          <w:u w:val="single"/>
        </w:rPr>
        <w:t xml:space="preserve">无 </w:t>
      </w:r>
      <w:r>
        <w:rPr>
          <w:rFonts w:hint="eastAsia" w:ascii="宋体" w:hAnsi="宋体" w:cs="宋体"/>
          <w:kern w:val="0"/>
          <w:sz w:val="24"/>
          <w:u w:val="single"/>
        </w:rPr>
        <w:t xml:space="preserve">         </w:t>
      </w:r>
      <w:r>
        <w:rPr>
          <w:rFonts w:hint="eastAsia" w:ascii="宋体" w:hAnsi="宋体" w:cs="宋体"/>
          <w:kern w:val="0"/>
          <w:sz w:val="24"/>
        </w:rPr>
        <w:t>；</w:t>
      </w:r>
    </w:p>
    <w:p>
      <w:pPr>
        <w:pStyle w:val="10"/>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bCs/>
          <w:u w:val="single"/>
        </w:rPr>
        <w:t xml:space="preserve">无 </w:t>
      </w:r>
      <w:r>
        <w:rPr>
          <w:rFonts w:hint="eastAsia"/>
          <w:u w:val="single"/>
        </w:rPr>
        <w:t xml:space="preserve">           </w:t>
      </w:r>
      <w:r>
        <w:rPr>
          <w:rFonts w:hint="eastAsia"/>
        </w:rPr>
        <w:t>；</w:t>
      </w:r>
    </w:p>
    <w:p>
      <w:pPr>
        <w:pStyle w:val="10"/>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pPr>
        <w:pStyle w:val="10"/>
        <w:spacing w:before="0" w:beforeAutospacing="0" w:after="0" w:afterAutospacing="0" w:line="360" w:lineRule="auto"/>
        <w:ind w:firstLine="480"/>
        <w:rPr>
          <w:b/>
          <w:bCs/>
        </w:rPr>
      </w:pPr>
      <w:r>
        <w:rPr>
          <w:rFonts w:hint="eastAsia"/>
          <w:b/>
          <w:bCs/>
        </w:rPr>
        <w:t>1.6资金支付</w:t>
      </w:r>
    </w:p>
    <w:p>
      <w:pPr>
        <w:spacing w:line="360" w:lineRule="exact"/>
        <w:ind w:firstLine="480" w:firstLineChars="200"/>
        <w:rPr>
          <w:rFonts w:ascii="宋体" w:hAnsi="宋体" w:cs="宋体"/>
          <w:sz w:val="24"/>
        </w:rPr>
      </w:pPr>
      <w:r>
        <w:rPr>
          <w:rFonts w:hint="eastAsia" w:ascii="宋体" w:hAnsi="宋体"/>
          <w:sz w:val="24"/>
        </w:rPr>
        <w:t>1.6.1（</w:t>
      </w:r>
      <w:r>
        <w:rPr>
          <w:rFonts w:hint="eastAsia" w:ascii="宋体" w:hAnsi="宋体" w:cs="宋体"/>
          <w:sz w:val="24"/>
        </w:rPr>
        <w:t>1）付款方式：按月支付。自合同签订后的第二个月起，甲方开始支付上月服务费，后续月份依此类推；甲方应于每月第10个工作日前，完成对乙方上月各项服务质量的量化考核评定及实际服务人员数量核准，并据此核算出应付服务费金额；乙方需按照甲方核算出的应付服务费金额向甲方提供等额、合规的增值税专用发票；甲方在收到乙方提供的完整、合格发票后，应在30个工作日内，将上月服务费通过银行转账支付至乙方指定账户。</w:t>
      </w:r>
    </w:p>
    <w:p>
      <w:pPr>
        <w:spacing w:line="360" w:lineRule="exact"/>
        <w:ind w:firstLine="480" w:firstLineChars="200"/>
        <w:rPr>
          <w:rFonts w:ascii="宋体" w:hAnsi="宋体" w:cs="宋体"/>
          <w:sz w:val="24"/>
        </w:rPr>
      </w:pPr>
      <w:r>
        <w:rPr>
          <w:rFonts w:hint="eastAsia" w:ascii="宋体" w:hAnsi="宋体" w:cs="宋体"/>
          <w:sz w:val="24"/>
        </w:rPr>
        <w:t>（2）每月依据相关《服务质量量化考核表》产生的扣罚费用，均从当月的服务费中直接扣除；因乙方原因造成甲方设施、设备等资产损坏的，经双方确认具体赔偿金额后，该笔赔款有权在支付当期服务费时一并扣除。</w:t>
      </w:r>
    </w:p>
    <w:p>
      <w:pPr>
        <w:spacing w:line="360" w:lineRule="exact"/>
        <w:ind w:firstLine="480" w:firstLineChars="200"/>
        <w:rPr>
          <w:rFonts w:ascii="宋体" w:hAnsi="宋体" w:cs="宋体"/>
          <w:sz w:val="24"/>
        </w:rPr>
      </w:pPr>
      <w:r>
        <w:rPr>
          <w:rFonts w:hint="eastAsia" w:ascii="宋体" w:hAnsi="宋体" w:cs="宋体"/>
          <w:sz w:val="24"/>
        </w:rPr>
        <w:t>（3）合同终止时，最后一个服务月的费用，待双方完成全部现场与服务资料的交接手续后，于30个工作日内结清。如存在争议，双方应就无争议部分优先支付，争议部分另行协商解决。</w:t>
      </w:r>
    </w:p>
    <w:p>
      <w:pPr>
        <w:spacing w:line="360" w:lineRule="auto"/>
        <w:ind w:firstLine="480" w:firstLineChars="200"/>
        <w:rPr>
          <w:rFonts w:ascii="宋体" w:hAnsi="宋体" w:cs="宋体"/>
          <w:sz w:val="24"/>
        </w:rPr>
      </w:pPr>
      <w:r>
        <w:rPr>
          <w:rFonts w:hint="eastAsia" w:ascii="宋体" w:hAnsi="宋体" w:cs="宋体"/>
          <w:sz w:val="24"/>
        </w:rPr>
        <w:t>（4）服务费自乙方实际开始提供服务之日起计算。服务期足月的，按合同约定的月服务费全额计费；服务期不足月的，按日计算，公式为：（月服务费金额 ÷ 当月日历天数）× 当月实际服务天数。</w:t>
      </w:r>
    </w:p>
    <w:p>
      <w:pPr>
        <w:spacing w:line="360" w:lineRule="auto"/>
        <w:ind w:firstLine="482" w:firstLineChars="20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25"/>
      <w:bookmarkEnd w:id="26"/>
      <w:bookmarkEnd w:id="27"/>
      <w:bookmarkEnd w:id="28"/>
      <w:bookmarkEnd w:id="29"/>
    </w:p>
    <w:p>
      <w:pPr>
        <w:spacing w:line="360" w:lineRule="auto"/>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bCs/>
          <w:sz w:val="24"/>
        </w:rPr>
      </w:pPr>
      <w:bookmarkStart w:id="30" w:name="_Toc8586"/>
      <w:bookmarkStart w:id="31" w:name="_Toc3079"/>
      <w:bookmarkStart w:id="32" w:name="_Toc5698"/>
      <w:bookmarkStart w:id="33" w:name="_Toc2375"/>
      <w:bookmarkStart w:id="34" w:name="_Toc24662"/>
      <w:r>
        <w:rPr>
          <w:rFonts w:hint="eastAsia" w:ascii="宋体" w:hAnsi="宋体"/>
          <w:bCs/>
          <w:sz w:val="24"/>
        </w:rPr>
        <w:t>1.7.4若服务</w:t>
      </w:r>
      <w:r>
        <w:rPr>
          <w:rFonts w:hint="eastAsia"/>
          <w:bCs/>
          <w:sz w:val="24"/>
        </w:rPr>
        <w:t>涉及货物的，则货物的：</w:t>
      </w:r>
    </w:p>
    <w:p>
      <w:pPr>
        <w:spacing w:line="360" w:lineRule="auto"/>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2" w:firstLineChars="200"/>
        <w:rPr>
          <w:rFonts w:ascii="宋体" w:hAnsi="宋体"/>
          <w:sz w:val="24"/>
          <w:u w:val="single"/>
        </w:rPr>
      </w:pPr>
      <w:r>
        <w:rPr>
          <w:rFonts w:ascii="宋体" w:hAnsi="宋体"/>
          <w:b/>
          <w:sz w:val="24"/>
        </w:rPr>
        <w:t>1.</w:t>
      </w:r>
      <w:r>
        <w:rPr>
          <w:rFonts w:hint="eastAsia" w:ascii="宋体" w:hAnsi="宋体"/>
          <w:b/>
          <w:sz w:val="24"/>
        </w:rPr>
        <w:t>8违约责任</w:t>
      </w:r>
      <w:bookmarkEnd w:id="30"/>
      <w:bookmarkEnd w:id="31"/>
      <w:bookmarkEnd w:id="32"/>
      <w:bookmarkEnd w:id="33"/>
      <w:bookmarkEnd w:id="34"/>
    </w:p>
    <w:p>
      <w:pPr>
        <w:spacing w:line="360" w:lineRule="auto"/>
        <w:ind w:firstLine="480" w:firstLineChars="200"/>
        <w:rPr>
          <w:rFonts w:ascii="宋体" w:hAnsi="宋体"/>
          <w:color w:val="auto"/>
          <w:sz w:val="24"/>
          <w:highlight w:val="none"/>
        </w:rPr>
      </w:pPr>
      <w:bookmarkStart w:id="35" w:name="_Toc32454"/>
      <w:bookmarkStart w:id="36" w:name="_Toc9497"/>
      <w:bookmarkStart w:id="37" w:name="_Toc26807"/>
      <w:bookmarkStart w:id="38" w:name="_Toc18683"/>
      <w:bookmarkStart w:id="39" w:name="_Toc30329"/>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pPr>
        <w:pStyle w:val="12"/>
        <w:rPr>
          <w:b/>
          <w:bCs/>
          <w:color w:val="auto"/>
          <w:highlight w:val="none"/>
        </w:rPr>
      </w:pPr>
      <w:r>
        <w:rPr>
          <w:rFonts w:hint="eastAsia"/>
          <w:color w:val="auto"/>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highlight w:val="none"/>
          <w:u w:val="single"/>
        </w:rPr>
        <w:t xml:space="preserve">  0.0</w:t>
      </w:r>
      <w:r>
        <w:rPr>
          <w:rFonts w:hint="eastAsia"/>
          <w:color w:val="auto"/>
          <w:highlight w:val="none"/>
        </w:rPr>
        <w:t xml:space="preserve">5（可根据情况修改） </w:t>
      </w:r>
      <w:r>
        <w:rPr>
          <w:rFonts w:hint="eastAsia"/>
          <w:color w:val="auto"/>
          <w:highlight w:val="none"/>
          <w:u w:val="single"/>
        </w:rPr>
        <w:t xml:space="preserve">  </w:t>
      </w:r>
      <w:r>
        <w:rPr>
          <w:rFonts w:hint="eastAsia"/>
          <w:color w:val="auto"/>
          <w:highlight w:val="none"/>
        </w:rPr>
        <w:t>%计算，最高限额为本合同总价的</w:t>
      </w:r>
      <w:r>
        <w:rPr>
          <w:rFonts w:hint="eastAsia"/>
          <w:color w:val="auto"/>
          <w:highlight w:val="none"/>
          <w:u w:val="single"/>
        </w:rPr>
        <w:t xml:space="preserve">  20  </w:t>
      </w:r>
      <w:r>
        <w:rPr>
          <w:rFonts w:hint="eastAsia"/>
          <w:color w:val="auto"/>
          <w:highlight w:val="none"/>
        </w:rPr>
        <w:t>%；迟延交付货物的违约金计算数额达到前述最高限额之日起，甲方有权在要求乙方支付违约金的同时，书面通知乙方解除本合同；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pPr>
        <w:spacing w:line="360" w:lineRule="auto"/>
        <w:ind w:firstLine="480" w:firstLineChars="200"/>
        <w:rPr>
          <w:rFonts w:ascii="宋体" w:hAnsi="宋体" w:cs="宋体"/>
          <w:sz w:val="24"/>
        </w:rPr>
      </w:pPr>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sz w:val="24"/>
          <w:u w:val="single"/>
        </w:rPr>
        <w:t>合同专用条款</w:t>
      </w:r>
      <w:r>
        <w:rPr>
          <w:rFonts w:hint="eastAsia" w:ascii="宋体" w:hAnsi="宋体" w:cs="宋体"/>
          <w:sz w:val="24"/>
        </w:rPr>
        <w:t>另有约定的，从其约定。</w:t>
      </w:r>
    </w:p>
    <w:bookmarkEnd w:id="35"/>
    <w:bookmarkEnd w:id="36"/>
    <w:bookmarkEnd w:id="37"/>
    <w:bookmarkEnd w:id="38"/>
    <w:bookmarkEnd w:id="39"/>
    <w:p>
      <w:pPr>
        <w:spacing w:line="360" w:lineRule="auto"/>
        <w:ind w:firstLine="482" w:firstLineChars="200"/>
        <w:rPr>
          <w:rFonts w:ascii="宋体" w:hAnsi="宋体" w:cs="宋体"/>
          <w:b/>
          <w:sz w:val="24"/>
        </w:rPr>
      </w:pPr>
      <w:bookmarkStart w:id="40" w:name="_Toc15583"/>
      <w:bookmarkStart w:id="41" w:name="_Toc28375"/>
      <w:bookmarkStart w:id="42" w:name="_Toc16021"/>
      <w:r>
        <w:rPr>
          <w:rFonts w:hint="eastAsia" w:ascii="宋体" w:hAnsi="宋体" w:cs="宋体"/>
          <w:b/>
          <w:sz w:val="24"/>
        </w:rPr>
        <w:t>1.9合同争议的解决</w:t>
      </w:r>
      <w:bookmarkEnd w:id="40"/>
      <w:bookmarkEnd w:id="41"/>
      <w:bookmarkEnd w:id="4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sz w:val="24"/>
        </w:rPr>
        <w:t>条款规定的方式解决：</w:t>
      </w:r>
    </w:p>
    <w:p>
      <w:pPr>
        <w:spacing w:line="360" w:lineRule="auto"/>
        <w:ind w:left="-420" w:leftChars="-200" w:right="-420" w:rightChars="-200" w:firstLine="600" w:firstLineChars="250"/>
        <w:rPr>
          <w:rFonts w:ascii="宋体" w:hAnsi="宋体" w:cs="宋体"/>
          <w:sz w:val="24"/>
        </w:rPr>
      </w:pPr>
      <w:r>
        <w:rPr>
          <w:rFonts w:hint="eastAsia" w:ascii="宋体" w:hAnsi="宋体" w:cs="宋体"/>
          <w:sz w:val="24"/>
        </w:rPr>
        <w:t xml:space="preserve">1.9.1 将争议提交  </w:t>
      </w:r>
      <w:r>
        <w:rPr>
          <w:rFonts w:hint="eastAsia" w:ascii="宋体" w:hAnsi="宋体" w:cs="宋体"/>
          <w:sz w:val="24"/>
          <w:u w:val="single"/>
        </w:rPr>
        <w:t xml:space="preserve">/  </w:t>
      </w:r>
      <w:r>
        <w:rPr>
          <w:rFonts w:hint="eastAsia" w:ascii="宋体" w:hAnsi="宋体" w:cs="宋体"/>
          <w:sz w:val="24"/>
        </w:rPr>
        <w:t>仲裁委员会依申请仲裁时其现行有效的仲裁规则裁决；</w:t>
      </w:r>
    </w:p>
    <w:p>
      <w:pPr>
        <w:spacing w:line="360" w:lineRule="auto"/>
        <w:ind w:left="-420" w:leftChars="-200" w:right="-420" w:rightChars="-200" w:firstLine="600" w:firstLineChars="250"/>
        <w:rPr>
          <w:rFonts w:ascii="宋体" w:hAnsi="宋体" w:cs="宋体"/>
          <w:sz w:val="24"/>
        </w:rPr>
      </w:pPr>
      <w:r>
        <w:rPr>
          <w:rFonts w:hint="eastAsia" w:ascii="宋体" w:hAnsi="宋体" w:cs="宋体"/>
          <w:sz w:val="24"/>
        </w:rPr>
        <w:t>1.9.2 向</w:t>
      </w:r>
      <w:r>
        <w:rPr>
          <w:rFonts w:hint="eastAsia" w:ascii="宋体" w:hAnsi="宋体" w:cs="宋体"/>
          <w:sz w:val="24"/>
          <w:u w:val="single"/>
        </w:rPr>
        <w:t>甲方所在地</w:t>
      </w:r>
      <w:r>
        <w:rPr>
          <w:rFonts w:hint="eastAsia" w:ascii="宋体" w:hAnsi="宋体" w:cs="宋体"/>
          <w:sz w:val="24"/>
        </w:rPr>
        <w:t>人民法院起诉。</w:t>
      </w:r>
    </w:p>
    <w:p>
      <w:pPr>
        <w:spacing w:line="360" w:lineRule="auto"/>
        <w:ind w:firstLine="482" w:firstLineChars="200"/>
        <w:rPr>
          <w:rFonts w:ascii="宋体" w:hAnsi="宋体" w:cs="宋体"/>
          <w:b/>
          <w:sz w:val="24"/>
        </w:rPr>
      </w:pPr>
      <w:bookmarkStart w:id="43" w:name="_Toc15322"/>
      <w:bookmarkStart w:id="44" w:name="_Toc11173"/>
      <w:bookmarkStart w:id="45" w:name="_Toc7245"/>
      <w:r>
        <w:rPr>
          <w:rFonts w:hint="eastAsia" w:ascii="宋体" w:hAnsi="宋体" w:cs="宋体"/>
          <w:b/>
          <w:sz w:val="24"/>
        </w:rPr>
        <w:t>2.0 合同生效</w:t>
      </w:r>
      <w:bookmarkEnd w:id="43"/>
      <w:bookmarkEnd w:id="44"/>
      <w:bookmarkEnd w:id="45"/>
    </w:p>
    <w:p>
      <w:pPr>
        <w:spacing w:line="360" w:lineRule="auto"/>
        <w:ind w:firstLine="480" w:firstLineChars="200"/>
        <w:rPr>
          <w:rFonts w:ascii="宋体" w:hAnsi="宋体" w:cs="宋体"/>
          <w:b/>
          <w:sz w:val="24"/>
        </w:rPr>
      </w:pPr>
      <w:r>
        <w:rPr>
          <w:rFonts w:hint="eastAsia" w:ascii="宋体" w:hAnsi="宋体" w:cs="宋体"/>
          <w:sz w:val="24"/>
        </w:rPr>
        <w:t>本合同自双方当事人盖章签字时生效。</w:t>
      </w:r>
    </w:p>
    <w:p>
      <w:pPr>
        <w:autoSpaceDE w:val="0"/>
        <w:autoSpaceDN w:val="0"/>
        <w:spacing w:line="560" w:lineRule="exact"/>
        <w:rPr>
          <w:rFonts w:ascii="宋体" w:hAnsi="宋体"/>
          <w:sz w:val="24"/>
          <w:lang w:val="zh-CN"/>
        </w:rPr>
      </w:pPr>
    </w:p>
    <w:tbl>
      <w:tblPr>
        <w:tblStyle w:val="6"/>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737"/>
        <w:gridCol w:w="1832"/>
        <w:gridCol w:w="1832"/>
        <w:gridCol w:w="1995"/>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721"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宋体" w:hAnsi="宋体" w:cs="宋体"/>
                <w:sz w:val="24"/>
                <w:u w:val="single"/>
              </w:rPr>
              <w:t>甲方（采购人）</w:t>
            </w:r>
          </w:p>
        </w:tc>
        <w:tc>
          <w:tcPr>
            <w:tcW w:w="2278"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r>
              <w:rPr>
                <w:rFonts w:hint="eastAsia" w:ascii="Calibri" w:hAnsi="Calibri"/>
                <w:sz w:val="24"/>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630" w:type="pct"/>
            <w:tcBorders>
              <w:top w:val="single" w:color="auto" w:sz="2" w:space="0"/>
              <w:left w:val="single" w:color="auto" w:sz="4" w:space="0"/>
              <w:bottom w:val="single" w:color="auto" w:sz="2" w:space="0"/>
              <w:right w:val="single" w:color="auto" w:sz="2" w:space="0"/>
            </w:tcBorders>
            <w:vAlign w:val="center"/>
          </w:tcPr>
          <w:p>
            <w:pPr>
              <w:spacing w:line="360" w:lineRule="auto"/>
              <w:ind w:left="-420" w:leftChars="-200" w:right="-420" w:rightChars="-200" w:firstLine="600" w:firstLineChars="250"/>
              <w:rPr>
                <w:rFonts w:ascii="宋体" w:hAnsi="宋体" w:cs="宋体"/>
                <w:sz w:val="24"/>
                <w:u w:val="single"/>
              </w:rPr>
            </w:pPr>
            <w:r>
              <w:rPr>
                <w:rFonts w:hint="eastAsia" w:ascii="宋体" w:hAnsi="宋体" w:cs="宋体"/>
                <w:sz w:val="24"/>
                <w:u w:val="single"/>
              </w:rPr>
              <w:t>法定代表人</w:t>
            </w:r>
          </w:p>
          <w:p>
            <w:pPr>
              <w:spacing w:line="360" w:lineRule="auto"/>
              <w:ind w:left="-420" w:leftChars="-200" w:right="-420" w:rightChars="-200" w:firstLine="600" w:firstLineChars="250"/>
              <w:rPr>
                <w:rFonts w:ascii="宋体" w:hAnsi="宋体" w:cs="宋体"/>
                <w:sz w:val="24"/>
                <w:u w:val="single"/>
              </w:rPr>
            </w:pPr>
            <w:r>
              <w:rPr>
                <w:rFonts w:hint="eastAsia" w:ascii="宋体" w:hAnsi="宋体" w:cs="宋体"/>
                <w:sz w:val="24"/>
                <w:u w:val="single"/>
              </w:rPr>
              <w:t>或其委托代理人（签章）</w:t>
            </w:r>
          </w:p>
        </w:tc>
        <w:tc>
          <w:tcPr>
            <w:tcW w:w="1090" w:type="pct"/>
            <w:tcBorders>
              <w:top w:val="single" w:color="auto" w:sz="2" w:space="0"/>
              <w:left w:val="single" w:color="auto" w:sz="2" w:space="0"/>
              <w:bottom w:val="single" w:color="auto" w:sz="2" w:space="0"/>
              <w:right w:val="single" w:color="auto" w:sz="2" w:space="0"/>
            </w:tcBorders>
            <w:vAlign w:val="center"/>
          </w:tcPr>
          <w:p>
            <w:pPr>
              <w:spacing w:line="360" w:lineRule="auto"/>
              <w:ind w:left="-420" w:leftChars="-200" w:right="-420" w:rightChars="-200" w:firstLine="600" w:firstLineChars="250"/>
              <w:rPr>
                <w:rFonts w:ascii="宋体" w:hAnsi="宋体" w:cs="宋体"/>
                <w:sz w:val="24"/>
                <w:u w:val="single"/>
              </w:rPr>
            </w:pPr>
          </w:p>
        </w:tc>
        <w:tc>
          <w:tcPr>
            <w:tcW w:w="1091" w:type="pct"/>
            <w:tcBorders>
              <w:top w:val="single" w:color="auto" w:sz="2" w:space="0"/>
              <w:left w:val="single" w:color="auto" w:sz="2" w:space="0"/>
              <w:bottom w:val="single" w:color="auto" w:sz="2" w:space="0"/>
              <w:right w:val="single" w:color="auto" w:sz="2" w:space="0"/>
            </w:tcBorders>
            <w:vAlign w:val="center"/>
          </w:tcPr>
          <w:p>
            <w:pPr>
              <w:spacing w:line="360" w:lineRule="auto"/>
              <w:ind w:left="-420" w:leftChars="-200" w:right="-420" w:rightChars="-200" w:firstLine="600" w:firstLineChars="250"/>
              <w:rPr>
                <w:rFonts w:ascii="宋体" w:hAnsi="宋体" w:cs="宋体"/>
                <w:sz w:val="24"/>
                <w:u w:val="single"/>
              </w:rPr>
            </w:pPr>
            <w:r>
              <w:rPr>
                <w:rFonts w:hint="eastAsia" w:ascii="宋体" w:hAnsi="宋体" w:cs="宋体"/>
                <w:sz w:val="24"/>
                <w:u w:val="single"/>
              </w:rPr>
              <w:t>法定代表人</w:t>
            </w:r>
          </w:p>
          <w:p>
            <w:pPr>
              <w:spacing w:line="360" w:lineRule="auto"/>
              <w:ind w:left="-420" w:leftChars="-200" w:right="-420" w:rightChars="-200" w:firstLine="600" w:firstLineChars="250"/>
              <w:rPr>
                <w:rFonts w:ascii="宋体" w:hAnsi="宋体" w:cs="宋体"/>
                <w:sz w:val="24"/>
                <w:u w:val="single"/>
              </w:rPr>
            </w:pPr>
            <w:r>
              <w:rPr>
                <w:rFonts w:hint="eastAsia" w:ascii="宋体" w:hAnsi="宋体" w:cs="宋体"/>
                <w:sz w:val="24"/>
                <w:u w:val="single"/>
              </w:rPr>
              <w:t>（签章）</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pacing w:line="360" w:lineRule="auto"/>
              <w:ind w:left="-420" w:leftChars="-200" w:right="-420" w:rightChars="-200" w:firstLine="600" w:firstLineChars="250"/>
              <w:rPr>
                <w:rFonts w:ascii="宋体" w:hAnsi="宋体" w:cs="宋体"/>
                <w:sz w:val="24"/>
                <w:u w:val="single"/>
              </w:rPr>
            </w:pPr>
            <w:r>
              <w:rPr>
                <w:rFonts w:hint="eastAsia" w:ascii="宋体" w:hAnsi="宋体" w:cs="宋体"/>
                <w:sz w:val="24"/>
                <w:u w:val="single"/>
              </w:rPr>
              <w:t>科室负责人</w:t>
            </w:r>
          </w:p>
        </w:tc>
        <w:tc>
          <w:tcPr>
            <w:tcW w:w="1090" w:type="pct"/>
            <w:tcBorders>
              <w:top w:val="single" w:color="auto" w:sz="2" w:space="0"/>
              <w:left w:val="single" w:color="auto" w:sz="2" w:space="0"/>
              <w:bottom w:val="single" w:color="auto" w:sz="2" w:space="0"/>
              <w:right w:val="single" w:color="auto" w:sz="2" w:space="0"/>
            </w:tcBorders>
            <w:vAlign w:val="center"/>
          </w:tcPr>
          <w:p>
            <w:pPr>
              <w:spacing w:line="360" w:lineRule="auto"/>
              <w:ind w:left="-420" w:leftChars="-200" w:right="-420" w:rightChars="-200" w:firstLine="600" w:firstLineChars="250"/>
              <w:rPr>
                <w:rFonts w:ascii="宋体" w:hAnsi="宋体" w:cs="宋体"/>
                <w:sz w:val="24"/>
                <w:u w:val="single"/>
              </w:rPr>
            </w:pPr>
          </w:p>
        </w:tc>
        <w:tc>
          <w:tcPr>
            <w:tcW w:w="1091" w:type="pct"/>
            <w:tcBorders>
              <w:top w:val="single" w:color="auto" w:sz="2" w:space="0"/>
              <w:left w:val="single" w:color="auto" w:sz="2" w:space="0"/>
              <w:bottom w:val="single" w:color="auto" w:sz="2" w:space="0"/>
              <w:right w:val="single" w:color="auto" w:sz="2" w:space="0"/>
            </w:tcBorders>
            <w:vAlign w:val="center"/>
          </w:tcPr>
          <w:p>
            <w:pPr>
              <w:spacing w:line="360" w:lineRule="auto"/>
              <w:ind w:left="-420" w:leftChars="-200" w:right="-420" w:rightChars="-200" w:firstLine="600" w:firstLineChars="250"/>
              <w:rPr>
                <w:rFonts w:ascii="宋体" w:hAnsi="宋体" w:cs="宋体"/>
                <w:sz w:val="24"/>
                <w:u w:val="single"/>
              </w:rPr>
            </w:pPr>
            <w:r>
              <w:rPr>
                <w:rFonts w:hint="eastAsia" w:ascii="宋体" w:hAnsi="宋体" w:cs="宋体"/>
                <w:sz w:val="24"/>
                <w:u w:val="single"/>
              </w:rPr>
              <w:t>或其委托代理人</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开户名称</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开户银行</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30"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0"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091"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银行账号</w:t>
            </w:r>
          </w:p>
        </w:tc>
        <w:tc>
          <w:tcPr>
            <w:tcW w:w="1187"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pPr>
        <w:widowControl/>
        <w:spacing w:line="560" w:lineRule="exact"/>
        <w:jc w:val="left"/>
        <w:rPr>
          <w:rFonts w:ascii="宋体" w:hAnsi="宋体"/>
          <w:b/>
          <w:sz w:val="24"/>
        </w:rPr>
      </w:pPr>
    </w:p>
    <w:p>
      <w:pPr>
        <w:widowControl/>
        <w:adjustRightInd/>
        <w:jc w:val="left"/>
        <w:rPr>
          <w:rFonts w:ascii="宋体" w:hAnsi="宋体"/>
          <w:b/>
          <w:sz w:val="24"/>
        </w:rPr>
      </w:pPr>
      <w:r>
        <w:rPr>
          <w:rFonts w:ascii="宋体" w:hAnsi="宋体"/>
          <w:b/>
        </w:rPr>
        <w:br w:type="page"/>
      </w:r>
    </w:p>
    <w:p>
      <w:pPr>
        <w:pStyle w:val="9"/>
        <w:ind w:firstLine="482"/>
        <w:jc w:val="center"/>
        <w:outlineLvl w:val="1"/>
        <w:rPr>
          <w:rFonts w:ascii="宋体" w:hAnsi="宋体"/>
          <w:b/>
          <w:szCs w:val="24"/>
        </w:rPr>
      </w:pPr>
      <w:r>
        <w:rPr>
          <w:rFonts w:hint="eastAsia" w:ascii="宋体" w:hAnsi="宋体"/>
          <w:b/>
          <w:szCs w:val="24"/>
        </w:rPr>
        <w:t>第二节 政府采购合同通用条款</w:t>
      </w:r>
    </w:p>
    <w:p>
      <w:pPr>
        <w:spacing w:line="360" w:lineRule="auto"/>
        <w:ind w:firstLine="482" w:firstLineChars="200"/>
        <w:rPr>
          <w:rFonts w:ascii="宋体" w:hAnsi="宋体"/>
          <w:b/>
          <w:sz w:val="24"/>
        </w:rPr>
      </w:pPr>
      <w:bookmarkStart w:id="46" w:name="_Toc19680"/>
      <w:bookmarkStart w:id="47" w:name="_Toc25079"/>
      <w:bookmarkStart w:id="48" w:name="_Toc5228"/>
      <w:bookmarkStart w:id="49" w:name="_Toc31297"/>
      <w:bookmarkStart w:id="50" w:name="_Toc14021"/>
      <w:r>
        <w:rPr>
          <w:rFonts w:ascii="宋体" w:hAnsi="宋体"/>
          <w:b/>
          <w:sz w:val="24"/>
        </w:rPr>
        <w:t>2.1 定义</w:t>
      </w:r>
      <w:bookmarkEnd w:id="46"/>
      <w:bookmarkEnd w:id="47"/>
      <w:bookmarkEnd w:id="48"/>
      <w:bookmarkEnd w:id="49"/>
      <w:bookmarkEnd w:id="50"/>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ascii="宋体" w:hAnsi="宋体"/>
          <w:sz w:val="24"/>
        </w:rPr>
        <w:t>2.1.1 “合同”系指采购人和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pPr>
        <w:spacing w:line="360" w:lineRule="auto"/>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ascii="宋体" w:hAnsi="宋体"/>
          <w:sz w:val="24"/>
        </w:rPr>
        <w:t>2.1.6 “现场”系指合同约定提供服务的地点。</w:t>
      </w:r>
    </w:p>
    <w:p>
      <w:pPr>
        <w:spacing w:line="360" w:lineRule="auto"/>
        <w:ind w:firstLine="482" w:firstLineChars="200"/>
        <w:rPr>
          <w:rFonts w:ascii="宋体" w:hAnsi="宋体"/>
          <w:b/>
          <w:sz w:val="24"/>
        </w:rPr>
      </w:pPr>
      <w:bookmarkStart w:id="51" w:name="_Toc3769"/>
      <w:bookmarkStart w:id="52" w:name="_Toc16752"/>
      <w:bookmarkStart w:id="53" w:name="_Toc23289"/>
      <w:bookmarkStart w:id="54" w:name="_Toc19539"/>
      <w:bookmarkStart w:id="55" w:name="_Toc31402"/>
      <w:r>
        <w:rPr>
          <w:rFonts w:ascii="宋体" w:hAnsi="宋体"/>
          <w:b/>
          <w:sz w:val="24"/>
        </w:rPr>
        <w:t>2.2 技术规范</w:t>
      </w:r>
      <w:bookmarkEnd w:id="51"/>
      <w:bookmarkEnd w:id="52"/>
      <w:bookmarkEnd w:id="53"/>
      <w:bookmarkEnd w:id="54"/>
      <w:bookmarkEnd w:id="55"/>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rPr>
          <w:rFonts w:ascii="宋体" w:hAnsi="宋体"/>
          <w:b/>
          <w:sz w:val="24"/>
        </w:rPr>
      </w:pPr>
      <w:bookmarkStart w:id="56" w:name="_Toc4133"/>
      <w:bookmarkStart w:id="57" w:name="_Toc13673"/>
      <w:bookmarkStart w:id="58" w:name="_Toc12412"/>
      <w:bookmarkStart w:id="59" w:name="_Toc9161"/>
      <w:bookmarkStart w:id="60" w:name="_Toc27945"/>
      <w:r>
        <w:rPr>
          <w:rFonts w:ascii="宋体" w:hAnsi="宋体"/>
          <w:b/>
          <w:sz w:val="24"/>
        </w:rPr>
        <w:t>2.3 知识产权</w:t>
      </w:r>
      <w:bookmarkEnd w:id="56"/>
      <w:bookmarkEnd w:id="57"/>
      <w:bookmarkEnd w:id="58"/>
      <w:bookmarkEnd w:id="59"/>
      <w:bookmarkEnd w:id="60"/>
    </w:p>
    <w:p>
      <w:pPr>
        <w:spacing w:line="360" w:lineRule="auto"/>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sz w:val="24"/>
          <w:u w:val="single"/>
        </w:rPr>
        <w:t>合同专用条款</w:t>
      </w:r>
      <w:r>
        <w:rPr>
          <w:rFonts w:ascii="宋体" w:hAnsi="宋体"/>
          <w:sz w:val="24"/>
        </w:rPr>
        <w:t>。</w:t>
      </w:r>
    </w:p>
    <w:p>
      <w:pPr>
        <w:spacing w:line="360" w:lineRule="auto"/>
        <w:ind w:firstLine="482"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pPr>
        <w:spacing w:line="360" w:lineRule="auto"/>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pPr>
        <w:spacing w:line="360" w:lineRule="auto"/>
        <w:ind w:firstLine="482" w:firstLineChars="200"/>
        <w:rPr>
          <w:rFonts w:ascii="宋体" w:hAnsi="宋体"/>
          <w:b/>
          <w:sz w:val="24"/>
        </w:rPr>
      </w:pPr>
      <w:bookmarkStart w:id="61" w:name="_Toc22011"/>
      <w:bookmarkStart w:id="62" w:name="_Toc32670"/>
      <w:bookmarkStart w:id="63" w:name="_Toc31233"/>
      <w:bookmarkStart w:id="64" w:name="_Toc15447"/>
      <w:bookmarkStart w:id="65" w:name="_Toc26555"/>
      <w:r>
        <w:rPr>
          <w:rFonts w:ascii="宋体" w:hAnsi="宋体"/>
          <w:b/>
          <w:sz w:val="24"/>
        </w:rPr>
        <w:t>2.5 结算方式和付款条件</w:t>
      </w:r>
      <w:bookmarkEnd w:id="61"/>
      <w:bookmarkEnd w:id="62"/>
      <w:bookmarkEnd w:id="63"/>
      <w:bookmarkEnd w:id="64"/>
      <w:bookmarkEnd w:id="65"/>
    </w:p>
    <w:p>
      <w:pPr>
        <w:spacing w:line="360" w:lineRule="auto"/>
        <w:ind w:firstLine="480" w:firstLineChars="200"/>
        <w:rPr>
          <w:rFonts w:ascii="宋体" w:hAnsi="宋体"/>
          <w:sz w:val="24"/>
        </w:rPr>
      </w:pPr>
      <w:r>
        <w:rPr>
          <w:rFonts w:ascii="宋体" w:hAnsi="宋体"/>
          <w:sz w:val="24"/>
        </w:rPr>
        <w:t>详见</w:t>
      </w:r>
      <w:r>
        <w:rPr>
          <w:rFonts w:ascii="宋体" w:hAnsi="宋体"/>
          <w:b/>
          <w:sz w:val="24"/>
          <w:u w:val="single"/>
        </w:rPr>
        <w:t>合同专用条款</w:t>
      </w:r>
      <w:r>
        <w:rPr>
          <w:rFonts w:ascii="宋体" w:hAnsi="宋体"/>
          <w:sz w:val="24"/>
        </w:rPr>
        <w:t>。</w:t>
      </w:r>
    </w:p>
    <w:p>
      <w:pPr>
        <w:spacing w:line="360" w:lineRule="auto"/>
        <w:ind w:firstLine="482" w:firstLineChars="200"/>
        <w:rPr>
          <w:rFonts w:ascii="宋体" w:hAnsi="宋体"/>
          <w:b/>
          <w:sz w:val="24"/>
        </w:rPr>
      </w:pPr>
      <w:bookmarkStart w:id="66" w:name="_Toc16163"/>
      <w:bookmarkStart w:id="67" w:name="_Toc18990"/>
      <w:bookmarkStart w:id="68" w:name="_Toc13154"/>
      <w:bookmarkStart w:id="69" w:name="_Toc30507"/>
      <w:bookmarkStart w:id="70" w:name="_Toc13467"/>
      <w:r>
        <w:rPr>
          <w:rFonts w:ascii="宋体" w:hAnsi="宋体"/>
          <w:b/>
          <w:sz w:val="24"/>
        </w:rPr>
        <w:t>2.6 技术资料和保密义务</w:t>
      </w:r>
      <w:bookmarkEnd w:id="66"/>
      <w:bookmarkEnd w:id="67"/>
      <w:bookmarkEnd w:id="68"/>
      <w:bookmarkEnd w:id="69"/>
      <w:bookmarkEnd w:id="70"/>
    </w:p>
    <w:p>
      <w:pPr>
        <w:spacing w:line="360" w:lineRule="auto"/>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rPr>
          <w:rFonts w:ascii="宋体" w:hAnsi="宋体"/>
          <w:b/>
          <w:sz w:val="24"/>
        </w:rPr>
      </w:pPr>
      <w:bookmarkStart w:id="71" w:name="_Toc19069"/>
      <w:r>
        <w:rPr>
          <w:rFonts w:ascii="宋体" w:hAnsi="宋体"/>
          <w:b/>
          <w:sz w:val="24"/>
        </w:rPr>
        <w:t xml:space="preserve">2.7 </w:t>
      </w:r>
      <w:r>
        <w:rPr>
          <w:rFonts w:hint="eastAsia" w:ascii="宋体" w:hAnsi="宋体"/>
          <w:b/>
          <w:sz w:val="24"/>
        </w:rPr>
        <w:t>质量保证</w:t>
      </w:r>
      <w:bookmarkEnd w:id="71"/>
    </w:p>
    <w:p>
      <w:pPr>
        <w:spacing w:line="360" w:lineRule="auto"/>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pPr>
        <w:spacing w:line="360" w:lineRule="auto"/>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pPr>
        <w:spacing w:line="360" w:lineRule="auto"/>
        <w:ind w:firstLine="482" w:firstLineChars="200"/>
        <w:rPr>
          <w:rFonts w:ascii="宋体" w:hAnsi="宋体"/>
          <w:b/>
          <w:sz w:val="24"/>
        </w:rPr>
      </w:pPr>
      <w:bookmarkStart w:id="72" w:name="_Toc22267"/>
      <w:r>
        <w:rPr>
          <w:rFonts w:ascii="宋体" w:hAnsi="宋体"/>
          <w:b/>
          <w:sz w:val="24"/>
        </w:rPr>
        <w:t xml:space="preserve">2.8 </w:t>
      </w:r>
      <w:r>
        <w:rPr>
          <w:rFonts w:hint="eastAsia" w:ascii="宋体" w:hAnsi="宋体"/>
          <w:b/>
          <w:sz w:val="24"/>
        </w:rPr>
        <w:t>延迟履行</w:t>
      </w:r>
      <w:bookmarkEnd w:id="72"/>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rPr>
          <w:rFonts w:ascii="宋体" w:hAnsi="宋体"/>
          <w:b/>
          <w:sz w:val="24"/>
        </w:rPr>
      </w:pPr>
      <w:bookmarkStart w:id="73" w:name="_Toc10611"/>
      <w:r>
        <w:rPr>
          <w:rFonts w:ascii="宋体" w:hAnsi="宋体"/>
          <w:b/>
          <w:sz w:val="24"/>
        </w:rPr>
        <w:t xml:space="preserve">2.9 </w:t>
      </w:r>
      <w:r>
        <w:rPr>
          <w:rFonts w:hint="eastAsia" w:ascii="宋体" w:hAnsi="宋体"/>
          <w:b/>
          <w:sz w:val="24"/>
        </w:rPr>
        <w:t>合同变更</w:t>
      </w:r>
      <w:bookmarkEnd w:id="73"/>
    </w:p>
    <w:p>
      <w:pPr>
        <w:spacing w:line="360" w:lineRule="auto"/>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pPr>
        <w:spacing w:line="360" w:lineRule="auto"/>
        <w:ind w:firstLine="482" w:firstLineChars="200"/>
        <w:rPr>
          <w:rFonts w:ascii="宋体" w:hAnsi="宋体"/>
          <w:b/>
          <w:sz w:val="24"/>
        </w:rPr>
      </w:pPr>
      <w:bookmarkStart w:id="74" w:name="_Toc26689"/>
      <w:bookmarkStart w:id="75" w:name="_Toc21830"/>
      <w:bookmarkStart w:id="76" w:name="_Toc42"/>
      <w:bookmarkStart w:id="77" w:name="_Toc10663"/>
      <w:bookmarkStart w:id="78" w:name="_Toc23368"/>
      <w:r>
        <w:rPr>
          <w:rFonts w:ascii="宋体" w:hAnsi="宋体"/>
          <w:b/>
          <w:sz w:val="24"/>
        </w:rPr>
        <w:t>2.10 合同转让和分包</w:t>
      </w:r>
      <w:bookmarkEnd w:id="74"/>
      <w:bookmarkEnd w:id="75"/>
      <w:bookmarkEnd w:id="76"/>
      <w:bookmarkEnd w:id="77"/>
      <w:bookmarkEnd w:id="78"/>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rPr>
          <w:rFonts w:ascii="宋体" w:hAnsi="宋体"/>
          <w:b/>
          <w:sz w:val="24"/>
        </w:rPr>
      </w:pPr>
      <w:bookmarkStart w:id="79" w:name="_Toc25571"/>
      <w:bookmarkStart w:id="80" w:name="_Toc26633"/>
      <w:bookmarkStart w:id="81" w:name="_Toc32494"/>
      <w:bookmarkStart w:id="82" w:name="_Toc14371"/>
      <w:bookmarkStart w:id="83" w:name="_Toc4720"/>
      <w:r>
        <w:rPr>
          <w:rFonts w:ascii="宋体" w:hAnsi="宋体"/>
          <w:b/>
          <w:sz w:val="24"/>
        </w:rPr>
        <w:t>2.11 不可抗力</w:t>
      </w:r>
      <w:bookmarkEnd w:id="79"/>
      <w:bookmarkEnd w:id="80"/>
      <w:bookmarkEnd w:id="81"/>
      <w:bookmarkEnd w:id="82"/>
      <w:bookmarkEnd w:id="83"/>
    </w:p>
    <w:p>
      <w:pPr>
        <w:spacing w:line="360" w:lineRule="auto"/>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sz w:val="24"/>
          <w:u w:val="single"/>
        </w:rPr>
        <w:t>合同专用条款</w:t>
      </w:r>
      <w:r>
        <w:rPr>
          <w:rFonts w:ascii="宋体" w:hAnsi="宋体"/>
          <w:sz w:val="24"/>
        </w:rPr>
        <w:t>约定时间内以书面形式变更合同</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b/>
          <w:sz w:val="24"/>
        </w:rPr>
      </w:pPr>
      <w:bookmarkStart w:id="84" w:name="_Toc23854"/>
      <w:bookmarkStart w:id="85" w:name="_Toc3638"/>
      <w:bookmarkStart w:id="86" w:name="_Toc24465"/>
      <w:bookmarkStart w:id="87" w:name="_Toc25783"/>
      <w:bookmarkStart w:id="88" w:name="_Toc14115"/>
      <w:r>
        <w:rPr>
          <w:rFonts w:ascii="宋体" w:hAnsi="宋体"/>
          <w:b/>
          <w:sz w:val="24"/>
        </w:rPr>
        <w:t>2.12 税费</w:t>
      </w:r>
      <w:bookmarkEnd w:id="84"/>
      <w:bookmarkEnd w:id="85"/>
      <w:bookmarkEnd w:id="86"/>
      <w:bookmarkEnd w:id="87"/>
      <w:bookmarkEnd w:id="88"/>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rPr>
          <w:rFonts w:ascii="宋体" w:hAnsi="宋体"/>
          <w:b/>
          <w:sz w:val="24"/>
        </w:rPr>
      </w:pPr>
      <w:bookmarkStart w:id="89" w:name="_Toc26883"/>
      <w:bookmarkStart w:id="90" w:name="_Toc7315"/>
      <w:bookmarkStart w:id="91" w:name="_Toc30105"/>
      <w:bookmarkStart w:id="92" w:name="_Toc14814"/>
      <w:bookmarkStart w:id="93" w:name="_Toc25525"/>
      <w:r>
        <w:rPr>
          <w:rFonts w:ascii="宋体" w:hAnsi="宋体"/>
          <w:b/>
          <w:sz w:val="24"/>
        </w:rPr>
        <w:t>2.13 乙方破产</w:t>
      </w:r>
      <w:bookmarkEnd w:id="89"/>
      <w:bookmarkEnd w:id="90"/>
      <w:bookmarkEnd w:id="91"/>
      <w:bookmarkEnd w:id="92"/>
      <w:bookmarkEnd w:id="93"/>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rPr>
          <w:rFonts w:ascii="宋体" w:hAnsi="宋体"/>
          <w:b/>
          <w:sz w:val="24"/>
        </w:rPr>
      </w:pPr>
      <w:bookmarkStart w:id="94" w:name="_Toc23323"/>
      <w:bookmarkStart w:id="95" w:name="_Toc2016"/>
      <w:bookmarkStart w:id="96" w:name="_Toc1123"/>
      <w:r>
        <w:rPr>
          <w:rFonts w:ascii="宋体" w:hAnsi="宋体"/>
          <w:b/>
          <w:sz w:val="24"/>
        </w:rPr>
        <w:t>2.14 合同中止、终止</w:t>
      </w:r>
      <w:bookmarkEnd w:id="94"/>
      <w:bookmarkEnd w:id="95"/>
      <w:bookmarkEnd w:id="96"/>
    </w:p>
    <w:p>
      <w:pPr>
        <w:spacing w:line="360" w:lineRule="auto"/>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pPr>
        <w:spacing w:line="360" w:lineRule="auto"/>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ascii="宋体" w:hAnsi="宋体"/>
          <w:b/>
          <w:sz w:val="24"/>
        </w:rPr>
      </w:pPr>
      <w:bookmarkStart w:id="97" w:name="_Toc17363"/>
      <w:bookmarkStart w:id="98" w:name="_Toc1969"/>
      <w:bookmarkStart w:id="99" w:name="_Toc14525"/>
      <w:r>
        <w:rPr>
          <w:rFonts w:ascii="宋体" w:hAnsi="宋体"/>
          <w:b/>
          <w:sz w:val="24"/>
        </w:rPr>
        <w:t>2.15 检验和验收</w:t>
      </w:r>
      <w:bookmarkEnd w:id="97"/>
      <w:bookmarkEnd w:id="98"/>
      <w:bookmarkEnd w:id="99"/>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sz w:val="24"/>
          <w:u w:val="single"/>
        </w:rPr>
        <w:t>合同专用条款</w:t>
      </w:r>
      <w:r>
        <w:rPr>
          <w:rFonts w:ascii="宋体" w:hAnsi="宋体"/>
          <w:sz w:val="24"/>
        </w:rPr>
        <w:t>的约定进行定期验收</w:t>
      </w:r>
      <w:r>
        <w:rPr>
          <w:rFonts w:hint="eastAsia" w:ascii="宋体" w:hAnsi="宋体"/>
          <w:sz w:val="24"/>
        </w:rPr>
        <w:t>；</w:t>
      </w:r>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sz w:val="24"/>
          <w:u w:val="single"/>
        </w:rPr>
        <w:t>合同专用条款</w:t>
      </w:r>
      <w:r>
        <w:rPr>
          <w:rFonts w:hint="eastAsia" w:ascii="宋体" w:hAnsi="宋体"/>
          <w:sz w:val="24"/>
        </w:rPr>
        <w:t>。</w:t>
      </w:r>
    </w:p>
    <w:p>
      <w:pPr>
        <w:spacing w:line="360" w:lineRule="auto"/>
        <w:ind w:firstLine="482" w:firstLineChars="200"/>
        <w:rPr>
          <w:rFonts w:ascii="宋体" w:hAnsi="宋体"/>
          <w:b/>
          <w:sz w:val="24"/>
        </w:rPr>
      </w:pPr>
      <w:bookmarkStart w:id="100" w:name="_Toc25198"/>
      <w:bookmarkStart w:id="101" w:name="_Toc2308"/>
      <w:bookmarkStart w:id="102" w:name="_Toc12666"/>
      <w:bookmarkStart w:id="103" w:name="_Toc31892"/>
      <w:bookmarkStart w:id="104" w:name="_Toc9808"/>
      <w:r>
        <w:rPr>
          <w:rFonts w:ascii="宋体" w:hAnsi="宋体"/>
          <w:b/>
          <w:sz w:val="24"/>
        </w:rPr>
        <w:t>2.16 通知和送达</w:t>
      </w:r>
      <w:bookmarkEnd w:id="100"/>
      <w:bookmarkEnd w:id="101"/>
      <w:bookmarkEnd w:id="102"/>
      <w:bookmarkEnd w:id="103"/>
      <w:bookmarkEnd w:id="104"/>
    </w:p>
    <w:p>
      <w:pPr>
        <w:spacing w:line="360" w:lineRule="auto"/>
        <w:ind w:firstLine="480" w:firstLineChars="200"/>
        <w:rPr>
          <w:rFonts w:ascii="宋体" w:hAnsi="宋体"/>
          <w:sz w:val="24"/>
        </w:rPr>
      </w:pPr>
      <w:bookmarkStart w:id="105" w:name="_Toc18401"/>
      <w:bookmarkStart w:id="106" w:name="_Toc27674"/>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105"/>
      <w:bookmarkEnd w:id="106"/>
    </w:p>
    <w:p>
      <w:pPr>
        <w:spacing w:line="360" w:lineRule="auto"/>
        <w:ind w:firstLine="482" w:firstLineChars="200"/>
        <w:rPr>
          <w:rFonts w:ascii="宋体" w:hAnsi="宋体"/>
          <w:b/>
          <w:sz w:val="24"/>
        </w:rPr>
      </w:pPr>
      <w:bookmarkStart w:id="107" w:name="_Toc27644"/>
      <w:bookmarkStart w:id="108" w:name="_Toc12254"/>
      <w:bookmarkStart w:id="109" w:name="_Toc20808"/>
      <w:bookmarkStart w:id="110" w:name="_Toc28906"/>
      <w:bookmarkStart w:id="111" w:name="_Toc5063"/>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107"/>
      <w:bookmarkEnd w:id="108"/>
      <w:bookmarkEnd w:id="109"/>
      <w:bookmarkEnd w:id="110"/>
      <w:bookmarkEnd w:id="111"/>
    </w:p>
    <w:p>
      <w:pPr>
        <w:spacing w:line="360" w:lineRule="auto"/>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pPr>
        <w:spacing w:line="360" w:lineRule="auto"/>
        <w:ind w:firstLine="482" w:firstLineChars="200"/>
        <w:rPr>
          <w:rFonts w:ascii="宋体" w:hAnsi="宋体" w:cs="宋体"/>
          <w:b/>
          <w:sz w:val="24"/>
        </w:rPr>
      </w:pPr>
      <w:bookmarkStart w:id="112" w:name="_Toc18540"/>
      <w:bookmarkStart w:id="113" w:name="_Toc30599"/>
      <w:bookmarkStart w:id="114" w:name="_Toc4355"/>
      <w:r>
        <w:rPr>
          <w:rFonts w:hint="eastAsia" w:ascii="宋体" w:hAnsi="宋体" w:cs="宋体"/>
          <w:b/>
          <w:sz w:val="24"/>
        </w:rPr>
        <w:t>2.18 计量单位</w:t>
      </w:r>
      <w:bookmarkEnd w:id="112"/>
      <w:bookmarkEnd w:id="113"/>
      <w:bookmarkEnd w:id="114"/>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pPr>
        <w:spacing w:line="360" w:lineRule="auto"/>
        <w:ind w:firstLine="480" w:firstLineChars="200"/>
        <w:rPr>
          <w:rFonts w:ascii="宋体" w:hAnsi="宋体"/>
          <w:sz w:val="24"/>
        </w:rPr>
      </w:pPr>
      <w:r>
        <w:rPr>
          <w:rFonts w:ascii="宋体" w:hAnsi="宋体"/>
          <w:sz w:val="24"/>
        </w:rPr>
        <w:t>合同份数按</w:t>
      </w:r>
      <w:r>
        <w:rPr>
          <w:rFonts w:ascii="宋体" w:hAnsi="宋体"/>
          <w:b/>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pPr>
        <w:spacing w:line="360" w:lineRule="auto"/>
        <w:jc w:val="center"/>
        <w:outlineLvl w:val="1"/>
        <w:rPr>
          <w:rFonts w:ascii="宋体" w:hAnsi="宋体" w:cs="宋体"/>
          <w:b/>
          <w:sz w:val="24"/>
        </w:rPr>
      </w:pPr>
      <w:r>
        <w:rPr>
          <w:rFonts w:hint="eastAsia" w:ascii="宋体" w:hAnsi="宋体" w:cs="宋体"/>
          <w:b/>
          <w:sz w:val="24"/>
        </w:rPr>
        <w:t>第三节 政府采购合同专用条款</w:t>
      </w:r>
    </w:p>
    <w:p>
      <w:pPr>
        <w:spacing w:line="360" w:lineRule="auto"/>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96"/>
        <w:gridCol w:w="72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0" w:type="auto"/>
            <w:tcBorders>
              <w:lef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条款号</w:t>
            </w:r>
          </w:p>
        </w:tc>
        <w:tc>
          <w:tcPr>
            <w:tcW w:w="7290" w:type="dxa"/>
            <w:vAlign w:val="center"/>
          </w:tcPr>
          <w:p>
            <w:pPr>
              <w:spacing w:line="360" w:lineRule="auto"/>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1.3.2</w:t>
            </w:r>
          </w:p>
        </w:tc>
        <w:tc>
          <w:tcPr>
            <w:tcW w:w="7290" w:type="dxa"/>
            <w:vAlign w:val="center"/>
          </w:tcPr>
          <w:p>
            <w:pPr>
              <w:widowControl/>
              <w:shd w:val="clear" w:color="auto" w:fill="FFFFFF"/>
              <w:adjustRightInd/>
              <w:spacing w:before="100" w:beforeAutospacing="1" w:after="100" w:afterAutospacing="1"/>
              <w:jc w:val="left"/>
              <w:rPr>
                <w:rFonts w:ascii="Segoe UI" w:hAnsi="Segoe UI" w:cs="Segoe UI"/>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1.4.2</w:t>
            </w:r>
          </w:p>
        </w:tc>
        <w:tc>
          <w:tcPr>
            <w:tcW w:w="7290" w:type="dxa"/>
            <w:vAlign w:val="center"/>
          </w:tcPr>
          <w:p>
            <w:pPr>
              <w:widowControl/>
              <w:shd w:val="clear" w:color="auto" w:fill="FFFFFF"/>
              <w:adjustRightInd/>
              <w:spacing w:before="100" w:beforeAutospacing="1" w:after="100" w:afterAutospacing="1"/>
              <w:jc w:val="left"/>
              <w:rPr>
                <w:rFonts w:ascii="Segoe UI" w:hAnsi="Segoe UI" w:cs="Segoe UI"/>
                <w:kern w:val="0"/>
                <w:sz w:val="24"/>
              </w:rPr>
            </w:pPr>
            <w:bookmarkStart w:id="115" w:name="_GoBack"/>
            <w:bookmarkEnd w:id="115"/>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1.5.1 </w:t>
            </w:r>
          </w:p>
        </w:tc>
        <w:tc>
          <w:tcPr>
            <w:tcW w:w="7290" w:type="dxa"/>
            <w:vAlign w:val="center"/>
          </w:tcPr>
          <w:p>
            <w:pPr>
              <w:widowControl/>
              <w:shd w:val="clear" w:color="auto" w:fill="FFFFFF"/>
              <w:adjustRightInd/>
              <w:spacing w:before="100" w:beforeAutospacing="1" w:after="100" w:afterAutospacing="1"/>
              <w:jc w:val="left"/>
              <w:rPr>
                <w:rFonts w:ascii="Segoe UI" w:hAnsi="Segoe UI" w:cs="Segoe UI"/>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1.5.2</w:t>
            </w:r>
          </w:p>
        </w:tc>
        <w:tc>
          <w:tcPr>
            <w:tcW w:w="7290" w:type="dxa"/>
            <w:vAlign w:val="center"/>
          </w:tcPr>
          <w:p>
            <w:pPr>
              <w:widowControl/>
              <w:shd w:val="clear" w:color="auto" w:fill="FFFFFF"/>
              <w:adjustRightInd/>
              <w:spacing w:before="100" w:beforeAutospacing="1" w:after="100" w:afterAutospacing="1"/>
              <w:jc w:val="left"/>
              <w:rPr>
                <w:rFonts w:ascii="Segoe UI" w:hAnsi="Segoe UI" w:cs="Segoe UI"/>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1.5.3 </w:t>
            </w:r>
          </w:p>
        </w:tc>
        <w:tc>
          <w:tcPr>
            <w:tcW w:w="7290" w:type="dxa"/>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1.6.1</w:t>
            </w:r>
          </w:p>
        </w:tc>
        <w:tc>
          <w:tcPr>
            <w:tcW w:w="7290" w:type="dxa"/>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1.7.1</w:t>
            </w:r>
          </w:p>
        </w:tc>
        <w:tc>
          <w:tcPr>
            <w:tcW w:w="7290" w:type="dxa"/>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1.7.2</w:t>
            </w:r>
          </w:p>
        </w:tc>
        <w:tc>
          <w:tcPr>
            <w:tcW w:w="7290" w:type="dxa"/>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1.7.3</w:t>
            </w:r>
          </w:p>
        </w:tc>
        <w:tc>
          <w:tcPr>
            <w:tcW w:w="7290" w:type="dxa"/>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1.7.4.1</w:t>
            </w:r>
          </w:p>
        </w:tc>
        <w:tc>
          <w:tcPr>
            <w:tcW w:w="7290" w:type="dxa"/>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1.7.4.2</w:t>
            </w:r>
          </w:p>
        </w:tc>
        <w:tc>
          <w:tcPr>
            <w:tcW w:w="7290" w:type="dxa"/>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1.7.4.3</w:t>
            </w:r>
          </w:p>
        </w:tc>
        <w:tc>
          <w:tcPr>
            <w:tcW w:w="7290" w:type="dxa"/>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5"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1.8.7</w:t>
            </w:r>
          </w:p>
        </w:tc>
        <w:tc>
          <w:tcPr>
            <w:tcW w:w="7290"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1.9.1</w:t>
            </w:r>
          </w:p>
        </w:tc>
        <w:tc>
          <w:tcPr>
            <w:tcW w:w="7290" w:type="dxa"/>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1.9.2</w:t>
            </w:r>
          </w:p>
        </w:tc>
        <w:tc>
          <w:tcPr>
            <w:tcW w:w="7290" w:type="dxa"/>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2.3.2</w:t>
            </w:r>
          </w:p>
        </w:tc>
        <w:tc>
          <w:tcPr>
            <w:tcW w:w="7290" w:type="dxa"/>
            <w:vAlign w:val="center"/>
          </w:tcPr>
          <w:p>
            <w:pPr>
              <w:spacing w:line="360" w:lineRule="auto"/>
              <w:ind w:left="-420" w:leftChars="-200" w:right="-420" w:rightChars="-200" w:firstLine="480" w:firstLineChars="20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7290" w:type="dxa"/>
            <w:vAlign w:val="center"/>
          </w:tcPr>
          <w:p>
            <w:pPr>
              <w:spacing w:line="3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7290" w:type="dxa"/>
            <w:vAlign w:val="center"/>
          </w:tcPr>
          <w:p>
            <w:pPr>
              <w:spacing w:line="400" w:lineRule="exact"/>
              <w:ind w:firstLine="0" w:firstLineChars="200"/>
              <w:rPr>
                <w:rFonts w:ascii="宋体" w:hAnsi="宋体" w:cs="宋体"/>
                <w:w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tcPr>
          <w:p>
            <w:pPr>
              <w:spacing w:line="360" w:lineRule="auto"/>
              <w:rPr>
                <w:rFonts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7290" w:type="dxa"/>
          </w:tcPr>
          <w:p>
            <w:pPr>
              <w:spacing w:line="400" w:lineRule="exact"/>
              <w:rPr>
                <w:rFonts w:ascii="宋体" w:hAnsi="宋体" w:cs="宋体"/>
                <w:w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7290" w:type="dxa"/>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0" w:type="auto"/>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7290" w:type="dxa"/>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1" w:hRule="atLeast"/>
        </w:trPr>
        <w:tc>
          <w:tcPr>
            <w:tcW w:w="0" w:type="auto"/>
            <w:tcBorders>
              <w:left w:val="single" w:color="auto" w:sz="4" w:space="0"/>
            </w:tcBorders>
          </w:tcPr>
          <w:p>
            <w:pPr>
              <w:spacing w:line="360" w:lineRule="auto"/>
              <w:rPr>
                <w:rFonts w:ascii="宋体" w:hAnsi="宋体" w:cs="宋体"/>
                <w:sz w:val="24"/>
              </w:rPr>
            </w:pPr>
            <w:r>
              <w:rPr>
                <w:rFonts w:hint="eastAsia" w:ascii="宋体" w:hAnsi="宋体" w:cs="宋体"/>
                <w:sz w:val="24"/>
              </w:rPr>
              <w:t>2.19</w:t>
            </w:r>
          </w:p>
        </w:tc>
        <w:tc>
          <w:tcPr>
            <w:tcW w:w="7290" w:type="dxa"/>
          </w:tcPr>
          <w:p>
            <w:pPr>
              <w:adjustRightInd/>
              <w:snapToGrid w:val="0"/>
              <w:spacing w:line="420" w:lineRule="exact"/>
              <w:rPr>
                <w:rFonts w:ascii="宋体" w:hAnsi="宋体" w:cs="宋体"/>
                <w:sz w:val="24"/>
              </w:rPr>
            </w:pPr>
          </w:p>
        </w:tc>
      </w:tr>
    </w:tbl>
    <w:p>
      <w:pPr>
        <w:widowControl/>
        <w:adjustRightInd/>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4"/>
      </w:pBdr>
      <w:jc w:val="right"/>
    </w:pPr>
    <w:r>
      <w:t></w:t>
    </w:r>
    <w:r>
      <w:rPr>
        <w:rFonts w:hint="eastAsia"/>
      </w:rPr>
      <w:t xml:space="preserve">        </w:t>
    </w:r>
    <w:r>
      <w:rPr>
        <w:rFonts w:hint="eastAsia"/>
        <w:sz w:val="21"/>
        <w:szCs w:val="21"/>
      </w:rPr>
      <w:t xml:space="preserve"> </w:t>
    </w:r>
    <w:r>
      <w:rPr>
        <w:sz w:val="21"/>
        <w:szCs w:val="21"/>
      </w:rPr>
      <w:t>北海市政府采购公开招标文件</w:t>
    </w:r>
  </w:p>
  <w:p>
    <w:pPr>
      <w:pStyle w:val="5"/>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84F34"/>
    <w:rsid w:val="0D8B6977"/>
    <w:rsid w:val="34784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line="480" w:lineRule="exact"/>
      <w:ind w:firstLine="480" w:firstLineChars="200"/>
    </w:pPr>
    <w:rPr>
      <w:rFonts w:ascii="宋体" w:hAnsi="宋体"/>
      <w:sz w:val="24"/>
    </w:rPr>
  </w:style>
  <w:style w:type="paragraph" w:styleId="3">
    <w:name w:val="footer"/>
    <w:basedOn w:val="1"/>
    <w:next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10"/>
    <w:pPr>
      <w:widowControl/>
      <w:overflowPunct w:val="0"/>
      <w:autoSpaceDE w:val="0"/>
      <w:autoSpaceDN w:val="0"/>
      <w:jc w:val="center"/>
      <w:textAlignment w:val="baseline"/>
    </w:pPr>
    <w:rPr>
      <w:b/>
      <w:kern w:val="0"/>
      <w:sz w:val="24"/>
      <w:szCs w:val="20"/>
      <w:lang w:val="en-GB"/>
    </w:rPr>
  </w:style>
  <w:style w:type="character" w:styleId="8">
    <w:name w:val="page number"/>
    <w:basedOn w:val="7"/>
    <w:qFormat/>
    <w:uiPriority w:val="0"/>
    <w:rPr>
      <w:rFonts w:ascii="Arial" w:hAnsi="Arial" w:eastAsia="黑体" w:cs="Arial"/>
      <w:snapToGrid w:val="0"/>
      <w:kern w:val="0"/>
      <w:szCs w:val="21"/>
    </w:rPr>
  </w:style>
  <w:style w:type="paragraph" w:customStyle="1" w:styleId="9">
    <w:name w:val="正文缩进1"/>
    <w:basedOn w:val="1"/>
    <w:next w:val="2"/>
    <w:qFormat/>
    <w:uiPriority w:val="99"/>
    <w:pPr>
      <w:autoSpaceDE w:val="0"/>
      <w:autoSpaceDN w:val="0"/>
      <w:snapToGrid w:val="0"/>
      <w:spacing w:after="120" w:line="360" w:lineRule="auto"/>
      <w:ind w:left="420" w:leftChars="200" w:firstLine="480" w:firstLineChars="200"/>
    </w:pPr>
    <w:rPr>
      <w:sz w:val="24"/>
      <w:szCs w:val="21"/>
    </w:rPr>
  </w:style>
  <w:style w:type="paragraph" w:customStyle="1" w:styleId="1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11">
    <w:name w:val="纯文本1"/>
    <w:basedOn w:val="1"/>
    <w:qFormat/>
    <w:uiPriority w:val="0"/>
    <w:pPr>
      <w:adjustRightInd/>
    </w:pPr>
    <w:rPr>
      <w:rFonts w:ascii="宋体" w:hAnsi="Courier New"/>
      <w:kern w:val="0"/>
      <w:sz w:val="20"/>
      <w:szCs w:val="20"/>
    </w:rPr>
  </w:style>
  <w:style w:type="paragraph" w:customStyle="1" w:styleId="12">
    <w:name w:val="*正文"/>
    <w:basedOn w:val="1"/>
    <w:qFormat/>
    <w:uiPriority w:val="0"/>
    <w:pPr>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5637</Words>
  <Characters>6116</Characters>
  <Lines>0</Lines>
  <Paragraphs>0</Paragraphs>
  <TotalTime>0</TotalTime>
  <ScaleCrop>false</ScaleCrop>
  <LinksUpToDate>false</LinksUpToDate>
  <CharactersWithSpaces>6876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2026-01-19T07:01:00Z</dcterms:created>
  <dc:creator>lenovo</dc:creator>
  <cp:lastModifiedBy>lenovo</cp:lastModifiedBy>
  <dcterms:modified xsi:type="dcterms:W3CDTF">2026-01-20T02:11:35Z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6248CE231A23467F9F88F696DDB8277D</vt:lpwstr>
  </property>
</Properties>
</file>