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hint="eastAsia" w:cs="仿宋_GB2312" w:asciiTheme="minorEastAsia" w:hAnsiTheme="minorEastAsia" w:eastAsiaTheme="minorEastAsia"/>
          <w:b/>
          <w:sz w:val="44"/>
          <w:szCs w:val="44"/>
          <w:lang w:eastAsia="zh-CN"/>
        </w:rPr>
      </w:pPr>
      <w:r>
        <w:rPr>
          <w:rFonts w:hint="eastAsia" w:cs="仿宋_GB2312" w:asciiTheme="minorEastAsia" w:hAnsiTheme="minorEastAsia" w:eastAsiaTheme="minorEastAsia"/>
          <w:b/>
          <w:sz w:val="44"/>
          <w:szCs w:val="44"/>
          <w:lang w:eastAsia="zh-CN"/>
        </w:rPr>
        <w:t>北海市政务服务中心2026年后勤物业服务</w:t>
      </w:r>
    </w:p>
    <w:p>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pPr>
        <w:snapToGrid w:val="0"/>
        <w:spacing w:line="360" w:lineRule="auto"/>
        <w:jc w:val="center"/>
        <w:rPr>
          <w:rFonts w:cs="仿宋_GB2312" w:asciiTheme="minorEastAsia" w:hAnsiTheme="minorEastAsia" w:eastAsiaTheme="minorEastAsia"/>
          <w:sz w:val="30"/>
          <w:szCs w:val="30"/>
        </w:rPr>
      </w:pPr>
    </w:p>
    <w:p>
      <w:pPr>
        <w:snapToGrid w:val="0"/>
        <w:spacing w:line="360" w:lineRule="auto"/>
        <w:jc w:val="center"/>
        <w:rPr>
          <w:rFonts w:hint="eastAsia" w:cs="仿宋_GB2312" w:asciiTheme="minorEastAsia" w:hAnsiTheme="minorEastAsia" w:eastAsiaTheme="minorEastAsia"/>
          <w:sz w:val="30"/>
          <w:szCs w:val="30"/>
          <w:lang w:eastAsia="zh-CN"/>
        </w:rPr>
      </w:pPr>
      <w:r>
        <w:rPr>
          <w:rFonts w:hint="eastAsia" w:cs="仿宋_GB2312" w:asciiTheme="minorEastAsia" w:hAnsiTheme="minorEastAsia" w:eastAsiaTheme="minorEastAsia"/>
          <w:sz w:val="30"/>
          <w:szCs w:val="30"/>
        </w:rPr>
        <w:t>项目编号:</w:t>
      </w:r>
      <w:r>
        <w:rPr>
          <w:rFonts w:hint="eastAsia" w:cs="仿宋_GB2312" w:asciiTheme="minorEastAsia" w:hAnsiTheme="minorEastAsia" w:eastAsiaTheme="minorEastAsia"/>
          <w:sz w:val="30"/>
          <w:szCs w:val="30"/>
          <w:lang w:eastAsia="zh-CN"/>
        </w:rPr>
        <w:t>BHZC2026-C3-990056-CGZX</w:t>
      </w:r>
    </w:p>
    <w:p>
      <w:pPr>
        <w:adjustRightInd/>
        <w:spacing w:line="360" w:lineRule="auto"/>
        <w:rPr>
          <w:rFonts w:cs="仿宋_GB2312" w:asciiTheme="minorEastAsia" w:hAnsiTheme="minorEastAsia" w:eastAsiaTheme="minorEastAsia"/>
          <w:sz w:val="28"/>
          <w:szCs w:val="20"/>
        </w:rPr>
      </w:pPr>
    </w:p>
    <w:p>
      <w:pPr>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sz w:val="24"/>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pPr>
        <w:snapToGrid w:val="0"/>
        <w:spacing w:line="360" w:lineRule="auto"/>
        <w:jc w:val="center"/>
        <w:rPr>
          <w:rFonts w:cs="仿宋_GB2312" w:asciiTheme="minorEastAsia" w:hAnsiTheme="minorEastAsia" w:eastAsiaTheme="minorEastAsia"/>
          <w:sz w:val="32"/>
          <w:szCs w:val="32"/>
        </w:rPr>
      </w:pPr>
    </w:p>
    <w:p>
      <w:pPr>
        <w:spacing w:line="360" w:lineRule="auto"/>
        <w:jc w:val="center"/>
        <w:rPr>
          <w:rFonts w:hint="eastAsia" w:ascii="宋体" w:hAnsi="宋体" w:cs="宋体"/>
          <w:bCs/>
          <w:sz w:val="32"/>
          <w:szCs w:val="32"/>
        </w:rPr>
      </w:pPr>
      <w:r>
        <w:rPr>
          <w:rFonts w:hint="eastAsia" w:ascii="宋体" w:hAnsi="宋体" w:cs="宋体"/>
          <w:bCs/>
          <w:sz w:val="32"/>
          <w:szCs w:val="32"/>
        </w:rPr>
        <w:t>北海市政务服务中心</w:t>
      </w:r>
    </w:p>
    <w:p>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北海市政府采购中心</w:t>
      </w:r>
    </w:p>
    <w:p>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w:t>
      </w:r>
      <w:r>
        <w:rPr>
          <w:rFonts w:hint="eastAsia" w:cs="仿宋_GB2312" w:asciiTheme="minorEastAsia" w:hAnsiTheme="minorEastAsia" w:eastAsiaTheme="minorEastAsia"/>
          <w:bCs/>
          <w:sz w:val="32"/>
          <w:szCs w:val="32"/>
          <w:lang w:eastAsia="zh-CN"/>
        </w:rPr>
        <w:t>六</w:t>
      </w:r>
      <w:r>
        <w:rPr>
          <w:rFonts w:hint="eastAsia" w:cs="仿宋_GB2312" w:asciiTheme="minorEastAsia" w:hAnsiTheme="minorEastAsia" w:eastAsiaTheme="minorEastAsia"/>
          <w:bCs/>
          <w:sz w:val="32"/>
          <w:szCs w:val="32"/>
        </w:rPr>
        <w:t xml:space="preserve">年 </w:t>
      </w:r>
      <w:r>
        <w:rPr>
          <w:rFonts w:hint="eastAsia" w:cs="仿宋_GB2312" w:asciiTheme="minorEastAsia" w:hAnsiTheme="minorEastAsia" w:eastAsiaTheme="minorEastAsia"/>
          <w:bCs/>
          <w:sz w:val="32"/>
          <w:szCs w:val="32"/>
          <w:lang w:eastAsia="zh-CN"/>
        </w:rPr>
        <w:t>三</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eastAsia="zh-CN"/>
        </w:rPr>
        <w:t>二十五</w:t>
      </w:r>
      <w:r>
        <w:rPr>
          <w:rFonts w:hint="eastAsia" w:cs="仿宋_GB2312" w:asciiTheme="minorEastAsia" w:hAnsiTheme="minorEastAsia" w:eastAsiaTheme="minorEastAsia"/>
          <w:bCs/>
          <w:sz w:val="32"/>
          <w:szCs w:val="32"/>
        </w:rPr>
        <w:t>日</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pPr>
        <w:spacing w:line="360" w:lineRule="auto"/>
        <w:rPr>
          <w:rFonts w:cs="仿宋_GB2312" w:asciiTheme="minorEastAsia" w:hAnsiTheme="minorEastAsia" w:eastAsiaTheme="minorEastAsia"/>
          <w:sz w:val="32"/>
          <w:szCs w:val="32"/>
        </w:rPr>
      </w:pPr>
    </w:p>
    <w:p>
      <w:pPr>
        <w:spacing w:line="360" w:lineRule="auto"/>
        <w:rPr>
          <w:rFonts w:cs="仿宋_GB2312" w:asciiTheme="minorEastAsia" w:hAnsiTheme="minorEastAsia" w:eastAsiaTheme="minorEastAsia"/>
          <w:sz w:val="32"/>
          <w:szCs w:val="32"/>
        </w:rPr>
      </w:pPr>
    </w:p>
    <w:p>
      <w:pPr>
        <w:pStyle w:val="40"/>
        <w:tabs>
          <w:tab w:val="right" w:leader="dot" w:pos="9060"/>
        </w:tabs>
        <w:spacing w:line="360" w:lineRule="auto"/>
        <w:rPr>
          <w:rFonts w:asciiTheme="minorEastAsia" w:hAnsiTheme="minorEastAsia" w:eastAsiaTheme="minorEastAsia" w:cstheme="minorBidi"/>
          <w:sz w:val="32"/>
          <w:szCs w:val="32"/>
        </w:rPr>
      </w:pPr>
      <w:bookmarkStart w:id="1" w:name="_Hlt91233176"/>
      <w:bookmarkEnd w:id="1"/>
      <w:bookmarkStart w:id="2"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w:instrText>
      </w:r>
      <w:r>
        <w:rPr>
          <w:rFonts w:hint="eastAsia" w:cs="仿宋_GB2312" w:asciiTheme="minorEastAsia" w:hAnsiTheme="minorEastAsia" w:eastAsiaTheme="minorEastAsia"/>
          <w:sz w:val="32"/>
          <w:szCs w:val="32"/>
        </w:rPr>
        <w:instrText xml:space="preserve">TOC \o "1-1" \h \z \u</w:instrText>
      </w:r>
      <w:r>
        <w:rPr>
          <w:rFonts w:cs="仿宋_GB2312" w:asciiTheme="minorEastAsia" w:hAnsiTheme="minorEastAsia" w:eastAsiaTheme="minorEastAsia"/>
          <w:sz w:val="32"/>
          <w:szCs w:val="32"/>
        </w:rPr>
        <w:instrText xml:space="preserve"> </w:instrText>
      </w:r>
      <w:r>
        <w:rPr>
          <w:rFonts w:cs="仿宋_GB2312" w:asciiTheme="minorEastAsia" w:hAnsiTheme="minorEastAsia" w:eastAsiaTheme="minorEastAsia"/>
          <w:sz w:val="32"/>
          <w:szCs w:val="32"/>
        </w:rPr>
        <w:fldChar w:fldCharType="separate"/>
      </w:r>
      <w:r>
        <w:fldChar w:fldCharType="begin"/>
      </w:r>
      <w:r>
        <w:instrText xml:space="preserve"> HYPERLINK \l "_Toc181203094" </w:instrText>
      </w:r>
      <w: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"_Toc181203095" </w:instrText>
      </w:r>
      <w: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"_Toc181203096" </w:instrText>
      </w:r>
      <w: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"_Toc181203097" </w:instrText>
      </w:r>
      <w: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3</w:t>
      </w:r>
    </w:p>
    <w:p>
      <w:pPr>
        <w:pStyle w:val="40"/>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"_Toc181203098" </w:instrText>
      </w:r>
      <w: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0</w:t>
      </w:r>
    </w:p>
    <w:p>
      <w:pPr>
        <w:pStyle w:val="40"/>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"_Toc181203099" </w:instrText>
      </w:r>
      <w: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0</w:t>
      </w:r>
    </w:p>
    <w:p>
      <w:pPr>
        <w:pStyle w:val="40"/>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"_Toc181203100" </w:instrText>
      </w:r>
      <w: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0</w:t>
      </w:r>
    </w:p>
    <w:p>
      <w:pPr>
        <w:pStyle w:val="40"/>
        <w:tabs>
          <w:tab w:val="right" w:leader="dot" w:pos="9060"/>
        </w:tabs>
        <w:spacing w:line="360" w:lineRule="auto"/>
        <w:rPr>
          <w:rFonts w:hint="default" w:asciiTheme="minorEastAsia" w:hAnsiTheme="minorEastAsia" w:eastAsiaTheme="minorEastAsia" w:cstheme="minorBidi"/>
          <w:sz w:val="32"/>
          <w:szCs w:val="32"/>
          <w:lang w:val="en-US" w:eastAsia="zh-CN"/>
        </w:rPr>
      </w:pPr>
      <w:r>
        <w:fldChar w:fldCharType="begin"/>
      </w:r>
      <w:r>
        <w:instrText xml:space="preserve"> HYPERLINK \l "_Toc181203101" </w:instrText>
      </w:r>
      <w: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8</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2</w:t>
      </w:r>
      <w:bookmarkStart w:id="185" w:name="_GoBack"/>
      <w:bookmarkEnd w:id="185"/>
    </w:p>
    <w:p>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djustRightInd/>
        <w:spacing w:line="360" w:lineRule="auto"/>
        <w:jc w:val="center"/>
        <w:outlineLvl w:val="0"/>
        <w:rPr>
          <w:rFonts w:cs="仿宋_GB2312" w:asciiTheme="minorEastAsia" w:hAnsiTheme="minorEastAsia" w:eastAsiaTheme="minorEastAsia"/>
          <w:b/>
          <w:sz w:val="36"/>
          <w:szCs w:val="20"/>
        </w:rPr>
      </w:pPr>
      <w:bookmarkStart w:id="3" w:name="第一部分"/>
      <w:r>
        <w:rPr>
          <w:rFonts w:hint="eastAsia" w:cs="仿宋_GB2312" w:asciiTheme="minorEastAsia" w:hAnsiTheme="minorEastAsia" w:eastAsiaTheme="minorEastAsia"/>
          <w:b/>
          <w:sz w:val="36"/>
          <w:szCs w:val="36"/>
        </w:rPr>
        <w:br w:type="page"/>
      </w:r>
      <w:bookmarkEnd w:id="2"/>
      <w:bookmarkEnd w:id="3"/>
      <w:bookmarkStart w:id="4" w:name="_Hlt74729822"/>
      <w:bookmarkEnd w:id="4"/>
      <w:bookmarkStart w:id="5" w:name="_Hlt74728647"/>
      <w:bookmarkEnd w:id="5"/>
      <w:bookmarkStart w:id="6" w:name="_Hlt74707423"/>
      <w:bookmarkEnd w:id="6"/>
      <w:bookmarkStart w:id="7" w:name="_Hlt74649545"/>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sz w:val="36"/>
          <w:szCs w:val="20"/>
        </w:rPr>
        <w:t>第一部分  邀请供应商</w:t>
      </w:r>
      <w:bookmarkEnd w:id="8"/>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竞争性磋商公告</w:t>
      </w:r>
    </w:p>
    <w:p>
      <w:pPr>
        <w:spacing w:line="360" w:lineRule="auto"/>
        <w:rPr>
          <w:rFonts w:asciiTheme="minorEastAsia" w:hAnsiTheme="minorEastAsia" w:eastAsiaTheme="minorEastAsia"/>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cs="Times New Roman" w:asciiTheme="minorEastAsia" w:hAnsiTheme="minorEastAsia" w:eastAsiaTheme="minorEastAsia"/>
          <w:sz w:val="24"/>
          <w:u w:val="single"/>
          <w:lang w:eastAsia="zh-CN"/>
        </w:rPr>
        <w:t>北海市政务服务中心2026年后勤物业服务</w:t>
      </w:r>
      <w:r>
        <w:rPr>
          <w:rFonts w:hint="eastAsia" w:asciiTheme="minorEastAsia" w:hAnsiTheme="minorEastAsia" w:eastAsiaTheme="minorEastAsia"/>
          <w:sz w:val="24"/>
        </w:rPr>
        <w:t>采购项目的潜在供应商应在</w:t>
      </w:r>
      <w:r>
        <w:rPr>
          <w:rFonts w:hint="eastAsia" w:ascii="宋体" w:hAnsi="宋体" w:cs="宋体"/>
          <w:sz w:val="24"/>
        </w:rPr>
        <w:t>广西政府采购云平台（https://www.gcy.zfcg.gxzf.gov.cn/）</w:t>
      </w:r>
      <w:r>
        <w:rPr>
          <w:rFonts w:hint="eastAsia" w:asciiTheme="minorEastAsia" w:hAnsiTheme="minorEastAsia" w:eastAsiaTheme="minorEastAsia"/>
          <w:sz w:val="24"/>
        </w:rPr>
        <w:t>获取采购文件，并于</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bCs/>
          <w:sz w:val="24"/>
          <w:u w:val="single"/>
        </w:rPr>
        <w:t xml:space="preserve">年 </w:t>
      </w:r>
      <w:r>
        <w:rPr>
          <w:rFonts w:hint="eastAsia" w:asciiTheme="minorEastAsia" w:hAnsiTheme="minorEastAsia" w:eastAsiaTheme="minorEastAsia"/>
          <w:bCs/>
          <w:sz w:val="24"/>
          <w:u w:val="single"/>
          <w:lang w:val="en-US" w:eastAsia="zh-CN"/>
        </w:rPr>
        <w:t>4</w:t>
      </w:r>
      <w:r>
        <w:rPr>
          <w:rFonts w:hint="eastAsia" w:asciiTheme="minorEastAsia" w:hAnsiTheme="minorEastAsia" w:eastAsiaTheme="minorEastAsia"/>
          <w:bCs/>
          <w:sz w:val="24"/>
          <w:u w:val="single"/>
        </w:rPr>
        <w:t xml:space="preserve"> 月</w:t>
      </w:r>
      <w:r>
        <w:rPr>
          <w:rFonts w:hint="eastAsia" w:asciiTheme="minorEastAsia" w:hAnsiTheme="minorEastAsia" w:eastAsiaTheme="minorEastAsia"/>
          <w:bCs/>
          <w:sz w:val="24"/>
          <w:u w:val="single"/>
          <w:lang w:val="en-US" w:eastAsia="zh-CN"/>
        </w:rPr>
        <w:t>8</w:t>
      </w:r>
      <w:r>
        <w:rPr>
          <w:rFonts w:hint="eastAsia" w:asciiTheme="minorEastAsia" w:hAnsiTheme="minorEastAsia" w:eastAsiaTheme="minorEastAsia"/>
          <w:bCs/>
          <w:sz w:val="24"/>
          <w:u w:val="single"/>
        </w:rPr>
        <w:t xml:space="preserve"> 日 </w:t>
      </w:r>
      <w:r>
        <w:rPr>
          <w:rFonts w:hint="eastAsia" w:asciiTheme="minorEastAsia" w:hAnsiTheme="minorEastAsia" w:eastAsiaTheme="minorEastAsia"/>
          <w:bCs/>
          <w:sz w:val="24"/>
          <w:u w:val="single"/>
          <w:lang w:val="en-US" w:eastAsia="zh-CN"/>
        </w:rPr>
        <w:t>09</w:t>
      </w:r>
      <w:r>
        <w:rPr>
          <w:rFonts w:hint="eastAsia" w:asciiTheme="minorEastAsia" w:hAnsiTheme="minorEastAsia" w:eastAsiaTheme="minorEastAsia"/>
          <w:bCs/>
          <w:sz w:val="24"/>
          <w:u w:val="single"/>
        </w:rPr>
        <w:t xml:space="preserve">点 </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 xml:space="preserve"> 分00秒</w:t>
      </w:r>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p>
    <w:p>
      <w:pPr>
        <w:pStyle w:val="631"/>
        <w:ind w:firstLine="0"/>
        <w:rPr>
          <w:b/>
        </w:rPr>
      </w:pPr>
      <w:bookmarkStart w:id="12" w:name="_Toc28359012"/>
      <w:bookmarkStart w:id="13" w:name="_Toc35393798"/>
      <w:bookmarkStart w:id="14" w:name="_Toc28359089"/>
      <w:bookmarkStart w:id="15" w:name="_Toc35393629"/>
      <w:r>
        <w:rPr>
          <w:rFonts w:hint="eastAsia"/>
          <w:b/>
        </w:rPr>
        <w:t>一、项目基本情况</w:t>
      </w:r>
      <w:bookmarkEnd w:id="12"/>
      <w:bookmarkEnd w:id="13"/>
      <w:bookmarkEnd w:id="14"/>
      <w:bookmarkEnd w:id="15"/>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项目编号：</w:t>
      </w:r>
      <w:r>
        <w:rPr>
          <w:rFonts w:hint="eastAsia" w:asciiTheme="minorEastAsia" w:hAnsiTheme="minorEastAsia" w:eastAsiaTheme="minorEastAsia"/>
          <w:sz w:val="24"/>
          <w:lang w:eastAsia="zh-CN"/>
        </w:rPr>
        <w:t>BHZC2026-C3-990056-CGZX</w:t>
      </w:r>
    </w:p>
    <w:p>
      <w:pPr>
        <w:spacing w:line="360" w:lineRule="auto"/>
        <w:ind w:firstLine="480" w:firstLineChars="200"/>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项目名称：</w:t>
      </w:r>
      <w:r>
        <w:rPr>
          <w:rFonts w:hint="eastAsia" w:asciiTheme="minorEastAsia" w:hAnsiTheme="minorEastAsia" w:eastAsiaTheme="minorEastAsia"/>
          <w:sz w:val="24"/>
          <w:lang w:eastAsia="zh-CN"/>
        </w:rPr>
        <w:t>北海市政务服务中心2026年后勤物业服务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采购方式：竞争性磋商</w:t>
      </w:r>
    </w:p>
    <w:p>
      <w:pPr>
        <w:spacing w:line="360" w:lineRule="auto"/>
        <w:ind w:firstLine="480" w:firstLineChars="200"/>
        <w:rPr>
          <w:rFonts w:hint="eastAsia" w:cs="Times New Roman" w:asciiTheme="minorEastAsia" w:hAnsiTheme="minorEastAsia" w:eastAsiaTheme="minorEastAsia"/>
          <w:sz w:val="24"/>
        </w:rPr>
      </w:pPr>
      <w:r>
        <w:rPr>
          <w:rFonts w:hint="eastAsia" w:asciiTheme="minorEastAsia" w:hAnsiTheme="minorEastAsia" w:eastAsiaTheme="minorEastAsia"/>
          <w:sz w:val="24"/>
        </w:rPr>
        <w:t>预算金额（元）：</w:t>
      </w:r>
      <w:r>
        <w:rPr>
          <w:rFonts w:hint="eastAsia" w:cs="Times New Roman" w:asciiTheme="minorEastAsia" w:hAnsiTheme="minorEastAsia" w:eastAsiaTheme="minorEastAsia"/>
          <w:sz w:val="24"/>
        </w:rPr>
        <w:t xml:space="preserve">853,800.00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最高限价（元）：</w:t>
      </w:r>
      <w:r>
        <w:rPr>
          <w:rFonts w:hint="eastAsia" w:cs="Times New Roman" w:asciiTheme="minorEastAsia" w:hAnsiTheme="minorEastAsia" w:eastAsiaTheme="minorEastAsia"/>
          <w:sz w:val="24"/>
        </w:rPr>
        <w:t xml:space="preserve">853,800.00 </w:t>
      </w:r>
      <w:r>
        <w:rPr>
          <w:rFonts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w:t>
      </w:r>
      <w:r>
        <w:rPr>
          <w:rFonts w:hint="eastAsia" w:hAnsi="宋体" w:cs="宋体" w:eastAsiaTheme="minorEastAsia"/>
          <w:bCs/>
          <w:sz w:val="24"/>
          <w:lang w:eastAsia="zh-CN"/>
        </w:rPr>
        <w:t>北海市政务服务中心2026年后勤物业服务</w:t>
      </w:r>
      <w:r>
        <w:rPr>
          <w:rFonts w:hint="eastAsia" w:hAnsi="宋体" w:cs="宋体"/>
          <w:bCs/>
          <w:sz w:val="24"/>
        </w:rPr>
        <w:t xml:space="preserve">主要内容： </w:t>
      </w:r>
      <w:r>
        <w:rPr>
          <w:rFonts w:hint="eastAsia" w:ascii="Times New Roman" w:hAnsi="宋体" w:cs="宋体" w:eastAsiaTheme="minorEastAsia"/>
          <w:bCs/>
          <w:sz w:val="24"/>
          <w:lang w:eastAsia="zh-CN"/>
        </w:rPr>
        <w:t>安全保卫、停车场管理、消防安全、保洁、水电设施设备维修维护等服务</w:t>
      </w:r>
      <w:r>
        <w:rPr>
          <w:rFonts w:hint="eastAsia" w:hAnsi="宋体" w:cs="宋体"/>
          <w:bCs/>
          <w:sz w:val="24"/>
        </w:rPr>
        <w:t>。</w:t>
      </w:r>
      <w:r>
        <w:rPr>
          <w:rFonts w:hint="eastAsia" w:cs="仿宋_GB2312" w:asciiTheme="minorEastAsia" w:hAnsiTheme="minorEastAsia" w:eastAsiaTheme="minorEastAsia"/>
          <w:sz w:val="24"/>
        </w:rPr>
        <w:t>详见磋商文件。</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合同履行期限：1年。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本项目是否接受联合体磋商：</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Wingdings" w:hAnsi="Wingdings" w:eastAsia="MS Mincho" w:cs="MS Mincho"/>
              <w:kern w:val="2"/>
              <w:sz w:val="24"/>
              <w:szCs w:val="24"/>
              <w:lang w:val="en-US" w:eastAsia="zh-CN" w:bidi="ar-SA"/>
            </w:rPr>
            <w:t>þ</w:t>
          </w:r>
        </w:sdtContent>
      </w:sdt>
      <w:r>
        <w:rPr>
          <w:rFonts w:hint="eastAsia" w:asciiTheme="minorEastAsia" w:hAnsiTheme="minorEastAsia" w:eastAsiaTheme="minorEastAsia"/>
          <w:sz w:val="24"/>
        </w:rPr>
        <w:t>否。</w:t>
      </w:r>
    </w:p>
    <w:p>
      <w:pPr>
        <w:pStyle w:val="631"/>
        <w:ind w:firstLine="0"/>
        <w:rPr>
          <w:b/>
        </w:rPr>
      </w:pPr>
      <w:bookmarkStart w:id="16" w:name="_Toc35393799"/>
      <w:bookmarkStart w:id="17" w:name="_Toc35393630"/>
      <w:bookmarkStart w:id="18" w:name="_Toc28359013"/>
      <w:bookmarkStart w:id="19" w:name="_Toc28359090"/>
      <w:r>
        <w:rPr>
          <w:rFonts w:hint="eastAsia"/>
          <w:b/>
        </w:rPr>
        <w:t>二、申请人的资格要求：</w:t>
      </w:r>
      <w:bookmarkEnd w:id="16"/>
      <w:bookmarkEnd w:id="17"/>
      <w:bookmarkEnd w:id="18"/>
      <w:bookmarkEnd w:id="19"/>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rPr>
          <w:rFonts w:hint="eastAsia" w:cs="宋体" w:asciiTheme="minorEastAsia" w:hAnsiTheme="minorEastAsia" w:eastAsiaTheme="minorEastAsia"/>
          <w:kern w:val="2"/>
          <w:sz w:val="24"/>
          <w:szCs w:val="24"/>
          <w:lang w:val="en-US" w:eastAsia="zh-CN" w:bidi="ar-SA"/>
        </w:rPr>
      </w:pPr>
      <w:bookmarkStart w:id="20" w:name="_Toc35393800"/>
      <w:bookmarkStart w:id="21" w:name="_Toc28359091"/>
      <w:bookmarkStart w:id="22" w:name="_Toc28359014"/>
      <w:bookmarkStart w:id="23" w:name="_Toc35393631"/>
      <w:r>
        <w:rPr>
          <w:rFonts w:hint="eastAsia" w:ascii="仿宋" w:hAnsi="仿宋" w:eastAsia="仿宋" w:cs="仿宋"/>
          <w:i w:val="0"/>
          <w:iCs w:val="0"/>
          <w:caps w:val="0"/>
          <w:color w:val="232323"/>
          <w:spacing w:val="0"/>
          <w:sz w:val="27"/>
          <w:szCs w:val="27"/>
          <w:shd w:val="clear" w:fill="FFFFFF"/>
        </w:rPr>
        <w:t> </w:t>
      </w:r>
      <w:r>
        <w:rPr>
          <w:rFonts w:hint="eastAsia" w:cs="宋体" w:asciiTheme="minorEastAsia" w:hAnsiTheme="minorEastAsia" w:eastAsiaTheme="minorEastAsia"/>
          <w:kern w:val="2"/>
          <w:sz w:val="24"/>
          <w:szCs w:val="24"/>
          <w:lang w:val="en-US" w:eastAsia="zh-CN" w:bidi="ar-SA"/>
        </w:rPr>
        <w:t xml:space="preserve">   1.满足《中华人民共和国政府采购法》第二十二条规定；</w:t>
      </w:r>
    </w:p>
    <w:bookmarkEnd w:id="20"/>
    <w:bookmarkEnd w:id="21"/>
    <w:bookmarkEnd w:id="22"/>
    <w:bookmarkEnd w:id="23"/>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napToGrid w:val="0"/>
          <w:kern w:val="28"/>
          <w:sz w:val="24"/>
          <w:szCs w:val="20"/>
        </w:rPr>
        <w:t>2.落实政府采购政策需满足的资格要求：</w:t>
      </w:r>
      <w:r>
        <w:rPr>
          <w:rFonts w:hint="eastAsia" w:cs="宋体" w:asciiTheme="minorEastAsia" w:hAnsiTheme="minorEastAsia" w:eastAsiaTheme="minorEastAsia"/>
          <w:color w:val="FF0000"/>
          <w:kern w:val="0"/>
          <w:sz w:val="24"/>
        </w:rPr>
        <w:t>专</w:t>
      </w:r>
      <w:r>
        <w:rPr>
          <w:rFonts w:hint="eastAsia" w:cs="宋体" w:asciiTheme="minorEastAsia" w:hAnsiTheme="minorEastAsia" w:eastAsiaTheme="minorEastAsia"/>
          <w:color w:val="FF0000"/>
          <w:sz w:val="24"/>
        </w:rPr>
        <w:t>门面向</w:t>
      </w:r>
      <w:r>
        <w:rPr>
          <w:rFonts w:hint="eastAsia" w:cs="宋体" w:asciiTheme="minorEastAsia" w:hAnsiTheme="minorEastAsia" w:eastAsiaTheme="minorEastAsia"/>
          <w:color w:val="FF0000"/>
          <w:sz w:val="24"/>
          <w:lang w:eastAsia="zh-CN"/>
        </w:rPr>
        <w:t>小微</w:t>
      </w:r>
      <w:r>
        <w:rPr>
          <w:rFonts w:hint="eastAsia" w:cs="宋体" w:asciiTheme="minorEastAsia" w:hAnsiTheme="minorEastAsia" w:eastAsiaTheme="minorEastAsia"/>
          <w:color w:val="FF0000"/>
          <w:sz w:val="24"/>
        </w:rPr>
        <w:t>企业，服务全部由符合政策要求的</w:t>
      </w:r>
      <w:r>
        <w:rPr>
          <w:rFonts w:hint="eastAsia" w:cs="宋体" w:asciiTheme="minorEastAsia" w:hAnsiTheme="minorEastAsia" w:eastAsiaTheme="minorEastAsia"/>
          <w:color w:val="FF0000"/>
          <w:sz w:val="24"/>
          <w:lang w:eastAsia="zh-CN"/>
        </w:rPr>
        <w:t>小微</w:t>
      </w:r>
      <w:r>
        <w:rPr>
          <w:rFonts w:hint="eastAsia" w:cs="宋体" w:asciiTheme="minorEastAsia" w:hAnsiTheme="minorEastAsia" w:eastAsiaTheme="minorEastAsia"/>
          <w:color w:val="FF0000"/>
          <w:sz w:val="24"/>
        </w:rPr>
        <w:t>企业</w:t>
      </w:r>
      <w:r>
        <w:rPr>
          <w:rFonts w:hint="eastAsia" w:cs="宋体" w:asciiTheme="minorEastAsia" w:hAnsiTheme="minorEastAsia" w:eastAsiaTheme="minorEastAsia"/>
          <w:color w:val="FF0000"/>
          <w:sz w:val="24"/>
          <w:lang w:eastAsia="zh-CN"/>
        </w:rPr>
        <w:t>创造</w:t>
      </w:r>
      <w:r>
        <w:rPr>
          <w:rFonts w:hint="eastAsia" w:cs="宋体" w:asciiTheme="minorEastAsia" w:hAnsiTheme="minorEastAsia" w:eastAsiaTheme="minorEastAsia"/>
          <w:color w:val="FF0000"/>
          <w:sz w:val="24"/>
        </w:rPr>
        <w:t>，提供中小企业声明函；</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3.本项目的特定资格要求：</w:t>
      </w:r>
      <w:r>
        <w:rPr>
          <w:rFonts w:hint="default" w:ascii="宋体" w:hAnsi="宋体" w:eastAsia="宋体" w:cs="宋体"/>
          <w:kern w:val="2"/>
          <w:sz w:val="24"/>
          <w:szCs w:val="24"/>
          <w:lang w:val="en-US" w:eastAsia="zh-CN" w:bidi="ar-SA"/>
        </w:rPr>
        <w:t>分标1：无</w:t>
      </w:r>
      <w:r>
        <w:rPr>
          <w:rFonts w:hint="eastAsia" w:ascii="宋体" w:hAnsi="宋体" w:eastAsia="宋体" w:cs="宋体"/>
          <w:kern w:val="2"/>
          <w:sz w:val="24"/>
          <w:szCs w:val="24"/>
          <w:lang w:val="en-US" w:eastAsia="zh-CN" w:bidi="ar-SA"/>
        </w:rPr>
        <w:t> </w:t>
      </w:r>
    </w:p>
    <w:p>
      <w:pPr>
        <w:pStyle w:val="631"/>
        <w:ind w:firstLine="0"/>
        <w:rPr>
          <w:b/>
        </w:rPr>
      </w:pPr>
      <w:r>
        <w:rPr>
          <w:rFonts w:hint="eastAsia"/>
          <w:b/>
        </w:rPr>
        <w:t>三、获取（下载）采购文件</w:t>
      </w:r>
    </w:p>
    <w:p>
      <w:pPr>
        <w:spacing w:line="360" w:lineRule="auto"/>
        <w:ind w:firstLine="540"/>
        <w:rPr>
          <w:rFonts w:ascii="宋体" w:hAnsi="宋体" w:eastAsia="宋体" w:cs="宋体"/>
          <w:sz w:val="24"/>
        </w:rPr>
      </w:pPr>
      <w:r>
        <w:rPr>
          <w:rFonts w:hint="eastAsia" w:ascii="宋体" w:hAnsi="宋体" w:eastAsia="宋体" w:cs="宋体"/>
          <w:sz w:val="24"/>
        </w:rPr>
        <w:t>时间：202</w:t>
      </w:r>
      <w:r>
        <w:rPr>
          <w:rFonts w:hint="eastAsia" w:ascii="宋体" w:hAnsi="宋体" w:eastAsia="宋体" w:cs="宋体"/>
          <w:sz w:val="24"/>
          <w:lang w:val="en-US" w:eastAsia="zh-CN"/>
        </w:rPr>
        <w:t>6</w:t>
      </w:r>
      <w:r>
        <w:rPr>
          <w:rFonts w:hint="eastAsia" w:ascii="宋体" w:hAnsi="宋体" w:eastAsia="宋体" w:cs="宋体"/>
          <w:sz w:val="24"/>
        </w:rPr>
        <w:t xml:space="preserve">年 </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25</w:t>
      </w:r>
      <w:r>
        <w:rPr>
          <w:rFonts w:hint="eastAsia" w:ascii="宋体" w:hAnsi="宋体" w:eastAsia="宋体" w:cs="宋体"/>
          <w:sz w:val="24"/>
        </w:rPr>
        <w:t xml:space="preserve"> 日至202</w:t>
      </w:r>
      <w:r>
        <w:rPr>
          <w:rFonts w:hint="eastAsia" w:ascii="宋体" w:hAnsi="宋体" w:eastAsia="宋体" w:cs="宋体"/>
          <w:sz w:val="24"/>
          <w:lang w:val="en-US" w:eastAsia="zh-CN"/>
        </w:rPr>
        <w:t>6</w:t>
      </w:r>
      <w:r>
        <w:rPr>
          <w:rFonts w:hint="eastAsia" w:ascii="宋体" w:hAnsi="宋体" w:eastAsia="宋体" w:cs="宋体"/>
          <w:sz w:val="24"/>
        </w:rPr>
        <w:t xml:space="preserve"> 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1</w:t>
      </w:r>
      <w:r>
        <w:rPr>
          <w:rFonts w:hint="eastAsia" w:ascii="宋体" w:hAnsi="宋体" w:eastAsia="宋体" w:cs="宋体"/>
          <w:sz w:val="24"/>
        </w:rPr>
        <w:t xml:space="preserve"> 日，每天上午</w:t>
      </w:r>
      <w:r>
        <w:rPr>
          <w:rFonts w:hint="eastAsia" w:ascii="宋体" w:hAnsi="宋体" w:eastAsia="宋体"/>
          <w:sz w:val="24"/>
        </w:rPr>
        <w:t>00:00至12:00 ，下午12:00至23:59</w:t>
      </w:r>
      <w:r>
        <w:rPr>
          <w:rFonts w:hint="eastAsia" w:ascii="宋体" w:hAnsi="宋体" w:eastAsia="宋体" w:cs="宋体"/>
          <w:sz w:val="24"/>
        </w:rPr>
        <w:t>（北京时间，法定节假日除外）；</w:t>
      </w:r>
    </w:p>
    <w:p>
      <w:pPr>
        <w:spacing w:line="360" w:lineRule="auto"/>
        <w:ind w:firstLine="540"/>
        <w:rPr>
          <w:rFonts w:ascii="宋体" w:hAnsi="宋体" w:eastAsia="宋体" w:cs="宋体"/>
          <w:sz w:val="28"/>
          <w:szCs w:val="28"/>
          <w:u w:val="single"/>
        </w:rPr>
      </w:pPr>
      <w:r>
        <w:rPr>
          <w:rFonts w:hint="eastAsia" w:ascii="宋体" w:hAnsi="宋体" w:eastAsia="宋体" w:cs="宋体"/>
          <w:sz w:val="24"/>
        </w:rPr>
        <w:t>地点（网址）：</w:t>
      </w:r>
      <w:r>
        <w:rPr>
          <w:rFonts w:hint="eastAsia" w:ascii="宋体" w:hAnsi="宋体" w:cs="宋体"/>
          <w:sz w:val="24"/>
        </w:rPr>
        <w:t>广西政府采购云平台（https://www.gcy.zfcg.gxzf.gov.cn/）</w:t>
      </w:r>
    </w:p>
    <w:p>
      <w:pPr>
        <w:spacing w:line="360" w:lineRule="auto"/>
        <w:ind w:firstLine="540"/>
        <w:rPr>
          <w:rFonts w:ascii="宋体" w:hAnsi="宋体" w:eastAsia="宋体" w:cs="宋体"/>
          <w:sz w:val="24"/>
          <w:u w:val="single"/>
        </w:rPr>
      </w:pPr>
      <w:r>
        <w:rPr>
          <w:rFonts w:hint="eastAsia" w:ascii="宋体" w:hAnsi="宋体" w:eastAsia="宋体" w:cs="宋体"/>
          <w:sz w:val="24"/>
        </w:rPr>
        <w:t>方式：供应商登录</w:t>
      </w:r>
      <w:r>
        <w:rPr>
          <w:rFonts w:hint="eastAsia" w:ascii="宋体" w:hAnsi="宋体" w:cs="宋体"/>
          <w:sz w:val="24"/>
        </w:rPr>
        <w:t>广西政府采购云平台（https://www.gcy.zfcg.gxzf.gov.cn/）</w:t>
      </w:r>
      <w:r>
        <w:rPr>
          <w:rFonts w:hint="eastAsia" w:ascii="宋体" w:hAnsi="宋体" w:eastAsia="宋体" w:cs="宋体"/>
          <w:sz w:val="24"/>
        </w:rPr>
        <w:t>在线申请获取采购文件（进入“项目采购”应用，在获取采购文件菜单中选择项目，申请获取采购文件）。</w:t>
      </w:r>
    </w:p>
    <w:p>
      <w:pPr>
        <w:spacing w:line="360" w:lineRule="auto"/>
        <w:ind w:firstLine="540"/>
        <w:rPr>
          <w:rFonts w:ascii="宋体" w:hAnsi="宋体" w:eastAsia="宋体" w:cs="宋体"/>
          <w:sz w:val="28"/>
          <w:szCs w:val="28"/>
        </w:rPr>
      </w:pPr>
      <w:r>
        <w:rPr>
          <w:rFonts w:hint="eastAsia" w:ascii="宋体" w:hAnsi="宋体" w:eastAsia="宋体" w:cs="宋体"/>
          <w:b/>
          <w:sz w:val="24"/>
        </w:rPr>
        <w:t>售价：</w:t>
      </w:r>
      <w:r>
        <w:rPr>
          <w:rFonts w:hint="eastAsia" w:ascii="宋体" w:hAnsi="宋体" w:eastAsia="宋体" w:cs="仿宋_GB2312"/>
          <w:sz w:val="24"/>
        </w:rPr>
        <w:t>0。</w:t>
      </w:r>
    </w:p>
    <w:p>
      <w:pPr>
        <w:pStyle w:val="631"/>
        <w:ind w:firstLine="0"/>
        <w:rPr>
          <w:b/>
        </w:rPr>
      </w:pPr>
      <w:bookmarkStart w:id="24" w:name="_Toc28359015"/>
      <w:bookmarkStart w:id="25" w:name="_Toc35393632"/>
      <w:bookmarkStart w:id="26" w:name="_Toc35393801"/>
      <w:bookmarkStart w:id="27" w:name="_Toc28359092"/>
      <w:r>
        <w:rPr>
          <w:rFonts w:hint="eastAsia"/>
          <w:b/>
        </w:rPr>
        <w:t>四、响应文件提交</w:t>
      </w:r>
      <w:bookmarkEnd w:id="24"/>
      <w:bookmarkEnd w:id="25"/>
      <w:bookmarkEnd w:id="26"/>
      <w:bookmarkEnd w:id="27"/>
    </w:p>
    <w:p>
      <w:pPr>
        <w:spacing w:line="360" w:lineRule="auto"/>
        <w:ind w:firstLine="480" w:firstLineChars="200"/>
        <w:rPr>
          <w:rFonts w:ascii="宋体" w:hAnsi="宋体" w:eastAsia="宋体"/>
          <w:bCs/>
          <w:sz w:val="24"/>
          <w:u w:val="single"/>
        </w:rPr>
      </w:pPr>
      <w:r>
        <w:rPr>
          <w:rFonts w:hint="eastAsia" w:ascii="宋体" w:hAnsi="宋体" w:eastAsia="宋体"/>
          <w:sz w:val="24"/>
        </w:rPr>
        <w:t>截止时间：</w:t>
      </w:r>
      <w:r>
        <w:rPr>
          <w:rFonts w:hint="eastAsia" w:ascii="宋体" w:hAnsi="宋体" w:eastAsia="宋体"/>
          <w:sz w:val="24"/>
          <w:u w:val="single"/>
        </w:rPr>
        <w:t>202</w:t>
      </w:r>
      <w:r>
        <w:rPr>
          <w:rFonts w:hint="eastAsia" w:ascii="宋体" w:hAnsi="宋体" w:eastAsia="宋体"/>
          <w:sz w:val="24"/>
          <w:u w:val="single"/>
          <w:lang w:val="en-US" w:eastAsia="zh-CN"/>
        </w:rPr>
        <w:t>6</w:t>
      </w:r>
      <w:r>
        <w:rPr>
          <w:rFonts w:hint="eastAsia" w:ascii="宋体" w:hAnsi="宋体" w:eastAsia="宋体"/>
          <w:sz w:val="24"/>
          <w:u w:val="single"/>
        </w:rPr>
        <w:t xml:space="preserve"> </w:t>
      </w:r>
      <w:r>
        <w:rPr>
          <w:rFonts w:hint="eastAsia" w:ascii="宋体" w:hAnsi="宋体" w:eastAsia="宋体"/>
          <w:bCs/>
          <w:sz w:val="24"/>
          <w:u w:val="single"/>
        </w:rPr>
        <w:t xml:space="preserve">年 </w:t>
      </w:r>
      <w:r>
        <w:rPr>
          <w:rFonts w:hint="eastAsia" w:ascii="宋体" w:hAnsi="宋体" w:eastAsia="宋体"/>
          <w:bCs/>
          <w:sz w:val="24"/>
          <w:u w:val="single"/>
          <w:lang w:val="en-US" w:eastAsia="zh-CN"/>
        </w:rPr>
        <w:t>4</w:t>
      </w:r>
      <w:r>
        <w:rPr>
          <w:rFonts w:hint="eastAsia" w:ascii="宋体" w:hAnsi="宋体" w:eastAsia="宋体"/>
          <w:bCs/>
          <w:sz w:val="24"/>
          <w:u w:val="single"/>
        </w:rPr>
        <w:t xml:space="preserve"> 月 </w:t>
      </w:r>
      <w:r>
        <w:rPr>
          <w:rFonts w:hint="eastAsia" w:ascii="宋体" w:hAnsi="宋体" w:eastAsia="宋体"/>
          <w:bCs/>
          <w:sz w:val="24"/>
          <w:u w:val="single"/>
          <w:lang w:val="en-US" w:eastAsia="zh-CN"/>
        </w:rPr>
        <w:t>8</w:t>
      </w:r>
      <w:r>
        <w:rPr>
          <w:rFonts w:hint="eastAsia" w:ascii="宋体" w:hAnsi="宋体" w:eastAsia="宋体"/>
          <w:bCs/>
          <w:sz w:val="24"/>
          <w:u w:val="single"/>
        </w:rPr>
        <w:t xml:space="preserve"> 日 </w:t>
      </w:r>
      <w:r>
        <w:rPr>
          <w:rFonts w:hint="eastAsia" w:ascii="宋体" w:hAnsi="宋体" w:eastAsia="宋体"/>
          <w:bCs/>
          <w:sz w:val="24"/>
          <w:u w:val="single"/>
          <w:lang w:val="en-US" w:eastAsia="zh-CN"/>
        </w:rPr>
        <w:t>09</w:t>
      </w:r>
      <w:r>
        <w:rPr>
          <w:rFonts w:hint="eastAsia" w:ascii="宋体" w:hAnsi="宋体" w:eastAsia="宋体"/>
          <w:bCs/>
          <w:sz w:val="24"/>
          <w:u w:val="single"/>
        </w:rPr>
        <w:t xml:space="preserve"> 点 </w:t>
      </w:r>
      <w:r>
        <w:rPr>
          <w:rFonts w:hint="eastAsia" w:ascii="宋体" w:hAnsi="宋体" w:eastAsia="宋体"/>
          <w:bCs/>
          <w:sz w:val="24"/>
          <w:u w:val="single"/>
          <w:lang w:val="en-US" w:eastAsia="zh-CN"/>
        </w:rPr>
        <w:t>00</w:t>
      </w:r>
      <w:r>
        <w:rPr>
          <w:rFonts w:hint="eastAsia" w:ascii="宋体" w:hAnsi="宋体" w:eastAsia="宋体"/>
          <w:bCs/>
          <w:sz w:val="24"/>
          <w:u w:val="single"/>
        </w:rPr>
        <w:t xml:space="preserve"> 分00秒</w:t>
      </w:r>
      <w:r>
        <w:rPr>
          <w:rFonts w:hint="eastAsia" w:ascii="宋体" w:hAnsi="宋体" w:eastAsia="宋体"/>
          <w:bCs/>
          <w:sz w:val="24"/>
        </w:rPr>
        <w:t>（北京时间）</w:t>
      </w:r>
    </w:p>
    <w:p>
      <w:pPr>
        <w:spacing w:line="360" w:lineRule="auto"/>
        <w:ind w:firstLine="480" w:firstLineChars="200"/>
        <w:rPr>
          <w:rFonts w:ascii="宋体" w:hAnsi="宋体" w:eastAsia="宋体"/>
          <w:bCs/>
          <w:sz w:val="24"/>
          <w:u w:val="single"/>
        </w:rPr>
      </w:pPr>
      <w:r>
        <w:rPr>
          <w:rFonts w:hint="eastAsia" w:ascii="宋体" w:hAnsi="宋体" w:eastAsia="宋体"/>
          <w:sz w:val="24"/>
        </w:rPr>
        <w:t>地点：</w:t>
      </w:r>
      <w:r>
        <w:rPr>
          <w:rFonts w:hint="eastAsia" w:ascii="宋体" w:hAnsi="宋体" w:cs="宋体"/>
          <w:sz w:val="24"/>
        </w:rPr>
        <w:t>广西政府采购云平台（https://www.gcy.zfcg.gxzf.gov.cn/）</w:t>
      </w:r>
      <w:r>
        <w:rPr>
          <w:rFonts w:hint="eastAsia" w:ascii="宋体" w:hAnsi="宋体" w:eastAsia="宋体" w:cs="仿宋_GB2312"/>
          <w:b/>
          <w:sz w:val="24"/>
        </w:rPr>
        <w:t>。</w:t>
      </w:r>
    </w:p>
    <w:p>
      <w:pPr>
        <w:pStyle w:val="631"/>
        <w:ind w:firstLine="0"/>
        <w:rPr>
          <w:b/>
        </w:rPr>
      </w:pPr>
      <w:bookmarkStart w:id="28" w:name="_Toc35393802"/>
      <w:bookmarkStart w:id="29" w:name="_Toc35393633"/>
      <w:bookmarkStart w:id="30" w:name="_Toc28359093"/>
      <w:bookmarkStart w:id="31" w:name="_Toc28359016"/>
      <w:r>
        <w:rPr>
          <w:rFonts w:hint="eastAsia"/>
          <w:b/>
        </w:rPr>
        <w:t>五、响应文件开启</w:t>
      </w:r>
      <w:bookmarkEnd w:id="28"/>
      <w:bookmarkEnd w:id="29"/>
      <w:bookmarkEnd w:id="30"/>
      <w:bookmarkEnd w:id="31"/>
    </w:p>
    <w:p>
      <w:pPr>
        <w:spacing w:line="360" w:lineRule="auto"/>
        <w:ind w:firstLine="480" w:firstLineChars="200"/>
        <w:rPr>
          <w:rFonts w:ascii="宋体" w:hAnsi="宋体" w:eastAsia="宋体"/>
          <w:bCs/>
          <w:sz w:val="24"/>
          <w:u w:val="single"/>
        </w:rPr>
      </w:pPr>
      <w:r>
        <w:rPr>
          <w:rFonts w:hint="eastAsia" w:ascii="宋体" w:hAnsi="宋体" w:eastAsia="宋体"/>
          <w:sz w:val="24"/>
        </w:rPr>
        <w:t>时间：</w:t>
      </w:r>
      <w:r>
        <w:rPr>
          <w:rFonts w:hint="eastAsia" w:ascii="宋体" w:hAnsi="宋体" w:eastAsia="宋体"/>
          <w:sz w:val="24"/>
          <w:u w:val="single"/>
        </w:rPr>
        <w:t>202</w:t>
      </w:r>
      <w:r>
        <w:rPr>
          <w:rFonts w:hint="eastAsia" w:ascii="宋体" w:hAnsi="宋体" w:eastAsia="宋体"/>
          <w:sz w:val="24"/>
          <w:u w:val="single"/>
          <w:lang w:val="en-US" w:eastAsia="zh-CN"/>
        </w:rPr>
        <w:t>6</w:t>
      </w:r>
      <w:r>
        <w:rPr>
          <w:rFonts w:hint="eastAsia" w:ascii="宋体" w:hAnsi="宋体" w:eastAsia="宋体"/>
          <w:sz w:val="24"/>
          <w:u w:val="single"/>
        </w:rPr>
        <w:t xml:space="preserve"> </w:t>
      </w:r>
      <w:r>
        <w:rPr>
          <w:rFonts w:hint="eastAsia" w:ascii="宋体" w:hAnsi="宋体" w:eastAsia="宋体"/>
          <w:bCs/>
          <w:sz w:val="24"/>
          <w:u w:val="single"/>
        </w:rPr>
        <w:t xml:space="preserve">年 </w:t>
      </w:r>
      <w:r>
        <w:rPr>
          <w:rFonts w:hint="eastAsia" w:ascii="宋体" w:hAnsi="宋体" w:eastAsia="宋体"/>
          <w:bCs/>
          <w:sz w:val="24"/>
          <w:u w:val="single"/>
          <w:lang w:val="en-US" w:eastAsia="zh-CN"/>
        </w:rPr>
        <w:t>4</w:t>
      </w:r>
      <w:r>
        <w:rPr>
          <w:rFonts w:hint="eastAsia" w:ascii="宋体" w:hAnsi="宋体" w:eastAsia="宋体"/>
          <w:bCs/>
          <w:sz w:val="24"/>
          <w:u w:val="single"/>
        </w:rPr>
        <w:t xml:space="preserve"> 月 </w:t>
      </w:r>
      <w:r>
        <w:rPr>
          <w:rFonts w:hint="eastAsia" w:ascii="宋体" w:hAnsi="宋体" w:eastAsia="宋体"/>
          <w:bCs/>
          <w:sz w:val="24"/>
          <w:u w:val="single"/>
          <w:lang w:val="en-US" w:eastAsia="zh-CN"/>
        </w:rPr>
        <w:t>8</w:t>
      </w:r>
      <w:r>
        <w:rPr>
          <w:rFonts w:hint="eastAsia" w:ascii="宋体" w:hAnsi="宋体" w:eastAsia="宋体"/>
          <w:bCs/>
          <w:sz w:val="24"/>
          <w:u w:val="single"/>
        </w:rPr>
        <w:t xml:space="preserve"> 日 </w:t>
      </w:r>
      <w:r>
        <w:rPr>
          <w:rFonts w:hint="eastAsia" w:ascii="宋体" w:hAnsi="宋体" w:eastAsia="宋体"/>
          <w:bCs/>
          <w:sz w:val="24"/>
          <w:u w:val="single"/>
          <w:lang w:val="en-US" w:eastAsia="zh-CN"/>
        </w:rPr>
        <w:t>09</w:t>
      </w:r>
      <w:r>
        <w:rPr>
          <w:rFonts w:hint="eastAsia" w:ascii="宋体" w:hAnsi="宋体" w:eastAsia="宋体"/>
          <w:bCs/>
          <w:sz w:val="24"/>
          <w:u w:val="single"/>
        </w:rPr>
        <w:t xml:space="preserve"> 点 </w:t>
      </w:r>
      <w:r>
        <w:rPr>
          <w:rFonts w:hint="eastAsia" w:ascii="宋体" w:hAnsi="宋体" w:eastAsia="宋体"/>
          <w:bCs/>
          <w:sz w:val="24"/>
          <w:u w:val="single"/>
          <w:lang w:val="en-US" w:eastAsia="zh-CN"/>
        </w:rPr>
        <w:t>00</w:t>
      </w:r>
      <w:r>
        <w:rPr>
          <w:rFonts w:hint="eastAsia" w:ascii="宋体" w:hAnsi="宋体" w:eastAsia="宋体"/>
          <w:bCs/>
          <w:sz w:val="24"/>
          <w:u w:val="single"/>
        </w:rPr>
        <w:t xml:space="preserve"> 分00秒</w:t>
      </w:r>
      <w:r>
        <w:rPr>
          <w:rFonts w:hint="eastAsia" w:ascii="宋体" w:hAnsi="宋体" w:eastAsia="宋体"/>
          <w:bCs/>
          <w:sz w:val="24"/>
        </w:rPr>
        <w:t>（北京时间）</w:t>
      </w:r>
    </w:p>
    <w:p>
      <w:pPr>
        <w:spacing w:line="360" w:lineRule="auto"/>
        <w:ind w:firstLine="480" w:firstLineChars="200"/>
        <w:rPr>
          <w:rFonts w:ascii="宋体" w:hAnsi="宋体" w:eastAsia="宋体"/>
          <w:bCs/>
          <w:sz w:val="24"/>
          <w:u w:val="single"/>
        </w:rPr>
      </w:pPr>
      <w:r>
        <w:rPr>
          <w:rFonts w:hint="eastAsia" w:ascii="宋体" w:hAnsi="宋体" w:eastAsia="宋体"/>
          <w:sz w:val="24"/>
        </w:rPr>
        <w:t>地点：</w:t>
      </w:r>
      <w:r>
        <w:rPr>
          <w:rFonts w:hint="eastAsia" w:ascii="宋体" w:hAnsi="宋体" w:cs="宋体"/>
          <w:sz w:val="24"/>
        </w:rPr>
        <w:t>广西政府采购云平台（https://www.gcy.zfcg.gxzf.gov.cn/）</w:t>
      </w:r>
      <w:r>
        <w:rPr>
          <w:rFonts w:hint="eastAsia" w:ascii="宋体" w:hAnsi="宋体" w:eastAsia="宋体" w:cs="宋体"/>
          <w:sz w:val="24"/>
        </w:rPr>
        <w:t>。</w:t>
      </w:r>
    </w:p>
    <w:p>
      <w:pPr>
        <w:pStyle w:val="631"/>
        <w:ind w:firstLine="0"/>
        <w:rPr>
          <w:b/>
        </w:rPr>
      </w:pPr>
      <w:bookmarkStart w:id="32" w:name="_Toc35393634"/>
      <w:bookmarkStart w:id="33" w:name="_Toc28359094"/>
      <w:bookmarkStart w:id="34" w:name="_Toc35393803"/>
      <w:bookmarkStart w:id="35" w:name="_Toc28359017"/>
      <w:r>
        <w:rPr>
          <w:rFonts w:hint="eastAsia"/>
          <w:b/>
        </w:rPr>
        <w:t>六、公告期限</w:t>
      </w:r>
      <w:bookmarkEnd w:id="32"/>
      <w:bookmarkEnd w:id="33"/>
      <w:bookmarkEnd w:id="34"/>
      <w:bookmarkEnd w:id="35"/>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自本公告发布之日起3个工作日。</w:t>
      </w:r>
    </w:p>
    <w:p>
      <w:pPr>
        <w:pStyle w:val="631"/>
        <w:ind w:firstLine="0"/>
        <w:rPr>
          <w:b/>
        </w:rPr>
      </w:pPr>
      <w:bookmarkStart w:id="36" w:name="_Toc35393635"/>
      <w:bookmarkStart w:id="37" w:name="_Toc35393804"/>
      <w:r>
        <w:rPr>
          <w:rFonts w:hint="eastAsia"/>
          <w:b/>
        </w:rPr>
        <w:t>七、其他补充事宜</w:t>
      </w:r>
      <w:bookmarkEnd w:id="36"/>
      <w:bookmarkEnd w:id="37"/>
    </w:p>
    <w:p>
      <w:pPr>
        <w:spacing w:line="360" w:lineRule="auto"/>
        <w:ind w:firstLine="480" w:firstLineChars="200"/>
        <w:rPr>
          <w:rFonts w:hint="eastAsia" w:ascii="宋体" w:hAnsi="宋体" w:cs="宋体"/>
          <w:sz w:val="24"/>
        </w:rPr>
      </w:pPr>
      <w:r>
        <w:rPr>
          <w:rFonts w:hint="eastAsia" w:ascii="宋体" w:hAnsi="宋体" w:cs="宋体"/>
          <w:sz w:val="24"/>
        </w:rPr>
        <w:t>1.磋商保证金：本项目不收取磋商保证金。</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w:t>
      </w:r>
      <w:r>
        <w:rPr>
          <w:rFonts w:hint="eastAsia" w:ascii="宋体" w:hAnsi="宋体" w:cs="宋体"/>
          <w:color w:val="FF0000"/>
          <w:sz w:val="24"/>
        </w:rPr>
        <w:t>（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w:t>
      </w:r>
      <w:r>
        <w:rPr>
          <w:rFonts w:hint="eastAsia" w:ascii="宋体" w:hAnsi="宋体" w:cs="宋体"/>
          <w:sz w:val="24"/>
        </w:rPr>
        <w:t>支持绿色发展：落实强制采购节能产品、鼓励节能政策；鼓励环保政策；推广使用绿色包装；采购绿色建材等。</w:t>
      </w:r>
      <w:r>
        <w:rPr>
          <w:rFonts w:hint="eastAsia" w:ascii="宋体" w:hAnsi="宋体" w:cs="宋体"/>
          <w:color w:val="FF0000"/>
          <w:sz w:val="24"/>
        </w:rPr>
        <w:t>（4）</w:t>
      </w:r>
      <w:r>
        <w:rPr>
          <w:rFonts w:hint="eastAsia" w:ascii="宋体" w:hAnsi="宋体" w:cs="宋体"/>
          <w:sz w:val="24"/>
        </w:rPr>
        <w:t>支持中小企业发展：</w:t>
      </w:r>
      <w:r>
        <w:rPr>
          <w:rFonts w:hint="eastAsia" w:cs="宋体" w:asciiTheme="minorEastAsia" w:hAnsiTheme="minorEastAsia" w:eastAsiaTheme="minorEastAsia"/>
          <w:color w:val="FF0000"/>
          <w:kern w:val="0"/>
          <w:sz w:val="24"/>
        </w:rPr>
        <w:t>专</w:t>
      </w:r>
      <w:r>
        <w:rPr>
          <w:rFonts w:hint="eastAsia" w:cs="宋体" w:asciiTheme="minorEastAsia" w:hAnsiTheme="minorEastAsia" w:eastAsiaTheme="minorEastAsia"/>
          <w:color w:val="FF0000"/>
          <w:sz w:val="24"/>
        </w:rPr>
        <w:t>门面向</w:t>
      </w:r>
      <w:r>
        <w:rPr>
          <w:rFonts w:hint="eastAsia" w:cs="宋体" w:asciiTheme="minorEastAsia" w:hAnsiTheme="minorEastAsia" w:eastAsiaTheme="minorEastAsia"/>
          <w:color w:val="FF0000"/>
          <w:sz w:val="24"/>
          <w:lang w:eastAsia="zh-CN"/>
        </w:rPr>
        <w:t>小微</w:t>
      </w:r>
      <w:r>
        <w:rPr>
          <w:rFonts w:hint="eastAsia" w:cs="宋体" w:asciiTheme="minorEastAsia" w:hAnsiTheme="minorEastAsia" w:eastAsiaTheme="minorEastAsia"/>
          <w:color w:val="FF0000"/>
          <w:sz w:val="24"/>
        </w:rPr>
        <w:t>企业</w:t>
      </w:r>
      <w:r>
        <w:rPr>
          <w:rFonts w:hint="eastAsia" w:ascii="宋体" w:hAnsi="宋体" w:cs="宋体"/>
          <w:sz w:val="24"/>
        </w:rPr>
        <w:t>采购。</w:t>
      </w:r>
      <w:r>
        <w:rPr>
          <w:rFonts w:hint="eastAsia" w:ascii="宋体" w:hAnsi="宋体" w:cs="宋体"/>
          <w:color w:val="FF0000"/>
          <w:sz w:val="24"/>
        </w:rPr>
        <w:t>（5）</w:t>
      </w:r>
      <w:r>
        <w:rPr>
          <w:rFonts w:hint="eastAsia" w:ascii="宋体" w:hAnsi="宋体" w:cs="宋体"/>
          <w:sz w:val="24"/>
        </w:rPr>
        <w:t>支持监狱企业、残疾人福利性单位发展：监狱企业、残疾人福利性单位视同小型和微型企业。</w:t>
      </w:r>
      <w:r>
        <w:rPr>
          <w:rFonts w:hint="eastAsia" w:ascii="宋体" w:hAnsi="宋体" w:cs="宋体"/>
          <w:color w:val="FF0000"/>
          <w:sz w:val="24"/>
        </w:rPr>
        <w:t>（6）</w:t>
      </w:r>
      <w:r>
        <w:rPr>
          <w:rFonts w:hint="eastAsia" w:ascii="宋体" w:hAnsi="宋体" w:cs="宋体"/>
          <w:sz w:val="24"/>
        </w:rPr>
        <w:t>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eastAsia="宋体"/>
          <w:sz w:val="24"/>
        </w:rPr>
      </w:pPr>
      <w:r>
        <w:rPr>
          <w:rFonts w:hint="eastAsia" w:ascii="宋体" w:hAnsi="宋体" w:cs="宋体"/>
          <w:sz w:val="24"/>
        </w:rPr>
        <w:t>7.本项目采用远程异地评标。</w:t>
      </w:r>
    </w:p>
    <w:p>
      <w:pPr>
        <w:pStyle w:val="631"/>
        <w:ind w:firstLine="0"/>
        <w:rPr>
          <w:b/>
          <w:color w:val="auto"/>
        </w:rPr>
      </w:pPr>
      <w:bookmarkStart w:id="38" w:name="_Toc35393805"/>
      <w:bookmarkStart w:id="39" w:name="_Toc28359018"/>
      <w:bookmarkStart w:id="40" w:name="_Toc28359095"/>
      <w:bookmarkStart w:id="41" w:name="_Toc35393636"/>
      <w:r>
        <w:rPr>
          <w:rFonts w:hint="eastAsia"/>
          <w:b/>
        </w:rPr>
        <w:t>八、</w:t>
      </w:r>
      <w:bookmarkEnd w:id="38"/>
      <w:bookmarkEnd w:id="39"/>
      <w:bookmarkEnd w:id="40"/>
      <w:bookmarkEnd w:id="41"/>
      <w:r>
        <w:rPr>
          <w:rFonts w:hint="eastAsia" w:cs="宋体"/>
          <w:b/>
          <w:color w:val="auto"/>
        </w:rPr>
        <w:t>对本次采购提出询问，请按以下方式联系</w:t>
      </w:r>
    </w:p>
    <w:p>
      <w:pPr>
        <w:spacing w:line="360" w:lineRule="auto"/>
        <w:ind w:firstLine="480"/>
        <w:rPr>
          <w:rFonts w:ascii="宋体" w:hAnsi="宋体" w:cs="宋体"/>
          <w:sz w:val="24"/>
        </w:rPr>
      </w:pPr>
      <w:r>
        <w:rPr>
          <w:rFonts w:hint="eastAsia" w:ascii="宋体" w:hAnsi="宋体" w:cs="宋体"/>
          <w:sz w:val="24"/>
        </w:rPr>
        <w:t>1.采购人信息</w:t>
      </w:r>
    </w:p>
    <w:p>
      <w:pPr>
        <w:spacing w:line="360" w:lineRule="auto"/>
        <w:ind w:firstLine="480"/>
        <w:rPr>
          <w:rFonts w:hint="eastAsia" w:ascii="宋体" w:hAnsi="宋体" w:eastAsia="宋体" w:cs="宋体"/>
          <w:sz w:val="24"/>
        </w:rPr>
      </w:pPr>
      <w:r>
        <w:rPr>
          <w:rFonts w:hint="eastAsia" w:ascii="宋体" w:hAnsi="宋体" w:cs="宋体"/>
          <w:sz w:val="24"/>
        </w:rPr>
        <w:t>名    称：</w:t>
      </w:r>
      <w:r>
        <w:rPr>
          <w:rFonts w:hint="eastAsia" w:ascii="宋体" w:hAnsi="宋体" w:eastAsia="宋体" w:cs="宋体"/>
          <w:sz w:val="24"/>
        </w:rPr>
        <w:t xml:space="preserve">北海市政务服务中心 </w:t>
      </w:r>
    </w:p>
    <w:p>
      <w:pPr>
        <w:spacing w:line="360" w:lineRule="auto"/>
        <w:rPr>
          <w:rFonts w:hint="eastAsia" w:ascii="宋体" w:hAnsi="宋体" w:eastAsia="宋体" w:cs="宋体"/>
          <w:sz w:val="24"/>
        </w:rPr>
      </w:pPr>
      <w:r>
        <w:rPr>
          <w:rFonts w:hint="eastAsia" w:ascii="宋体" w:hAnsi="宋体" w:cs="宋体"/>
          <w:sz w:val="24"/>
        </w:rPr>
        <w:t xml:space="preserve">    地    址：</w:t>
      </w:r>
      <w:r>
        <w:rPr>
          <w:rFonts w:hint="eastAsia" w:ascii="宋体" w:hAnsi="宋体" w:eastAsia="宋体" w:cs="宋体"/>
          <w:sz w:val="24"/>
        </w:rPr>
        <w:t xml:space="preserve">北海市北海大道177号       </w:t>
      </w:r>
    </w:p>
    <w:p>
      <w:pPr>
        <w:spacing w:line="360" w:lineRule="auto"/>
        <w:ind w:firstLine="480"/>
        <w:rPr>
          <w:rFonts w:hint="eastAsia" w:ascii="宋体" w:hAnsi="宋体" w:eastAsia="宋体" w:cs="宋体"/>
          <w:sz w:val="24"/>
        </w:rPr>
      </w:pPr>
      <w:r>
        <w:rPr>
          <w:rFonts w:hint="eastAsia" w:ascii="宋体" w:hAnsi="宋体" w:cs="宋体"/>
          <w:sz w:val="24"/>
        </w:rPr>
        <w:t>项目联系人：</w:t>
      </w:r>
      <w:r>
        <w:rPr>
          <w:rFonts w:hint="eastAsia" w:ascii="宋体" w:hAnsi="宋体" w:eastAsia="宋体" w:cs="宋体"/>
          <w:sz w:val="24"/>
          <w:lang w:eastAsia="zh-CN"/>
        </w:rPr>
        <w:t>郭海宁</w:t>
      </w:r>
    </w:p>
    <w:p>
      <w:pPr>
        <w:spacing w:line="360" w:lineRule="auto"/>
        <w:rPr>
          <w:rFonts w:hint="eastAsia" w:ascii="宋体" w:hAnsi="宋体" w:eastAsia="宋体" w:cs="宋体"/>
          <w:sz w:val="24"/>
        </w:rPr>
      </w:pPr>
      <w:r>
        <w:rPr>
          <w:rFonts w:hint="eastAsia" w:ascii="宋体" w:hAnsi="宋体" w:cs="宋体"/>
          <w:sz w:val="24"/>
        </w:rPr>
        <w:t xml:space="preserve">    项目联系方式：</w:t>
      </w:r>
      <w:r>
        <w:rPr>
          <w:rFonts w:hint="eastAsia" w:ascii="宋体" w:hAnsi="宋体" w:eastAsia="宋体" w:cs="宋体"/>
          <w:sz w:val="24"/>
          <w:lang w:val="en-US" w:eastAsia="zh-CN"/>
        </w:rPr>
        <w:t>0779-3969620</w:t>
      </w:r>
      <w:r>
        <w:rPr>
          <w:rFonts w:hint="eastAsia" w:ascii="宋体" w:hAnsi="宋体" w:eastAsia="宋体" w:cs="宋体"/>
          <w:sz w:val="24"/>
        </w:rPr>
        <w:t xml:space="preserve"> </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称：北海市政府采购中心</w:t>
      </w:r>
    </w:p>
    <w:p>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pPr>
        <w:spacing w:line="360" w:lineRule="auto"/>
        <w:rPr>
          <w:rFonts w:ascii="宋体" w:hAnsi="宋体" w:cs="宋体"/>
          <w:sz w:val="24"/>
        </w:rPr>
      </w:pPr>
      <w:r>
        <w:rPr>
          <w:rFonts w:hint="eastAsia" w:ascii="宋体" w:hAnsi="宋体" w:cs="宋体"/>
          <w:sz w:val="24"/>
        </w:rPr>
        <w:t xml:space="preserve">    项目联系人（询问）：莫工</w:t>
      </w:r>
    </w:p>
    <w:p>
      <w:pPr>
        <w:spacing w:line="360" w:lineRule="auto"/>
        <w:rPr>
          <w:rFonts w:ascii="宋体" w:hAnsi="宋体" w:cs="宋体"/>
          <w:sz w:val="24"/>
        </w:rPr>
      </w:pPr>
      <w:r>
        <w:rPr>
          <w:rFonts w:hint="eastAsia" w:ascii="宋体" w:hAnsi="宋体" w:cs="宋体"/>
          <w:sz w:val="24"/>
        </w:rPr>
        <w:t xml:space="preserve">    项目联系方式（询问）：0779-3056122</w:t>
      </w:r>
    </w:p>
    <w:p>
      <w:pPr>
        <w:pStyle w:val="631"/>
      </w:pP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pPr>
        <w:pStyle w:val="31"/>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2"/>
          <w:szCs w:val="20"/>
        </w:rPr>
      </w:pPr>
      <w:bookmarkStart w:id="42" w:name="_Toc181203095"/>
      <w:r>
        <w:rPr>
          <w:rFonts w:hint="eastAsia" w:cs="仿宋_GB2312" w:asciiTheme="minorEastAsia" w:hAnsiTheme="minorEastAsia" w:eastAsiaTheme="minorEastAsia"/>
          <w:b/>
          <w:sz w:val="36"/>
          <w:szCs w:val="20"/>
        </w:rPr>
        <w:t>第二部分  竞争性磋商流程</w:t>
      </w:r>
      <w:bookmarkEnd w:id="42"/>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pPr>
        <w:pStyle w:val="392"/>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1.2供应商获取磋商文件。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3.磋商与评审</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3.1磋商小组签到。</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3.14磋商小组应当根据综合评分情况，按照评审得分由高到低顺序推荐3名以上成交候选供应商，并编写评审报告。</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4. 成交</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2"/>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pPr>
        <w:pStyle w:val="392"/>
        <w:spacing w:before="0"/>
        <w:ind w:firstLine="0" w:firstLineChars="0"/>
        <w:rPr>
          <w:rFonts w:asciiTheme="minorEastAsia" w:hAnsiTheme="minorEastAsia" w:eastAsiaTheme="minorEastAsia"/>
          <w:b/>
        </w:rPr>
      </w:pPr>
    </w:p>
    <w:p>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6"/>
          <w:szCs w:val="20"/>
        </w:rPr>
      </w:pPr>
      <w:bookmarkStart w:id="43" w:name="_Toc181203096"/>
      <w:r>
        <w:rPr>
          <w:rFonts w:hint="eastAsia" w:cs="仿宋_GB2312" w:asciiTheme="minorEastAsia" w:hAnsiTheme="minorEastAsia" w:eastAsiaTheme="minorEastAsia"/>
          <w:b/>
          <w:sz w:val="36"/>
          <w:szCs w:val="20"/>
        </w:rPr>
        <w:t>第三部分</w:t>
      </w:r>
      <w:bookmarkEnd w:id="9"/>
      <w:r>
        <w:rPr>
          <w:rFonts w:hint="eastAsia" w:cs="仿宋_GB2312" w:asciiTheme="minorEastAsia" w:hAnsiTheme="minorEastAsia" w:eastAsiaTheme="minorEastAsia"/>
          <w:b/>
          <w:sz w:val="36"/>
          <w:szCs w:val="20"/>
        </w:rPr>
        <w:t xml:space="preserve">  供应商须知</w:t>
      </w:r>
      <w:bookmarkEnd w:id="10"/>
      <w:bookmarkEnd w:id="43"/>
    </w:p>
    <w:p>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rPr>
              <w:t xml:space="preserve">北海市政务服务中心2026年后勤物业服务 </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物业管理</w:t>
            </w:r>
            <w:r>
              <w:rPr>
                <w:rFonts w:hint="eastAsia" w:cs="宋体" w:asciiTheme="minorEastAsia" w:hAnsiTheme="minorEastAsia" w:eastAsiaTheme="minorEastAsia"/>
                <w:kern w:val="0"/>
                <w:sz w:val="24"/>
              </w:rPr>
              <w:t>行业；</w:t>
            </w:r>
          </w:p>
          <w:p>
            <w:pPr>
              <w:pStyle w:val="4"/>
              <w:numPr>
                <w:ilvl w:val="0"/>
                <w:numId w:val="0"/>
              </w:numPr>
              <w:ind w:left="432"/>
              <w:jc w:val="both"/>
              <w:rPr>
                <w:rFonts w:cs="宋体" w:asciiTheme="minorEastAsia" w:hAnsiTheme="minorEastAsia" w:eastAsiaTheme="minorEastAsia"/>
                <w:b w:val="0"/>
                <w:bCs w:val="0"/>
                <w:kern w:val="0"/>
                <w:sz w:val="24"/>
                <w:szCs w:val="24"/>
                <w:lang w:val="en-US"/>
              </w:rPr>
            </w:pPr>
            <w:r>
              <w:rPr>
                <w:rFonts w:hint="eastAsia" w:cs="宋体" w:asciiTheme="minorEastAsia" w:hAnsiTheme="minorEastAsia" w:eastAsiaTheme="minorEastAsia"/>
                <w:b w:val="0"/>
                <w:bCs w:val="0"/>
                <w:kern w:val="0"/>
                <w:sz w:val="24"/>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（1）资格证明文件：见磋商文件第二部分 五。</w:t>
            </w:r>
          </w:p>
          <w:p>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（2）资信证明文件：根据磋商文件采购需求及评审标准的要求提供。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pPr>
              <w:snapToGrid w:val="0"/>
              <w:spacing w:line="360" w:lineRule="auto"/>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pPr>
              <w:spacing w:line="360" w:lineRule="auto"/>
              <w:ind w:firstLine="482" w:firstLineChars="200"/>
              <w:rPr>
                <w:rFonts w:ascii="宋体" w:hAnsi="宋体" w:cs="宋体"/>
                <w:color w:val="FF0000"/>
                <w:kern w:val="0"/>
                <w:sz w:val="24"/>
              </w:rPr>
            </w:pPr>
            <w:r>
              <w:rPr>
                <w:rFonts w:hint="eastAsia" w:cs="宋体" w:asciiTheme="minorEastAsia" w:hAnsiTheme="minorEastAsia" w:eastAsiaTheme="minorEastAsia"/>
                <w:b/>
                <w:kern w:val="0"/>
                <w:sz w:val="24"/>
                <w:lang w:val="zh-CN"/>
              </w:rPr>
              <w:t>最后报价超过磋商文件中规定的预算金额或者最高限价的;</w:t>
            </w:r>
            <w:r>
              <w:rPr>
                <w:rFonts w:hint="eastAsia" w:ascii="宋体" w:hAnsi="宋体" w:cs="宋体"/>
                <w:color w:val="FF0000"/>
                <w:kern w:val="0"/>
                <w:sz w:val="24"/>
              </w:rPr>
              <w:t xml:space="preserve"> </w:t>
            </w:r>
          </w:p>
          <w:p>
            <w:pPr>
              <w:spacing w:line="360" w:lineRule="auto"/>
              <w:ind w:firstLine="482" w:firstLineChars="200"/>
              <w:rPr>
                <w:rFonts w:cs="宋体" w:asciiTheme="minorEastAsia" w:hAnsiTheme="minorEastAsia" w:eastAsiaTheme="minorEastAsia"/>
                <w:b/>
                <w:color w:val="FF0000"/>
                <w:kern w:val="0"/>
                <w:sz w:val="24"/>
                <w:lang w:val="zh-CN"/>
              </w:rPr>
            </w:pPr>
            <w:r>
              <w:rPr>
                <w:rFonts w:hint="eastAsia" w:cs="宋体" w:asciiTheme="minorEastAsia" w:hAnsiTheme="minorEastAsia" w:eastAsiaTheme="minorEastAsia"/>
                <w:b/>
                <w:color w:val="FF0000"/>
                <w:kern w:val="0"/>
                <w:sz w:val="24"/>
                <w:lang w:val="zh-CN"/>
              </w:rPr>
              <w:t>最后报价属于磋商文件规定的政府采购异常低价情形之一，且供应商不能提供书面说明、证明材料，或者提供的书面说明、证明材料不能证明其报价合理性的;</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pStyle w:val="31"/>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本磋商文件解释权属采购人及代理机构。</w:t>
            </w:r>
          </w:p>
        </w:tc>
      </w:tr>
    </w:tbl>
    <w:p>
      <w:pPr>
        <w:snapToGrid w:val="0"/>
        <w:jc w:val="center"/>
        <w:rPr>
          <w:rFonts w:cs="仿宋_GB2312" w:asciiTheme="minorEastAsia" w:hAnsiTheme="minorEastAsia" w:eastAsiaTheme="minorEastAsia"/>
          <w:b/>
          <w:sz w:val="32"/>
          <w:szCs w:val="20"/>
        </w:rPr>
      </w:pPr>
    </w:p>
    <w:p>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“采购人”系指磋商邀请公告中载明的本项目的采购人。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“采购代理机构”系指磋商邀请公告中载明的本项目的采购代理机构。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“供应商”系指响应磋商、参加本次竞争的法人、其他组织或自然人。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 “</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 “成交人”系指经评审确定的成交供应商。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 “▲” 系指实质性要求条款， “※”系指磋商过程中可能实质性变动的内容，</w:t>
      </w:r>
      <w:r>
        <w:rPr>
          <w:rFonts w:asciiTheme="minorEastAsia" w:hAnsiTheme="minorEastAsia" w:eastAsiaTheme="minorEastAsia"/>
          <w:sz w:val="24"/>
        </w:rPr>
        <w:t xml:space="preserve"> </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 响应有效期</w:t>
      </w:r>
    </w:p>
    <w:p>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pPr>
        <w:pStyle w:val="31"/>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pPr>
        <w:spacing w:line="360" w:lineRule="auto"/>
        <w:jc w:val="center"/>
        <w:rPr>
          <w:rFonts w:cs="仿宋_GB2312" w:asciiTheme="minorEastAsia" w:hAnsiTheme="minorEastAsia" w:eastAsiaTheme="minorEastAsia"/>
          <w:b/>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pPr>
        <w:pStyle w:val="392"/>
        <w:spacing w:before="0"/>
        <w:ind w:firstLine="0" w:firstLineChars="0"/>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2.实施本国产品标准及相关政策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2.1 本国产品应当符合以下条件：（一）在中国境内生产；（二）在中国境内生产的组件成本占比达到规定比例；（三）特定产品的关键组件、关键工序符合相关要求。</w:t>
      </w:r>
    </w:p>
    <w:p>
      <w:pPr>
        <w:spacing w:line="360" w:lineRule="auto"/>
        <w:ind w:firstLine="480" w:firstLineChars="200"/>
        <w:rPr>
          <w:rFonts w:ascii="宋体" w:hAnsi="宋体" w:cs="宋体"/>
          <w:color w:val="FF0000"/>
          <w:sz w:val="24"/>
        </w:rPr>
      </w:pPr>
      <w:r>
        <w:rPr>
          <w:rFonts w:hint="eastAsia" w:ascii="宋体" w:hAnsi="宋体" w:cs="宋体"/>
          <w:color w:val="FF0000"/>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ascii="宋体" w:hAnsi="宋体" w:cs="宋体"/>
          <w:color w:val="FF0000"/>
          <w:sz w:val="24"/>
        </w:rPr>
      </w:pPr>
      <w:r>
        <w:rPr>
          <w:rFonts w:hint="eastAsia" w:ascii="宋体" w:hAnsi="宋体" w:cs="宋体"/>
          <w:color w:val="FF0000"/>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color w:val="FF0000"/>
        </w:rPr>
      </w:pPr>
      <w:r>
        <w:rPr>
          <w:rFonts w:hint="eastAsia" w:ascii="宋体" w:hAnsi="宋体" w:cs="宋体"/>
          <w:color w:val="FF000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color w:val="FF0000"/>
          <w:sz w:val="24"/>
        </w:rPr>
      </w:pPr>
      <w:r>
        <w:rPr>
          <w:rFonts w:hint="eastAsia" w:ascii="宋体" w:hAnsi="宋体" w:cs="宋体"/>
          <w:color w:val="FF0000"/>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spacing w:line="360" w:lineRule="auto"/>
        <w:ind w:firstLine="480" w:firstLineChars="200"/>
      </w:pPr>
      <w:r>
        <w:rPr>
          <w:rFonts w:hint="eastAsia" w:ascii="宋体" w:hAnsi="宋体" w:cs="宋体"/>
          <w:color w:val="FF0000"/>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pPr>
        <w:spacing w:line="360" w:lineRule="auto"/>
        <w:ind w:firstLine="480" w:firstLineChars="200"/>
        <w:rPr>
          <w:rFonts w:ascii="宋体" w:hAnsi="宋体" w:cs="宋体"/>
          <w:color w:val="FF0000"/>
          <w:sz w:val="24"/>
        </w:rPr>
      </w:pPr>
      <w:r>
        <w:rPr>
          <w:rFonts w:hint="eastAsia" w:ascii="宋体" w:hAnsi="宋体" w:cs="宋体"/>
          <w:color w:val="FF0000"/>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2.6成交供应商提供的《声明函》或有关证明文件应当随成交结果同时公告。其他未尽事宜按照《国务院办公厅关于在政府采购中实施本国产品标准及相关政策的通知》（国办发〔2025〕34号）执行。</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3.支持绿色发展</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3.1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 xml:space="preserve">.4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1"/>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4.支持中小企业发展。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Cs/>
          <w:sz w:val="24"/>
        </w:rPr>
        <w:t>4</w:t>
      </w:r>
      <w:r>
        <w:rPr>
          <w:rFonts w:cs="宋体" w:asciiTheme="minorEastAsia" w:hAnsiTheme="minorEastAsia" w:eastAsiaTheme="minorEastAsia"/>
          <w:bCs/>
          <w:sz w:val="24"/>
        </w:rPr>
        <w:t>.2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4.7中小企业享受扶持政策获得政府采购合同的，小微企业不得将合同分包给大中型企业，中型企业不得将合同分包给大型企业。</w:t>
      </w:r>
    </w:p>
    <w:p>
      <w:pPr>
        <w:spacing w:line="360" w:lineRule="auto"/>
        <w:rPr>
          <w:rFonts w:ascii="宋体" w:hAnsi="宋体" w:cs="宋体"/>
          <w:b/>
          <w:sz w:val="24"/>
        </w:rPr>
      </w:pPr>
      <w:r>
        <w:rPr>
          <w:rFonts w:hint="eastAsia" w:cs="宋体" w:asciiTheme="minorEastAsia" w:hAnsiTheme="minorEastAsia" w:eastAsiaTheme="minorEastAsia"/>
          <w:b/>
          <w:sz w:val="24"/>
          <w:lang w:val="en-US" w:eastAsia="zh-CN"/>
        </w:rPr>
        <w:t>5</w:t>
      </w:r>
      <w:r>
        <w:rPr>
          <w:rFonts w:hint="eastAsia" w:cs="宋体" w:asciiTheme="minorEastAsia" w:hAnsiTheme="minorEastAsia" w:eastAsiaTheme="minorEastAsia"/>
          <w:b/>
          <w:sz w:val="24"/>
        </w:rPr>
        <w:t>.</w:t>
      </w:r>
      <w:r>
        <w:rPr>
          <w:rFonts w:hint="eastAsia" w:ascii="宋体" w:hAnsi="宋体" w:cs="宋体"/>
          <w:b/>
          <w:sz w:val="24"/>
        </w:rPr>
        <w:t>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rPr>
      </w:pPr>
      <w:r>
        <w:rPr>
          <w:rFonts w:hint="eastAsia" w:cs="宋体" w:asciiTheme="minorEastAsia" w:hAnsiTheme="minorEastAsia" w:eastAsiaTheme="minorEastAsia"/>
          <w:b/>
          <w:lang w:val="en-US" w:eastAsia="zh-CN"/>
        </w:rPr>
        <w:t>6</w:t>
      </w:r>
      <w:r>
        <w:rPr>
          <w:rFonts w:hint="eastAsia" w:cs="宋体" w:asciiTheme="minorEastAsia" w:hAnsiTheme="minorEastAsia" w:eastAsiaTheme="minorEastAsia"/>
          <w:b/>
        </w:rPr>
        <w:t>.</w:t>
      </w:r>
      <w:r>
        <w:rPr>
          <w:rFonts w:hint="eastAsia"/>
          <w:b/>
        </w:rPr>
        <w:t>平等对待符合条件的破产重整企业</w:t>
      </w:r>
    </w:p>
    <w:p>
      <w:pPr>
        <w:pStyle w:val="631"/>
      </w:pPr>
      <w:r>
        <w:rPr>
          <w:rFonts w:hint="eastAsia" w:cs="宋体"/>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pPr>
        <w:pStyle w:val="31"/>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44" w:name="OLE_LINK19"/>
      <w:bookmarkStart w:id="45" w:name="OLE_LINK18"/>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bookmarkEnd w:id="44"/>
    <w:bookmarkEnd w:id="45"/>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 供应商询问</w:t>
      </w:r>
    </w:p>
    <w:p>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 供应商质疑</w:t>
      </w:r>
    </w:p>
    <w:p>
      <w:pPr>
        <w:pStyle w:val="31"/>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pPr>
        <w:pStyle w:val="31"/>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pPr>
        <w:pStyle w:val="31"/>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3.2.1根据采购人与采购代理机构签订采购委托协议的规定，质疑答复责任主体如下：</w:t>
      </w:r>
    </w:p>
    <w:p>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sz w:val="24"/>
              </w:rPr>
            </w:pP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sz w:val="24"/>
              </w:rPr>
            </w:pP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pPr>
        <w:pStyle w:val="31"/>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3.3.1.7供应商提交的质疑函需一式三份。供应商为自然人的，应当由本人签字；供应商为法人或者其他组织的，应当由法定代表人、主要负责人，或者其授权代表签字或者盖章，并加盖公章。</w:t>
      </w:r>
    </w:p>
    <w:p>
      <w:pPr>
        <w:pStyle w:val="31"/>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pPr>
        <w:pStyle w:val="31"/>
        <w:spacing w:line="360" w:lineRule="auto"/>
        <w:ind w:firstLine="482" w:firstLineChars="200"/>
        <w:rPr>
          <w:rFonts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pPr>
        <w:pStyle w:val="31"/>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pPr>
        <w:pStyle w:val="31"/>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pPr>
        <w:pStyle w:val="31"/>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 磋商文件的</w:t>
      </w:r>
      <w:r>
        <w:rPr>
          <w:rFonts w:hint="eastAsia" w:cs="仿宋_GB2312" w:asciiTheme="minorEastAsia" w:hAnsiTheme="minorEastAsia" w:eastAsiaTheme="minorEastAsia"/>
          <w:b/>
          <w:sz w:val="24"/>
          <w:szCs w:val="24"/>
        </w:rPr>
        <w:t>澄清、修改</w:t>
      </w:r>
    </w:p>
    <w:p>
      <w:pPr>
        <w:pStyle w:val="392"/>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pPr>
        <w:pStyle w:val="392"/>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pPr>
        <w:pStyle w:val="23"/>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响应文件应当包括以下主要内容（标注“▲”为实质性要求，供应商必须提供，否则磋商无效</w:t>
      </w:r>
      <w:r>
        <w:rPr>
          <w:rFonts w:hint="eastAsia" w:hAnsi="宋体" w:cs="宋体"/>
          <w:b/>
          <w:color w:val="FF0000"/>
          <w:sz w:val="24"/>
          <w:szCs w:val="24"/>
        </w:rPr>
        <w:t>。</w:t>
      </w:r>
      <w:r>
        <w:rPr>
          <w:rFonts w:hint="eastAsia" w:asciiTheme="minorEastAsia" w:hAnsiTheme="minorEastAsia" w:eastAsiaTheme="minorEastAsia"/>
          <w:sz w:val="24"/>
        </w:rPr>
        <w:t>相关格式见磋商文件第七部分）：</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▲（1）响应函</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▲（2）资格文件</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p>
    <w:p>
      <w:pPr>
        <w:pStyle w:val="31"/>
        <w:spacing w:line="360" w:lineRule="auto"/>
        <w:ind w:firstLine="480" w:firstLineChars="200"/>
        <w:rPr>
          <w:rFonts w:cs="仿宋_GB2312" w:asciiTheme="minorEastAsia" w:hAnsiTheme="minorEastAsia" w:eastAsiaTheme="minorEastAsia"/>
          <w:sz w:val="24"/>
        </w:rPr>
      </w:pPr>
      <w:r>
        <w:rPr>
          <w:rFonts w:hint="eastAsia" w:asciiTheme="minorEastAsia" w:hAnsiTheme="minorEastAsia" w:eastAsiaTheme="minorEastAsia"/>
          <w:sz w:val="24"/>
        </w:rPr>
        <w:t>B、</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：《中小企业声明函》</w:t>
      </w:r>
      <w:r>
        <w:rPr>
          <w:rFonts w:hint="eastAsia" w:cs="宋体" w:asciiTheme="minorEastAsia" w:hAnsiTheme="minorEastAsia" w:eastAsiaTheme="minorEastAsia"/>
          <w:sz w:val="24"/>
        </w:rPr>
        <w:t>；</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pPr>
        <w:pStyle w:val="31"/>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w:t>
      </w:r>
      <w:r>
        <w:rPr>
          <w:rFonts w:hint="eastAsia" w:cs="仿宋_GB2312" w:asciiTheme="minorEastAsia" w:hAnsiTheme="minorEastAsia" w:eastAsiaTheme="minorEastAsia"/>
          <w:sz w:val="24"/>
        </w:rPr>
        <w:t>（如果有）</w:t>
      </w:r>
      <w:r>
        <w:rPr>
          <w:rFonts w:hint="eastAsia" w:asciiTheme="minorEastAsia" w:hAnsiTheme="minorEastAsia" w:eastAsiaTheme="minorEastAsia"/>
          <w:sz w:val="24"/>
          <w:lang w:val="zh-CN"/>
        </w:rPr>
        <w:t>。可以是针对本项目的完整技术解决方案和实施方案；详细阐述项目方案的实现思路及关键技术；符合本项目对当前和未来发展的要求；以及对功能设计和实施计划的建议；</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（10）组织实施方案</w:t>
      </w:r>
      <w:r>
        <w:rPr>
          <w:rFonts w:hint="eastAsia" w:cs="仿宋_GB2312" w:asciiTheme="minorEastAsia" w:hAnsiTheme="minorEastAsia" w:eastAsiaTheme="minorEastAsia"/>
          <w:sz w:val="24"/>
        </w:rPr>
        <w:t>（如果有）</w:t>
      </w:r>
      <w:r>
        <w:rPr>
          <w:rFonts w:hint="eastAsia" w:asciiTheme="minorEastAsia" w:hAnsiTheme="minorEastAsia" w:eastAsiaTheme="minorEastAsia"/>
          <w:kern w:val="0"/>
          <w:sz w:val="24"/>
          <w:lang w:val="zh-CN"/>
        </w:rPr>
        <w:t>。</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本项目详细工作实施组织方案，包括(但不限于)以下内容：组织机构、工作时间进度表、工作程序和步骤、管理和协调方法、关键步骤的思路和要点；</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（11）售后服务方案。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1"/>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pPr>
        <w:pStyle w:val="31"/>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▲（19）商务、服务（技术）响应、偏离情况说明表；</w:t>
      </w:r>
    </w:p>
    <w:p>
      <w:pPr>
        <w:pStyle w:val="31"/>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▲（20）初始报价表。</w:t>
      </w:r>
      <w:r>
        <w:rPr>
          <w:rFonts w:hint="eastAsia" w:asciiTheme="minorEastAsia" w:hAnsiTheme="minorEastAsia" w:eastAsiaTheme="minorEastAsia"/>
          <w:color w:val="FF0000"/>
          <w:sz w:val="24"/>
          <w:szCs w:val="24"/>
        </w:rPr>
        <w:t>各轮报价的审查要求均按照最后报价的要求执行。</w:t>
      </w:r>
    </w:p>
    <w:p>
      <w:pPr>
        <w:pStyle w:val="31"/>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pStyle w:val="392"/>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pPr>
        <w:pStyle w:val="392"/>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3.6磋商文件对响应文件签</w:t>
      </w:r>
      <w:r>
        <w:rPr>
          <w:rFonts w:hint="eastAsia" w:ascii="宋体" w:hAnsi="宋体" w:cs="宋体"/>
        </w:rPr>
        <w:t>署、盖章的要求适用于电子签名、CA签章以及</w:t>
      </w:r>
      <w:r>
        <w:rPr>
          <w:rFonts w:hint="eastAsia" w:cs="宋体" w:asciiTheme="minorEastAsia" w:hAnsiTheme="minorEastAsia" w:eastAsiaTheme="minorEastAsia"/>
        </w:rPr>
        <w:t>磋商</w:t>
      </w:r>
      <w:r>
        <w:rPr>
          <w:rFonts w:hint="eastAsia" w:ascii="宋体" w:hAnsi="宋体" w:cs="宋体"/>
        </w:rPr>
        <w:t>文件明确允许的其他方式。</w:t>
      </w:r>
    </w:p>
    <w:p>
      <w:pPr>
        <w:pStyle w:val="31"/>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pPr>
        <w:pStyle w:val="392"/>
        <w:spacing w:before="0"/>
        <w:ind w:firstLine="0" w:firstLineChars="0"/>
        <w:rPr>
          <w:rFonts w:cs="仿宋_GB2312" w:asciiTheme="minorEastAsia" w:hAnsiTheme="minorEastAsia" w:eastAsiaTheme="minorEastAsia"/>
          <w:b/>
          <w:szCs w:val="24"/>
        </w:rPr>
      </w:pP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pPr>
        <w:pStyle w:val="392"/>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pPr>
        <w:pStyle w:val="31"/>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pPr>
        <w:pStyle w:val="31"/>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pPr>
        <w:pStyle w:val="31"/>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备份响应文件须在“广西政府采购云平台投标客户端”制作生成，并储存在不可修改的</w:t>
      </w:r>
      <w:r>
        <w:rPr>
          <w:rFonts w:hint="eastAsia" w:asciiTheme="minorEastAsia" w:hAnsiTheme="minorEastAsia" w:eastAsiaTheme="minorEastAsia"/>
          <w:b/>
          <w:sz w:val="24"/>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磋商文件第三部分供应商须知前附表规定的备份响应文件送达地点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pPr>
        <w:pStyle w:val="31"/>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pPr>
        <w:spacing w:line="360" w:lineRule="auto"/>
        <w:rPr>
          <w:rFonts w:ascii="宋体" w:hAnsi="宋体" w:cs="宋体"/>
          <w:b/>
          <w:snapToGrid w:val="0"/>
        </w:rPr>
      </w:pPr>
      <w:r>
        <w:rPr>
          <w:rFonts w:hint="eastAsia" w:cs="仿宋_GB2312" w:asciiTheme="minorEastAsia" w:hAnsiTheme="minorEastAsia" w:eastAsiaTheme="minorEastAsia"/>
          <w:b/>
          <w:sz w:val="24"/>
        </w:rPr>
        <w:t>3.</w:t>
      </w:r>
      <w:r>
        <w:rPr>
          <w:rFonts w:hint="eastAsia" w:ascii="宋体" w:hAnsi="宋体" w:cs="宋体"/>
          <w:b/>
          <w:snapToGrid w:val="0"/>
          <w:kern w:val="28"/>
          <w:sz w:val="24"/>
        </w:rPr>
        <w:t>磋商保证金</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本项目不收取。</w:t>
      </w:r>
    </w:p>
    <w:p>
      <w:pPr>
        <w:pStyle w:val="31"/>
        <w:spacing w:line="360" w:lineRule="auto"/>
        <w:ind w:firstLine="360" w:firstLineChars="15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pPr>
        <w:pStyle w:val="31"/>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 开启响应文件</w:t>
      </w:r>
    </w:p>
    <w:p>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1"/>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1"/>
        <w:spacing w:line="360" w:lineRule="auto"/>
        <w:rPr>
          <w:rFonts w:cs="仿宋_GB2312" w:asciiTheme="minorEastAsia" w:hAnsiTheme="minorEastAsia" w:eastAsiaTheme="minorEastAsia"/>
          <w:b/>
          <w:sz w:val="24"/>
          <w:szCs w:val="24"/>
        </w:rPr>
      </w:pPr>
    </w:p>
    <w:p>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pPr>
        <w:pStyle w:val="31"/>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szCs w:val="24"/>
        </w:rPr>
        <w:t>1.1最后报价一览表；</w:t>
      </w:r>
    </w:p>
    <w:p>
      <w:pPr>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1.2中小企业声明函（如果有）</w:t>
      </w:r>
      <w:r>
        <w:rPr>
          <w:rFonts w:hint="eastAsia" w:ascii="宋体" w:hAnsi="宋体" w:cs="宋体"/>
          <w:sz w:val="24"/>
        </w:rPr>
        <w:t>；</w:t>
      </w:r>
    </w:p>
    <w:p>
      <w:pPr>
        <w:snapToGrid w:val="0"/>
        <w:spacing w:line="360" w:lineRule="auto"/>
        <w:ind w:firstLine="480" w:firstLineChars="200"/>
        <w:rPr>
          <w:rFonts w:ascii="宋体" w:hAnsi="宋体" w:cs="宋体"/>
          <w:color w:val="FF0000"/>
          <w:sz w:val="24"/>
        </w:rPr>
      </w:pPr>
      <w:r>
        <w:rPr>
          <w:rFonts w:hint="eastAsia" w:ascii="宋体" w:hAnsi="宋体" w:cs="宋体"/>
          <w:color w:val="FF0000"/>
          <w:sz w:val="24"/>
        </w:rPr>
        <w:t>1.3关于符合本国产品标准的声明函</w:t>
      </w:r>
      <w:r>
        <w:rPr>
          <w:rFonts w:hint="eastAsia" w:ascii="宋体" w:hAnsi="宋体" w:cs="宋体"/>
          <w:snapToGrid w:val="0"/>
          <w:color w:val="FF0000"/>
          <w:kern w:val="28"/>
          <w:sz w:val="24"/>
          <w:szCs w:val="20"/>
        </w:rPr>
        <w:t>（如果有)</w:t>
      </w:r>
      <w:r>
        <w:rPr>
          <w:rFonts w:hint="eastAsia" w:ascii="宋体" w:hAnsi="宋体" w:cs="宋体"/>
          <w:sz w:val="24"/>
        </w:rPr>
        <w:t xml:space="preserve"> ；</w:t>
      </w:r>
    </w:p>
    <w:p>
      <w:pPr>
        <w:snapToGrid w:val="0"/>
        <w:spacing w:line="360" w:lineRule="auto"/>
        <w:ind w:firstLine="480" w:firstLineChars="200"/>
        <w:rPr>
          <w:color w:val="FF0000"/>
        </w:rPr>
      </w:pPr>
      <w:r>
        <w:rPr>
          <w:rFonts w:hint="eastAsia" w:ascii="宋体" w:hAnsi="宋体" w:cs="宋体"/>
          <w:color w:val="FF0000"/>
          <w:sz w:val="24"/>
        </w:rPr>
        <w:t>1.4关于符合本国产品标准的产品成本之和占所提供的全部产品成本之和的比例达到80%以上的声明函</w:t>
      </w:r>
      <w:r>
        <w:rPr>
          <w:rFonts w:hint="eastAsia" w:ascii="宋体" w:hAnsi="宋体" w:cs="宋体"/>
          <w:snapToGrid w:val="0"/>
          <w:color w:val="FF0000"/>
          <w:kern w:val="28"/>
          <w:sz w:val="24"/>
          <w:szCs w:val="20"/>
        </w:rPr>
        <w:t>（如果有)</w:t>
      </w:r>
      <w:r>
        <w:rPr>
          <w:rFonts w:hint="eastAsia" w:ascii="宋体" w:hAnsi="宋体" w:cs="宋体"/>
          <w:color w:val="FF0000"/>
          <w:sz w:val="24"/>
        </w:rPr>
        <w:t>。</w:t>
      </w:r>
    </w:p>
    <w:p>
      <w:pPr>
        <w:pStyle w:val="31"/>
        <w:snapToGrid w:val="0"/>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pPr>
        <w:pStyle w:val="392"/>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pPr>
        <w:pStyle w:val="392"/>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pPr>
        <w:pStyle w:val="392"/>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pPr>
        <w:adjustRightInd/>
        <w:spacing w:line="360" w:lineRule="auto"/>
        <w:jc w:val="center"/>
        <w:rPr>
          <w:rFonts w:cs="仿宋_GB2312"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1"/>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46" w:name="_Hlk101184471"/>
      <w:r>
        <w:rPr>
          <w:rFonts w:hint="eastAsia" w:cs="宋体" w:asciiTheme="minorEastAsia" w:hAnsiTheme="minorEastAsia" w:eastAsiaTheme="minorEastAsia"/>
          <w:sz w:val="24"/>
        </w:rPr>
        <w:t>评审专家抽取规则、</w:t>
      </w:r>
      <w:bookmarkEnd w:id="46"/>
      <w:r>
        <w:rPr>
          <w:rFonts w:hint="eastAsia" w:cs="宋体" w:asciiTheme="minorEastAsia" w:hAnsiTheme="minorEastAsia" w:eastAsiaTheme="minorEastAsia"/>
          <w:sz w:val="24"/>
        </w:rPr>
        <w:t>未成交情况说明、成交公告期限以及评审专家名单、成交供应商和未成交供应商的评审总得分及排名。</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pPr>
        <w:pStyle w:val="392"/>
        <w:snapToGrid w:val="0"/>
        <w:spacing w:before="0"/>
        <w:ind w:firstLine="480"/>
        <w:rPr>
          <w:rFonts w:ascii="宋体" w:hAnsi="宋体" w:cs="宋体"/>
        </w:rPr>
      </w:pPr>
      <w:r>
        <w:rPr>
          <w:rFonts w:hint="eastAsia" w:ascii="宋体" w:hAnsi="宋体" w:cs="宋体"/>
        </w:rPr>
        <w:t>2.7政采贷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pPr>
        <w:pStyle w:val="631"/>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kern w:val="0"/>
          <w:sz w:val="24"/>
          <w:szCs w:val="20"/>
        </w:rPr>
        <w:t>https://jinrong.gcy.zfcg.gxzf.gov.cn/finance/loan/gx</w:t>
      </w:r>
      <w:r>
        <w:rPr>
          <w:rFonts w:ascii="宋体" w:hAnsi="宋体"/>
          <w:kern w:val="0"/>
          <w:sz w:val="24"/>
          <w:szCs w:val="20"/>
        </w:rPr>
        <w:fldChar w:fldCharType="end"/>
      </w:r>
      <w:r>
        <w:rPr>
          <w:rFonts w:hint="eastAsia" w:ascii="宋体" w:hAnsi="宋体"/>
          <w:kern w:val="0"/>
          <w:sz w:val="24"/>
          <w:szCs w:val="20"/>
        </w:rPr>
        <w:t>）</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pPr>
              <w:snapToGrid w:val="0"/>
              <w:spacing w:line="360" w:lineRule="auto"/>
              <w:jc w:val="left"/>
              <w:rPr>
                <w:rFonts w:ascii="宋体" w:hAnsi="宋体"/>
                <w:kern w:val="0"/>
                <w:sz w:val="24"/>
                <w:szCs w:val="20"/>
              </w:rPr>
            </w:pPr>
          </w:p>
        </w:tc>
        <w:tc>
          <w:tcPr>
            <w:tcW w:w="993" w:type="dxa"/>
            <w:vAlign w:val="center"/>
          </w:tcPr>
          <w:p>
            <w:pPr>
              <w:snapToGrid w:val="0"/>
              <w:spacing w:line="360" w:lineRule="auto"/>
              <w:jc w:val="center"/>
              <w:rPr>
                <w:rFonts w:ascii="宋体" w:hAnsi="宋体"/>
                <w:kern w:val="0"/>
                <w:sz w:val="24"/>
                <w:szCs w:val="20"/>
              </w:rPr>
            </w:pPr>
          </w:p>
        </w:tc>
        <w:tc>
          <w:tcPr>
            <w:tcW w:w="850" w:type="dxa"/>
            <w:vAlign w:val="center"/>
          </w:tcPr>
          <w:p>
            <w:pPr>
              <w:snapToGrid w:val="0"/>
              <w:spacing w:line="360" w:lineRule="auto"/>
              <w:jc w:val="center"/>
              <w:rPr>
                <w:rFonts w:ascii="宋体" w:hAnsi="宋体"/>
                <w:kern w:val="0"/>
                <w:sz w:val="24"/>
                <w:szCs w:val="20"/>
              </w:rPr>
            </w:pP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pPr>
        <w:pStyle w:val="631"/>
      </w:pPr>
      <w:r>
        <w:rPr>
          <w:rFonts w:hint="eastAsia"/>
        </w:rPr>
        <w:t>注：表中联系电话、授信金额、授信期限、最低利率等信息可能动态更新，仅供参考，具体以办理时相关银行公布的为准。</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w:t>
      </w:r>
      <w:r>
        <w:rPr>
          <w:rFonts w:hint="eastAsia" w:asciiTheme="minorEastAsia" w:hAnsiTheme="minorEastAsia" w:eastAsiaTheme="minorEastAsia"/>
          <w:b/>
          <w:sz w:val="24"/>
          <w:lang w:val="en-US" w:eastAsia="zh-CN"/>
        </w:rPr>
        <w:t>.</w:t>
      </w:r>
      <w:r>
        <w:rPr>
          <w:rFonts w:hint="eastAsia" w:asciiTheme="minorEastAsia" w:hAnsiTheme="minorEastAsia" w:eastAsiaTheme="minorEastAsia"/>
          <w:b/>
          <w:sz w:val="24"/>
        </w:rPr>
        <w:t>履约保证金</w:t>
      </w:r>
    </w:p>
    <w:p>
      <w:pPr>
        <w:tabs>
          <w:tab w:val="left" w:pos="0"/>
        </w:tabs>
        <w:spacing w:line="360" w:lineRule="auto"/>
        <w:ind w:firstLine="482"/>
      </w:pPr>
      <w:r>
        <w:rPr>
          <w:rFonts w:hint="eastAsia" w:ascii="宋体" w:hAnsi="宋体" w:cs="宋体"/>
          <w:kern w:val="0"/>
          <w:sz w:val="24"/>
        </w:rPr>
        <w:t>本项目不收取。</w:t>
      </w:r>
    </w:p>
    <w:p>
      <w:pPr>
        <w:tabs>
          <w:tab w:val="left" w:pos="0"/>
        </w:tabs>
        <w:rPr>
          <w:rFonts w:asciiTheme="minorEastAsia" w:hAnsiTheme="minorEastAsia" w:eastAsiaTheme="minorEastAsia"/>
          <w:b/>
          <w:sz w:val="24"/>
        </w:rPr>
      </w:pPr>
      <w:r>
        <w:rPr>
          <w:rFonts w:hint="eastAsia" w:asciiTheme="minorEastAsia" w:hAnsiTheme="minorEastAsia" w:eastAsiaTheme="minorEastAsia"/>
          <w:b/>
          <w:sz w:val="24"/>
        </w:rPr>
        <w:t>4.预付款</w:t>
      </w:r>
    </w:p>
    <w:p>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pPr>
        <w:tabs>
          <w:tab w:val="left" w:pos="0"/>
        </w:tabs>
        <w:spacing w:line="360" w:lineRule="auto"/>
        <w:ind w:firstLine="480" w:firstLineChars="200"/>
        <w:rPr>
          <w:rFonts w:cs="宋体" w:asciiTheme="minorEastAsia" w:hAnsiTheme="minorEastAsia" w:eastAsiaTheme="minorEastAsia"/>
          <w:snapToGrid w:val="0"/>
          <w:kern w:val="28"/>
          <w:sz w:val="24"/>
        </w:rPr>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pPr>
        <w:pStyle w:val="24"/>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7" w:name="_Hlt75236290"/>
      <w:bookmarkEnd w:id="47"/>
      <w:bookmarkStart w:id="48" w:name="_Hlt74707468"/>
      <w:bookmarkEnd w:id="48"/>
      <w:bookmarkStart w:id="49" w:name="_Hlt74729768"/>
      <w:bookmarkEnd w:id="49"/>
      <w:bookmarkStart w:id="50" w:name="_Hlt68057669"/>
      <w:bookmarkEnd w:id="50"/>
      <w:bookmarkStart w:id="51" w:name="_Hlt68072990"/>
      <w:bookmarkEnd w:id="51"/>
      <w:bookmarkStart w:id="52" w:name="_Hlt75236011"/>
      <w:bookmarkEnd w:id="52"/>
      <w:bookmarkStart w:id="53" w:name="_Hlt74730295"/>
      <w:bookmarkEnd w:id="53"/>
      <w:bookmarkStart w:id="54" w:name="_Hlt74714665"/>
      <w:bookmarkEnd w:id="54"/>
      <w:bookmarkStart w:id="55" w:name="_Hlt75236101"/>
      <w:bookmarkEnd w:id="55"/>
      <w:bookmarkStart w:id="56" w:name="第三部分"/>
      <w:bookmarkStart w:id="57" w:name="_Toc164416483"/>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十五、代理费用的收取标准和方式</w:t>
      </w:r>
    </w:p>
    <w:p>
      <w:pPr>
        <w:snapToGrid w:val="0"/>
        <w:spacing w:line="360" w:lineRule="auto"/>
        <w:ind w:firstLine="422" w:firstLineChars="200"/>
        <w:rPr>
          <w:rFonts w:cs="仿宋_GB2312" w:asciiTheme="minorEastAsia" w:hAnsiTheme="minorEastAsia" w:eastAsiaTheme="minorEastAsia"/>
          <w:b/>
          <w:sz w:val="36"/>
          <w:szCs w:val="36"/>
        </w:rPr>
      </w:pPr>
      <w:r>
        <w:rPr>
          <w:rFonts w:hint="eastAsia" w:cs="宋体"/>
          <w:b/>
        </w:rPr>
        <w:t>本项目不收取。</w:t>
      </w:r>
      <w:r>
        <w:rPr>
          <w:rFonts w:cs="仿宋_GB2312" w:asciiTheme="minorEastAsia" w:hAnsiTheme="minorEastAsia" w:eastAsiaTheme="minorEastAsia"/>
          <w:b/>
          <w:sz w:val="36"/>
          <w:szCs w:val="36"/>
        </w:rPr>
        <w:br w:type="page"/>
      </w:r>
    </w:p>
    <w:p>
      <w:pPr>
        <w:adjustRightInd/>
        <w:spacing w:line="360" w:lineRule="auto"/>
        <w:jc w:val="center"/>
        <w:outlineLvl w:val="0"/>
        <w:rPr>
          <w:rFonts w:cs="仿宋_GB2312" w:asciiTheme="minorEastAsia" w:hAnsiTheme="minorEastAsia" w:eastAsiaTheme="minorEastAsia"/>
          <w:b/>
          <w:sz w:val="36"/>
          <w:szCs w:val="36"/>
        </w:rPr>
      </w:pPr>
      <w:bookmarkStart w:id="58" w:name="_Toc181203097"/>
      <w:r>
        <w:rPr>
          <w:rFonts w:hint="eastAsia" w:cs="仿宋_GB2312" w:asciiTheme="minorEastAsia" w:hAnsiTheme="minorEastAsia" w:eastAsiaTheme="minorEastAsia"/>
          <w:b/>
          <w:sz w:val="36"/>
          <w:szCs w:val="36"/>
        </w:rPr>
        <w:t>第四部分  采购需求</w:t>
      </w:r>
      <w:bookmarkEnd w:id="58"/>
    </w:p>
    <w:p>
      <w:pPr>
        <w:adjustRightInd/>
        <w:spacing w:line="360" w:lineRule="auto"/>
        <w:jc w:val="left"/>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注：“▲” 系指实质性要求条款， “</w:t>
      </w:r>
      <w:r>
        <w:rPr>
          <w:rFonts w:hint="eastAsia" w:asciiTheme="minorEastAsia" w:hAnsiTheme="minorEastAsia" w:eastAsiaTheme="minorEastAsia"/>
          <w:b/>
          <w:sz w:val="24"/>
          <w:u w:val="single"/>
        </w:rPr>
        <w:t>※</w:t>
      </w:r>
      <w:r>
        <w:rPr>
          <w:rFonts w:hint="eastAsia" w:asciiTheme="minorEastAsia" w:hAnsiTheme="minorEastAsia" w:eastAsiaTheme="minorEastAsia"/>
          <w:sz w:val="24"/>
          <w:u w:val="single"/>
        </w:rPr>
        <w:t>”系指磋商过程中可能实质性变动的内容。</w:t>
      </w:r>
    </w:p>
    <w:p>
      <w:pPr>
        <w:adjustRightInd/>
        <w:spacing w:line="360" w:lineRule="auto"/>
        <w:jc w:val="left"/>
        <w:rPr>
          <w:rFonts w:hint="eastAsia" w:cs="Times New Roman" w:asciiTheme="minorEastAsia" w:hAnsiTheme="minorEastAsia" w:eastAsiaTheme="minorEastAsia"/>
          <w:sz w:val="24"/>
          <w:u w:val="single"/>
        </w:rPr>
      </w:pPr>
      <w:r>
        <w:rPr>
          <w:rFonts w:hint="eastAsia" w:cs="Times New Roman" w:asciiTheme="minorEastAsia" w:hAnsiTheme="minorEastAsia" w:eastAsiaTheme="minorEastAsia"/>
          <w:sz w:val="24"/>
          <w:u w:val="single"/>
        </w:rPr>
        <w:t>采购需求中标注“▲”的内容必须响应满足，否则磋商无效。</w:t>
      </w:r>
    </w:p>
    <w:p>
      <w:pPr>
        <w:pStyle w:val="37"/>
      </w:pPr>
    </w:p>
    <w:tbl>
      <w:tblPr>
        <w:tblStyle w:val="60"/>
        <w:tblW w:w="4746" w:type="pct"/>
        <w:tblInd w:w="279" w:type="dxa"/>
        <w:tblLayout w:type="autofit"/>
        <w:tblCellMar>
          <w:top w:w="0" w:type="dxa"/>
          <w:left w:w="108" w:type="dxa"/>
          <w:bottom w:w="0" w:type="dxa"/>
          <w:right w:w="108" w:type="dxa"/>
        </w:tblCellMar>
      </w:tblPr>
      <w:tblGrid>
        <w:gridCol w:w="1280"/>
        <w:gridCol w:w="7534"/>
      </w:tblGrid>
      <w:tr>
        <w:tblPrEx>
          <w:tblCellMar>
            <w:top w:w="0" w:type="dxa"/>
            <w:left w:w="108" w:type="dxa"/>
            <w:bottom w:w="0" w:type="dxa"/>
            <w:right w:w="108" w:type="dxa"/>
          </w:tblCellMar>
        </w:tblPrEx>
        <w:trPr>
          <w:trHeight w:val="889"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jc w:val="center"/>
              <w:rPr>
                <w:rFonts w:cs="宋体" w:asciiTheme="minorEastAsia" w:hAnsiTheme="minorEastAsia" w:eastAsiaTheme="minorEastAsia"/>
                <w:b/>
                <w:kern w:val="0"/>
                <w:sz w:val="24"/>
              </w:rPr>
            </w:pPr>
            <w:r>
              <w:rPr>
                <w:rFonts w:hint="eastAsia" w:asciiTheme="minorEastAsia" w:hAnsiTheme="minorEastAsia" w:eastAsiaTheme="minorEastAsia"/>
                <w:b/>
                <w:bCs/>
                <w:sz w:val="24"/>
              </w:rPr>
              <w:t>▲</w:t>
            </w:r>
            <w:r>
              <w:rPr>
                <w:rFonts w:hint="eastAsia" w:cs="宋体" w:asciiTheme="minorEastAsia" w:hAnsiTheme="minorEastAsia" w:eastAsiaTheme="minorEastAsia"/>
                <w:b/>
                <w:kern w:val="0"/>
                <w:sz w:val="24"/>
              </w:rPr>
              <w:t>技术参数要求表</w:t>
            </w:r>
          </w:p>
        </w:tc>
      </w:tr>
      <w:tr>
        <w:tblPrEx>
          <w:tblCellMar>
            <w:top w:w="0" w:type="dxa"/>
            <w:left w:w="108" w:type="dxa"/>
            <w:bottom w:w="0" w:type="dxa"/>
            <w:right w:w="108" w:type="dxa"/>
          </w:tblCellMar>
        </w:tblPrEx>
        <w:trPr>
          <w:trHeight w:val="841"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pPr>
              <w:adjustRightInd/>
              <w:spacing w:line="400" w:lineRule="exact"/>
              <w:rPr>
                <w:rFonts w:hint="eastAsia" w:ascii="宋体" w:hAnsi="宋体" w:eastAsia="宋体" w:cs="宋体"/>
                <w:b w:val="0"/>
                <w:bCs w:val="0"/>
                <w:kern w:val="0"/>
                <w:sz w:val="24"/>
                <w:szCs w:val="21"/>
                <w:lang w:val="en-US" w:eastAsia="zh-CN"/>
              </w:rPr>
            </w:pPr>
            <w:r>
              <w:rPr>
                <w:rFonts w:hint="eastAsia" w:ascii="宋体" w:hAnsi="宋体" w:eastAsia="宋体" w:cs="宋体"/>
                <w:b w:val="0"/>
                <w:bCs w:val="0"/>
                <w:kern w:val="0"/>
                <w:sz w:val="24"/>
                <w:szCs w:val="21"/>
                <w:lang w:val="en-US" w:eastAsia="zh-CN"/>
              </w:rPr>
              <w:t>一、服务内容、服务要求和服务标准</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本项目购买北海市政务服务中心的安全保卫、停车场管理、消防安全、保洁、水电设施设备维修维护等服务，并在北海市政务服务中心的监管机制下，由供应商负责对保安12名，保洁7名，水电工1名共20个岗位的服务人员进行招聘、培训及日常工作管理。</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服务区域：北海市北海大道177号南洋新都综合楼一、二、三层</w:t>
            </w:r>
          </w:p>
          <w:p>
            <w:pPr>
              <w:adjustRightInd/>
              <w:spacing w:line="400" w:lineRule="exact"/>
              <w:rPr>
                <w:rFonts w:hint="eastAsia" w:ascii="宋体" w:hAnsi="宋体" w:eastAsia="宋体" w:cs="宋体"/>
                <w:b w:val="0"/>
                <w:bCs w:val="0"/>
                <w:kern w:val="0"/>
                <w:sz w:val="24"/>
                <w:szCs w:val="21"/>
                <w:lang w:val="en-US" w:eastAsia="zh-CN"/>
              </w:rPr>
            </w:pPr>
            <w:r>
              <w:rPr>
                <w:rFonts w:hint="eastAsia" w:ascii="宋体" w:hAnsi="宋体" w:eastAsia="宋体" w:cs="宋体"/>
                <w:b w:val="0"/>
                <w:bCs w:val="0"/>
                <w:kern w:val="0"/>
                <w:sz w:val="24"/>
                <w:szCs w:val="21"/>
                <w:lang w:val="en-US" w:eastAsia="zh-CN"/>
              </w:rPr>
              <w:t>（一）保安服务</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1.服务内容：协助做好服务区域内的维稳工作，负责服务区域内安全保卫、安全生产、突发事件和消防安全等工作，维护服务区安全秩序。</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2.服务要求：</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（1）负责安全保卫管理工作。</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（2）负责门卫登记及24小时值班及巡逻工作，每天保洁工作结束后检查服务区域内门窗、水电、设施设备等的关锁。</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（3）负责安防、消防及监控管理工作。</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w:t>
            </w:r>
            <w:bookmarkStart w:id="59" w:name="OLE_LINK1"/>
            <w:r>
              <w:rPr>
                <w:rFonts w:hint="eastAsia" w:ascii="宋体" w:hAnsi="宋体" w:eastAsia="宋体" w:cs="宋体"/>
                <w:kern w:val="0"/>
                <w:sz w:val="24"/>
                <w:szCs w:val="21"/>
                <w:lang w:val="en-US" w:eastAsia="zh-CN"/>
              </w:rPr>
              <w:t>负责维护车辆停放、维护形式秩序</w:t>
            </w:r>
            <w:bookmarkEnd w:id="59"/>
            <w:r>
              <w:rPr>
                <w:rFonts w:hint="eastAsia" w:ascii="宋体" w:hAnsi="宋体" w:eastAsia="宋体" w:cs="宋体"/>
                <w:kern w:val="0"/>
                <w:sz w:val="24"/>
                <w:szCs w:val="21"/>
                <w:lang w:val="en-US" w:eastAsia="zh-CN"/>
              </w:rPr>
              <w:t>，大型活动及重要会议召开期间等时段设专人指挥车辆行驶。</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（5）负责做好门前三包工作（环境卫生、绿化美化和公共秩序）。</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（6）参与市政务服务中心组织的安全、消防检查，并要求安保人员能够正确熟练掌握各种消防、物防、技防等设备的使用方法。</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（7）协助做好安防设施的维护保养工作。</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（8）积极配合市政务服务中心完成临时性安保任务工作。</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（9）协助辖区派出所处理治安案件。</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（10）负责及时妥善处理安保方面问题，重大事件及时上报。</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3.服务标准：</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（1）保安人员应按公司规定统一着装，佩戴胸牌，仪表仪容整洁端庄，上岗前应佩戴装备齐全，精神饱满，严禁酒后上岗。</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（2）协助处理突发事件果断及时；门卫值班按章办事、把关严格、准确无误；</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（3）责任心强，进行区域巡逻时及值班监控时，要严格按要求，确保巡逻无死角、巡逻不离岗。发现问题及时上报处置；</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（4）参与重大安保事务无差错；</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（5）确保政务服务大厅停车场管理井然有序。</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（二）保洁服务</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1.服务内容：负责服务区域内的所有场所的清洁卫生工作。</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2.服务要求：</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（1）负责每天下班后整理各办公室及所有工作场所、大楼门口卫生，上班期间及时拖扫大厅、走廊、楼梯、卫生间，随时保持服务区域整洁，其中卫生间每日清洁4次以上。</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（2）负责花草植物定期修剪、养护、浇灌，随时清理花盆内烟头等杂物，并保持花盆内无杂物，盆体无尘、无污渍。</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（3）负责季节性卫生消毒工作，定期做好消毒、灭蚊、灭蝇工作；</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（4）负责各位置垃圾桶袋装处理，每日至少清运1次以上；垃圾桶加盖，摆放整齐，干净无异味。</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（5）负责室外垃圾在指定位置堆放，盖好盖子，维持堆放点附近卫生，协调环卫部门及时清运垃圾。</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（6）负责每天下班后开展保洁工作时检查各办公室及其他场所的水电及门窗关锁，发现情况及时处理或通知保安处理；</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（7）协助做好保洁设施的维护保养工作。</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（8）配合市政务服务中心完成临时性保洁任务。</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3.服务标准：</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（1）服务区域公共场所无积尘、纸屑、油漆、痰迹、口香糖、果皮、烟头、白色垃圾等。</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（2）玻璃门（窗、墙）光亮、清洁、无污迹、水迹、灰尘及明显手印。</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（3）公共走廊、天面等无灰尘、无蜘蛛网。</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（4）公共场所、卫生间、各垃圾收集点无堆积物，垃圾箱外表干净、无积垢、无异味。</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（5）卫生间保持清洁、干净，洗手盆上无杂物、无纸屑、无积水；及时清理脚印、水渍；镜子每日全面擦拭清洁；大小便池内外无痰垢、尿垢；墙面、水管、隔断、门槛、窗台无积尘，厕所内无异味。</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（6）花草树木无枯枝、枯叶，无绿化废弃物。</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（三）水电服务</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1.服务内容：负责大厅公共场所电路电器设施的维修保养管理和墙、地面简易维修等工作。</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2.服务要求：</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（1）严格按安全操作规程及管理制度操作，确保安全生产，杜绝人身和设备事故的发生。</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（2）负责给排水及用电设备设施的操作维修保养工作，确保大厅24小时正常供水、供电。</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（3）负责按要求做好本岗位工作的检查记录，维修保养记录的填写工作。</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（4）负责完成电气及给排水设备清洁卫生工作，对本岗位所发现的异常现象和隐患及时报告并处理。</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（5）配合市政务服务中心完成临时性水电工作任务。</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3.服务标准：</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（1）电工工作人员必须统一着装，保持清洁，不允许穿拖鞋，不允许混穿工装，衣服纽扣齐全、必须按照要求系好，工牌需按公司要求佩戴，穿绝缘鞋，不允许敞开外衣，卷起。</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（2）严禁酒后上岗。</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（3）严格按照行业操作规程办事、把关严格、准确无误；</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（4）工作及时、责任心强，做到安全生产；</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（5）协助处理突发事件果断及时，发现问题及时上报处置。</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（四）成交供应商负责配置服务用品</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1.保安</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（1）服装：夏、冬服各2套、标志2套、腰带1条、帽子1顶。</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（2）工作装备：对讲机、钢叉、盾牌、伸缩棍、防刺背心、辣椒水、警用电筒等。</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2.保洁</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（1）服装：工作服装样式经双方商定，夏、冬服各2套。</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（2）工作装备：水鞋、胶手套、扫把、拖把，水桶、抹布、清洁车、玻璃刮等。</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3.水电工</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（1）服装：工作服装样式经双方商定，夏、冬服各2套。</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（2）工作装备：万用表、绝缘胶布、电工刀、电工工具包、起子、管钳、活口扳手、钢丝钳、电笔、一字十字螺丝刀、小锤子等水电器材。</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以上工作服及工作装备应定期更换，期间如有破损或破旧须及时补充或更换。</w:t>
            </w:r>
          </w:p>
          <w:p>
            <w:pPr>
              <w:adjustRightInd/>
              <w:spacing w:line="400" w:lineRule="exact"/>
              <w:rPr>
                <w:rFonts w:hint="default"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二、服务岗位设置</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（一）人员配置</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 xml:space="preserve"> 成交供应商聘用员工必须符合国家法律、政策的有关规定，对员工的疾病和人身安全负责，发生的劳资纠纷及其他劳动关系纠纷由中标单位负责。人员配制如下：</w:t>
            </w:r>
          </w:p>
          <w:p>
            <w:pPr>
              <w:adjustRightInd/>
              <w:spacing w:line="400" w:lineRule="exact"/>
              <w:rPr>
                <w:rFonts w:hint="eastAsia" w:ascii="宋体" w:hAnsi="宋体" w:eastAsia="宋体" w:cs="宋体"/>
                <w:kern w:val="0"/>
                <w:sz w:val="24"/>
                <w:szCs w:val="21"/>
                <w:lang w:val="en-US" w:eastAsia="zh-CN"/>
              </w:rPr>
            </w:pPr>
          </w:p>
          <w:p>
            <w:pPr>
              <w:adjustRightInd/>
              <w:spacing w:line="400" w:lineRule="exact"/>
              <w:rPr>
                <w:rFonts w:hint="eastAsia" w:ascii="宋体" w:hAnsi="宋体" w:eastAsia="宋体" w:cs="宋体"/>
                <w:kern w:val="0"/>
                <w:sz w:val="24"/>
                <w:szCs w:val="21"/>
                <w:lang w:val="en-US" w:eastAsia="zh-CN"/>
              </w:rPr>
            </w:pPr>
          </w:p>
          <w:p>
            <w:pPr>
              <w:adjustRightInd/>
              <w:spacing w:line="400" w:lineRule="exact"/>
              <w:rPr>
                <w:rFonts w:hint="eastAsia" w:ascii="宋体" w:hAnsi="宋体" w:eastAsia="宋体" w:cs="宋体"/>
                <w:kern w:val="0"/>
                <w:sz w:val="24"/>
                <w:szCs w:val="21"/>
                <w:lang w:val="en-US" w:eastAsia="zh-CN"/>
              </w:rPr>
            </w:pPr>
          </w:p>
          <w:p>
            <w:pPr>
              <w:adjustRightInd/>
              <w:spacing w:line="400" w:lineRule="exact"/>
              <w:rPr>
                <w:rFonts w:hint="eastAsia" w:ascii="宋体" w:hAnsi="宋体" w:eastAsia="宋体" w:cs="宋体"/>
                <w:kern w:val="0"/>
                <w:sz w:val="24"/>
                <w:szCs w:val="21"/>
                <w:lang w:val="en-US" w:eastAsia="zh-CN"/>
              </w:rPr>
            </w:pPr>
          </w:p>
          <w:tbl>
            <w:tblPr>
              <w:tblStyle w:val="6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4066"/>
              <w:gridCol w:w="1785"/>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项目类型</w:t>
                  </w:r>
                </w:p>
              </w:tc>
              <w:tc>
                <w:tcPr>
                  <w:tcW w:w="4066"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轮班时间</w:t>
                  </w:r>
                </w:p>
              </w:tc>
              <w:tc>
                <w:tcPr>
                  <w:tcW w:w="1785"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上班人数（人）</w:t>
                  </w:r>
                </w:p>
              </w:tc>
              <w:tc>
                <w:tcPr>
                  <w:tcW w:w="1583"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Merge w:val="restart"/>
                  <w:vAlign w:val="top"/>
                </w:tcPr>
                <w:p>
                  <w:pPr>
                    <w:adjustRightInd/>
                    <w:spacing w:line="400" w:lineRule="exact"/>
                    <w:rPr>
                      <w:rFonts w:hint="eastAsia" w:ascii="宋体" w:hAnsi="宋体" w:eastAsia="宋体" w:cs="宋体"/>
                      <w:kern w:val="0"/>
                      <w:sz w:val="24"/>
                      <w:szCs w:val="21"/>
                      <w:lang w:val="en-US" w:eastAsia="zh-CN"/>
                    </w:rPr>
                  </w:pPr>
                </w:p>
                <w:p>
                  <w:pPr>
                    <w:adjustRightInd/>
                    <w:spacing w:line="400" w:lineRule="exact"/>
                    <w:rPr>
                      <w:rFonts w:hint="eastAsia" w:ascii="宋体" w:hAnsi="宋体" w:eastAsia="宋体" w:cs="宋体"/>
                      <w:kern w:val="0"/>
                      <w:sz w:val="24"/>
                      <w:szCs w:val="21"/>
                      <w:lang w:val="en-US" w:eastAsia="zh-CN"/>
                    </w:rPr>
                  </w:pPr>
                </w:p>
                <w:p>
                  <w:pPr>
                    <w:adjustRightInd/>
                    <w:spacing w:line="400" w:lineRule="exact"/>
                    <w:rPr>
                      <w:rFonts w:hint="eastAsia" w:ascii="宋体" w:hAnsi="宋体" w:eastAsia="宋体" w:cs="宋体"/>
                      <w:kern w:val="0"/>
                      <w:sz w:val="24"/>
                      <w:szCs w:val="21"/>
                      <w:lang w:val="en-US" w:eastAsia="zh-CN"/>
                    </w:rPr>
                  </w:pP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保安</w:t>
                  </w:r>
                </w:p>
              </w:tc>
              <w:tc>
                <w:tcPr>
                  <w:tcW w:w="4066" w:type="dxa"/>
                  <w:vAlign w:val="top"/>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07:00-13:00</w:t>
                  </w:r>
                </w:p>
              </w:tc>
              <w:tc>
                <w:tcPr>
                  <w:tcW w:w="1785"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w:t>
                  </w:r>
                </w:p>
              </w:tc>
              <w:tc>
                <w:tcPr>
                  <w:tcW w:w="1583" w:type="dxa"/>
                  <w:vAlign w:val="top"/>
                </w:tcPr>
                <w:p>
                  <w:pPr>
                    <w:adjustRightInd/>
                    <w:spacing w:line="400" w:lineRule="exact"/>
                    <w:rPr>
                      <w:rFonts w:hint="eastAsia" w:ascii="宋体" w:hAnsi="宋体" w:eastAsia="宋体" w:cs="宋体"/>
                      <w:kern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Merge w:val="continue"/>
                  <w:vAlign w:val="top"/>
                </w:tcPr>
                <w:p>
                  <w:pPr>
                    <w:adjustRightInd/>
                    <w:spacing w:line="400" w:lineRule="exact"/>
                    <w:rPr>
                      <w:rFonts w:hint="eastAsia" w:ascii="宋体" w:hAnsi="宋体" w:eastAsia="宋体" w:cs="宋体"/>
                      <w:kern w:val="0"/>
                      <w:sz w:val="24"/>
                      <w:szCs w:val="21"/>
                      <w:lang w:val="en-US" w:eastAsia="zh-CN"/>
                    </w:rPr>
                  </w:pPr>
                </w:p>
              </w:tc>
              <w:tc>
                <w:tcPr>
                  <w:tcW w:w="4066" w:type="dxa"/>
                  <w:vAlign w:val="top"/>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13:00-19:00</w:t>
                  </w:r>
                </w:p>
              </w:tc>
              <w:tc>
                <w:tcPr>
                  <w:tcW w:w="1785"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w:t>
                  </w:r>
                </w:p>
              </w:tc>
              <w:tc>
                <w:tcPr>
                  <w:tcW w:w="1583" w:type="dxa"/>
                  <w:vAlign w:val="top"/>
                </w:tcPr>
                <w:p>
                  <w:pPr>
                    <w:adjustRightInd/>
                    <w:spacing w:line="400" w:lineRule="exact"/>
                    <w:rPr>
                      <w:rFonts w:hint="eastAsia" w:ascii="宋体" w:hAnsi="宋体" w:eastAsia="宋体" w:cs="宋体"/>
                      <w:kern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Merge w:val="continue"/>
                  <w:vAlign w:val="top"/>
                </w:tcPr>
                <w:p>
                  <w:pPr>
                    <w:adjustRightInd/>
                    <w:spacing w:line="400" w:lineRule="exact"/>
                    <w:rPr>
                      <w:rFonts w:hint="eastAsia" w:ascii="宋体" w:hAnsi="宋体" w:eastAsia="宋体" w:cs="宋体"/>
                      <w:kern w:val="0"/>
                      <w:sz w:val="24"/>
                      <w:szCs w:val="21"/>
                      <w:lang w:val="en-US" w:eastAsia="zh-CN"/>
                    </w:rPr>
                  </w:pPr>
                </w:p>
              </w:tc>
              <w:tc>
                <w:tcPr>
                  <w:tcW w:w="4066"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19:00-01:00</w:t>
                  </w:r>
                </w:p>
              </w:tc>
              <w:tc>
                <w:tcPr>
                  <w:tcW w:w="1785"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w:t>
                  </w:r>
                </w:p>
              </w:tc>
              <w:tc>
                <w:tcPr>
                  <w:tcW w:w="1583" w:type="dxa"/>
                  <w:vAlign w:val="top"/>
                </w:tcPr>
                <w:p>
                  <w:pPr>
                    <w:adjustRightInd/>
                    <w:spacing w:line="400" w:lineRule="exact"/>
                    <w:rPr>
                      <w:rFonts w:hint="eastAsia" w:ascii="宋体" w:hAnsi="宋体" w:eastAsia="宋体" w:cs="宋体"/>
                      <w:kern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Merge w:val="continue"/>
                  <w:vAlign w:val="top"/>
                </w:tcPr>
                <w:p>
                  <w:pPr>
                    <w:adjustRightInd/>
                    <w:spacing w:line="400" w:lineRule="exact"/>
                    <w:rPr>
                      <w:rFonts w:hint="eastAsia" w:ascii="宋体" w:hAnsi="宋体" w:eastAsia="宋体" w:cs="宋体"/>
                      <w:kern w:val="0"/>
                      <w:sz w:val="24"/>
                      <w:szCs w:val="21"/>
                      <w:lang w:val="en-US" w:eastAsia="zh-CN"/>
                    </w:rPr>
                  </w:pPr>
                </w:p>
              </w:tc>
              <w:tc>
                <w:tcPr>
                  <w:tcW w:w="4066"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01:00-07:00</w:t>
                  </w:r>
                </w:p>
              </w:tc>
              <w:tc>
                <w:tcPr>
                  <w:tcW w:w="1785"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w:t>
                  </w:r>
                </w:p>
              </w:tc>
              <w:tc>
                <w:tcPr>
                  <w:tcW w:w="1583" w:type="dxa"/>
                  <w:vAlign w:val="top"/>
                </w:tcPr>
                <w:p>
                  <w:pPr>
                    <w:adjustRightInd/>
                    <w:spacing w:line="400" w:lineRule="exact"/>
                    <w:rPr>
                      <w:rFonts w:hint="eastAsia" w:ascii="宋体" w:hAnsi="宋体" w:eastAsia="宋体" w:cs="宋体"/>
                      <w:kern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Merge w:val="continue"/>
                  <w:vAlign w:val="top"/>
                </w:tcPr>
                <w:p>
                  <w:pPr>
                    <w:adjustRightInd/>
                    <w:spacing w:line="400" w:lineRule="exact"/>
                    <w:rPr>
                      <w:rFonts w:hint="eastAsia" w:ascii="宋体" w:hAnsi="宋体" w:eastAsia="宋体" w:cs="宋体"/>
                      <w:kern w:val="0"/>
                      <w:sz w:val="24"/>
                      <w:szCs w:val="21"/>
                      <w:lang w:val="en-US" w:eastAsia="zh-CN"/>
                    </w:rPr>
                  </w:pPr>
                </w:p>
              </w:tc>
              <w:tc>
                <w:tcPr>
                  <w:tcW w:w="4066"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7:50-12:00</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14:50-18:00</w:t>
                  </w:r>
                </w:p>
              </w:tc>
              <w:tc>
                <w:tcPr>
                  <w:tcW w:w="1785"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w:t>
                  </w:r>
                </w:p>
              </w:tc>
              <w:tc>
                <w:tcPr>
                  <w:tcW w:w="1583" w:type="dxa"/>
                  <w:vAlign w:val="top"/>
                </w:tcPr>
                <w:p>
                  <w:pPr>
                    <w:adjustRightInd/>
                    <w:spacing w:line="400" w:lineRule="exact"/>
                    <w:rPr>
                      <w:rFonts w:hint="eastAsia" w:ascii="宋体" w:hAnsi="宋体" w:eastAsia="宋体" w:cs="宋体"/>
                      <w:kern w:val="0"/>
                      <w:sz w:val="24"/>
                      <w:szCs w:val="21"/>
                      <w:lang w:val="en-US" w:eastAsia="zh-CN"/>
                    </w:rPr>
                  </w:pPr>
                </w:p>
                <w:p>
                  <w:pPr>
                    <w:adjustRightInd/>
                    <w:spacing w:line="400" w:lineRule="exact"/>
                    <w:rPr>
                      <w:rFonts w:hint="eastAsia" w:ascii="宋体" w:hAnsi="宋体" w:eastAsia="宋体" w:cs="宋体"/>
                      <w:kern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保洁</w:t>
                  </w:r>
                </w:p>
              </w:tc>
              <w:tc>
                <w:tcPr>
                  <w:tcW w:w="4066"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7:30-12:00</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14:40-18:30</w:t>
                  </w:r>
                </w:p>
              </w:tc>
              <w:tc>
                <w:tcPr>
                  <w:tcW w:w="1785"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7</w:t>
                  </w:r>
                </w:p>
              </w:tc>
              <w:tc>
                <w:tcPr>
                  <w:tcW w:w="1583" w:type="dxa"/>
                  <w:vAlign w:val="top"/>
                </w:tcPr>
                <w:p>
                  <w:pPr>
                    <w:adjustRightInd/>
                    <w:spacing w:line="400" w:lineRule="exact"/>
                    <w:rPr>
                      <w:rFonts w:hint="eastAsia" w:ascii="宋体" w:hAnsi="宋体" w:eastAsia="宋体" w:cs="宋体"/>
                      <w:kern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电工</w:t>
                  </w:r>
                </w:p>
              </w:tc>
              <w:tc>
                <w:tcPr>
                  <w:tcW w:w="4066"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7:30-12:00</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14:40-18:00</w:t>
                  </w:r>
                </w:p>
              </w:tc>
              <w:tc>
                <w:tcPr>
                  <w:tcW w:w="1785" w:type="dxa"/>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w:t>
                  </w:r>
                </w:p>
              </w:tc>
              <w:tc>
                <w:tcPr>
                  <w:tcW w:w="1583" w:type="dxa"/>
                  <w:vAlign w:val="top"/>
                </w:tcPr>
                <w:p>
                  <w:pPr>
                    <w:adjustRightInd/>
                    <w:spacing w:line="400" w:lineRule="exact"/>
                    <w:rPr>
                      <w:rFonts w:hint="eastAsia" w:ascii="宋体" w:hAnsi="宋体" w:eastAsia="宋体" w:cs="宋体"/>
                      <w:kern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4" w:type="dxa"/>
                  <w:gridSpan w:val="2"/>
                  <w:vAlign w:val="top"/>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合计</w:t>
                  </w:r>
                </w:p>
              </w:tc>
              <w:tc>
                <w:tcPr>
                  <w:tcW w:w="1785" w:type="dxa"/>
                  <w:vAlign w:val="top"/>
                </w:tcPr>
                <w:p>
                  <w:pPr>
                    <w:adjustRightInd/>
                    <w:spacing w:line="400" w:lineRule="exact"/>
                    <w:rPr>
                      <w:rFonts w:hint="default"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20</w:t>
                  </w:r>
                </w:p>
              </w:tc>
              <w:tc>
                <w:tcPr>
                  <w:tcW w:w="1583" w:type="dxa"/>
                  <w:vAlign w:val="top"/>
                </w:tcPr>
                <w:p>
                  <w:pPr>
                    <w:adjustRightInd/>
                    <w:spacing w:line="400" w:lineRule="exact"/>
                    <w:rPr>
                      <w:rFonts w:hint="eastAsia" w:ascii="宋体" w:hAnsi="宋体" w:eastAsia="宋体" w:cs="宋体"/>
                      <w:kern w:val="0"/>
                      <w:sz w:val="24"/>
                      <w:szCs w:val="21"/>
                      <w:lang w:val="en-US" w:eastAsia="zh-CN"/>
                    </w:rPr>
                  </w:pPr>
                </w:p>
              </w:tc>
            </w:tr>
          </w:tbl>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（二）各岗位人员上岗条件</w:t>
            </w:r>
          </w:p>
          <w:p>
            <w:pPr>
              <w:adjustRightInd/>
              <w:spacing w:line="400" w:lineRule="exact"/>
              <w:rPr>
                <w:rFonts w:hint="eastAsia" w:ascii="宋体" w:hAnsi="宋体" w:eastAsia="宋体" w:cs="宋体"/>
                <w:kern w:val="0"/>
                <w:sz w:val="24"/>
                <w:szCs w:val="21"/>
                <w:lang w:val="en-US" w:eastAsia="zh-CN"/>
              </w:rPr>
            </w:pPr>
            <w:bookmarkStart w:id="60" w:name="OLE_LINK2"/>
            <w:r>
              <w:rPr>
                <w:rFonts w:hint="eastAsia" w:ascii="宋体" w:hAnsi="宋体" w:eastAsia="宋体" w:cs="宋体"/>
                <w:kern w:val="0"/>
                <w:sz w:val="24"/>
                <w:szCs w:val="21"/>
                <w:lang w:val="en-US" w:eastAsia="zh-CN"/>
              </w:rPr>
              <w:t>（1）</w:t>
            </w:r>
            <w:bookmarkEnd w:id="60"/>
            <w:r>
              <w:rPr>
                <w:rFonts w:hint="eastAsia" w:ascii="宋体" w:hAnsi="宋体" w:eastAsia="宋体" w:cs="宋体"/>
                <w:kern w:val="0"/>
                <w:sz w:val="24"/>
                <w:szCs w:val="21"/>
                <w:lang w:val="en-US" w:eastAsia="zh-CN"/>
              </w:rPr>
              <w:t>保安人员12人。男性，50岁以下，初中及以上学历；转业或退伍军人优先；身体健康，五官端正，身高在1.6米以上；遵纪守法，无违法犯罪记录，有良好的职业道德；有相关工作经验者优先。</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（2）保洁人员7人。女性，50岁以下，初中及以上学历；身体健康，五官端正，身高1.5米以上；遵纪守法，无违法犯罪记录，有良好的职业道德；有相关工作经验者优先。</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（3）水电维修人员1人。男性，50岁以下，初中及以上学历；具有电工上岗证；身体健康，五官端正；遵纪守法，无违法犯罪记录，有良好的职业道德；有相关工作经验者优先。</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（三）各管理岗位职责</w:t>
            </w:r>
          </w:p>
          <w:p>
            <w:pPr>
              <w:adjustRightInd/>
              <w:spacing w:line="400" w:lineRule="exact"/>
              <w:rPr>
                <w:rFonts w:hint="eastAsia" w:ascii="宋体" w:hAnsi="宋体" w:eastAsia="宋体" w:cs="宋体"/>
                <w:kern w:val="0"/>
                <w:sz w:val="24"/>
                <w:szCs w:val="21"/>
                <w:lang w:val="en-US" w:eastAsia="zh-CN"/>
              </w:rPr>
            </w:pPr>
            <w:bookmarkStart w:id="61" w:name="OLE_LINK3"/>
            <w:r>
              <w:rPr>
                <w:rFonts w:hint="eastAsia" w:ascii="宋体" w:hAnsi="宋体" w:eastAsia="宋体" w:cs="宋体"/>
                <w:kern w:val="0"/>
                <w:sz w:val="24"/>
                <w:szCs w:val="21"/>
                <w:lang w:val="en-US" w:eastAsia="zh-CN"/>
              </w:rPr>
              <w:t>（1）保安班长负责对保安开展日常管理，做好保安思想工作，掌握思想动态；合理安排岗位布防，明确各岗职责，监督岗位执勤情况并及时调整；突发状况时第一时间到场，调度人员、划定警戒区；重大活动期间，协助大厅做好安全保卫工作，合理调配人员保障活动秩序。</w:t>
            </w:r>
            <w:bookmarkStart w:id="62" w:name="OLE_LINK6"/>
            <w:r>
              <w:rPr>
                <w:rFonts w:hint="eastAsia" w:ascii="宋体" w:hAnsi="宋体" w:eastAsia="宋体" w:cs="宋体"/>
                <w:kern w:val="0"/>
                <w:sz w:val="24"/>
                <w:szCs w:val="21"/>
                <w:lang w:val="en-US" w:eastAsia="zh-CN"/>
              </w:rPr>
              <w:t>保安副班长</w:t>
            </w:r>
            <w:bookmarkEnd w:id="62"/>
            <w:r>
              <w:rPr>
                <w:rFonts w:hint="eastAsia" w:ascii="宋体" w:hAnsi="宋体" w:eastAsia="宋体" w:cs="宋体"/>
                <w:kern w:val="0"/>
                <w:sz w:val="24"/>
                <w:szCs w:val="21"/>
                <w:lang w:val="en-US" w:eastAsia="zh-CN"/>
              </w:rPr>
              <w:t>协助班长完成各项工作，组织保安学习规章制度、业务知识、法律法规及文明用语；检查保安工作日志及值班记录，确保信息完整准确，每月汇总巡逻、培训等台账。</w:t>
            </w:r>
          </w:p>
          <w:bookmarkEnd w:id="61"/>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保洁班长负责对保洁人员进行日常管理，组织保洁人员开展业务培训，包括清洁工具使用、清洁剂配比、不同材质（地面、玻璃、石材）清洁技巧、安全作业规范等；定期对清洁效果进行评估，及时调整清洁方案，提升环境卫生满意度；负责班组保洁物资（清洁剂、垃圾袋、抹布、扫帚等耗材）的申领、登记、分发与保管，建立物资台账，做到账物相符；监督物资使用情况，指导保洁员节约用料，避免浪费，控制保洁成本。</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三、管理方式</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（一）管理年限：一年</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（二）付款方式</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1.预付款（合同金额的10%）：自双方签订合同且专项资金到位起15个工作日内，由采购人向供应商支付合同金额的10%作为预付款。</w:t>
            </w:r>
          </w:p>
          <w:p>
            <w:pPr>
              <w:adjustRightInd/>
              <w:spacing w:line="400" w:lineRule="exact"/>
              <w:rPr>
                <w:rFonts w:hint="default"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2.采购人按月向供应商支付服务费，自供应商提交符合要求的验收材料且专项资金到位起15个工作日内支付。服务费先从预付款中扣除，预付款扣除完毕后再支付其余服务费。</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四、对成交供应商服务要求</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成交供应商必须配备1名责任心强、个人素质高具有较强管理能力的专职管理人员，每个工作日不少于半天时间在政务服务中心驻岗，履行工作人员的在岗管理和业务培训，与市政务服务中心进行日常沟通,及时处理市政务服务中心的管理需求。</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2.成交供应商负责服务人员的招聘、工资福利计发、人事档案管理、劳动合同签订及履行过程管理、劳资纠纷处理、五险待遇办理、人员工伤事故处理等。</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3.成交供应商须按市政务服务中心的用工需求按时派遣服务人员到岗工作，及时更换不能胜任工作的劳务服务人员；定期开展人员岗位培训。落实市政务服务中心根据规章制度和工作提出的其他管理要求。</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成交供应商必须遵守政府法律法规和市政务服务中心规章制度，同时按劳动法保障服务人员的权益。服务人员工资及福利待遇按磋商报价中承诺的发放标准支付。成交供应商须按时按磋商报价中的承诺给所有服务人员缴纳各种社会保险及其他保险。若因成交供应商的缘故导致服务人员工资及福利待遇未能及时发放到位，由此产生的一切后果由成交供应商承担。</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培训要求：成交供应商负责服务人员的入职培训，包括服务行为规范培训、岗位专业培训等（按市政务服务中心要求），使服务人员熟悉和了解市政务服务中心基本情况，相关工作流程及各项制度政策，能自觉遵守市政务服务中心各项规章制度和行为准则。帮助服务人员尽快适应工作环境，投入工作角色，提高工作效率和绩效。</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定期对服务人员进行服务行为规范培训、岗位专业培训等（按市政务服务中心要求），每年不少于两次培训，每次培训时长不低于1天，培训费包含培训人员的报名费、交通费、差旅费、食宿费等相关费用，该费用由成交供应商自行承担。</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6.如市政务服务中心需更换服务人员，成交供应商应在3个工作日内安排服务人员上岗服务。</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7.如因国家政策性要求，市政务服务中心需停止该业务外包，市政务服务中心会提前30日书面通知成交供应商终止合同，市政务服务中心不另行支付违约金。</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8.成交供应商应加强对服务人员的保密教育，严格遵守保密规定。</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五、监督和考评</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市政务服务中心依照有关法律、法规和管理实际，对成交供应商本项目的服务管理情况实行定期检查、监督和管理，对成交供应商违反双方约定和合同规定的经营行为、发生重大事故、其他严重失职行为及违约行为有权制止，按照双方约定处理直至解除合同，并要求成交供应商承担合同规定的违约及损害赔偿责任。</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服务期内，成交供应商被上级行政部门或相关监督监管部门检查监督发现服务、管理等问题，需要整改但不及时整改或责令停止服务的情况时，市政务服务中心有权单方面解除合同并要求成交供应商承担相应的违约及损害赔偿责任。</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成交供应商违反合同要求的规定，未能达到约定的服务目标，或出现重大服务失误，市政务服务中心有权终止合同；造成市政务服务中心经济损失的，成交供应商应给予市政务服务中心经济赔偿，并承担相应法律责任。</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市政务服务中心随时对成交供应商工作质量进行反馈和督促改进。市政务服务中心制定对成交供应商的季度考评制度，服务期内，市政务服务中心对成交供应商进行季度考评，考评不合格的，市政务服务中心有权提出严重警告并限期整改。经警告并责令整改后，考评仍旧不合格的，市政务服务中心则向成交供应商发出整改通知书并处以3000元的罚款，如一年累计发出3次整改通知书的，市政务服务中心有权单方面解除合同，成交供应商承担由此造成的违约责任和损害赔偿责任。</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成交供应商负责根据市政务服务中心的需求，制定服务人员管理制度及考核方案等，实施绩效管理考评，落实奖惩机制，方案须经市政务服务中心确认，市政务服务中心配合提供相关数据，考核结果应反馈市政务服务中心。制定员工关心关爱制度，落实节假日及伤病困难慰问、文体活动等福利待遇。</w:t>
            </w:r>
          </w:p>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6.除岗位人员个人原因申请离职外，若由于岗位人员不能胜任工作，导致自然年内人员更换率超过岗位人数30%的，则市政务服务中心可解除与成交供应商的合同。</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br w:type="page"/>
            </w:r>
          </w:p>
          <w:p>
            <w:pPr>
              <w:pStyle w:val="404"/>
              <w:spacing w:after="120"/>
              <w:ind w:firstLine="4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bidi="ar"/>
              </w:rPr>
              <w:t>服务期</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交付时间及地点</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spacing w:line="400" w:lineRule="exact"/>
              <w:rPr>
                <w:rFonts w:cs="宋体" w:asciiTheme="minorEastAsia" w:hAnsiTheme="minorEastAsia" w:eastAsiaTheme="minorEastAsia"/>
                <w:sz w:val="24"/>
              </w:rPr>
            </w:pPr>
            <w:bookmarkStart w:id="63" w:name="OLE_LINK28"/>
            <w:r>
              <w:rPr>
                <w:rFonts w:hint="eastAsia" w:ascii="宋体" w:hAnsi="宋体" w:cs="宋体"/>
                <w:kern w:val="0"/>
                <w:sz w:val="24"/>
                <w:szCs w:val="21"/>
              </w:rPr>
              <w:t>签订合同</w:t>
            </w:r>
            <w:r>
              <w:rPr>
                <w:rFonts w:hint="eastAsia" w:ascii="宋体" w:hAnsi="宋体" w:cs="宋体"/>
                <w:kern w:val="0"/>
                <w:sz w:val="24"/>
                <w:szCs w:val="21"/>
                <w:lang w:eastAsia="zh-CN"/>
              </w:rPr>
              <w:t>之</w:t>
            </w:r>
            <w:r>
              <w:rPr>
                <w:rFonts w:hint="eastAsia" w:ascii="宋体" w:hAnsi="宋体" w:cs="宋体"/>
                <w:kern w:val="0"/>
                <w:sz w:val="24"/>
                <w:szCs w:val="21"/>
              </w:rPr>
              <w:t>日</w:t>
            </w:r>
            <w:bookmarkEnd w:id="63"/>
            <w:r>
              <w:rPr>
                <w:rFonts w:hint="eastAsia" w:ascii="宋体" w:hAnsi="宋体" w:cs="宋体"/>
                <w:kern w:val="0"/>
                <w:sz w:val="24"/>
                <w:szCs w:val="21"/>
                <w:lang w:eastAsia="zh-CN"/>
              </w:rPr>
              <w:t>起</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政务中心</w:t>
            </w: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7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付款时间和方式</w:t>
            </w:r>
          </w:p>
        </w:tc>
        <w:tc>
          <w:tcPr>
            <w:tcW w:w="427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1.预付款（合同金额的10%）：自双方签订合同且专项资金到位起15个工作日内，由采购人向供应商支付合同金额的10%作为预付款。</w:t>
            </w:r>
          </w:p>
          <w:p>
            <w:pPr>
              <w:adjustRightInd/>
              <w:spacing w:line="400" w:lineRule="exact"/>
              <w:rPr>
                <w:rFonts w:hint="default"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2.采购人按月向供应商支付服务费，自供应商提交符合要求的验收材料且专项资金到位起15个工作日内支付。服务费先从预付款中扣除，预付款扣除完毕后再支付其余服务费。</w:t>
            </w:r>
          </w:p>
          <w:p>
            <w:pPr>
              <w:pStyle w:val="55"/>
              <w:adjustRightInd/>
              <w:spacing w:before="0" w:beforeAutospacing="0" w:after="0" w:afterAutospacing="0" w:line="440" w:lineRule="exact"/>
              <w:jc w:val="both"/>
              <w:rPr>
                <w:rFonts w:cs="宋体" w:asciiTheme="minorEastAsia" w:hAnsiTheme="minorEastAsia" w:eastAsiaTheme="minorEastAsia"/>
                <w:lang w:eastAsia="en-US"/>
              </w:rPr>
            </w:pPr>
          </w:p>
        </w:tc>
      </w:tr>
    </w:tbl>
    <w:p>
      <w:pPr>
        <w:widowControl/>
        <w:adjustRightInd/>
        <w:jc w:val="left"/>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7"/>
        <w:rPr>
          <w:rFonts w:cs="仿宋_GB2312" w:asciiTheme="minorEastAsia" w:hAnsiTheme="minorEastAsia" w:eastAsiaTheme="minorEastAsia"/>
          <w:b/>
          <w:sz w:val="36"/>
          <w:szCs w:val="36"/>
        </w:rPr>
      </w:pPr>
    </w:p>
    <w:p/>
    <w:p>
      <w:pPr>
        <w:adjustRightInd/>
        <w:spacing w:line="360" w:lineRule="auto"/>
        <w:jc w:val="center"/>
        <w:outlineLvl w:val="0"/>
        <w:rPr>
          <w:rFonts w:cs="仿宋_GB2312" w:asciiTheme="minorEastAsia" w:hAnsiTheme="minorEastAsia" w:eastAsiaTheme="minorEastAsia"/>
          <w:b/>
          <w:sz w:val="36"/>
          <w:szCs w:val="36"/>
        </w:rPr>
      </w:pPr>
      <w:bookmarkStart w:id="64" w:name="_Toc181203098"/>
      <w:r>
        <w:rPr>
          <w:rFonts w:hint="eastAsia" w:cs="仿宋_GB2312" w:asciiTheme="minorEastAsia" w:hAnsiTheme="minorEastAsia" w:eastAsiaTheme="minorEastAsia"/>
          <w:b/>
          <w:sz w:val="36"/>
          <w:szCs w:val="36"/>
        </w:rPr>
        <w:t xml:space="preserve">第五部分  </w:t>
      </w:r>
      <w:bookmarkEnd w:id="56"/>
      <w:bookmarkEnd w:id="57"/>
      <w:bookmarkStart w:id="65" w:name="第四部分"/>
      <w:r>
        <w:rPr>
          <w:rFonts w:hint="eastAsia" w:cs="仿宋_GB2312" w:asciiTheme="minorEastAsia" w:hAnsiTheme="minorEastAsia" w:eastAsiaTheme="minorEastAsia"/>
          <w:b/>
          <w:sz w:val="36"/>
          <w:szCs w:val="36"/>
        </w:rPr>
        <w:t>评审方法及评审标准</w:t>
      </w:r>
      <w:bookmarkEnd w:id="64"/>
    </w:p>
    <w:p>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p>
      <w:pPr>
        <w:snapToGrid w:val="0"/>
        <w:spacing w:line="500" w:lineRule="exact"/>
        <w:ind w:firstLine="482" w:firstLineChars="200"/>
        <w:rPr>
          <w:rFonts w:ascii="宋体" w:hAnsi="Calibri" w:cs="宋体"/>
          <w:b/>
          <w:bCs/>
          <w:sz w:val="24"/>
        </w:rPr>
      </w:pPr>
      <w:r>
        <w:rPr>
          <w:rFonts w:hint="eastAsia" w:ascii="宋体" w:hAnsi="Calibri" w:cs="宋体"/>
          <w:b/>
          <w:bCs/>
          <w:sz w:val="24"/>
        </w:rPr>
        <w:t>一、磋商原则</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(一)磋商小组构成：本采购项目的磋商小组由采购人代表和有关技术、经济等方面的专家组成，成员人数应当为三人以上单数。其中，技术、经济等方面的专家不得少于成员总数的三分之二。</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（二)磋商依据：评委将以磋商文件、磋商响应文件为磋商依据，对磋商供应商的价格、服务方案、履约能力等方面内容按百分制打分。</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(三)磋商方式：以封闭方式进行。</w:t>
      </w:r>
    </w:p>
    <w:p>
      <w:pPr>
        <w:widowControl/>
        <w:adjustRightInd/>
        <w:spacing w:line="500" w:lineRule="exact"/>
        <w:ind w:left="562" w:hanging="562"/>
        <w:rPr>
          <w:rFonts w:ascii="宋体" w:hAnsi="宋体" w:cs="宋体"/>
          <w:b/>
          <w:bCs/>
          <w:kern w:val="0"/>
          <w:sz w:val="24"/>
        </w:rPr>
      </w:pPr>
      <w:r>
        <w:rPr>
          <w:rFonts w:hint="eastAsia" w:ascii="宋体" w:hAnsi="宋体" w:cs="宋体"/>
          <w:b/>
          <w:kern w:val="0"/>
          <w:sz w:val="24"/>
        </w:rPr>
        <w:t xml:space="preserve">    </w:t>
      </w:r>
      <w:r>
        <w:rPr>
          <w:rFonts w:hint="eastAsia" w:ascii="宋体" w:hAnsi="宋体" w:cs="宋体"/>
          <w:b/>
          <w:bCs/>
          <w:kern w:val="0"/>
          <w:sz w:val="24"/>
        </w:rPr>
        <w:t>二、评审方法</w:t>
      </w:r>
    </w:p>
    <w:p>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（一）对进入详评的，采用百分制综合评分法。</w:t>
      </w:r>
    </w:p>
    <w:p>
      <w:pPr>
        <w:autoSpaceDE w:val="0"/>
        <w:autoSpaceDN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（二）计分办法（按四舍五入取至百分位）</w:t>
      </w:r>
      <w:bookmarkStart w:id="66" w:name="_Toc4662"/>
      <w:r>
        <w:rPr>
          <w:rFonts w:hint="eastAsia" w:ascii="宋体" w:hAnsi="宋体" w:cs="宋体"/>
          <w:kern w:val="0"/>
          <w:sz w:val="24"/>
        </w:rPr>
        <w:t>.</w:t>
      </w:r>
    </w:p>
    <w:tbl>
      <w:tblPr>
        <w:tblStyle w:val="60"/>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23"/>
        <w:gridCol w:w="6364"/>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b/>
                <w:bCs/>
                <w:kern w:val="0"/>
                <w:szCs w:val="21"/>
              </w:rPr>
            </w:pPr>
            <w:r>
              <w:rPr>
                <w:rFonts w:hint="eastAsia" w:ascii="宋体" w:hAnsi="宋体" w:cs="宋体"/>
                <w:b/>
                <w:bCs/>
                <w:kern w:val="0"/>
                <w:szCs w:val="21"/>
              </w:rPr>
              <w:t>序号</w:t>
            </w:r>
          </w:p>
        </w:tc>
        <w:tc>
          <w:tcPr>
            <w:tcW w:w="1423" w:type="dxa"/>
            <w:vAlign w:val="center"/>
          </w:tcPr>
          <w:p>
            <w:pPr>
              <w:widowControl/>
              <w:wordWrap w:val="0"/>
              <w:spacing w:line="360" w:lineRule="exact"/>
              <w:jc w:val="center"/>
              <w:rPr>
                <w:rFonts w:ascii="宋体" w:hAnsi="宋体" w:cs="宋体"/>
                <w:b/>
                <w:kern w:val="0"/>
                <w:szCs w:val="21"/>
              </w:rPr>
            </w:pPr>
            <w:r>
              <w:rPr>
                <w:rFonts w:hint="eastAsia" w:ascii="宋体" w:hAnsi="宋体" w:cs="宋体"/>
                <w:b/>
                <w:kern w:val="0"/>
                <w:szCs w:val="21"/>
              </w:rPr>
              <w:t>评审因素</w:t>
            </w:r>
          </w:p>
        </w:tc>
        <w:tc>
          <w:tcPr>
            <w:tcW w:w="6364" w:type="dxa"/>
            <w:vAlign w:val="center"/>
          </w:tcPr>
          <w:p>
            <w:pPr>
              <w:widowControl/>
              <w:wordWrap w:val="0"/>
              <w:spacing w:line="360" w:lineRule="exact"/>
              <w:jc w:val="center"/>
              <w:rPr>
                <w:rFonts w:ascii="宋体" w:hAnsi="宋体" w:cs="宋体"/>
                <w:b/>
                <w:bCs/>
                <w:kern w:val="0"/>
                <w:szCs w:val="21"/>
              </w:rPr>
            </w:pPr>
            <w:r>
              <w:rPr>
                <w:rFonts w:hint="eastAsia" w:ascii="宋体" w:hAnsi="宋体" w:cs="宋体"/>
                <w:b/>
                <w:bCs/>
                <w:kern w:val="0"/>
                <w:szCs w:val="21"/>
              </w:rPr>
              <w:t>评审因素具体内容</w:t>
            </w:r>
          </w:p>
        </w:tc>
        <w:tc>
          <w:tcPr>
            <w:tcW w:w="880" w:type="dxa"/>
            <w:vAlign w:val="center"/>
          </w:tcPr>
          <w:p>
            <w:pPr>
              <w:widowControl/>
              <w:wordWrap w:val="0"/>
              <w:spacing w:line="360" w:lineRule="exact"/>
              <w:jc w:val="center"/>
              <w:rPr>
                <w:rFonts w:ascii="宋体" w:hAnsi="宋体"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1</w:t>
            </w:r>
          </w:p>
        </w:tc>
        <w:tc>
          <w:tcPr>
            <w:tcW w:w="1423" w:type="dxa"/>
            <w:vAlign w:val="center"/>
          </w:tcPr>
          <w:p>
            <w:pPr>
              <w:widowControl/>
              <w:wordWrap w:val="0"/>
              <w:spacing w:line="360" w:lineRule="exact"/>
              <w:jc w:val="center"/>
              <w:rPr>
                <w:rFonts w:ascii="宋体" w:hAnsi="宋体" w:cs="宋体"/>
                <w:b/>
                <w:kern w:val="0"/>
                <w:szCs w:val="21"/>
              </w:rPr>
            </w:pPr>
            <w:r>
              <w:rPr>
                <w:rFonts w:hint="eastAsia" w:ascii="宋体" w:hAnsi="宋体" w:cs="宋体"/>
                <w:b/>
                <w:kern w:val="0"/>
                <w:szCs w:val="21"/>
              </w:rPr>
              <w:t>价格分</w:t>
            </w:r>
          </w:p>
        </w:tc>
        <w:tc>
          <w:tcPr>
            <w:tcW w:w="6364" w:type="dxa"/>
          </w:tcPr>
          <w:p>
            <w:pPr>
              <w:autoSpaceDE w:val="0"/>
              <w:autoSpaceDN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（1）本项目为专门面向小</w:t>
            </w:r>
            <w:r>
              <w:rPr>
                <w:rFonts w:hint="eastAsia" w:ascii="宋体" w:hAnsi="宋体" w:cs="宋体"/>
                <w:kern w:val="0"/>
                <w:sz w:val="24"/>
                <w:lang w:eastAsia="zh-CN"/>
              </w:rPr>
              <w:t>微</w:t>
            </w:r>
            <w:r>
              <w:rPr>
                <w:rFonts w:hint="eastAsia" w:ascii="宋体" w:hAnsi="宋体" w:eastAsia="宋体" w:cs="宋体"/>
                <w:kern w:val="0"/>
                <w:sz w:val="24"/>
              </w:rPr>
              <w:t>企业采购预留项目，根据《政府采购促进中小企业发展管理办法》（财库〔2020〕46号）、《财政部司法部关于政府采购支持监狱企业发展有关问题的通知》（财库〔2014〕68号）及《关于促进残疾人就业政府采购政策的通知》（财库〔2017〕141号）规定，不再对小微企业或监狱企业或残疾人福利性单位的最后报价进行政府采购政策性扣除。</w:t>
            </w:r>
          </w:p>
          <w:p>
            <w:pPr>
              <w:autoSpaceDE w:val="0"/>
              <w:autoSpaceDN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（2）以进入比较与评审环节的最低的最后报价为基准价，基准价得分为</w:t>
            </w:r>
            <w:r>
              <w:rPr>
                <w:rFonts w:hint="eastAsia" w:ascii="宋体" w:hAnsi="宋体" w:cs="宋体"/>
                <w:kern w:val="0"/>
                <w:sz w:val="24"/>
                <w:lang w:val="en-US" w:eastAsia="zh-CN"/>
              </w:rPr>
              <w:t>30</w:t>
            </w:r>
            <w:r>
              <w:rPr>
                <w:rFonts w:hint="eastAsia" w:ascii="宋体" w:hAnsi="宋体" w:eastAsia="宋体" w:cs="宋体"/>
                <w:kern w:val="0"/>
                <w:sz w:val="24"/>
              </w:rPr>
              <w:t>分。</w:t>
            </w:r>
          </w:p>
          <w:p>
            <w:pPr>
              <w:autoSpaceDE w:val="0"/>
              <w:autoSpaceDN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（3）价格分计算公式：</w:t>
            </w:r>
          </w:p>
          <w:p>
            <w:pPr>
              <w:autoSpaceDE w:val="0"/>
              <w:autoSpaceDN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某磋商供应商价格分=磋商基准价/某磋商供应商磋商评审价×</w:t>
            </w:r>
            <w:r>
              <w:rPr>
                <w:rFonts w:hint="eastAsia" w:ascii="宋体" w:hAnsi="宋体" w:eastAsia="宋体" w:cs="宋体"/>
                <w:kern w:val="0"/>
                <w:sz w:val="24"/>
                <w:lang w:val="en-US" w:eastAsia="zh-CN"/>
              </w:rPr>
              <w:t>30</w:t>
            </w:r>
            <w:r>
              <w:rPr>
                <w:rFonts w:hint="eastAsia" w:ascii="宋体" w:hAnsi="宋体" w:eastAsia="宋体" w:cs="宋体"/>
                <w:kern w:val="0"/>
                <w:sz w:val="24"/>
              </w:rPr>
              <w:t>分</w:t>
            </w:r>
          </w:p>
          <w:p>
            <w:pPr>
              <w:autoSpaceDE w:val="0"/>
              <w:autoSpaceDN w:val="0"/>
              <w:spacing w:line="500" w:lineRule="exact"/>
              <w:ind w:firstLine="480" w:firstLineChars="20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4</w:t>
            </w:r>
            <w:r>
              <w:rPr>
                <w:rFonts w:hint="eastAsia" w:ascii="宋体" w:hAnsi="宋体" w:eastAsia="宋体" w:cs="宋体"/>
                <w:kern w:val="0"/>
                <w:sz w:val="24"/>
                <w:lang w:eastAsia="zh-CN"/>
              </w:rPr>
              <w:t>）</w:t>
            </w:r>
            <w:r>
              <w:rPr>
                <w:rFonts w:hint="eastAsia" w:ascii="宋体" w:hAnsi="宋体" w:eastAsia="宋体" w:cs="宋体"/>
                <w:kern w:val="0"/>
                <w:sz w:val="24"/>
              </w:rPr>
              <w:t>报价属于</w:t>
            </w:r>
            <w:r>
              <w:rPr>
                <w:rFonts w:hint="eastAsia" w:ascii="宋体" w:hAnsi="宋体" w:eastAsia="宋体" w:cs="宋体"/>
                <w:kern w:val="0"/>
                <w:sz w:val="24"/>
                <w:lang w:eastAsia="zh-CN"/>
              </w:rPr>
              <w:t>磋商文件规定异常低价</w:t>
            </w:r>
            <w:r>
              <w:rPr>
                <w:rFonts w:hint="eastAsia" w:ascii="宋体" w:hAnsi="宋体" w:eastAsia="宋体" w:cs="宋体"/>
                <w:kern w:val="0"/>
                <w:sz w:val="24"/>
              </w:rPr>
              <w:t>规定情形之一，未能按要求提供书面说明或者提交相关证明材料，不能证明其报价合理性的</w:t>
            </w:r>
            <w:r>
              <w:rPr>
                <w:rFonts w:hint="eastAsia" w:ascii="宋体" w:hAnsi="宋体" w:eastAsia="宋体" w:cs="宋体"/>
                <w:kern w:val="0"/>
                <w:sz w:val="24"/>
                <w:lang w:eastAsia="zh-CN"/>
              </w:rPr>
              <w:t>，响应无效。</w:t>
            </w:r>
          </w:p>
        </w:tc>
        <w:tc>
          <w:tcPr>
            <w:tcW w:w="880" w:type="dxa"/>
            <w:vAlign w:val="center"/>
          </w:tcPr>
          <w:p>
            <w:pPr>
              <w:widowControl/>
              <w:wordWrap w:val="0"/>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kern w:val="0"/>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2</w:t>
            </w:r>
          </w:p>
        </w:tc>
        <w:tc>
          <w:tcPr>
            <w:tcW w:w="1423" w:type="dxa"/>
            <w:vAlign w:val="center"/>
          </w:tcPr>
          <w:p>
            <w:pPr>
              <w:widowControl/>
              <w:wordWrap w:val="0"/>
              <w:spacing w:line="360" w:lineRule="exact"/>
              <w:jc w:val="center"/>
              <w:rPr>
                <w:rFonts w:ascii="宋体" w:hAnsi="宋体" w:cs="宋体"/>
                <w:b/>
                <w:kern w:val="0"/>
                <w:szCs w:val="21"/>
              </w:rPr>
            </w:pPr>
            <w:r>
              <w:rPr>
                <w:rFonts w:hint="eastAsia" w:ascii="宋体" w:hAnsi="宋体" w:cs="宋体"/>
                <w:b/>
                <w:kern w:val="0"/>
                <w:szCs w:val="21"/>
              </w:rPr>
              <w:t>技术分</w:t>
            </w:r>
          </w:p>
        </w:tc>
        <w:tc>
          <w:tcPr>
            <w:tcW w:w="7244" w:type="dxa"/>
            <w:gridSpan w:val="2"/>
          </w:tcPr>
          <w:p>
            <w:pPr>
              <w:widowControl/>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kern w:val="0"/>
                <w:sz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2.1</w:t>
            </w:r>
          </w:p>
        </w:tc>
        <w:tc>
          <w:tcPr>
            <w:tcW w:w="1423" w:type="dxa"/>
            <w:vAlign w:val="center"/>
          </w:tcPr>
          <w:p>
            <w:pPr>
              <w:wordWrap w:val="0"/>
              <w:spacing w:line="360" w:lineRule="exact"/>
              <w:jc w:val="center"/>
              <w:rPr>
                <w:rFonts w:ascii="宋体" w:hAnsi="宋体" w:cs="宋体"/>
                <w:b/>
                <w:kern w:val="0"/>
                <w:szCs w:val="21"/>
              </w:rPr>
            </w:pPr>
            <w:r>
              <w:rPr>
                <w:rFonts w:hint="eastAsia" w:ascii="宋体" w:hAnsi="宋体" w:eastAsia="宋体" w:cs="宋体"/>
                <w:b/>
                <w:kern w:val="0"/>
                <w:szCs w:val="21"/>
              </w:rPr>
              <w:t>管理服务分</w:t>
            </w:r>
          </w:p>
        </w:tc>
        <w:tc>
          <w:tcPr>
            <w:tcW w:w="6364" w:type="dxa"/>
            <w:vAlign w:val="center"/>
          </w:tcPr>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结合项目的实际情况完善拟采取的管理方式（包括：服务总体设想、管理目标、服务宗旨、重点关键问题、运作流程等）、工作计划（包括：工作流程各项管理维护服务项目和环节所需的长远计划和短期安排）和物资装备情况（包括：器械、交通工具以及通讯、安全防范装备以及办公用品等）、安保措施（治安、消防、车辆管理）、保洁措施、绿化养护措施、设备设施维护措施、设备故障处置措施。</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一档（4分）：工作方案不够完善，管理服务工作目标不够明确，组织领导、责任措施、存在不符合工作要求。</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二档（8分）：工作方案较完善，计划较详细、有保证，管理服务工作目标明确，组织领导、责任措施等符合工作要求，方案架构计划较详细、思路新颖，可操作性较强，基本适用本项目用户需求。</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三档（1</w:t>
            </w:r>
            <w:r>
              <w:rPr>
                <w:rFonts w:hint="eastAsia" w:ascii="宋体" w:hAnsi="宋体" w:eastAsia="宋体" w:cs="宋体"/>
                <w:kern w:val="0"/>
                <w:sz w:val="24"/>
                <w:lang w:val="en-US" w:eastAsia="zh-CN"/>
              </w:rPr>
              <w:t>1</w:t>
            </w:r>
            <w:r>
              <w:rPr>
                <w:rFonts w:hint="eastAsia" w:ascii="宋体" w:hAnsi="宋体" w:eastAsia="宋体" w:cs="宋体"/>
                <w:kern w:val="0"/>
                <w:sz w:val="24"/>
              </w:rPr>
              <w:t>分）：在二档基础上，工作方案详细、有针对性、有可靠保证，有适合本项目特点的管理方案、管理具体措施、消防管理方案、治安管理方案、公共环境管理方案、垃圾分类管理方案、绿化养护管理方案、设备设施维护服务方案等，且与项目实际需求契合度高，针对性，完整详细，可操作性强，完全适用本项目用户需求。</w:t>
            </w:r>
          </w:p>
          <w:p>
            <w:pPr>
              <w:widowControl/>
              <w:wordWrap w:val="0"/>
              <w:spacing w:line="360" w:lineRule="exact"/>
              <w:jc w:val="left"/>
              <w:rPr>
                <w:rFonts w:hint="eastAsia" w:ascii="宋体" w:hAnsi="宋体" w:eastAsia="宋体" w:cs="宋体"/>
                <w:kern w:val="0"/>
                <w:sz w:val="24"/>
              </w:rPr>
            </w:pP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kern w:val="0"/>
                <w:sz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2.2</w:t>
            </w:r>
          </w:p>
        </w:tc>
        <w:tc>
          <w:tcPr>
            <w:tcW w:w="1423" w:type="dxa"/>
            <w:vAlign w:val="center"/>
          </w:tcPr>
          <w:p>
            <w:pPr>
              <w:wordWrap w:val="0"/>
              <w:adjustRightInd w:val="0"/>
              <w:spacing w:line="360" w:lineRule="exact"/>
              <w:jc w:val="center"/>
              <w:textAlignment w:val="baseline"/>
              <w:rPr>
                <w:rFonts w:ascii="宋体" w:hAnsi="宋体" w:cs="宋体"/>
                <w:b/>
                <w:bCs/>
                <w:kern w:val="0"/>
                <w:szCs w:val="21"/>
              </w:rPr>
            </w:pPr>
            <w:r>
              <w:rPr>
                <w:rFonts w:hint="eastAsia" w:ascii="宋体" w:hAnsi="宋体" w:eastAsia="宋体" w:cs="宋体"/>
                <w:b/>
                <w:kern w:val="0"/>
                <w:szCs w:val="21"/>
              </w:rPr>
              <w:t>投入人员配置及培训方案分</w:t>
            </w:r>
          </w:p>
        </w:tc>
        <w:tc>
          <w:tcPr>
            <w:tcW w:w="6364" w:type="dxa"/>
            <w:vAlign w:val="center"/>
          </w:tcPr>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 1 \* GB3 </w:instrText>
            </w:r>
            <w:r>
              <w:rPr>
                <w:rFonts w:hint="eastAsia" w:ascii="宋体" w:hAnsi="宋体" w:eastAsia="宋体" w:cs="宋体"/>
                <w:kern w:val="0"/>
                <w:sz w:val="24"/>
              </w:rPr>
              <w:fldChar w:fldCharType="separate"/>
            </w:r>
            <w:r>
              <w:rPr>
                <w:rFonts w:hint="eastAsia" w:ascii="宋体" w:hAnsi="宋体" w:eastAsia="宋体" w:cs="宋体"/>
                <w:kern w:val="0"/>
                <w:sz w:val="24"/>
              </w:rPr>
              <w:t>①</w:t>
            </w:r>
            <w:r>
              <w:rPr>
                <w:rFonts w:hint="eastAsia" w:ascii="宋体" w:hAnsi="宋体" w:eastAsia="宋体" w:cs="宋体"/>
                <w:kern w:val="0"/>
                <w:sz w:val="24"/>
              </w:rPr>
              <w:fldChar w:fldCharType="end"/>
            </w:r>
            <w:r>
              <w:rPr>
                <w:rFonts w:hint="eastAsia" w:ascii="宋体" w:hAnsi="宋体" w:eastAsia="宋体" w:cs="宋体"/>
                <w:kern w:val="0"/>
                <w:sz w:val="24"/>
              </w:rPr>
              <w:t>方案分：不提供相关内容或方案得0分</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一档（4分）：投入人员配置基本满足要求；有培训方案，内容较简单。</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w:t>
            </w:r>
            <w:r>
              <w:rPr>
                <w:rFonts w:hint="eastAsia" w:ascii="宋体" w:hAnsi="宋体" w:eastAsia="宋体" w:cs="宋体"/>
                <w:kern w:val="0"/>
                <w:sz w:val="24"/>
                <w:lang w:val="en-US" w:eastAsia="zh-CN"/>
              </w:rPr>
              <w:t>6</w:t>
            </w:r>
            <w:r>
              <w:rPr>
                <w:rFonts w:hint="eastAsia" w:ascii="宋体" w:hAnsi="宋体" w:eastAsia="宋体" w:cs="宋体"/>
                <w:kern w:val="0"/>
                <w:sz w:val="24"/>
              </w:rPr>
              <w:t>分）：投入人员配置基本满足要求、各类人员数量，文化程度和专业素质、各岗人员的配置合理；有具体的培训方案，内容详细可行，且至少包含：对各类人员的培训计划（包含但不限于详细的培训流程），考核方式，言行规范，仪表仪容，公众形象，基本技能。</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w:t>
            </w:r>
            <w:r>
              <w:rPr>
                <w:rFonts w:hint="eastAsia" w:ascii="宋体" w:hAnsi="宋体" w:eastAsia="宋体" w:cs="宋体"/>
                <w:kern w:val="0"/>
                <w:sz w:val="24"/>
                <w:lang w:val="en-US" w:eastAsia="zh-CN"/>
              </w:rPr>
              <w:t>8</w:t>
            </w:r>
            <w:r>
              <w:rPr>
                <w:rFonts w:hint="eastAsia" w:ascii="宋体" w:hAnsi="宋体" w:eastAsia="宋体" w:cs="宋体"/>
                <w:kern w:val="0"/>
                <w:sz w:val="24"/>
              </w:rPr>
              <w:t>分）：投入人员配置方案详细、全面，可行，针对性、可操作性强。各类人员数量，文化程度和专业素质，各岗人关的配置合理，拟投入的服务人员专业资格证较完备。有考核录用制度、淘汰制度，信息反馈制度等。培训方案内容详细可行，科学合理，且至少包含：对各类人员的培训计划（包含但不限于详细的培训流程），考核方式，言行规范，仪表仪容，公众形象，基本技能</w:t>
            </w:r>
            <w:r>
              <w:rPr>
                <w:rFonts w:hint="eastAsia" w:ascii="宋体" w:hAnsi="宋体" w:eastAsia="宋体" w:cs="宋体"/>
                <w:kern w:val="0"/>
                <w:sz w:val="24"/>
                <w:lang w:eastAsia="zh-CN"/>
              </w:rPr>
              <w:t>，</w:t>
            </w:r>
            <w:r>
              <w:rPr>
                <w:rFonts w:hint="eastAsia" w:ascii="宋体" w:hAnsi="宋体" w:eastAsia="宋体" w:cs="宋体"/>
                <w:kern w:val="0"/>
                <w:sz w:val="24"/>
              </w:rPr>
              <w:t>切实可行的培训方案（包含但不限于针对本项目每个岗位的培训手册）。内容详细完善，考虑情况全面，处理措施符合实际情况。</w:t>
            </w:r>
          </w:p>
          <w:p>
            <w:pPr>
              <w:widowControl/>
              <w:wordWrap w:val="0"/>
              <w:spacing w:line="360" w:lineRule="exact"/>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②</w:t>
            </w:r>
            <w:r>
              <w:rPr>
                <w:rFonts w:hint="eastAsia" w:ascii="宋体" w:hAnsi="宋体" w:eastAsia="宋体" w:cs="宋体"/>
                <w:kern w:val="0"/>
                <w:sz w:val="24"/>
                <w:lang w:eastAsia="zh-CN"/>
              </w:rPr>
              <w:t>拟投入的管理人员具有全国物业管理企业经理证，另加</w:t>
            </w:r>
            <w:r>
              <w:rPr>
                <w:rFonts w:hint="eastAsia" w:ascii="宋体" w:hAnsi="宋体" w:eastAsia="宋体" w:cs="宋体"/>
                <w:kern w:val="0"/>
                <w:sz w:val="24"/>
                <w:lang w:val="en-US" w:eastAsia="zh-CN"/>
              </w:rPr>
              <w:t>2分。</w:t>
            </w:r>
          </w:p>
          <w:p>
            <w:pPr>
              <w:widowControl/>
              <w:wordWrap w:val="0"/>
              <w:spacing w:line="360" w:lineRule="exact"/>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③持有消防五小证（海上求生、急救、消防、救生艇筏操纵、直升机遇险水下逃生），每有1人得</w:t>
            </w:r>
            <w:r>
              <w:rPr>
                <w:rFonts w:hint="eastAsia" w:ascii="宋体" w:hAnsi="宋体" w:eastAsia="宋体" w:cs="宋体"/>
                <w:kern w:val="0"/>
                <w:sz w:val="24"/>
                <w:lang w:val="en-US" w:eastAsia="zh-CN"/>
              </w:rPr>
              <w:t>1</w:t>
            </w:r>
            <w:r>
              <w:rPr>
                <w:rFonts w:hint="eastAsia" w:ascii="宋体" w:hAnsi="宋体" w:eastAsia="宋体" w:cs="宋体"/>
                <w:kern w:val="0"/>
                <w:sz w:val="24"/>
              </w:rPr>
              <w:t>分，本项最多得</w:t>
            </w:r>
            <w:r>
              <w:rPr>
                <w:rFonts w:hint="eastAsia" w:ascii="宋体" w:hAnsi="宋体" w:eastAsia="宋体" w:cs="宋体"/>
                <w:kern w:val="0"/>
                <w:sz w:val="24"/>
                <w:lang w:val="en-US" w:eastAsia="zh-CN"/>
              </w:rPr>
              <w:t>2</w:t>
            </w:r>
            <w:r>
              <w:rPr>
                <w:rFonts w:hint="eastAsia" w:ascii="宋体" w:hAnsi="宋体" w:eastAsia="宋体" w:cs="宋体"/>
                <w:kern w:val="0"/>
                <w:sz w:val="24"/>
              </w:rPr>
              <w:t>分</w:t>
            </w:r>
            <w:r>
              <w:rPr>
                <w:rFonts w:hint="eastAsia" w:ascii="宋体" w:hAnsi="宋体" w:eastAsia="宋体" w:cs="宋体"/>
                <w:kern w:val="0"/>
                <w:sz w:val="24"/>
                <w:lang w:eastAsia="zh-CN"/>
              </w:rPr>
              <w:t>。</w:t>
            </w:r>
          </w:p>
          <w:p>
            <w:pPr>
              <w:widowControl/>
              <w:wordWrap w:val="0"/>
              <w:spacing w:line="36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④持有消防证书，每有1人得</w:t>
            </w:r>
            <w:r>
              <w:rPr>
                <w:rFonts w:hint="eastAsia" w:ascii="宋体" w:hAnsi="宋体" w:eastAsia="宋体" w:cs="宋体"/>
                <w:kern w:val="0"/>
                <w:sz w:val="24"/>
                <w:lang w:val="en-US" w:eastAsia="zh-CN"/>
              </w:rPr>
              <w:t>2</w:t>
            </w:r>
            <w:r>
              <w:rPr>
                <w:rFonts w:hint="eastAsia" w:ascii="宋体" w:hAnsi="宋体" w:eastAsia="宋体" w:cs="宋体"/>
                <w:kern w:val="0"/>
                <w:sz w:val="24"/>
              </w:rPr>
              <w:t>分，本项最多得</w:t>
            </w:r>
            <w:r>
              <w:rPr>
                <w:rFonts w:hint="eastAsia" w:ascii="宋体" w:hAnsi="宋体" w:eastAsia="宋体" w:cs="宋体"/>
                <w:kern w:val="0"/>
                <w:sz w:val="24"/>
                <w:lang w:val="en-US" w:eastAsia="zh-CN"/>
              </w:rPr>
              <w:t>2</w:t>
            </w:r>
            <w:r>
              <w:rPr>
                <w:rFonts w:hint="eastAsia" w:ascii="宋体" w:hAnsi="宋体" w:eastAsia="宋体" w:cs="宋体"/>
                <w:kern w:val="0"/>
                <w:sz w:val="24"/>
              </w:rPr>
              <w:t>分</w:t>
            </w:r>
            <w:r>
              <w:rPr>
                <w:rFonts w:hint="eastAsia" w:ascii="宋体" w:hAnsi="宋体" w:eastAsia="宋体" w:cs="宋体"/>
                <w:kern w:val="0"/>
                <w:sz w:val="24"/>
                <w:lang w:eastAsia="zh-CN"/>
              </w:rPr>
              <w:t>。</w:t>
            </w:r>
          </w:p>
          <w:p>
            <w:pPr>
              <w:widowControl/>
              <w:wordWrap w:val="0"/>
              <w:spacing w:line="360" w:lineRule="exact"/>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eastAsia="zh-CN"/>
              </w:rPr>
              <w:t>注</w:t>
            </w:r>
            <w:r>
              <w:rPr>
                <w:rFonts w:hint="eastAsia" w:ascii="宋体" w:hAnsi="宋体" w:eastAsia="宋体" w:cs="宋体"/>
                <w:kern w:val="0"/>
                <w:sz w:val="24"/>
                <w:lang w:val="en-US" w:eastAsia="zh-CN"/>
              </w:rPr>
              <w:t>：以上提供的证书复印件并加盖公章。</w:t>
            </w:r>
          </w:p>
          <w:p>
            <w:pPr>
              <w:widowControl/>
              <w:wordWrap w:val="0"/>
              <w:spacing w:line="360" w:lineRule="exact"/>
              <w:jc w:val="left"/>
              <w:rPr>
                <w:rFonts w:hint="eastAsia" w:ascii="宋体" w:hAnsi="宋体" w:eastAsia="宋体" w:cs="宋体"/>
                <w:kern w:val="0"/>
                <w:sz w:val="24"/>
              </w:rPr>
            </w:pP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kern w:val="0"/>
                <w:sz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1423" w:type="dxa"/>
            <w:vAlign w:val="center"/>
          </w:tcPr>
          <w:p>
            <w:pPr>
              <w:wordWrap w:val="0"/>
              <w:adjustRightInd w:val="0"/>
              <w:spacing w:line="360" w:lineRule="exact"/>
              <w:jc w:val="center"/>
              <w:textAlignment w:val="baseline"/>
              <w:rPr>
                <w:rFonts w:ascii="宋体" w:hAnsi="宋体" w:cs="宋体"/>
                <w:b/>
                <w:bCs/>
                <w:szCs w:val="21"/>
              </w:rPr>
            </w:pPr>
            <w:r>
              <w:rPr>
                <w:rFonts w:hint="eastAsia" w:ascii="宋体" w:hAnsi="宋体" w:eastAsia="宋体" w:cs="宋体"/>
                <w:b/>
                <w:kern w:val="0"/>
                <w:szCs w:val="21"/>
              </w:rPr>
              <w:t>应急事件处理方案分</w:t>
            </w:r>
          </w:p>
        </w:tc>
        <w:tc>
          <w:tcPr>
            <w:tcW w:w="6364" w:type="dxa"/>
            <w:vAlign w:val="center"/>
          </w:tcPr>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不提供相关内容或方案得0分</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一档（4分）：提供方案有不适用本项目用户需求的地方，针对性不强，突发事件应急处理能力和资源调配能力较差；</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w:t>
            </w:r>
            <w:r>
              <w:rPr>
                <w:rFonts w:hint="eastAsia" w:ascii="宋体" w:hAnsi="宋体" w:eastAsia="宋体" w:cs="宋体"/>
                <w:kern w:val="0"/>
                <w:sz w:val="24"/>
                <w:lang w:val="en-US" w:eastAsia="zh-CN"/>
              </w:rPr>
              <w:t>8</w:t>
            </w:r>
            <w:r>
              <w:rPr>
                <w:rFonts w:hint="eastAsia" w:ascii="宋体" w:hAnsi="宋体" w:eastAsia="宋体" w:cs="宋体"/>
                <w:kern w:val="0"/>
                <w:sz w:val="24"/>
              </w:rPr>
              <w:t>分）：提供方案基本适用本项目用户需求，方案架构完整，可行方案科学合理，具备突发事件应急处理和资源调配的人力物力，能较好的满足项目服务需求；</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w:t>
            </w:r>
            <w:r>
              <w:rPr>
                <w:rFonts w:hint="eastAsia" w:ascii="宋体" w:hAnsi="宋体" w:eastAsia="宋体" w:cs="宋体"/>
                <w:kern w:val="0"/>
                <w:sz w:val="24"/>
                <w:lang w:val="en-US" w:eastAsia="zh-CN"/>
              </w:rPr>
              <w:t>11</w:t>
            </w:r>
            <w:r>
              <w:rPr>
                <w:rFonts w:hint="eastAsia" w:ascii="宋体" w:hAnsi="宋体" w:eastAsia="宋体" w:cs="宋体"/>
                <w:kern w:val="0"/>
                <w:sz w:val="24"/>
              </w:rPr>
              <w:t>分）：提供方案完全适用本项目用户需求，完整详细，可行性强。方案科学合理，突发事件应急处理和资源调配的人力物力充足，人员科学的安排、设备、响应时间等方面能高效高质的应对突发事件，能结合所属区域的实际情况作出有针对性的方案，能充分满足项目服务需求。</w:t>
            </w:r>
          </w:p>
          <w:p>
            <w:pPr>
              <w:widowControl/>
              <w:wordWrap w:val="0"/>
              <w:spacing w:line="360" w:lineRule="exact"/>
              <w:jc w:val="left"/>
              <w:rPr>
                <w:rFonts w:hint="eastAsia" w:ascii="宋体" w:hAnsi="宋体" w:eastAsia="宋体" w:cs="宋体"/>
                <w:kern w:val="0"/>
                <w:sz w:val="24"/>
              </w:rPr>
            </w:pPr>
          </w:p>
        </w:tc>
        <w:tc>
          <w:tcPr>
            <w:tcW w:w="880" w:type="dxa"/>
            <w:vAlign w:val="center"/>
          </w:tcPr>
          <w:p>
            <w:pPr>
              <w:wordWrap w:val="0"/>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hint="default" w:ascii="宋体" w:hAnsi="宋体" w:eastAsia="宋体" w:cs="宋体"/>
                <w:kern w:val="0"/>
                <w:szCs w:val="21"/>
                <w:lang w:val="en-US" w:eastAsia="zh-CN"/>
              </w:rPr>
            </w:pPr>
            <w:r>
              <w:rPr>
                <w:rFonts w:hint="eastAsia" w:ascii="宋体" w:hAnsi="宋体" w:cs="宋体"/>
                <w:kern w:val="0"/>
                <w:szCs w:val="21"/>
                <w:lang w:val="en-US" w:eastAsia="zh-CN"/>
              </w:rPr>
              <w:t>2.4</w:t>
            </w:r>
          </w:p>
        </w:tc>
        <w:tc>
          <w:tcPr>
            <w:tcW w:w="1423" w:type="dxa"/>
            <w:vAlign w:val="center"/>
          </w:tcPr>
          <w:p>
            <w:pPr>
              <w:wordWrap w:val="0"/>
              <w:adjustRightInd w:val="0"/>
              <w:spacing w:line="360" w:lineRule="exact"/>
              <w:jc w:val="center"/>
              <w:textAlignment w:val="baseline"/>
              <w:rPr>
                <w:rFonts w:hint="eastAsia" w:ascii="仿宋_GB2312" w:hAnsi="仿宋_GB2312" w:eastAsia="仿宋_GB2312" w:cs="仿宋_GB2312"/>
                <w:b/>
                <w:bCs/>
                <w:sz w:val="32"/>
                <w:szCs w:val="32"/>
              </w:rPr>
            </w:pPr>
            <w:r>
              <w:rPr>
                <w:rFonts w:hint="eastAsia" w:ascii="宋体" w:hAnsi="宋体" w:eastAsia="宋体" w:cs="宋体"/>
                <w:b/>
                <w:kern w:val="0"/>
                <w:szCs w:val="21"/>
              </w:rPr>
              <w:t>管理规章制度与档案管理制度分</w:t>
            </w:r>
          </w:p>
        </w:tc>
        <w:tc>
          <w:tcPr>
            <w:tcW w:w="6364" w:type="dxa"/>
            <w:vAlign w:val="center"/>
          </w:tcPr>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不提供相关内容或方案得0分</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一档（4分）：建立有管理规章制度和档案管理制度，但内容简单，且至少包含①人员管理制度，内部管理架构设置；②员工制度及管理机制。</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w:t>
            </w:r>
            <w:r>
              <w:rPr>
                <w:rFonts w:hint="eastAsia" w:ascii="宋体" w:hAnsi="宋体" w:eastAsia="宋体" w:cs="宋体"/>
                <w:kern w:val="0"/>
                <w:sz w:val="24"/>
                <w:lang w:val="en-US" w:eastAsia="zh-CN"/>
              </w:rPr>
              <w:t>8</w:t>
            </w:r>
            <w:r>
              <w:rPr>
                <w:rFonts w:hint="eastAsia" w:ascii="宋体" w:hAnsi="宋体" w:eastAsia="宋体" w:cs="宋体"/>
                <w:kern w:val="0"/>
                <w:sz w:val="24"/>
              </w:rPr>
              <w:t>分）：管理规章制度各项目内容齐全，内容较详细，操作性较强，能基本满足项目服务需求，且至少包含①人员管理制度，内部管理架构设置；②员工制度及管理机制；③档案管理制度；④安全管理制度；⑤岗位责任制及监督机制。</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w:t>
            </w:r>
            <w:r>
              <w:rPr>
                <w:rFonts w:hint="eastAsia" w:ascii="宋体" w:hAnsi="宋体" w:eastAsia="宋体" w:cs="宋体"/>
                <w:kern w:val="0"/>
                <w:sz w:val="24"/>
                <w:lang w:val="en-US" w:eastAsia="zh-CN"/>
              </w:rPr>
              <w:t>11</w:t>
            </w:r>
            <w:r>
              <w:rPr>
                <w:rFonts w:hint="eastAsia" w:ascii="宋体" w:hAnsi="宋体" w:eastAsia="宋体" w:cs="宋体"/>
                <w:kern w:val="0"/>
                <w:sz w:val="24"/>
              </w:rPr>
              <w:t>分）：管理规章制度各项目内容齐全，陈述详细，操作性强且科学合理，有针对性，能完全满足项目服务需求，且至少包含①人员管理制度，内部管理架构设置；②员工制度及管理机制；③档案管理制度；④安全管理制度；⑤岗位责任制及监督机制；⑥质量管理制度；⑦信息反馈处理机制及激励机制</w:t>
            </w:r>
            <w:r>
              <w:rPr>
                <w:rFonts w:hint="eastAsia" w:ascii="宋体" w:hAnsi="宋体" w:eastAsia="宋体" w:cs="宋体"/>
                <w:kern w:val="0"/>
                <w:sz w:val="24"/>
                <w:lang w:val="zh-CN"/>
              </w:rPr>
              <w:t>。</w:t>
            </w:r>
          </w:p>
          <w:p>
            <w:pPr>
              <w:widowControl/>
              <w:wordWrap w:val="0"/>
              <w:spacing w:line="360" w:lineRule="exact"/>
              <w:jc w:val="left"/>
              <w:rPr>
                <w:rFonts w:hint="eastAsia" w:ascii="宋体" w:hAnsi="宋体" w:eastAsia="宋体" w:cs="宋体"/>
                <w:kern w:val="0"/>
                <w:sz w:val="24"/>
              </w:rPr>
            </w:pPr>
          </w:p>
        </w:tc>
        <w:tc>
          <w:tcPr>
            <w:tcW w:w="880" w:type="dxa"/>
            <w:vAlign w:val="center"/>
          </w:tcPr>
          <w:p>
            <w:pPr>
              <w:wordWrap w:val="0"/>
              <w:spacing w:line="360" w:lineRule="exact"/>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eastAsia="宋体" w:cs="宋体"/>
                <w:kern w:val="0"/>
                <w:sz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hint="default" w:ascii="宋体" w:hAnsi="宋体" w:eastAsia="宋体" w:cs="宋体"/>
                <w:kern w:val="0"/>
                <w:szCs w:val="21"/>
                <w:lang w:val="en-US" w:eastAsia="zh-CN"/>
              </w:rPr>
            </w:pPr>
            <w:r>
              <w:rPr>
                <w:rFonts w:hint="eastAsia" w:ascii="宋体" w:hAnsi="宋体" w:cs="宋体"/>
                <w:kern w:val="0"/>
                <w:szCs w:val="21"/>
                <w:lang w:val="en-US" w:eastAsia="zh-CN"/>
              </w:rPr>
              <w:t>2.5</w:t>
            </w:r>
          </w:p>
        </w:tc>
        <w:tc>
          <w:tcPr>
            <w:tcW w:w="1423" w:type="dxa"/>
            <w:vAlign w:val="center"/>
          </w:tcPr>
          <w:p>
            <w:pPr>
              <w:wordWrap w:val="0"/>
              <w:adjustRightInd w:val="0"/>
              <w:spacing w:line="360" w:lineRule="exact"/>
              <w:jc w:val="center"/>
              <w:textAlignment w:val="baseline"/>
              <w:rPr>
                <w:rFonts w:hint="eastAsia" w:ascii="仿宋_GB2312" w:hAnsi="仿宋_GB2312" w:eastAsia="仿宋_GB2312" w:cs="仿宋_GB2312"/>
                <w:b/>
                <w:bCs/>
                <w:sz w:val="32"/>
                <w:szCs w:val="32"/>
              </w:rPr>
            </w:pPr>
            <w:r>
              <w:rPr>
                <w:rFonts w:hint="eastAsia" w:ascii="宋体" w:hAnsi="宋体" w:eastAsia="宋体" w:cs="宋体"/>
                <w:b/>
                <w:kern w:val="0"/>
                <w:szCs w:val="21"/>
              </w:rPr>
              <w:t>服务承诺分</w:t>
            </w:r>
          </w:p>
        </w:tc>
        <w:tc>
          <w:tcPr>
            <w:tcW w:w="6364" w:type="dxa"/>
            <w:vAlign w:val="center"/>
          </w:tcPr>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不提供相关内容或方案得0分</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w:t>
            </w:r>
            <w:r>
              <w:rPr>
                <w:rFonts w:hint="eastAsia" w:ascii="宋体" w:hAnsi="宋体" w:eastAsia="宋体" w:cs="宋体"/>
                <w:kern w:val="0"/>
                <w:sz w:val="24"/>
                <w:lang w:val="zh-CN"/>
              </w:rPr>
              <w:t>针对本项目提供的服务承诺，包括按时足额发放员工工资的承诺、对责任事故处理的承诺等内容基本齐全，</w:t>
            </w:r>
            <w:r>
              <w:rPr>
                <w:rFonts w:hint="eastAsia" w:ascii="宋体" w:hAnsi="宋体" w:eastAsia="宋体" w:cs="宋体"/>
                <w:kern w:val="0"/>
                <w:sz w:val="24"/>
              </w:rPr>
              <w:t>基本满足采购单位要求，方案基本可行。</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w:t>
            </w:r>
            <w:r>
              <w:rPr>
                <w:rFonts w:hint="eastAsia" w:ascii="宋体" w:hAnsi="宋体" w:eastAsia="宋体" w:cs="宋体"/>
                <w:kern w:val="0"/>
                <w:sz w:val="24"/>
                <w:lang w:val="en-US" w:eastAsia="zh-CN"/>
              </w:rPr>
              <w:t>8</w:t>
            </w:r>
            <w:r>
              <w:rPr>
                <w:rFonts w:hint="eastAsia" w:ascii="宋体" w:hAnsi="宋体" w:eastAsia="宋体" w:cs="宋体"/>
                <w:kern w:val="0"/>
                <w:sz w:val="24"/>
              </w:rPr>
              <w:t>分）：</w:t>
            </w:r>
            <w:r>
              <w:rPr>
                <w:rFonts w:hint="eastAsia" w:ascii="宋体" w:hAnsi="宋体" w:eastAsia="宋体" w:cs="宋体"/>
                <w:kern w:val="0"/>
                <w:sz w:val="24"/>
                <w:lang w:val="zh-CN"/>
              </w:rPr>
              <w:t>针对本项目提供的服务承诺，包括按时足额发放员工工资的承诺、对责任事故处理的承诺、服务质量及标准的承诺等内容详细，有操作性及针对性</w:t>
            </w:r>
            <w:r>
              <w:rPr>
                <w:rFonts w:hint="eastAsia" w:ascii="宋体" w:hAnsi="宋体" w:eastAsia="宋体" w:cs="宋体"/>
                <w:kern w:val="0"/>
                <w:sz w:val="24"/>
              </w:rPr>
              <w:t>，服务承诺的水平较高，切实可行，完全满足采购单位的要求。</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w:t>
            </w:r>
            <w:r>
              <w:rPr>
                <w:rFonts w:hint="eastAsia" w:ascii="宋体" w:hAnsi="宋体" w:eastAsia="宋体" w:cs="宋体"/>
                <w:kern w:val="0"/>
                <w:sz w:val="24"/>
                <w:lang w:val="en-US" w:eastAsia="zh-CN"/>
              </w:rPr>
              <w:t>11</w:t>
            </w:r>
            <w:r>
              <w:rPr>
                <w:rFonts w:hint="eastAsia" w:ascii="宋体" w:hAnsi="宋体" w:eastAsia="宋体" w:cs="宋体"/>
                <w:kern w:val="0"/>
                <w:sz w:val="24"/>
              </w:rPr>
              <w:t>分）：</w:t>
            </w:r>
            <w:r>
              <w:rPr>
                <w:rFonts w:hint="eastAsia" w:ascii="宋体" w:hAnsi="宋体" w:eastAsia="宋体" w:cs="宋体"/>
                <w:kern w:val="0"/>
                <w:sz w:val="24"/>
                <w:lang w:val="zh-CN"/>
              </w:rPr>
              <w:t>针对本项目提供的服务承诺，包括按时足额发放员工工资的承诺、对责任事故处理的承诺、服务质量及标准的承诺、人力资源保障及人员配置承诺等，内容详细，操作性强及针对性且科学合理</w:t>
            </w:r>
            <w:r>
              <w:rPr>
                <w:rFonts w:hint="eastAsia" w:ascii="宋体" w:hAnsi="宋体" w:eastAsia="宋体" w:cs="宋体"/>
                <w:kern w:val="0"/>
                <w:sz w:val="24"/>
              </w:rPr>
              <w:t>，服务承诺的水平高，实现服务承诺有具体保障措施，有具体材料支撑，有一定针对性，优于采购单位的要求。</w:t>
            </w:r>
          </w:p>
          <w:p>
            <w:pPr>
              <w:widowControl/>
              <w:wordWrap w:val="0"/>
              <w:spacing w:line="360" w:lineRule="exact"/>
              <w:jc w:val="left"/>
              <w:rPr>
                <w:rFonts w:hint="eastAsia" w:ascii="宋体" w:hAnsi="宋体" w:eastAsia="宋体" w:cs="宋体"/>
                <w:kern w:val="0"/>
                <w:sz w:val="24"/>
              </w:rPr>
            </w:pPr>
          </w:p>
        </w:tc>
        <w:tc>
          <w:tcPr>
            <w:tcW w:w="880" w:type="dxa"/>
            <w:vAlign w:val="center"/>
          </w:tcPr>
          <w:p>
            <w:pPr>
              <w:wordWrap w:val="0"/>
              <w:spacing w:line="360" w:lineRule="exact"/>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eastAsia="宋体" w:cs="宋体"/>
                <w:kern w:val="0"/>
                <w:sz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3</w:t>
            </w:r>
          </w:p>
        </w:tc>
        <w:tc>
          <w:tcPr>
            <w:tcW w:w="1423" w:type="dxa"/>
            <w:vAlign w:val="center"/>
          </w:tcPr>
          <w:p>
            <w:pPr>
              <w:widowControl/>
              <w:wordWrap w:val="0"/>
              <w:spacing w:line="360" w:lineRule="exact"/>
              <w:jc w:val="center"/>
              <w:rPr>
                <w:rFonts w:ascii="宋体" w:hAnsi="宋体" w:cs="宋体"/>
                <w:b/>
                <w:szCs w:val="21"/>
              </w:rPr>
            </w:pPr>
            <w:r>
              <w:rPr>
                <w:rFonts w:hint="eastAsia" w:ascii="宋体" w:hAnsi="宋体" w:cs="宋体"/>
                <w:b/>
                <w:szCs w:val="21"/>
              </w:rPr>
              <w:t>商务分</w:t>
            </w:r>
          </w:p>
        </w:tc>
        <w:tc>
          <w:tcPr>
            <w:tcW w:w="7244" w:type="dxa"/>
            <w:gridSpan w:val="2"/>
            <w:vAlign w:val="center"/>
          </w:tcPr>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3.1</w:t>
            </w:r>
          </w:p>
        </w:tc>
        <w:tc>
          <w:tcPr>
            <w:tcW w:w="1423" w:type="dxa"/>
            <w:vAlign w:val="center"/>
          </w:tcPr>
          <w:p>
            <w:pPr>
              <w:wordWrap w:val="0"/>
              <w:adjustRightInd w:val="0"/>
              <w:spacing w:line="360" w:lineRule="exact"/>
              <w:jc w:val="center"/>
              <w:textAlignment w:val="baseline"/>
              <w:rPr>
                <w:rFonts w:ascii="宋体" w:hAnsi="宋体" w:cs="宋体"/>
                <w:b/>
                <w:kern w:val="0"/>
                <w:szCs w:val="21"/>
              </w:rPr>
            </w:pPr>
            <w:r>
              <w:rPr>
                <w:rFonts w:hint="eastAsia" w:ascii="宋体" w:hAnsi="宋体" w:eastAsia="宋体" w:cs="宋体"/>
                <w:b/>
                <w:szCs w:val="21"/>
              </w:rPr>
              <w:t>管理经验与业绩分</w:t>
            </w:r>
          </w:p>
        </w:tc>
        <w:tc>
          <w:tcPr>
            <w:tcW w:w="6364" w:type="dxa"/>
          </w:tcPr>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供应商20</w:t>
            </w:r>
            <w:r>
              <w:rPr>
                <w:rFonts w:hint="eastAsia" w:ascii="宋体" w:hAnsi="宋体" w:eastAsia="宋体" w:cs="宋体"/>
                <w:kern w:val="0"/>
                <w:sz w:val="24"/>
                <w:lang w:val="en-US" w:eastAsia="zh-CN"/>
              </w:rPr>
              <w:t>20</w:t>
            </w:r>
            <w:r>
              <w:rPr>
                <w:rFonts w:hint="eastAsia" w:ascii="宋体" w:hAnsi="宋体" w:eastAsia="宋体" w:cs="宋体"/>
                <w:kern w:val="0"/>
                <w:sz w:val="24"/>
              </w:rPr>
              <w:t>年至今，承接的物业管理服务项目</w:t>
            </w:r>
            <w:r>
              <w:rPr>
                <w:rFonts w:hint="eastAsia" w:ascii="宋体" w:hAnsi="宋体" w:eastAsia="宋体" w:cs="宋体"/>
                <w:kern w:val="0"/>
                <w:sz w:val="24"/>
                <w:lang w:eastAsia="zh-CN"/>
              </w:rPr>
              <w:t>业绩，</w:t>
            </w:r>
            <w:r>
              <w:rPr>
                <w:rFonts w:hint="eastAsia" w:ascii="宋体" w:hAnsi="宋体" w:eastAsia="宋体" w:cs="宋体"/>
                <w:kern w:val="0"/>
                <w:sz w:val="24"/>
              </w:rPr>
              <w:t>每有一个得</w:t>
            </w:r>
            <w:r>
              <w:rPr>
                <w:rFonts w:hint="eastAsia" w:ascii="宋体" w:hAnsi="宋体" w:eastAsia="宋体" w:cs="宋体"/>
                <w:kern w:val="0"/>
                <w:sz w:val="24"/>
                <w:lang w:val="en-US" w:eastAsia="zh-CN"/>
              </w:rPr>
              <w:t>2</w:t>
            </w:r>
            <w:r>
              <w:rPr>
                <w:rFonts w:hint="eastAsia" w:ascii="宋体" w:hAnsi="宋体" w:eastAsia="宋体" w:cs="宋体"/>
                <w:kern w:val="0"/>
                <w:sz w:val="24"/>
              </w:rPr>
              <w:t>分。满分为</w:t>
            </w:r>
            <w:r>
              <w:rPr>
                <w:rFonts w:hint="eastAsia" w:ascii="宋体" w:hAnsi="宋体" w:eastAsia="宋体" w:cs="宋体"/>
                <w:kern w:val="0"/>
                <w:sz w:val="24"/>
                <w:lang w:val="en-US" w:eastAsia="zh-CN"/>
              </w:rPr>
              <w:t>8</w:t>
            </w:r>
            <w:r>
              <w:rPr>
                <w:rFonts w:hint="eastAsia" w:ascii="宋体" w:hAnsi="宋体" w:eastAsia="宋体" w:cs="宋体"/>
                <w:kern w:val="0"/>
                <w:sz w:val="24"/>
              </w:rPr>
              <w:t>分。（</w:t>
            </w:r>
            <w:r>
              <w:rPr>
                <w:rFonts w:hint="eastAsia" w:ascii="宋体" w:hAnsi="宋体" w:eastAsia="宋体" w:cs="宋体"/>
                <w:kern w:val="0"/>
                <w:sz w:val="24"/>
                <w:lang w:eastAsia="zh-CN"/>
              </w:rPr>
              <w:t>服务内容至少包含保安、保洁、水电工等内容的其中</w:t>
            </w:r>
            <w:r>
              <w:rPr>
                <w:rFonts w:hint="eastAsia" w:ascii="宋体" w:hAnsi="宋体" w:eastAsia="宋体" w:cs="宋体"/>
                <w:kern w:val="0"/>
                <w:sz w:val="24"/>
                <w:lang w:val="en-US" w:eastAsia="zh-CN"/>
              </w:rPr>
              <w:t>1项，提供合同复印件及合同期内其中一个月的往来款结算凭证复印件，否则不计分</w:t>
            </w:r>
            <w:r>
              <w:rPr>
                <w:rFonts w:hint="eastAsia" w:ascii="宋体" w:hAnsi="宋体" w:eastAsia="宋体" w:cs="宋体"/>
                <w:kern w:val="0"/>
                <w:sz w:val="24"/>
              </w:rPr>
              <w:t>）。</w:t>
            </w:r>
          </w:p>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说明：以上需提供</w:t>
            </w:r>
            <w:r>
              <w:rPr>
                <w:rFonts w:hint="eastAsia" w:ascii="宋体" w:hAnsi="宋体" w:eastAsia="宋体" w:cs="宋体"/>
                <w:kern w:val="0"/>
                <w:sz w:val="24"/>
                <w:lang w:eastAsia="zh-CN"/>
              </w:rPr>
              <w:t>合同</w:t>
            </w:r>
            <w:r>
              <w:rPr>
                <w:rFonts w:hint="eastAsia" w:ascii="宋体" w:hAnsi="宋体" w:eastAsia="宋体" w:cs="宋体"/>
                <w:kern w:val="0"/>
                <w:sz w:val="24"/>
              </w:rPr>
              <w:t>复印件并加盖公章，否则不计分。</w:t>
            </w:r>
          </w:p>
          <w:p>
            <w:pPr>
              <w:widowControl/>
              <w:wordWrap w:val="0"/>
              <w:spacing w:line="360" w:lineRule="exact"/>
              <w:jc w:val="left"/>
              <w:rPr>
                <w:rFonts w:hint="eastAsia" w:ascii="宋体" w:hAnsi="宋体" w:eastAsia="宋体" w:cs="宋体"/>
                <w:kern w:val="0"/>
                <w:sz w:val="24"/>
              </w:rPr>
            </w:pPr>
          </w:p>
        </w:tc>
        <w:tc>
          <w:tcPr>
            <w:tcW w:w="880" w:type="dxa"/>
            <w:vAlign w:val="center"/>
          </w:tcPr>
          <w:p>
            <w:pPr>
              <w:widowControl/>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kern w:val="0"/>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3.2</w:t>
            </w:r>
          </w:p>
        </w:tc>
        <w:tc>
          <w:tcPr>
            <w:tcW w:w="1423" w:type="dxa"/>
            <w:vAlign w:val="center"/>
          </w:tcPr>
          <w:p>
            <w:pPr>
              <w:wordWrap w:val="0"/>
              <w:adjustRightInd w:val="0"/>
              <w:spacing w:line="360" w:lineRule="exact"/>
              <w:jc w:val="center"/>
              <w:textAlignment w:val="baseline"/>
              <w:rPr>
                <w:rFonts w:ascii="宋体" w:hAnsi="宋体" w:cs="宋体"/>
                <w:bCs/>
                <w:szCs w:val="21"/>
              </w:rPr>
            </w:pPr>
            <w:r>
              <w:rPr>
                <w:rFonts w:hint="eastAsia" w:ascii="宋体" w:hAnsi="宋体" w:eastAsia="宋体" w:cs="宋体"/>
                <w:b/>
                <w:szCs w:val="21"/>
              </w:rPr>
              <w:t>信誉分</w:t>
            </w:r>
          </w:p>
        </w:tc>
        <w:tc>
          <w:tcPr>
            <w:tcW w:w="6364" w:type="dxa"/>
          </w:tcPr>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w:t>
            </w:r>
            <w:r>
              <w:rPr>
                <w:rFonts w:hint="eastAsia" w:ascii="宋体" w:hAnsi="宋体" w:eastAsia="宋体" w:cs="宋体"/>
                <w:kern w:val="0"/>
                <w:sz w:val="24"/>
              </w:rPr>
              <w:t>持有有效的质量管理体系认证、环境管理体系认证、职业健康安全管理体系认证证书的</w:t>
            </w:r>
            <w:r>
              <w:rPr>
                <w:rFonts w:hint="eastAsia" w:ascii="宋体" w:hAnsi="宋体" w:cs="宋体"/>
                <w:kern w:val="0"/>
                <w:sz w:val="24"/>
                <w:lang w:eastAsia="zh-CN"/>
              </w:rPr>
              <w:t>各</w:t>
            </w:r>
            <w:r>
              <w:rPr>
                <w:rFonts w:hint="eastAsia" w:ascii="宋体" w:hAnsi="宋体" w:eastAsia="宋体" w:cs="宋体"/>
                <w:kern w:val="0"/>
                <w:sz w:val="24"/>
              </w:rPr>
              <w:t>得</w:t>
            </w:r>
            <w:r>
              <w:rPr>
                <w:rFonts w:hint="eastAsia" w:ascii="宋体" w:hAnsi="宋体" w:cs="宋体"/>
                <w:kern w:val="0"/>
                <w:sz w:val="24"/>
                <w:lang w:val="en-US" w:eastAsia="zh-CN"/>
              </w:rPr>
              <w:t>1</w:t>
            </w:r>
            <w:r>
              <w:rPr>
                <w:rFonts w:hint="eastAsia" w:ascii="宋体" w:hAnsi="宋体" w:eastAsia="宋体" w:cs="宋体"/>
                <w:kern w:val="0"/>
                <w:sz w:val="24"/>
              </w:rPr>
              <w:t>分；</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2）</w:t>
            </w:r>
            <w:r>
              <w:rPr>
                <w:rFonts w:hint="eastAsia" w:ascii="宋体" w:hAnsi="宋体" w:eastAsia="宋体" w:cs="宋体"/>
                <w:kern w:val="0"/>
                <w:sz w:val="24"/>
              </w:rPr>
              <w:t>持有中国安保服务行业国家一级资质等级证书的得</w:t>
            </w:r>
            <w:r>
              <w:rPr>
                <w:rFonts w:hint="eastAsia" w:ascii="宋体" w:hAnsi="宋体" w:cs="宋体"/>
                <w:kern w:val="0"/>
                <w:sz w:val="24"/>
                <w:lang w:val="en-US" w:eastAsia="zh-CN"/>
              </w:rPr>
              <w:t>1</w:t>
            </w:r>
            <w:r>
              <w:rPr>
                <w:rFonts w:hint="eastAsia" w:ascii="宋体" w:hAnsi="宋体" w:eastAsia="宋体" w:cs="宋体"/>
                <w:kern w:val="0"/>
                <w:sz w:val="24"/>
              </w:rPr>
              <w:t>分；</w:t>
            </w: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kern w:val="0"/>
                <w:sz w:val="24"/>
                <w:lang w:val="en-US" w:eastAsia="zh-CN"/>
              </w:rPr>
              <w:t>4</w:t>
            </w:r>
          </w:p>
        </w:tc>
      </w:tr>
    </w:tbl>
    <w:p>
      <w:pPr>
        <w:pStyle w:val="4"/>
        <w:numPr>
          <w:ilvl w:val="-1"/>
          <w:numId w:val="0"/>
        </w:numPr>
        <w:ind w:left="0" w:firstLine="0"/>
      </w:pPr>
      <w:r>
        <w:rPr>
          <w:rFonts w:hint="eastAsia" w:ascii="宋体" w:hAnsi="宋体" w:cs="宋体"/>
          <w:b/>
          <w:bCs/>
          <w:color w:val="000000"/>
          <w:kern w:val="0"/>
          <w:sz w:val="24"/>
          <w:lang w:val="zh-CN" w:bidi="zh-CN"/>
        </w:rPr>
        <w:t>三、总分=1+2+3</w:t>
      </w:r>
    </w:p>
    <w:bookmarkEnd w:id="66"/>
    <w:p>
      <w:pPr>
        <w:widowControl/>
        <w:autoSpaceDE w:val="0"/>
        <w:autoSpaceDN w:val="0"/>
        <w:snapToGrid w:val="0"/>
        <w:spacing w:line="500" w:lineRule="exact"/>
        <w:ind w:firstLine="482" w:firstLineChars="200"/>
        <w:jc w:val="left"/>
        <w:rPr>
          <w:rFonts w:ascii="宋体" w:hAnsi="宋体" w:cs="宋体"/>
          <w:b/>
          <w:bCs/>
          <w:color w:val="000000"/>
          <w:kern w:val="0"/>
          <w:sz w:val="24"/>
          <w:lang w:val="zh-CN" w:bidi="zh-CN"/>
        </w:rPr>
      </w:pPr>
      <w:r>
        <w:rPr>
          <w:rFonts w:hint="eastAsia" w:ascii="宋体" w:hAnsi="宋体" w:cs="宋体"/>
          <w:b/>
          <w:bCs/>
          <w:color w:val="000000"/>
          <w:kern w:val="0"/>
          <w:sz w:val="24"/>
          <w:lang w:val="zh-CN" w:bidi="zh-CN"/>
        </w:rPr>
        <w:t>三、总分=1+2+3</w:t>
      </w:r>
    </w:p>
    <w:p>
      <w:pPr>
        <w:snapToGrid w:val="0"/>
        <w:spacing w:line="500" w:lineRule="exact"/>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供应商编制响应文件（商务技术文件部分）时，建议按此目录（序号和内容）提供评标标准相应的商务技术资料。</w:t>
      </w:r>
    </w:p>
    <w:p>
      <w:pPr>
        <w:snapToGrid w:val="0"/>
        <w:spacing w:line="360" w:lineRule="auto"/>
        <w:ind w:firstLine="400" w:firstLineChars="200"/>
        <w:rPr>
          <w:rFonts w:hint="eastAsia" w:ascii="宋体" w:hAnsi="宋体" w:cs="宋体"/>
          <w:sz w:val="20"/>
          <w:szCs w:val="20"/>
          <w:shd w:val="clear" w:color="auto" w:fill="FFFFFF"/>
        </w:rPr>
      </w:pPr>
    </w:p>
    <w:p>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sz w:val="24"/>
        </w:rPr>
        <w:t>*</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供应商编制响应文件（商务技术文件部分）时，建议按此目录（序号和内容）提供评标标准相应的商务技术资料。</w:t>
      </w:r>
    </w:p>
    <w:p>
      <w:pPr>
        <w:adjustRightInd/>
        <w:spacing w:line="360" w:lineRule="auto"/>
        <w:ind w:firstLine="482" w:firstLineChars="200"/>
        <w:rPr>
          <w:rFonts w:cs="Arial" w:asciiTheme="minorEastAsia" w:hAnsiTheme="minorEastAsia" w:eastAsiaTheme="minorEastAsia"/>
          <w:b/>
          <w:kern w:val="0"/>
          <w:sz w:val="24"/>
        </w:rPr>
      </w:pPr>
    </w:p>
    <w:p>
      <w:pPr>
        <w:pStyle w:val="392"/>
        <w:spacing w:before="0"/>
        <w:ind w:firstLine="643"/>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kern w:val="0"/>
          <w:sz w:val="24"/>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pPr>
        <w:pStyle w:val="392"/>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sz w:val="32"/>
        </w:rPr>
      </w:pPr>
    </w:p>
    <w:p>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pPr>
        <w:pStyle w:val="392"/>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pPr>
        <w:pStyle w:val="392"/>
        <w:spacing w:before="0"/>
        <w:ind w:firstLine="0" w:firstLineChars="0"/>
        <w:rPr>
          <w:rFonts w:asciiTheme="minorEastAsia" w:hAnsiTheme="minorEastAsia" w:eastAsiaTheme="minorEastAsia"/>
          <w:b/>
          <w:color w:val="FF0000"/>
        </w:rPr>
      </w:pPr>
      <w:r>
        <w:rPr>
          <w:rFonts w:hint="eastAsia" w:asciiTheme="minorEastAsia" w:hAnsiTheme="minorEastAsia" w:eastAsiaTheme="minorEastAsia"/>
          <w:b/>
          <w:color w:val="FF0000"/>
        </w:rPr>
        <w:t>3.政府采购异常低价审查：</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3.1按照《关于推动解决政府采购异常低价问题的通知》（财库〔2026〕2号）有关规定，本项目评审中出现下列情形之一的，磋商小组应当启动异常低价响应审查程序：</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（1）最后报价低于全部通过符合性审查供应商最后报价平均值50%的，即最后报价&lt;全部通过符合性审查供应商最后报价平均值×50%；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（2）最后报价低于通过符合性审查的次低报价供应商最后报价50%的，即最后报价&lt;通过符合性审查的次低报价供应商最后报价×50%；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（3）最后报价低于采购项目最高限价45%的，即最后报价&lt;采购项目最高限价×45%；</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（4）磋商小组基于专业判断，认为供应商报价过低，有可能影响产品质量或者不能诚信履约的其他情形。</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45%</w:t>
      </w:r>
      <w:r>
        <w:rPr>
          <w:rFonts w:hint="eastAsia" w:ascii="宋体" w:hAnsi="宋体" w:cs="宋体"/>
          <w:color w:val="FF0000"/>
          <w:kern w:val="0"/>
          <w:szCs w:val="24"/>
        </w:rPr>
        <w:t>。</w:t>
      </w:r>
      <w:r>
        <w:rPr>
          <w:rFonts w:hint="eastAsia" w:ascii="宋体" w:hAnsi="宋体" w:cs="宋体"/>
          <w:color w:val="FF0000"/>
          <w:kern w:val="0"/>
        </w:rPr>
        <w:t>采购项目未设定最高限价的，审查时取项目预算金额作为最高限价。</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异常低价响应审查的启动原因、审查意见和审查结果应当在评审报告中记录，并随供应商提供的相关书面说明及证明材料，以及磋商小组有关互联网浏览、查询历史一并归档。</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4.</w:t>
      </w:r>
      <w:r>
        <w:rPr>
          <w:rFonts w:hint="eastAsia" w:asciiTheme="minorEastAsia" w:hAnsiTheme="minorEastAsia" w:eastAsiaTheme="minorEastAsia"/>
          <w:b/>
          <w:spacing w:val="20"/>
        </w:rPr>
        <w:t>响应无效</w:t>
      </w:r>
    </w:p>
    <w:p>
      <w:pPr>
        <w:pStyle w:val="24"/>
        <w:spacing w:line="360" w:lineRule="auto"/>
        <w:ind w:firstLine="600" w:firstLineChars="250"/>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4.1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4.2为采购项目提供整体设计、规范编制或者项目管理、监理、检测等服务的供应商再参加该采购项目的其他采购活动的；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4.5响应文件未按磋商文件的澄清、修改的内容编制，又不符合实质性要求的；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4.6响应文件组成漏项，内容不全或内容字迹模糊辨认不清的；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4.7响应文件中法人授权书所载内容与本项目内容有异的；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4.8响应文件未按照磋商文件要求签署、盖章的；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4.10响应文件含有采购人不能接受的附加条件的；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4.11响应文件中承诺的响应有效期少于磋商文件中载明的响应有效期的；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4.12供应商所投内容不符合磋商文件中实质性要求的；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4.13所提交的《最后报价一览表》中出现不是唯一的、有选择性的报价的;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4.14最后报价高于本项目采购预算或者最高限价的;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4.15《最后报价一览表》填写不完整或字迹不能辨认或有漏项的；</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rPr>
        <w:t>4.15最后报价属于磋商文件规定的政府采购异常低价情形之一，且供应商不能提供书面说明、证明材料，或者提供的书面说明、证明材料不能证明其报价合理性的;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4.16供应商对根据修正原则修正后的最后报价不确认的；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4.17供应商提供虚假材料响应的（包括但不限于以下情节）；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4.17.1使用伪造、变造的许可证件；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4.17.2提供虚假的财务状况或者业绩；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4.17.3提供虚假的项目负责人或者主要技术人员简历、劳动关系证明；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4.17.4提供虚假的信用状况；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4.17.5其他弄虚作假的行为。</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4.18供应商有恶意串通、妨碍其他供应商的竞争行为、损害采购人或者其他供应商的合法权益情形的。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4.18.3供应商之间协商报价、技术方案等投标文件或者响应文件的实质性内容；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4.18.5供应商之间事先约定由某一特定供应商中标、成交；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4.18.6供应商之间商定部分供应商放弃参加政府采购活动或者放弃中标、成交；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4.18.8不同供应商的响应文件由同一单位或者个人编制；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4.18.9不同供应商委托同一单位或者个人办理响应事宜；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4.18.10不同供应商的响应文件载明的项目管理成员或者联系人员为同一人；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4.18.11不同供应商的响应文件异常一致或者最后报价呈规律性差异。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4.19供应商仅提交备份响应文件，没有在电子交易平台传输提交响应文件的，响应无效；</w:t>
      </w:r>
    </w:p>
    <w:p>
      <w:pPr>
        <w:pStyle w:val="631"/>
        <w:rPr>
          <w:rFonts w:cs="宋体"/>
          <w:color w:val="FF0000"/>
        </w:rPr>
      </w:pPr>
      <w:r>
        <w:rPr>
          <w:rFonts w:hint="eastAsia"/>
          <w:color w:val="FF0000"/>
        </w:rPr>
        <w:t>4.20</w:t>
      </w:r>
      <w:r>
        <w:rPr>
          <w:rFonts w:hint="eastAsia" w:cs="宋体"/>
          <w:color w:val="FF0000"/>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4.21法律、法规、规章（适用本市的）及省级以上规范性文件（适用本市的）规定的其他无效情形。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 重新开展采购活动</w:t>
      </w:r>
    </w:p>
    <w:p>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6. 终止采购活动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7</w:t>
      </w:r>
      <w:r>
        <w:rPr>
          <w:rFonts w:asciiTheme="minorEastAsia" w:hAnsiTheme="minorEastAsia" w:eastAsiaTheme="minorEastAsia"/>
          <w:b/>
          <w:sz w:val="24"/>
        </w:rPr>
        <w:t xml:space="preserve">. </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spacing w:line="360" w:lineRule="auto"/>
        <w:jc w:val="center"/>
        <w:outlineLvl w:val="0"/>
        <w:rPr>
          <w:rFonts w:cs="仿宋_GB2312" w:asciiTheme="minorEastAsia" w:hAnsiTheme="minorEastAsia" w:eastAsiaTheme="minorEastAsia"/>
          <w:b/>
          <w:sz w:val="36"/>
          <w:szCs w:val="36"/>
        </w:rPr>
      </w:pPr>
      <w:bookmarkStart w:id="67" w:name="_Toc181203099"/>
      <w:r>
        <w:rPr>
          <w:rFonts w:hint="eastAsia" w:cs="仿宋_GB2312" w:asciiTheme="minorEastAsia" w:hAnsiTheme="minorEastAsia" w:eastAsiaTheme="minorEastAsia"/>
          <w:b/>
          <w:sz w:val="36"/>
          <w:szCs w:val="36"/>
        </w:rPr>
        <w:t>第六部分</w:t>
      </w:r>
      <w:bookmarkEnd w:id="65"/>
      <w:r>
        <w:rPr>
          <w:rFonts w:hint="eastAsia" w:cs="仿宋_GB2312" w:asciiTheme="minorEastAsia" w:hAnsiTheme="minorEastAsia" w:eastAsiaTheme="minorEastAsia"/>
          <w:b/>
          <w:sz w:val="36"/>
          <w:szCs w:val="36"/>
        </w:rPr>
        <w:t xml:space="preserve">  拟签订的合同文本</w:t>
      </w:r>
      <w:bookmarkEnd w:id="67"/>
    </w:p>
    <w:p>
      <w:pPr>
        <w:spacing w:line="480" w:lineRule="auto"/>
        <w:jc w:val="center"/>
        <w:rPr>
          <w:rFonts w:ascii="宋体" w:hAnsi="宋体" w:cs="宋体"/>
          <w:b/>
          <w:sz w:val="24"/>
        </w:rPr>
      </w:pPr>
      <w:bookmarkStart w:id="68" w:name="第五部分"/>
      <w:bookmarkStart w:id="69" w:name="_Toc86217003"/>
    </w:p>
    <w:p>
      <w:pPr>
        <w:spacing w:line="480" w:lineRule="auto"/>
        <w:jc w:val="center"/>
        <w:rPr>
          <w:rFonts w:ascii="宋体" w:hAnsi="宋体" w:cs="宋体"/>
          <w:b/>
          <w:sz w:val="24"/>
        </w:rPr>
      </w:pPr>
    </w:p>
    <w:p>
      <w:pPr>
        <w:pStyle w:val="631"/>
      </w:pPr>
    </w:p>
    <w:p>
      <w:pPr>
        <w:pStyle w:val="631"/>
      </w:pPr>
    </w:p>
    <w:p>
      <w:pPr>
        <w:pStyle w:val="631"/>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281"/>
        <w:ind w:firstLine="2843" w:firstLineChars="1180"/>
        <w:rPr>
          <w:rFonts w:ascii="宋体" w:hAnsi="宋体" w:cs="宋体"/>
          <w:b/>
          <w:szCs w:val="24"/>
        </w:rPr>
      </w:pPr>
    </w:p>
    <w:p>
      <w:pPr>
        <w:pStyle w:val="24"/>
        <w:spacing w:after="120"/>
      </w:pPr>
    </w:p>
    <w:p>
      <w:pPr>
        <w:pStyle w:val="24"/>
        <w:spacing w:after="120"/>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spacing w:line="360" w:lineRule="auto"/>
        <w:jc w:val="center"/>
        <w:outlineLvl w:val="1"/>
        <w:rPr>
          <w:rFonts w:ascii="宋体" w:hAnsi="宋体" w:cs="宋体"/>
          <w:b/>
          <w:sz w:val="24"/>
        </w:rPr>
      </w:pPr>
      <w:bookmarkStart w:id="70" w:name="_Toc22209"/>
      <w:r>
        <w:rPr>
          <w:rFonts w:hint="eastAsia" w:ascii="宋体" w:hAnsi="宋体"/>
          <w:b/>
          <w:sz w:val="24"/>
        </w:rPr>
        <w:t>第一节 政府采购合同协议书</w:t>
      </w:r>
      <w:bookmarkEnd w:id="70"/>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lang w:eastAsia="zh-CN"/>
        </w:rPr>
        <w:t>北海市政务服务中心2026年后勤物业服务</w:t>
      </w:r>
      <w:r>
        <w:rPr>
          <w:rFonts w:hint="eastAsia" w:ascii="宋体" w:hAnsi="宋体" w:cs="宋体"/>
          <w:sz w:val="24"/>
          <w:u w:val="single"/>
        </w:rPr>
        <w:t xml:space="preserve">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成交通知书</w:t>
      </w:r>
      <w:r>
        <w:rPr>
          <w:rFonts w:hint="eastAsia" w:ascii="宋体" w:hAnsi="宋体"/>
          <w:sz w:val="24"/>
        </w:rPr>
        <w:t>发出之日起</w:t>
      </w:r>
      <w:r>
        <w:rPr>
          <w:rFonts w:ascii="宋体" w:hAnsi="宋体"/>
          <w:sz w:val="24"/>
          <w:u w:val="single"/>
          <w:lang w:val="zh-CN"/>
        </w:rPr>
        <w:t xml:space="preserve">    </w:t>
      </w:r>
      <w:r>
        <w:rPr>
          <w:rFonts w:hint="eastAsia" w:ascii="宋体" w:hAnsi="宋体"/>
          <w:sz w:val="24"/>
          <w:lang w:val="en-US" w:eastAsia="zh-CN"/>
        </w:rPr>
        <w:t xml:space="preserve"> </w:t>
      </w:r>
      <w:r>
        <w:rPr>
          <w:rFonts w:hint="eastAsia" w:ascii="宋体" w:hAnsi="宋体"/>
          <w:sz w:val="24"/>
        </w:rPr>
        <w:t>个工作日内，按照采购文件确定的事项签订本合同。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rPr>
          <w:rFonts w:ascii="宋体" w:hAnsi="宋体"/>
          <w:sz w:val="24"/>
        </w:rPr>
      </w:pPr>
      <w:bookmarkStart w:id="71" w:name="_Toc28855"/>
      <w:bookmarkStart w:id="72" w:name="_Toc15367"/>
      <w:bookmarkStart w:id="73" w:name="_Toc19273"/>
      <w:bookmarkStart w:id="74" w:name="_Toc20421"/>
      <w:bookmarkStart w:id="75" w:name="_Toc22967"/>
      <w:r>
        <w:rPr>
          <w:rFonts w:ascii="宋体" w:hAnsi="宋体"/>
          <w:b/>
          <w:sz w:val="24"/>
        </w:rPr>
        <w:t xml:space="preserve">1.1 </w:t>
      </w:r>
      <w:r>
        <w:rPr>
          <w:rFonts w:hint="eastAsia" w:ascii="宋体" w:hAnsi="宋体"/>
          <w:b/>
          <w:sz w:val="24"/>
        </w:rPr>
        <w:t>合同组成部分</w:t>
      </w:r>
      <w:bookmarkEnd w:id="71"/>
      <w:bookmarkEnd w:id="72"/>
      <w:bookmarkEnd w:id="73"/>
      <w:bookmarkEnd w:id="74"/>
      <w:bookmarkEnd w:id="75"/>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pPr>
        <w:spacing w:line="360" w:lineRule="auto"/>
        <w:ind w:firstLine="482" w:firstLineChars="200"/>
        <w:rPr>
          <w:rFonts w:ascii="宋体" w:hAnsi="宋体"/>
          <w:b/>
          <w:sz w:val="24"/>
        </w:rPr>
      </w:pPr>
      <w:bookmarkStart w:id="76" w:name="_Toc6773"/>
      <w:bookmarkStart w:id="77" w:name="_Toc18585"/>
      <w:bookmarkStart w:id="78" w:name="_Toc2918"/>
      <w:bookmarkStart w:id="79" w:name="_Toc6311"/>
      <w:bookmarkStart w:id="80" w:name="_Toc22185"/>
      <w:r>
        <w:rPr>
          <w:rFonts w:ascii="宋体" w:hAnsi="宋体"/>
          <w:b/>
          <w:sz w:val="24"/>
        </w:rPr>
        <w:t xml:space="preserve">1.2 </w:t>
      </w:r>
      <w:r>
        <w:rPr>
          <w:rFonts w:hint="eastAsia" w:ascii="宋体" w:hAnsi="宋体"/>
          <w:b/>
          <w:sz w:val="24"/>
        </w:rPr>
        <w:t>标的</w:t>
      </w:r>
      <w:bookmarkEnd w:id="76"/>
      <w:bookmarkEnd w:id="77"/>
      <w:bookmarkEnd w:id="78"/>
      <w:bookmarkEnd w:id="79"/>
      <w:bookmarkEnd w:id="80"/>
    </w:p>
    <w:p>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pPr>
        <w:pStyle w:val="629"/>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pPr>
        <w:spacing w:line="360" w:lineRule="auto"/>
        <w:ind w:firstLine="480" w:firstLineChars="200"/>
        <w:rPr>
          <w:rFonts w:ascii="宋体" w:hAnsi="宋体" w:cs="宋体"/>
          <w:sz w:val="24"/>
          <w:u w:val="single"/>
        </w:rPr>
      </w:pPr>
      <w:bookmarkStart w:id="81" w:name="_Toc13918"/>
      <w:bookmarkStart w:id="82" w:name="_Toc4929"/>
      <w:bookmarkStart w:id="83" w:name="_Toc1386"/>
      <w:bookmarkStart w:id="84" w:name="_Toc5635"/>
      <w:bookmarkStart w:id="85" w:name="_Toc21124"/>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1.3 价款</w:t>
      </w:r>
      <w:bookmarkEnd w:id="81"/>
      <w:bookmarkEnd w:id="82"/>
      <w:bookmarkEnd w:id="83"/>
      <w:bookmarkEnd w:id="84"/>
      <w:bookmarkEnd w:id="85"/>
    </w:p>
    <w:p>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jc w:val="center"/>
              <w:rPr>
                <w:rFonts w:hAnsi="宋体"/>
                <w:sz w:val="24"/>
                <w:szCs w:val="24"/>
              </w:rPr>
            </w:pPr>
            <w:r>
              <w:rPr>
                <w:rFonts w:hAnsi="宋体"/>
                <w:sz w:val="24"/>
                <w:szCs w:val="24"/>
              </w:rPr>
              <w:t>序号</w:t>
            </w:r>
          </w:p>
        </w:tc>
        <w:tc>
          <w:tcPr>
            <w:tcW w:w="3402" w:type="dxa"/>
            <w:vAlign w:val="center"/>
          </w:tcPr>
          <w:p>
            <w:pPr>
              <w:pStyle w:val="621"/>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pPr>
              <w:pStyle w:val="621"/>
              <w:spacing w:line="360" w:lineRule="auto"/>
              <w:jc w:val="center"/>
              <w:rPr>
                <w:rFonts w:hAnsi="宋体"/>
                <w:sz w:val="24"/>
                <w:szCs w:val="24"/>
              </w:rPr>
            </w:pPr>
            <w:r>
              <w:rPr>
                <w:rFonts w:hAnsi="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1"/>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pPr>
              <w:pStyle w:val="621"/>
              <w:spacing w:line="360" w:lineRule="auto"/>
              <w:ind w:firstLine="200"/>
              <w:jc w:val="center"/>
              <w:rPr>
                <w:rFonts w:hAnsi="宋体"/>
                <w:sz w:val="24"/>
                <w:szCs w:val="24"/>
              </w:rPr>
            </w:pPr>
          </w:p>
        </w:tc>
      </w:tr>
    </w:tbl>
    <w:p>
      <w:pPr>
        <w:spacing w:line="360" w:lineRule="auto"/>
        <w:ind w:firstLine="480" w:firstLineChars="200"/>
        <w:rPr>
          <w:rFonts w:ascii="宋体" w:hAnsi="宋体"/>
          <w:sz w:val="24"/>
        </w:rPr>
      </w:pPr>
      <w:bookmarkStart w:id="86" w:name="_Toc3654"/>
      <w:bookmarkStart w:id="87" w:name="_Toc30158"/>
      <w:bookmarkStart w:id="88" w:name="_Toc14993"/>
      <w:bookmarkStart w:id="89" w:name="_Toc30506"/>
      <w:bookmarkStart w:id="90" w:name="_Toc26916"/>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pPr>
        <w:pStyle w:val="631"/>
      </w:pPr>
      <w:r>
        <w:rPr>
          <w:rFonts w:hint="eastAsia"/>
        </w:rPr>
        <w:t>1.3.3其他计价方式：                   。</w:t>
      </w:r>
    </w:p>
    <w:bookmarkEnd w:id="86"/>
    <w:bookmarkEnd w:id="87"/>
    <w:bookmarkEnd w:id="88"/>
    <w:bookmarkEnd w:id="89"/>
    <w:bookmarkEnd w:id="90"/>
    <w:p>
      <w:pPr>
        <w:pStyle w:val="629"/>
        <w:spacing w:before="0" w:beforeAutospacing="0" w:after="0" w:afterAutospacing="0" w:line="360" w:lineRule="auto"/>
        <w:ind w:firstLine="480"/>
        <w:rPr>
          <w:b/>
        </w:rPr>
      </w:pPr>
      <w:bookmarkStart w:id="91" w:name="_Toc10340"/>
      <w:bookmarkStart w:id="92" w:name="_Toc1814"/>
      <w:bookmarkStart w:id="93" w:name="_Toc22618"/>
      <w:bookmarkStart w:id="94" w:name="_Toc3625"/>
      <w:bookmarkStart w:id="95" w:name="_Toc4760"/>
      <w:bookmarkStart w:id="96" w:name="_Toc8772"/>
      <w:bookmarkStart w:id="97" w:name="_Toc11108"/>
      <w:bookmarkStart w:id="98" w:name="_Toc31421"/>
      <w:r>
        <w:rPr>
          <w:rFonts w:hint="eastAsia"/>
          <w:b/>
        </w:rPr>
        <w:t>1.4履约保证金</w:t>
      </w:r>
    </w:p>
    <w:p>
      <w:pPr>
        <w:pStyle w:val="629"/>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31"/>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1.5</w:t>
      </w:r>
      <w:bookmarkEnd w:id="91"/>
      <w:bookmarkEnd w:id="92"/>
      <w:bookmarkEnd w:id="93"/>
      <w:r>
        <w:rPr>
          <w:rFonts w:hint="eastAsia" w:ascii="宋体" w:hAnsi="宋体" w:cs="宋体"/>
          <w:b/>
          <w:sz w:val="24"/>
        </w:rPr>
        <w:t>预付款</w:t>
      </w:r>
    </w:p>
    <w:p>
      <w:pPr>
        <w:pStyle w:val="629"/>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29"/>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b/>
          <w:bCs/>
        </w:rPr>
      </w:pPr>
      <w:r>
        <w:rPr>
          <w:rFonts w:hint="eastAsia"/>
          <w:b/>
          <w:bCs/>
        </w:rPr>
        <w:t>1.6资金支付</w:t>
      </w:r>
    </w:p>
    <w:p>
      <w:pPr>
        <w:pStyle w:val="629"/>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94"/>
      <w:bookmarkEnd w:id="95"/>
      <w:bookmarkEnd w:id="96"/>
      <w:bookmarkEnd w:id="97"/>
      <w:bookmarkEnd w:id="98"/>
    </w:p>
    <w:p>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bCs/>
          <w:sz w:val="24"/>
        </w:rPr>
      </w:pPr>
      <w:bookmarkStart w:id="99" w:name="_Toc2375"/>
      <w:bookmarkStart w:id="100" w:name="_Toc3079"/>
      <w:bookmarkStart w:id="101" w:name="_Toc24662"/>
      <w:bookmarkStart w:id="102" w:name="_Toc8586"/>
      <w:bookmarkStart w:id="103" w:name="_Toc5698"/>
      <w:r>
        <w:rPr>
          <w:rFonts w:hint="eastAsia" w:ascii="宋体" w:hAnsi="宋体"/>
          <w:bCs/>
          <w:sz w:val="24"/>
        </w:rPr>
        <w:t>1.7.4若服务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99"/>
      <w:bookmarkEnd w:id="100"/>
      <w:bookmarkEnd w:id="101"/>
      <w:bookmarkEnd w:id="102"/>
      <w:bookmarkEnd w:id="103"/>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pPr>
        <w:pStyle w:val="631"/>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104" w:name="_Toc30329"/>
      <w:bookmarkStart w:id="105" w:name="_Toc26807"/>
      <w:bookmarkStart w:id="106" w:name="_Toc18683"/>
      <w:bookmarkStart w:id="107" w:name="_Toc9497"/>
      <w:bookmarkStart w:id="108" w:name="_Toc32454"/>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104"/>
    <w:bookmarkEnd w:id="105"/>
    <w:bookmarkEnd w:id="106"/>
    <w:bookmarkEnd w:id="107"/>
    <w:bookmarkEnd w:id="108"/>
    <w:p>
      <w:pPr>
        <w:spacing w:line="360" w:lineRule="auto"/>
        <w:ind w:firstLine="482" w:firstLineChars="200"/>
        <w:rPr>
          <w:rFonts w:ascii="宋体" w:hAnsi="宋体" w:cs="宋体"/>
          <w:b/>
          <w:sz w:val="24"/>
        </w:rPr>
      </w:pPr>
      <w:r>
        <w:rPr>
          <w:rFonts w:hint="eastAsia" w:ascii="宋体" w:hAnsi="宋体" w:cs="宋体"/>
          <w:b/>
          <w:sz w:val="24"/>
        </w:rPr>
        <w:t>1.9合同争议的解决</w:t>
      </w:r>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pPr>
        <w:spacing w:line="360" w:lineRule="auto"/>
        <w:ind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pPr>
        <w:spacing w:line="360" w:lineRule="auto"/>
        <w:ind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pPr>
        <w:spacing w:line="360" w:lineRule="auto"/>
        <w:ind w:firstLine="482" w:firstLineChars="200"/>
        <w:rPr>
          <w:rFonts w:ascii="宋体" w:hAnsi="宋体" w:cs="宋体"/>
          <w:b/>
          <w:sz w:val="24"/>
        </w:rPr>
      </w:pPr>
      <w:r>
        <w:rPr>
          <w:rFonts w:hint="eastAsia" w:ascii="宋体" w:hAnsi="宋体" w:cs="宋体"/>
          <w:b/>
          <w:sz w:val="24"/>
        </w:rPr>
        <w:t>2.0 合同生效</w:t>
      </w:r>
    </w:p>
    <w:p>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pPr>
        <w:autoSpaceDE w:val="0"/>
        <w:autoSpaceDN w:val="0"/>
        <w:spacing w:line="360" w:lineRule="auto"/>
        <w:rPr>
          <w:rFonts w:ascii="宋体" w:hAnsi="宋体"/>
          <w:sz w:val="24"/>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widowControl/>
        <w:spacing w:line="360" w:lineRule="auto"/>
        <w:jc w:val="left"/>
        <w:rPr>
          <w:rFonts w:ascii="宋体" w:hAnsi="宋体"/>
          <w:b/>
          <w:sz w:val="24"/>
        </w:rPr>
      </w:pPr>
    </w:p>
    <w:p>
      <w:pPr>
        <w:pStyle w:val="281"/>
        <w:spacing w:after="0"/>
        <w:ind w:firstLine="482"/>
        <w:jc w:val="center"/>
        <w:outlineLvl w:val="1"/>
        <w:rPr>
          <w:rFonts w:ascii="宋体" w:hAnsi="宋体"/>
          <w:b/>
          <w:szCs w:val="24"/>
        </w:rPr>
      </w:pPr>
      <w:r>
        <w:rPr>
          <w:rFonts w:hint="eastAsia" w:ascii="宋体" w:hAnsi="宋体"/>
          <w:b/>
          <w:szCs w:val="24"/>
        </w:rPr>
        <w:t>第二节</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rPr>
          <w:rFonts w:ascii="宋体" w:hAnsi="宋体"/>
          <w:b/>
          <w:sz w:val="24"/>
        </w:rPr>
      </w:pPr>
      <w:bookmarkStart w:id="109" w:name="_Toc25079"/>
      <w:bookmarkStart w:id="110" w:name="_Toc19680"/>
      <w:bookmarkStart w:id="111" w:name="_Toc5228"/>
      <w:bookmarkStart w:id="112" w:name="_Toc14021"/>
      <w:bookmarkStart w:id="113" w:name="_Toc31297"/>
      <w:r>
        <w:rPr>
          <w:rFonts w:ascii="宋体" w:hAnsi="宋体"/>
          <w:b/>
          <w:sz w:val="24"/>
        </w:rPr>
        <w:t>2.1 定义</w:t>
      </w:r>
      <w:bookmarkEnd w:id="109"/>
      <w:bookmarkEnd w:id="110"/>
      <w:bookmarkEnd w:id="111"/>
      <w:bookmarkEnd w:id="112"/>
      <w:bookmarkEnd w:id="113"/>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ascii="宋体" w:hAnsi="宋体"/>
          <w:sz w:val="24"/>
        </w:rPr>
        <w:t>2.1.6 “现场”系指合同约定提供服务的地点。</w:t>
      </w:r>
    </w:p>
    <w:p>
      <w:pPr>
        <w:spacing w:line="360" w:lineRule="auto"/>
        <w:ind w:firstLine="482" w:firstLineChars="200"/>
        <w:rPr>
          <w:rFonts w:ascii="宋体" w:hAnsi="宋体"/>
          <w:b/>
          <w:sz w:val="24"/>
        </w:rPr>
      </w:pPr>
      <w:bookmarkStart w:id="114" w:name="_Toc23289"/>
      <w:bookmarkStart w:id="115" w:name="_Toc16752"/>
      <w:bookmarkStart w:id="116" w:name="_Toc31402"/>
      <w:bookmarkStart w:id="117" w:name="_Toc19539"/>
      <w:bookmarkStart w:id="118" w:name="_Toc3769"/>
      <w:r>
        <w:rPr>
          <w:rFonts w:ascii="宋体" w:hAnsi="宋体"/>
          <w:b/>
          <w:sz w:val="24"/>
        </w:rPr>
        <w:t>2.2 技术规范</w:t>
      </w:r>
      <w:bookmarkEnd w:id="114"/>
      <w:bookmarkEnd w:id="115"/>
      <w:bookmarkEnd w:id="116"/>
      <w:bookmarkEnd w:id="117"/>
      <w:bookmarkEnd w:id="118"/>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rPr>
          <w:rFonts w:ascii="宋体" w:hAnsi="宋体"/>
          <w:b/>
          <w:sz w:val="24"/>
        </w:rPr>
      </w:pPr>
      <w:bookmarkStart w:id="119" w:name="_Toc12412"/>
      <w:bookmarkStart w:id="120" w:name="_Toc4133"/>
      <w:bookmarkStart w:id="121" w:name="_Toc9161"/>
      <w:bookmarkStart w:id="122" w:name="_Toc27945"/>
      <w:bookmarkStart w:id="123" w:name="_Toc13673"/>
      <w:r>
        <w:rPr>
          <w:rFonts w:ascii="宋体" w:hAnsi="宋体"/>
          <w:b/>
          <w:sz w:val="24"/>
        </w:rPr>
        <w:t>2.3 知识产权</w:t>
      </w:r>
      <w:bookmarkEnd w:id="119"/>
      <w:bookmarkEnd w:id="120"/>
      <w:bookmarkEnd w:id="121"/>
      <w:bookmarkEnd w:id="122"/>
      <w:bookmarkEnd w:id="123"/>
    </w:p>
    <w:p>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sz w:val="24"/>
        </w:rPr>
      </w:pPr>
      <w:bookmarkStart w:id="124" w:name="_Toc22011"/>
      <w:bookmarkStart w:id="125" w:name="_Toc31233"/>
      <w:bookmarkStart w:id="126" w:name="_Toc32670"/>
      <w:bookmarkStart w:id="127" w:name="_Toc26555"/>
      <w:bookmarkStart w:id="128" w:name="_Toc15447"/>
      <w:r>
        <w:rPr>
          <w:rFonts w:ascii="宋体" w:hAnsi="宋体"/>
          <w:b/>
          <w:sz w:val="24"/>
        </w:rPr>
        <w:t>2.5 结算方式和付款条件</w:t>
      </w:r>
      <w:bookmarkEnd w:id="124"/>
      <w:bookmarkEnd w:id="125"/>
      <w:bookmarkEnd w:id="126"/>
      <w:bookmarkEnd w:id="127"/>
      <w:bookmarkEnd w:id="128"/>
    </w:p>
    <w:p>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bookmarkStart w:id="129" w:name="_Toc13467"/>
      <w:bookmarkStart w:id="130" w:name="_Toc18990"/>
      <w:bookmarkStart w:id="131" w:name="_Toc13154"/>
      <w:bookmarkStart w:id="132" w:name="_Toc16163"/>
      <w:bookmarkStart w:id="133" w:name="_Toc30507"/>
      <w:r>
        <w:rPr>
          <w:rFonts w:ascii="宋体" w:hAnsi="宋体"/>
          <w:b/>
          <w:sz w:val="24"/>
        </w:rPr>
        <w:t>2.6 技术资料和保密义务</w:t>
      </w:r>
      <w:bookmarkEnd w:id="129"/>
      <w:bookmarkEnd w:id="130"/>
      <w:bookmarkEnd w:id="131"/>
      <w:bookmarkEnd w:id="132"/>
      <w:bookmarkEnd w:id="133"/>
    </w:p>
    <w:p>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sz w:val="24"/>
        </w:rPr>
      </w:pPr>
      <w:bookmarkStart w:id="134" w:name="_Toc19069"/>
      <w:r>
        <w:rPr>
          <w:rFonts w:ascii="宋体" w:hAnsi="宋体"/>
          <w:b/>
          <w:sz w:val="24"/>
        </w:rPr>
        <w:t xml:space="preserve">2.7 </w:t>
      </w:r>
      <w:r>
        <w:rPr>
          <w:rFonts w:hint="eastAsia" w:ascii="宋体" w:hAnsi="宋体"/>
          <w:b/>
          <w:sz w:val="24"/>
        </w:rPr>
        <w:t>质量保证</w:t>
      </w:r>
      <w:bookmarkEnd w:id="134"/>
    </w:p>
    <w:p>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sz w:val="24"/>
        </w:rPr>
      </w:pPr>
      <w:bookmarkStart w:id="135" w:name="_Toc22267"/>
      <w:r>
        <w:rPr>
          <w:rFonts w:ascii="宋体" w:hAnsi="宋体"/>
          <w:b/>
          <w:sz w:val="24"/>
        </w:rPr>
        <w:t xml:space="preserve">2.8 </w:t>
      </w:r>
      <w:r>
        <w:rPr>
          <w:rFonts w:hint="eastAsia" w:ascii="宋体" w:hAnsi="宋体"/>
          <w:b/>
          <w:sz w:val="24"/>
        </w:rPr>
        <w:t>延迟履行</w:t>
      </w:r>
      <w:bookmarkEnd w:id="135"/>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rPr>
          <w:rFonts w:ascii="宋体" w:hAnsi="宋体"/>
          <w:b/>
          <w:sz w:val="24"/>
        </w:rPr>
      </w:pPr>
      <w:bookmarkStart w:id="136" w:name="_Toc10611"/>
      <w:r>
        <w:rPr>
          <w:rFonts w:ascii="宋体" w:hAnsi="宋体"/>
          <w:b/>
          <w:sz w:val="24"/>
        </w:rPr>
        <w:t xml:space="preserve">2.9 </w:t>
      </w:r>
      <w:r>
        <w:rPr>
          <w:rFonts w:hint="eastAsia" w:ascii="宋体" w:hAnsi="宋体"/>
          <w:b/>
          <w:sz w:val="24"/>
        </w:rPr>
        <w:t>合同变更</w:t>
      </w:r>
      <w:bookmarkEnd w:id="136"/>
    </w:p>
    <w:p>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sz w:val="24"/>
        </w:rPr>
      </w:pPr>
      <w:bookmarkStart w:id="137" w:name="_Toc10663"/>
      <w:bookmarkStart w:id="138" w:name="_Toc42"/>
      <w:bookmarkStart w:id="139" w:name="_Toc21830"/>
      <w:bookmarkStart w:id="140" w:name="_Toc23368"/>
      <w:bookmarkStart w:id="141" w:name="_Toc26689"/>
      <w:r>
        <w:rPr>
          <w:rFonts w:ascii="宋体" w:hAnsi="宋体"/>
          <w:b/>
          <w:sz w:val="24"/>
        </w:rPr>
        <w:t>2.10 合同转让和分包</w:t>
      </w:r>
      <w:bookmarkEnd w:id="137"/>
      <w:bookmarkEnd w:id="138"/>
      <w:bookmarkEnd w:id="139"/>
      <w:bookmarkEnd w:id="140"/>
      <w:bookmarkEnd w:id="141"/>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rPr>
          <w:rFonts w:ascii="宋体" w:hAnsi="宋体"/>
          <w:b/>
          <w:sz w:val="24"/>
        </w:rPr>
      </w:pPr>
      <w:bookmarkStart w:id="142" w:name="_Toc26633"/>
      <w:bookmarkStart w:id="143" w:name="_Toc25571"/>
      <w:bookmarkStart w:id="144" w:name="_Toc4720"/>
      <w:bookmarkStart w:id="145" w:name="_Toc14371"/>
      <w:bookmarkStart w:id="146" w:name="_Toc32494"/>
      <w:r>
        <w:rPr>
          <w:rFonts w:ascii="宋体" w:hAnsi="宋体"/>
          <w:b/>
          <w:sz w:val="24"/>
        </w:rPr>
        <w:t>2.11 不可抗力</w:t>
      </w:r>
      <w:bookmarkEnd w:id="142"/>
      <w:bookmarkEnd w:id="143"/>
      <w:bookmarkEnd w:id="144"/>
      <w:bookmarkEnd w:id="145"/>
      <w:bookmarkEnd w:id="146"/>
    </w:p>
    <w:p>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b/>
          <w:sz w:val="24"/>
        </w:rPr>
      </w:pPr>
      <w:bookmarkStart w:id="147" w:name="_Toc25783"/>
      <w:bookmarkStart w:id="148" w:name="_Toc14115"/>
      <w:bookmarkStart w:id="149" w:name="_Toc24465"/>
      <w:bookmarkStart w:id="150" w:name="_Toc23854"/>
      <w:bookmarkStart w:id="151" w:name="_Toc3638"/>
      <w:r>
        <w:rPr>
          <w:rFonts w:ascii="宋体" w:hAnsi="宋体"/>
          <w:b/>
          <w:sz w:val="24"/>
        </w:rPr>
        <w:t>2.12 税费</w:t>
      </w:r>
      <w:bookmarkEnd w:id="147"/>
      <w:bookmarkEnd w:id="148"/>
      <w:bookmarkEnd w:id="149"/>
      <w:bookmarkEnd w:id="150"/>
      <w:bookmarkEnd w:id="151"/>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rPr>
          <w:rFonts w:ascii="宋体" w:hAnsi="宋体"/>
          <w:b/>
          <w:sz w:val="24"/>
        </w:rPr>
      </w:pPr>
      <w:bookmarkStart w:id="152" w:name="_Toc7315"/>
      <w:bookmarkStart w:id="153" w:name="_Toc14814"/>
      <w:bookmarkStart w:id="154" w:name="_Toc30105"/>
      <w:bookmarkStart w:id="155" w:name="_Toc26883"/>
      <w:bookmarkStart w:id="156" w:name="_Toc25525"/>
      <w:r>
        <w:rPr>
          <w:rFonts w:ascii="宋体" w:hAnsi="宋体"/>
          <w:b/>
          <w:sz w:val="24"/>
        </w:rPr>
        <w:t>2.13 乙方破产</w:t>
      </w:r>
      <w:bookmarkEnd w:id="152"/>
      <w:bookmarkEnd w:id="153"/>
      <w:bookmarkEnd w:id="154"/>
      <w:bookmarkEnd w:id="155"/>
      <w:bookmarkEnd w:id="156"/>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rPr>
          <w:rFonts w:ascii="宋体" w:hAnsi="宋体"/>
          <w:b/>
          <w:sz w:val="24"/>
        </w:rPr>
      </w:pPr>
      <w:bookmarkStart w:id="157" w:name="_Toc2016"/>
      <w:bookmarkStart w:id="158" w:name="_Toc23323"/>
      <w:bookmarkStart w:id="159" w:name="_Toc1123"/>
      <w:r>
        <w:rPr>
          <w:rFonts w:ascii="宋体" w:hAnsi="宋体"/>
          <w:b/>
          <w:sz w:val="24"/>
        </w:rPr>
        <w:t>2.14 合同中止、终止</w:t>
      </w:r>
      <w:bookmarkEnd w:id="157"/>
      <w:bookmarkEnd w:id="158"/>
      <w:bookmarkEnd w:id="159"/>
    </w:p>
    <w:p>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sz w:val="24"/>
        </w:rPr>
      </w:pPr>
      <w:bookmarkStart w:id="160" w:name="_Toc14525"/>
      <w:bookmarkStart w:id="161" w:name="_Toc17363"/>
      <w:bookmarkStart w:id="162" w:name="_Toc1969"/>
      <w:r>
        <w:rPr>
          <w:rFonts w:ascii="宋体" w:hAnsi="宋体"/>
          <w:b/>
          <w:sz w:val="24"/>
        </w:rPr>
        <w:t>2.15 检验和验收</w:t>
      </w:r>
      <w:bookmarkEnd w:id="160"/>
      <w:bookmarkEnd w:id="161"/>
      <w:bookmarkEnd w:id="162"/>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pPr>
        <w:spacing w:line="360" w:lineRule="auto"/>
        <w:ind w:firstLine="482" w:firstLineChars="200"/>
        <w:rPr>
          <w:rFonts w:ascii="宋体" w:hAnsi="宋体"/>
          <w:b/>
          <w:sz w:val="24"/>
        </w:rPr>
      </w:pPr>
      <w:bookmarkStart w:id="163" w:name="_Toc25198"/>
      <w:bookmarkStart w:id="164" w:name="_Toc2308"/>
      <w:bookmarkStart w:id="165" w:name="_Toc31892"/>
      <w:bookmarkStart w:id="166" w:name="_Toc9808"/>
      <w:bookmarkStart w:id="167" w:name="_Toc12666"/>
      <w:r>
        <w:rPr>
          <w:rFonts w:ascii="宋体" w:hAnsi="宋体"/>
          <w:b/>
          <w:sz w:val="24"/>
        </w:rPr>
        <w:t>2.16 通知和送达</w:t>
      </w:r>
      <w:bookmarkEnd w:id="163"/>
      <w:bookmarkEnd w:id="164"/>
      <w:bookmarkEnd w:id="165"/>
      <w:bookmarkEnd w:id="166"/>
      <w:bookmarkEnd w:id="167"/>
    </w:p>
    <w:p>
      <w:pPr>
        <w:spacing w:line="360" w:lineRule="auto"/>
        <w:ind w:firstLine="480" w:firstLineChars="200"/>
        <w:rPr>
          <w:rFonts w:ascii="宋体" w:hAnsi="宋体"/>
          <w:sz w:val="24"/>
        </w:rPr>
      </w:pPr>
      <w:bookmarkStart w:id="168" w:name="_Toc18401"/>
      <w:bookmarkStart w:id="169"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68"/>
      <w:bookmarkEnd w:id="169"/>
    </w:p>
    <w:p>
      <w:pPr>
        <w:spacing w:line="360" w:lineRule="auto"/>
        <w:ind w:firstLine="482" w:firstLineChars="200"/>
        <w:rPr>
          <w:rFonts w:ascii="宋体" w:hAnsi="宋体"/>
          <w:b/>
          <w:sz w:val="24"/>
        </w:rPr>
      </w:pPr>
      <w:bookmarkStart w:id="170" w:name="_Toc28906"/>
      <w:bookmarkStart w:id="171" w:name="_Toc20808"/>
      <w:bookmarkStart w:id="172" w:name="_Toc5063"/>
      <w:bookmarkStart w:id="173" w:name="_Toc27644"/>
      <w:bookmarkStart w:id="174" w:name="_Toc12254"/>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70"/>
      <w:bookmarkEnd w:id="171"/>
      <w:bookmarkEnd w:id="172"/>
      <w:bookmarkEnd w:id="173"/>
      <w:bookmarkEnd w:id="174"/>
    </w:p>
    <w:p>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pPr>
        <w:spacing w:line="360" w:lineRule="auto"/>
        <w:ind w:firstLine="482" w:firstLineChars="200"/>
        <w:rPr>
          <w:rFonts w:ascii="宋体" w:hAnsi="宋体" w:cs="宋体"/>
          <w:b/>
          <w:sz w:val="24"/>
        </w:rPr>
      </w:pPr>
      <w:r>
        <w:rPr>
          <w:rFonts w:hint="eastAsia" w:ascii="宋体" w:hAnsi="宋体" w:cs="宋体"/>
          <w:b/>
          <w:sz w:val="24"/>
        </w:rPr>
        <w:t>2.18 计量单位</w:t>
      </w:r>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合同专用条款</w:t>
      </w:r>
    </w:p>
    <w:p>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1.3.2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1.8.7</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2.19</w:t>
            </w:r>
          </w:p>
        </w:tc>
        <w:tc>
          <w:tcPr>
            <w:tcW w:w="4464" w:type="pct"/>
          </w:tcPr>
          <w:p>
            <w:pPr>
              <w:spacing w:line="360" w:lineRule="auto"/>
              <w:rPr>
                <w:rFonts w:ascii="宋体" w:hAnsi="宋体" w:cs="宋体"/>
                <w:sz w:val="24"/>
              </w:rPr>
            </w:pPr>
          </w:p>
        </w:tc>
      </w:tr>
    </w:tbl>
    <w:p>
      <w:pPr>
        <w:spacing w:line="360" w:lineRule="auto"/>
        <w:ind w:left="-420" w:leftChars="-200" w:right="-420" w:rightChars="-200" w:firstLine="480" w:firstLineChars="200"/>
        <w:rPr>
          <w:rFonts w:ascii="宋体" w:hAnsi="宋体" w:cs="宋体"/>
          <w:sz w:val="24"/>
        </w:rPr>
      </w:pPr>
    </w:p>
    <w:p>
      <w:pPr>
        <w:spacing w:line="360" w:lineRule="auto"/>
        <w:ind w:firstLine="562" w:firstLineChars="200"/>
        <w:jc w:val="center"/>
        <w:rPr>
          <w:rFonts w:asciiTheme="minorEastAsia" w:hAnsiTheme="minorEastAsia" w:eastAsiaTheme="minorEastAsia"/>
          <w:b/>
          <w:sz w:val="28"/>
          <w:szCs w:val="28"/>
        </w:rPr>
      </w:pPr>
    </w:p>
    <w:p>
      <w:pPr>
        <w:snapToGrid w:val="0"/>
        <w:spacing w:line="360" w:lineRule="auto"/>
        <w:jc w:val="center"/>
        <w:outlineLvl w:val="0"/>
        <w:rPr>
          <w:rFonts w:cs="仿宋_GB2312" w:asciiTheme="minorEastAsia" w:hAnsiTheme="minorEastAsia" w:eastAsiaTheme="minorEastAsia"/>
          <w:b/>
          <w:sz w:val="36"/>
          <w:szCs w:val="20"/>
        </w:rPr>
      </w:pPr>
      <w:bookmarkStart w:id="175" w:name="_Toc181203100"/>
      <w:r>
        <w:rPr>
          <w:rFonts w:hint="eastAsia" w:cs="仿宋_GB2312" w:asciiTheme="minorEastAsia" w:hAnsiTheme="minorEastAsia" w:eastAsiaTheme="minorEastAsia"/>
          <w:b/>
          <w:sz w:val="36"/>
          <w:szCs w:val="20"/>
        </w:rPr>
        <w:t>第七部分</w:t>
      </w:r>
      <w:bookmarkEnd w:id="68"/>
      <w:r>
        <w:rPr>
          <w:rFonts w:hint="eastAsia" w:cs="仿宋_GB2312" w:asciiTheme="minorEastAsia" w:hAnsiTheme="minorEastAsia" w:eastAsiaTheme="minorEastAsia"/>
          <w:b/>
          <w:sz w:val="36"/>
          <w:szCs w:val="20"/>
        </w:rPr>
        <w:t xml:space="preserve">  </w:t>
      </w:r>
      <w:bookmarkEnd w:id="69"/>
      <w:r>
        <w:rPr>
          <w:rFonts w:hint="eastAsia" w:cs="仿宋_GB2312" w:asciiTheme="minorEastAsia" w:hAnsiTheme="minorEastAsia" w:eastAsiaTheme="minorEastAsia"/>
          <w:b/>
          <w:sz w:val="36"/>
          <w:szCs w:val="20"/>
        </w:rPr>
        <w:t>应提交的有关格式范例</w:t>
      </w:r>
      <w:bookmarkEnd w:id="175"/>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pPr>
        <w:spacing w:line="360" w:lineRule="auto"/>
        <w:ind w:firstLine="480" w:firstLineChars="200"/>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pPr>
        <w:pStyle w:val="631"/>
        <w:rPr>
          <w:rFonts w:cs="宋体"/>
        </w:rPr>
      </w:pPr>
      <w:r>
        <w:rPr>
          <w:rFonts w:hint="eastAsia" w:cs="宋体"/>
          <w:lang w:val="zh-CN"/>
        </w:rPr>
        <w:t>（</w:t>
      </w:r>
      <w:r>
        <w:rPr>
          <w:rFonts w:hint="eastAsia" w:cs="宋体"/>
        </w:rPr>
        <w:t>18</w:t>
      </w:r>
      <w:r>
        <w:rPr>
          <w:rFonts w:hint="eastAsia" w:cs="宋体"/>
          <w:lang w:val="zh-CN"/>
        </w:rPr>
        <w:t>）承诺函</w:t>
      </w:r>
      <w:r>
        <w:rPr>
          <w:rFonts w:hint="eastAsia" w:cs="宋体"/>
        </w:rPr>
        <w:t>………………………………………………………………………（页码）</w:t>
      </w:r>
    </w:p>
    <w:p>
      <w:pPr>
        <w:pStyle w:val="631"/>
      </w:pPr>
      <w:r>
        <w:rPr>
          <w:rFonts w:hint="eastAsia"/>
        </w:rPr>
        <w:t>（19）商务、服务（技术）响应、偏离情况说明表…………………………（页码）</w:t>
      </w:r>
    </w:p>
    <w:p>
      <w:pPr>
        <w:pStyle w:val="631"/>
      </w:pPr>
      <w:r>
        <w:rPr>
          <w:rFonts w:hint="eastAsia"/>
        </w:rPr>
        <w:t>（20）初始报价表…………………………………………………………………（页码）</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w:t>
      </w:r>
      <w:r>
        <w:rPr>
          <w:rFonts w:hint="eastAsia" w:cs="仿宋_GB2312" w:asciiTheme="minorEastAsia" w:hAnsiTheme="minorEastAsia" w:eastAsiaTheme="minorEastAsia"/>
          <w:sz w:val="24"/>
          <w:lang w:eastAsia="zh-CN"/>
        </w:rPr>
        <w:t>北海市政务服务中心2026年后勤物业服务</w:t>
      </w:r>
      <w:r>
        <w:rPr>
          <w:rFonts w:hint="eastAsia" w:cs="仿宋_GB2312" w:asciiTheme="minorEastAsia" w:hAnsiTheme="minorEastAsia" w:eastAsiaTheme="minorEastAsia"/>
          <w:sz w:val="24"/>
        </w:rPr>
        <w:t>【项目编号：</w:t>
      </w:r>
      <w:r>
        <w:rPr>
          <w:rFonts w:hint="eastAsia" w:cs="仿宋_GB2312" w:asciiTheme="minorEastAsia" w:hAnsiTheme="minorEastAsia" w:eastAsiaTheme="minorEastAsia"/>
          <w:sz w:val="24"/>
          <w:lang w:eastAsia="zh-CN"/>
        </w:rPr>
        <w:t>BHZC2026-C3-990056-CGZX</w:t>
      </w:r>
      <w:r>
        <w:rPr>
          <w:rFonts w:hint="eastAsia" w:cs="仿宋_GB2312" w:asciiTheme="minorEastAsia" w:hAnsiTheme="minorEastAsia" w:eastAsiaTheme="minorEastAsia"/>
          <w:sz w:val="24"/>
        </w:rPr>
        <w:t>】的有关活动，并对此项目进行响应。为此：</w:t>
      </w:r>
    </w:p>
    <w:p>
      <w:pPr>
        <w:pStyle w:val="104"/>
        <w:numPr>
          <w:ilvl w:val="0"/>
          <w:numId w:val="7"/>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pPr>
        <w:numPr>
          <w:ilvl w:val="0"/>
          <w:numId w:val="7"/>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我方承诺除响应文件列出的偏离外，我方响应磋商文件的全部要求。</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pPr>
        <w:numPr>
          <w:ilvl w:val="0"/>
          <w:numId w:val="7"/>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pPr>
        <w:numPr>
          <w:ilvl w:val="0"/>
          <w:numId w:val="7"/>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pPr>
        <w:autoSpaceDE w:val="0"/>
        <w:autoSpaceDN w:val="0"/>
        <w:spacing w:line="360" w:lineRule="auto"/>
        <w:ind w:firstLine="3960" w:firstLineChars="1650"/>
        <w:rPr>
          <w:rFonts w:cs="仿宋_GB2312" w:asciiTheme="minorEastAsia" w:hAnsiTheme="minorEastAsia" w:eastAsiaTheme="minorEastAsia"/>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autoSpaceDE w:val="0"/>
        <w:autoSpaceDN w:val="0"/>
        <w:spacing w:line="360" w:lineRule="auto"/>
        <w:rPr>
          <w:rFonts w:cs="仿宋_GB2312" w:asciiTheme="minorEastAsia" w:hAnsiTheme="minorEastAsia" w:eastAsiaTheme="minorEastAsia"/>
          <w:kern w:val="0"/>
          <w:sz w:val="24"/>
        </w:rPr>
      </w:pPr>
    </w:p>
    <w:p>
      <w:pPr>
        <w:pStyle w:val="114"/>
        <w:keepNext w:val="0"/>
        <w:pageBreakBefore w:val="0"/>
        <w:tabs>
          <w:tab w:val="clear" w:pos="720"/>
        </w:tabs>
        <w:jc w:val="both"/>
        <w:outlineLvl w:val="9"/>
        <w:rPr>
          <w:rFonts w:cs="仿宋_GB2312" w:asciiTheme="minorEastAsia" w:hAnsiTheme="minorEastAsia" w:eastAsiaTheme="minorEastAsia"/>
          <w:sz w:val="24"/>
          <w:szCs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18"/>
          <w:szCs w:val="18"/>
        </w:rPr>
      </w:pP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rPr>
        <w:br w:type="page"/>
      </w:r>
      <w:r>
        <w:rPr>
          <w:rFonts w:hint="eastAsia" w:cs="仿宋_GB2312" w:asciiTheme="minorEastAsia" w:hAnsiTheme="minorEastAsia" w:eastAsiaTheme="minorEastAsia"/>
          <w:b/>
          <w:kern w:val="0"/>
          <w:sz w:val="32"/>
          <w:szCs w:val="32"/>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pPr>
        <w:snapToGrid w:val="0"/>
        <w:spacing w:line="360" w:lineRule="auto"/>
        <w:rPr>
          <w:rFonts w:ascii="宋体" w:hAnsi="宋体" w:cs="宋体"/>
          <w:sz w:val="24"/>
        </w:rPr>
      </w:pPr>
    </w:p>
    <w:p>
      <w:pPr>
        <w:snapToGrid w:val="0"/>
        <w:spacing w:line="360" w:lineRule="auto"/>
        <w:ind w:right="480"/>
        <w:rPr>
          <w:rFonts w:ascii="宋体" w:hAnsi="宋体" w:cs="宋体"/>
          <w:sz w:val="24"/>
        </w:rPr>
      </w:pPr>
      <w:r>
        <w:rPr>
          <w:rFonts w:hint="eastAsia" w:ascii="宋体" w:hAnsi="宋体" w:cs="宋体"/>
          <w:sz w:val="24"/>
        </w:rPr>
        <w:t>（采购人）、（采购代理机构）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lang w:eastAsia="zh-CN"/>
        </w:rPr>
        <w:t>北海市政务服务中心2026年后勤物业服务</w:t>
      </w:r>
      <w:r>
        <w:rPr>
          <w:rFonts w:hint="eastAsia" w:cs="仿宋_GB2312" w:asciiTheme="minorEastAsia" w:hAnsiTheme="minorEastAsia" w:eastAsiaTheme="minorEastAsia"/>
          <w:kern w:val="0"/>
          <w:sz w:val="24"/>
          <w:lang w:val="zh-CN"/>
        </w:rPr>
        <w:t>【项目编号：BHZC2026-C3-990056-CGZX】响应</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76"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76"/>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77"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77"/>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78"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78"/>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630"/>
        </w:rPr>
      </w:pPr>
      <w:r>
        <w:rPr>
          <w:rStyle w:val="630"/>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630"/>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snapToGrid w:val="0"/>
        <w:spacing w:line="360" w:lineRule="auto"/>
        <w:ind w:right="480"/>
        <w:jc w:val="center"/>
        <w:rPr>
          <w:rFonts w:cs="仿宋_GB2312" w:asciiTheme="minorEastAsia" w:hAnsiTheme="minorEastAsia" w:eastAsiaTheme="minorEastAsia"/>
          <w:b/>
          <w:sz w:val="32"/>
          <w:szCs w:val="32"/>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snapToGrid w:val="0"/>
        <w:spacing w:line="360" w:lineRule="auto"/>
        <w:ind w:right="48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pPr>
        <w:widowControl/>
        <w:spacing w:line="360" w:lineRule="auto"/>
        <w:ind w:firstLine="480"/>
        <w:jc w:val="left"/>
        <w:rPr>
          <w:rFonts w:cs="宋体"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sz w:val="24"/>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pPr>
        <w:jc w:val="center"/>
        <w:rPr>
          <w:rFonts w:ascii="宋体" w:hAnsi="宋体" w:cs="宋体"/>
          <w:b/>
          <w:kern w:val="0"/>
          <w:sz w:val="32"/>
          <w:szCs w:val="32"/>
          <w:lang w:val="zh-CN"/>
        </w:rPr>
      </w:pPr>
      <w:r>
        <w:rPr>
          <w:rFonts w:hint="eastAsia" w:cs="仿宋_GB2312" w:asciiTheme="minorEastAsia" w:hAnsiTheme="minorEastAsia" w:eastAsiaTheme="minorEastAsia"/>
          <w:b/>
          <w:kern w:val="0"/>
          <w:sz w:val="32"/>
          <w:szCs w:val="32"/>
          <w:lang w:val="zh-CN"/>
        </w:rPr>
        <w:t>三、</w:t>
      </w:r>
      <w:r>
        <w:rPr>
          <w:rFonts w:hint="eastAsia" w:ascii="宋体" w:hAnsi="宋体" w:cs="宋体"/>
          <w:b/>
          <w:kern w:val="0"/>
          <w:sz w:val="32"/>
          <w:szCs w:val="32"/>
          <w:lang w:val="zh-CN"/>
        </w:rPr>
        <w:t>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授权委托书（适用于非联合体磋商）</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lang w:eastAsia="zh-CN"/>
        </w:rPr>
        <w:t>北海市政务服务中心2026年后勤物业服务</w:t>
      </w:r>
      <w:r>
        <w:rPr>
          <w:rFonts w:hint="eastAsia" w:ascii="宋体" w:hAnsi="宋体" w:cs="宋体"/>
          <w:sz w:val="24"/>
        </w:rPr>
        <w:t>【项目编号：</w:t>
      </w:r>
      <w:r>
        <w:rPr>
          <w:rFonts w:hint="eastAsia" w:ascii="宋体" w:hAnsi="宋体" w:cs="宋体"/>
          <w:sz w:val="24"/>
          <w:lang w:eastAsia="zh-CN"/>
        </w:rPr>
        <w:t>BHZC2026-C3-990056-CGZX</w:t>
      </w:r>
      <w:r>
        <w:rPr>
          <w:rFonts w:hint="eastAsia" w:ascii="宋体" w:hAnsi="宋体" w:cs="宋体"/>
          <w:sz w:val="24"/>
        </w:rPr>
        <w:t>】</w:t>
      </w:r>
      <w:r>
        <w:rPr>
          <w:rFonts w:hint="eastAsia" w:ascii="宋体" w:hAnsi="宋体" w:cs="宋体"/>
          <w:kern w:val="0"/>
          <w:sz w:val="24"/>
          <w:lang w:val="zh-CN"/>
        </w:rPr>
        <w:t>政府采购磋商的一切事项，其法律后果由我方承担。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磋商供应商名称（公章）：</w:t>
      </w:r>
    </w:p>
    <w:p>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sz w:val="24"/>
        </w:rPr>
      </w:pPr>
    </w:p>
    <w:p>
      <w:pPr>
        <w:jc w:val="center"/>
        <w:rPr>
          <w:rFonts w:ascii="宋体" w:hAnsi="宋体" w:cs="宋体"/>
          <w:b/>
          <w:kern w:val="0"/>
          <w:sz w:val="32"/>
          <w:szCs w:val="32"/>
          <w:lang w:val="zh-CN"/>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授权委托书（适用于联合体磋商）</w:t>
      </w:r>
    </w:p>
    <w:p>
      <w:pPr>
        <w:pStyle w:val="631"/>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lang w:eastAsia="zh-CN"/>
        </w:rPr>
        <w:t>北海市政务服务中心2026年后勤物业服务</w:t>
      </w:r>
      <w:r>
        <w:rPr>
          <w:rFonts w:hint="eastAsia" w:ascii="宋体" w:hAnsi="宋体" w:cs="宋体"/>
          <w:sz w:val="24"/>
        </w:rPr>
        <w:t>【项目编号：</w:t>
      </w:r>
      <w:r>
        <w:rPr>
          <w:rFonts w:hint="eastAsia" w:ascii="宋体" w:hAnsi="宋体" w:cs="宋体"/>
          <w:sz w:val="24"/>
          <w:lang w:eastAsia="zh-CN"/>
        </w:rPr>
        <w:t>BHZC2026-C3-990056-CGZX</w:t>
      </w:r>
      <w:r>
        <w:rPr>
          <w:rFonts w:hint="eastAsia" w:ascii="宋体" w:hAnsi="宋体" w:cs="宋体"/>
          <w:sz w:val="24"/>
        </w:rPr>
        <w:t>】</w:t>
      </w:r>
      <w:r>
        <w:rPr>
          <w:rFonts w:hint="eastAsia" w:ascii="宋体" w:hAnsi="宋体" w:cs="宋体"/>
          <w:kern w:val="0"/>
          <w:sz w:val="24"/>
          <w:lang w:val="zh-CN"/>
        </w:rPr>
        <w:t>政府采购磋商的一切事项，其法律后果由我方承担。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Fonts w:ascii="宋体" w:hAnsi="宋体"/>
          <w:sz w:val="24"/>
        </w:rPr>
      </w:pPr>
      <w:r>
        <w:rPr>
          <w:rFonts w:hint="eastAsia" w:ascii="宋体" w:hAnsi="宋体"/>
          <w:sz w:val="24"/>
        </w:rPr>
        <w:t>法定代表人（负责人） (签名)：</w:t>
      </w:r>
    </w:p>
    <w:p>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pPr>
        <w:snapToGrid w:val="0"/>
        <w:spacing w:line="360" w:lineRule="auto"/>
        <w:ind w:firstLine="5040" w:firstLineChars="2100"/>
        <w:rPr>
          <w:rFonts w:ascii="宋体" w:hAnsi="宋体" w:cs="宋体"/>
          <w:kern w:val="0"/>
          <w:sz w:val="24"/>
          <w:lang w:val="zh-CN"/>
        </w:rPr>
      </w:pP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委托代理人和联合体牵头单位法定代表人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的身份证明（适用于法定代表人、单位负责人或者自然人本人代表磋商供应商参加谈判）</w:t>
      </w:r>
    </w:p>
    <w:p>
      <w:pPr>
        <w:adjustRightInd/>
        <w:spacing w:line="360" w:lineRule="auto"/>
        <w:rPr>
          <w:rFonts w:ascii="宋体" w:hAnsi="宋体" w:cs="宋体"/>
          <w:bCs/>
          <w:sz w:val="24"/>
          <w:szCs w:val="21"/>
        </w:rPr>
      </w:pPr>
    </w:p>
    <w:p>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pPr>
        <w:snapToGrid w:val="0"/>
        <w:spacing w:line="276" w:lineRule="auto"/>
        <w:ind w:firstLine="960" w:firstLineChars="400"/>
        <w:rPr>
          <w:rFonts w:ascii="宋体" w:hAnsi="宋体"/>
          <w:sz w:val="24"/>
          <w:u w:val="single"/>
        </w:rPr>
      </w:pPr>
    </w:p>
    <w:p>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pPr>
        <w:snapToGrid w:val="0"/>
        <w:spacing w:line="720" w:lineRule="exact"/>
        <w:ind w:firstLine="840" w:firstLineChars="350"/>
        <w:rPr>
          <w:rFonts w:ascii="宋体" w:hAnsi="宋体"/>
          <w:sz w:val="24"/>
        </w:rPr>
      </w:pPr>
      <w:r>
        <w:rPr>
          <w:rFonts w:hint="eastAsia" w:ascii="宋体" w:hAnsi="宋体"/>
          <w:sz w:val="24"/>
        </w:rPr>
        <w:t>特此证明。</w:t>
      </w:r>
    </w:p>
    <w:p>
      <w:pPr>
        <w:snapToGrid w:val="0"/>
        <w:spacing w:line="276" w:lineRule="auto"/>
        <w:rPr>
          <w:rFonts w:ascii="宋体" w:hAnsi="宋体"/>
          <w:sz w:val="24"/>
        </w:rPr>
      </w:pPr>
    </w:p>
    <w:p>
      <w:pPr>
        <w:snapToGrid w:val="0"/>
        <w:spacing w:line="276" w:lineRule="auto"/>
        <w:rPr>
          <w:rFonts w:ascii="宋体" w:hAnsi="宋体"/>
          <w:sz w:val="24"/>
        </w:rPr>
      </w:pPr>
      <w:r>
        <w:rPr>
          <w:rFonts w:hint="eastAsia" w:ascii="宋体" w:hAnsi="宋体"/>
          <w:sz w:val="24"/>
        </w:rPr>
        <w:t xml:space="preserve">                        </w:t>
      </w:r>
    </w:p>
    <w:p>
      <w:pPr>
        <w:snapToGrid w:val="0"/>
        <w:spacing w:line="276" w:lineRule="auto"/>
        <w:rPr>
          <w:rFonts w:ascii="宋体" w:hAnsi="宋体"/>
          <w:sz w:val="24"/>
        </w:rPr>
      </w:pPr>
    </w:p>
    <w:p>
      <w:pPr>
        <w:snapToGrid w:val="0"/>
        <w:spacing w:line="360" w:lineRule="auto"/>
        <w:ind w:firstLine="576"/>
        <w:jc w:val="center"/>
        <w:rPr>
          <w:rFonts w:ascii="宋体" w:hAnsi="宋体" w:cs="宋体"/>
          <w:kern w:val="0"/>
          <w:sz w:val="24"/>
          <w:lang w:val="zh-CN"/>
        </w:rPr>
      </w:pPr>
      <w:r>
        <w:rPr>
          <w:rFonts w:hint="eastAsia" w:ascii="宋体" w:hAnsi="宋体" w:cs="宋体"/>
          <w:sz w:val="24"/>
        </w:rPr>
        <w:t>磋商供应商名称</w:t>
      </w:r>
      <w:r>
        <w:rPr>
          <w:rFonts w:hint="eastAsia" w:ascii="宋体" w:hAnsi="宋体" w:cs="宋体"/>
          <w:kern w:val="0"/>
          <w:sz w:val="24"/>
          <w:lang w:val="zh-CN"/>
        </w:rPr>
        <w:t xml:space="preserve">(公章)：                              </w:t>
      </w:r>
    </w:p>
    <w:p>
      <w:pPr>
        <w:adjustRightInd/>
        <w:spacing w:line="360" w:lineRule="auto"/>
        <w:rPr>
          <w:rFonts w:ascii="宋体" w:hAnsi="宋体" w:cs="宋体"/>
          <w:bCs/>
          <w:sz w:val="24"/>
          <w:szCs w:val="21"/>
        </w:rPr>
      </w:pPr>
      <w:r>
        <w:rPr>
          <w:rFonts w:hint="eastAsia" w:ascii="宋体" w:hAnsi="宋体" w:cs="宋体"/>
          <w:kern w:val="0"/>
          <w:sz w:val="24"/>
          <w:szCs w:val="21"/>
          <w:lang w:val="zh-CN"/>
        </w:rPr>
        <w:t xml:space="preserve">                               日期：  年  月  日</w:t>
      </w:r>
    </w:p>
    <w:p>
      <w:pPr>
        <w:adjustRightInd/>
        <w:spacing w:line="360" w:lineRule="auto"/>
        <w:rPr>
          <w:rFonts w:ascii="宋体" w:hAnsi="宋体" w:cs="宋体"/>
          <w:bCs/>
          <w:sz w:val="24"/>
          <w:szCs w:val="21"/>
        </w:rPr>
      </w:pPr>
    </w:p>
    <w:p>
      <w:pPr>
        <w:adjustRightInd/>
        <w:spacing w:line="360" w:lineRule="auto"/>
        <w:rPr>
          <w:rFonts w:ascii="宋体" w:hAnsi="宋体" w:cs="宋体"/>
          <w:bCs/>
          <w:sz w:val="24"/>
          <w:szCs w:val="21"/>
        </w:rPr>
      </w:pPr>
      <w:r>
        <w:rPr>
          <w:rFonts w:hint="eastAsia" w:ascii="宋体" w:hAnsi="宋体"/>
          <w:sz w:val="24"/>
          <w:szCs w:val="21"/>
        </w:rPr>
        <w:t>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firstLine="3534" w:firstLineChars="1100"/>
        <w:rPr>
          <w:rFonts w:cs="仿宋_GB2312" w:asciiTheme="minorEastAsia" w:hAnsiTheme="minorEastAsia" w:eastAsiaTheme="minorEastAsia"/>
          <w:b/>
          <w:kern w:val="0"/>
          <w:sz w:val="32"/>
          <w:szCs w:val="32"/>
          <w:lang w:val="zh-CN"/>
        </w:rPr>
      </w:pPr>
    </w:p>
    <w:p>
      <w:pPr>
        <w:snapToGrid w:val="0"/>
        <w:spacing w:line="360" w:lineRule="auto"/>
        <w:ind w:firstLine="3534" w:firstLineChars="1100"/>
        <w:rPr>
          <w:rFonts w:cs="仿宋_GB2312" w:asciiTheme="minorEastAsia" w:hAnsiTheme="minorEastAsia" w:eastAsiaTheme="minorEastAsia"/>
          <w:b/>
          <w:kern w:val="0"/>
          <w:sz w:val="32"/>
          <w:szCs w:val="32"/>
          <w:lang w:val="zh-CN"/>
        </w:rPr>
      </w:pPr>
    </w:p>
    <w:p>
      <w:pPr>
        <w:pStyle w:val="631"/>
      </w:pPr>
    </w:p>
    <w:p>
      <w:pPr>
        <w:pStyle w:val="631"/>
      </w:pPr>
    </w:p>
    <w:p>
      <w:pPr>
        <w:snapToGrid w:val="0"/>
        <w:spacing w:line="360" w:lineRule="auto"/>
        <w:ind w:firstLine="3534" w:firstLineChars="1100"/>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lang w:eastAsia="zh-CN"/>
        </w:rPr>
        <w:t>北海市政务服务中心2026年后勤物业服务</w:t>
      </w:r>
      <w:r>
        <w:rPr>
          <w:rFonts w:hint="eastAsia" w:cs="宋体" w:asciiTheme="minorEastAsia" w:hAnsiTheme="minorEastAsia" w:eastAsiaTheme="minorEastAsia"/>
          <w:sz w:val="24"/>
        </w:rPr>
        <w:t>【项目编号：</w:t>
      </w:r>
      <w:r>
        <w:rPr>
          <w:rFonts w:hint="eastAsia" w:cs="宋体" w:asciiTheme="minorEastAsia" w:hAnsiTheme="minorEastAsia" w:eastAsiaTheme="minorEastAsia"/>
          <w:sz w:val="24"/>
          <w:lang w:eastAsia="zh-CN"/>
        </w:rPr>
        <w:t>BHZC2026-C3-990056-CGZX</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pPr>
        <w:pStyle w:val="631"/>
      </w:pPr>
      <w:r>
        <w:rPr>
          <w:rFonts w:hint="eastAsia"/>
        </w:rPr>
        <w:t>……</w:t>
      </w:r>
    </w:p>
    <w:p>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pPr>
        <w:snapToGrid w:val="0"/>
        <w:spacing w:line="360" w:lineRule="auto"/>
        <w:ind w:left="5520" w:hanging="5520" w:hangingChars="230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pPr>
        <w:snapToGrid w:val="0"/>
        <w:spacing w:line="360" w:lineRule="auto"/>
        <w:ind w:left="4830" w:leftChars="2300" w:firstLine="720" w:firstLineChars="300"/>
        <w:rPr>
          <w:rFonts w:cs="宋体" w:asciiTheme="minorEastAsia" w:hAnsiTheme="minorEastAsia" w:eastAsiaTheme="minorEastAsia"/>
          <w:kern w:val="0"/>
          <w:sz w:val="24"/>
          <w:lang w:val="zh-CN"/>
        </w:rPr>
      </w:pPr>
    </w:p>
    <w:p>
      <w:pPr>
        <w:snapToGrid w:val="0"/>
        <w:spacing w:line="360" w:lineRule="auto"/>
        <w:ind w:left="4830" w:leftChars="2300" w:firstLine="720" w:firstLine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磋商供应商名称(公章)：</w:t>
      </w:r>
    </w:p>
    <w:p>
      <w:pPr>
        <w:snapToGrid w:val="0"/>
        <w:spacing w:line="360" w:lineRule="auto"/>
        <w:jc w:val="right"/>
        <w:rPr>
          <w:rStyle w:val="630"/>
        </w:rPr>
      </w:pPr>
      <w:r>
        <w:rPr>
          <w:rStyle w:val="630"/>
          <w:rFonts w:hint="eastAsia"/>
        </w:rPr>
        <w:t>法定代表人（负责人） (签名)：</w:t>
      </w:r>
    </w:p>
    <w:p>
      <w:pPr>
        <w:snapToGrid w:val="0"/>
        <w:spacing w:line="360" w:lineRule="auto"/>
        <w:ind w:right="480" w:firstLine="5520" w:firstLineChars="2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pPr>
        <w:snapToGrid w:val="0"/>
        <w:spacing w:line="360" w:lineRule="auto"/>
        <w:jc w:val="right"/>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b/>
          <w:sz w:val="30"/>
          <w:szCs w:val="30"/>
        </w:rPr>
      </w:pPr>
    </w:p>
    <w:p>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p>
    <w:p>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pPr>
        <w:spacing w:line="360" w:lineRule="auto"/>
        <w:jc w:val="center"/>
        <w:rPr>
          <w:rFonts w:cs="仿宋_GB2312" w:asciiTheme="minorEastAsia" w:hAnsiTheme="minorEastAsia" w:eastAsiaTheme="minorEastAsia"/>
          <w:b/>
          <w:kern w:val="0"/>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对磋商文件中有关条款的拒绝声明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rPr>
          <w:rFonts w:cs="仿宋_GB2312" w:asciiTheme="minorEastAsia" w:hAnsiTheme="minorEastAsia" w:eastAsiaTheme="minorEastAsia"/>
          <w:b/>
          <w:bCs/>
          <w:kern w:val="0"/>
          <w:sz w:val="24"/>
        </w:rPr>
      </w:pPr>
    </w:p>
    <w:p>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pPr>
        <w:spacing w:line="360" w:lineRule="auto"/>
        <w:ind w:firstLine="1333" w:firstLineChars="400"/>
        <w:jc w:val="center"/>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bCs/>
          <w:sz w:val="24"/>
        </w:rPr>
      </w:pPr>
    </w:p>
    <w:p>
      <w:pPr>
        <w:spacing w:line="360" w:lineRule="auto"/>
        <w:ind w:firstLine="1000" w:firstLineChars="3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pPr>
        <w:autoSpaceDE w:val="0"/>
        <w:autoSpaceDN w:val="0"/>
        <w:spacing w:line="360" w:lineRule="auto"/>
        <w:rPr>
          <w:rFonts w:cs="仿宋_GB2312" w:asciiTheme="minorEastAsia" w:hAnsiTheme="minorEastAsia" w:eastAsiaTheme="minorEastAsia"/>
          <w:b/>
          <w:kern w:val="0"/>
          <w:sz w:val="28"/>
          <w:szCs w:val="28"/>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sz w:val="24"/>
              </w:rPr>
            </w:pPr>
          </w:p>
        </w:tc>
        <w:tc>
          <w:tcPr>
            <w:tcW w:w="1900" w:type="dxa"/>
          </w:tcPr>
          <w:p>
            <w:pPr>
              <w:pStyle w:val="31"/>
              <w:spacing w:line="360" w:lineRule="auto"/>
              <w:jc w:val="center"/>
              <w:rPr>
                <w:rFonts w:cs="仿宋_GB2312" w:asciiTheme="minorEastAsia" w:hAnsiTheme="minorEastAsia" w:eastAsiaTheme="minorEastAsia"/>
                <w:sz w:val="24"/>
              </w:rPr>
            </w:pPr>
          </w:p>
        </w:tc>
        <w:tc>
          <w:tcPr>
            <w:tcW w:w="1800" w:type="dxa"/>
          </w:tcPr>
          <w:p>
            <w:pPr>
              <w:pStyle w:val="31"/>
              <w:spacing w:line="360" w:lineRule="auto"/>
              <w:jc w:val="center"/>
              <w:rPr>
                <w:rFonts w:cs="仿宋_GB2312" w:asciiTheme="minorEastAsia" w:hAnsiTheme="minorEastAsia" w:eastAsiaTheme="minorEastAsia"/>
                <w:sz w:val="24"/>
              </w:rPr>
            </w:pPr>
          </w:p>
        </w:tc>
        <w:tc>
          <w:tcPr>
            <w:tcW w:w="2880" w:type="dxa"/>
          </w:tcPr>
          <w:p>
            <w:pPr>
              <w:pStyle w:val="31"/>
              <w:spacing w:line="360" w:lineRule="auto"/>
              <w:jc w:val="center"/>
              <w:rPr>
                <w:rFonts w:cs="仿宋_GB2312" w:asciiTheme="minorEastAsia" w:hAnsiTheme="minorEastAsia" w:eastAsiaTheme="minorEastAsia"/>
                <w:sz w:val="24"/>
              </w:rPr>
            </w:pPr>
          </w:p>
        </w:tc>
        <w:tc>
          <w:tcPr>
            <w:tcW w:w="1332" w:type="dxa"/>
          </w:tcPr>
          <w:p>
            <w:pPr>
              <w:pStyle w:val="31"/>
              <w:spacing w:line="360" w:lineRule="auto"/>
              <w:jc w:val="center"/>
              <w:rPr>
                <w:rFonts w:cs="仿宋_GB2312" w:asciiTheme="minorEastAsia" w:hAnsiTheme="minorEastAsia" w:eastAsiaTheme="minorEastAsia"/>
                <w:sz w:val="24"/>
              </w:rPr>
            </w:pPr>
          </w:p>
        </w:tc>
      </w:tr>
    </w:tbl>
    <w:p>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ascii="宋体" w:hAnsi="宋体" w:cs="宋体"/>
          <w:sz w:val="24"/>
        </w:rPr>
        <w:t>（采购人）、（采购代理机构）</w:t>
      </w:r>
      <w:r>
        <w:rPr>
          <w:rFonts w:hint="eastAsia" w:cs="仿宋_GB2312" w:asciiTheme="minorEastAsia" w:hAnsiTheme="minorEastAsia" w:eastAsiaTheme="minorEastAsia"/>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jc w:val="center"/>
        <w:rPr>
          <w:rFonts w:ascii="宋体" w:hAnsi="宋体" w:cs="宋体"/>
          <w:b/>
          <w:kern w:val="0"/>
          <w:sz w:val="32"/>
          <w:szCs w:val="21"/>
        </w:rPr>
      </w:pPr>
      <w:r>
        <w:rPr>
          <w:rFonts w:hint="eastAsia" w:cs="仿宋_GB2312" w:asciiTheme="minorEastAsia" w:hAnsiTheme="minorEastAsia" w:eastAsiaTheme="minorEastAsia"/>
          <w:b/>
          <w:bCs/>
          <w:sz w:val="30"/>
          <w:szCs w:val="30"/>
        </w:rPr>
        <w:t>十八</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我方作为本次采购项目的磋商供应商，根据磋商文件要求，现郑重承诺如下：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ascii="宋体" w:hAnsi="宋体" w:cs="宋体"/>
          <w:kern w:val="0"/>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pPr>
        <w:snapToGrid w:val="0"/>
        <w:spacing w:line="400" w:lineRule="exact"/>
        <w:ind w:firstLine="420" w:firstLineChars="200"/>
        <w:rPr>
          <w:rFonts w:asciiTheme="minorEastAsia" w:hAnsiTheme="minorEastAsia" w:eastAsiaTheme="minorEastAsia"/>
          <w:szCs w:val="21"/>
        </w:rPr>
      </w:pPr>
    </w:p>
    <w:p>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bl>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说明：1.应写明磋商文件对商务与服务技术要求的响应和偏离情况</w:t>
      </w:r>
      <w:r>
        <w:rPr>
          <w:rFonts w:hint="eastAsia" w:asciiTheme="minorEastAsia" w:hAnsiTheme="minorEastAsia" w:eastAsiaTheme="minorEastAsia"/>
          <w:bCs/>
          <w:sz w:val="24"/>
        </w:rPr>
        <w:t>；</w:t>
      </w:r>
    </w:p>
    <w:p>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pPr>
        <w:snapToGrid w:val="0"/>
        <w:spacing w:line="400" w:lineRule="exact"/>
        <w:rPr>
          <w:rFonts w:cs="Courier New"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jc w:val="center"/>
        <w:rPr>
          <w:rFonts w:ascii="宋体" w:hAnsi="宋体" w:cs="宋体"/>
          <w:b/>
          <w:bCs/>
          <w:sz w:val="32"/>
          <w:szCs w:val="32"/>
        </w:rPr>
      </w:pPr>
      <w:r>
        <w:rPr>
          <w:rFonts w:hint="eastAsia" w:ascii="宋体" w:hAnsi="宋体" w:cs="宋体"/>
          <w:b/>
          <w:bCs/>
          <w:sz w:val="32"/>
          <w:szCs w:val="32"/>
        </w:rPr>
        <w:t>二十</w:t>
      </w:r>
      <w:r>
        <w:rPr>
          <w:rFonts w:hint="eastAsia" w:ascii="宋体" w:hAnsi="宋体" w:cs="宋体"/>
          <w:b/>
          <w:kern w:val="0"/>
          <w:sz w:val="32"/>
          <w:szCs w:val="32"/>
        </w:rPr>
        <w:t>、</w:t>
      </w:r>
      <w:r>
        <w:rPr>
          <w:rFonts w:hint="eastAsia" w:ascii="宋体" w:hAnsi="宋体" w:cs="宋体"/>
          <w:b/>
          <w:bCs/>
          <w:sz w:val="32"/>
          <w:szCs w:val="32"/>
        </w:rPr>
        <w:t>初始报价表</w:t>
      </w:r>
    </w:p>
    <w:p>
      <w:pPr>
        <w:pStyle w:val="631"/>
        <w:jc w:val="center"/>
        <w:rPr>
          <w:rFonts w:asciiTheme="minorEastAsia" w:hAnsiTheme="minorEastAsia" w:eastAsiaTheme="minorEastAsia"/>
          <w:kern w:val="2"/>
          <w:szCs w:val="24"/>
        </w:rPr>
      </w:pPr>
      <w:r>
        <w:rPr>
          <w:rFonts w:hint="eastAsia" w:asciiTheme="minorEastAsia" w:hAnsiTheme="minorEastAsia" w:eastAsiaTheme="minorEastAsia"/>
          <w:kern w:val="2"/>
          <w:szCs w:val="24"/>
        </w:rPr>
        <w:t>（初始报价表格式参照第八部分  最后报价格式）</w:t>
      </w: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pP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sz w:val="36"/>
          <w:szCs w:val="36"/>
        </w:rPr>
      </w:pPr>
      <w:bookmarkStart w:id="179" w:name="_Toc181203101"/>
      <w:r>
        <w:rPr>
          <w:rFonts w:hint="eastAsia" w:cs="仿宋_GB2312" w:asciiTheme="minorEastAsia" w:hAnsiTheme="minorEastAsia" w:eastAsiaTheme="minorEastAsia"/>
          <w:b/>
          <w:sz w:val="36"/>
          <w:szCs w:val="36"/>
        </w:rPr>
        <w:t>第八部分  最后报价格式</w:t>
      </w:r>
      <w:bookmarkEnd w:id="179"/>
    </w:p>
    <w:p>
      <w:pPr>
        <w:pStyle w:val="631"/>
        <w:jc w:val="center"/>
        <w:rPr>
          <w:b/>
          <w:sz w:val="32"/>
          <w:szCs w:val="32"/>
        </w:rPr>
      </w:pPr>
      <w:r>
        <w:rPr>
          <w:rFonts w:hint="eastAsia"/>
          <w:b/>
          <w:sz w:val="32"/>
          <w:szCs w:val="32"/>
        </w:rPr>
        <w:t>（一）报价一览表</w:t>
      </w:r>
    </w:p>
    <w:p>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lang w:eastAsia="zh-CN"/>
        </w:rPr>
        <w:t>北海市政务服务中心2026年后勤物业服务</w:t>
      </w:r>
      <w:r>
        <w:rPr>
          <w:rFonts w:hint="eastAsia" w:cs="仿宋_GB2312" w:asciiTheme="minorEastAsia" w:hAnsiTheme="minorEastAsia" w:eastAsiaTheme="minorEastAsia"/>
          <w:sz w:val="24"/>
        </w:rPr>
        <w:t>【项目编号：</w:t>
      </w:r>
      <w:r>
        <w:rPr>
          <w:rFonts w:hint="eastAsia" w:cs="仿宋_GB2312" w:asciiTheme="minorEastAsia" w:hAnsiTheme="minorEastAsia" w:eastAsiaTheme="minorEastAsia"/>
          <w:sz w:val="24"/>
          <w:lang w:eastAsia="zh-CN"/>
        </w:rPr>
        <w:t>BHZC2026-C3-990056-CGZX</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的实施。</w:t>
      </w:r>
    </w:p>
    <w:p>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pPr>
              <w:spacing w:line="360" w:lineRule="auto"/>
              <w:jc w:val="center"/>
              <w:rPr>
                <w:rFonts w:cs="宋体"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磋商报价（小写）</w:t>
            </w:r>
          </w:p>
        </w:tc>
        <w:tc>
          <w:tcPr>
            <w:tcW w:w="8647" w:type="dxa"/>
            <w:gridSpan w:val="4"/>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磋商报价（大写）</w:t>
            </w:r>
          </w:p>
        </w:tc>
        <w:tc>
          <w:tcPr>
            <w:tcW w:w="8647" w:type="dxa"/>
            <w:gridSpan w:val="4"/>
          </w:tcPr>
          <w:p>
            <w:pPr>
              <w:spacing w:line="360" w:lineRule="auto"/>
              <w:jc w:val="center"/>
              <w:rPr>
                <w:rFonts w:cs="宋体" w:asciiTheme="minorEastAsia" w:hAnsiTheme="minorEastAsia" w:eastAsiaTheme="minorEastAsia"/>
                <w:sz w:val="24"/>
              </w:rPr>
            </w:pPr>
          </w:p>
        </w:tc>
      </w:tr>
    </w:tbl>
    <w:p>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pPr>
        <w:spacing w:line="360" w:lineRule="auto"/>
        <w:ind w:firstLine="480" w:firstLineChars="200"/>
        <w:rPr>
          <w:rFonts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ascii="宋体" w:hAnsi="宋体" w:cs="宋体"/>
          <w:color w:val="FF0000"/>
          <w:kern w:val="0"/>
          <w:sz w:val="24"/>
          <w:lang w:val="zh-CN"/>
        </w:rPr>
        <w:t>符合磋商文件中列明的可享受</w:t>
      </w:r>
      <w:r>
        <w:rPr>
          <w:rFonts w:hint="eastAsia" w:ascii="宋体" w:hAnsi="宋体" w:cs="宋体"/>
          <w:color w:val="FF0000"/>
          <w:sz w:val="24"/>
        </w:rPr>
        <w:t>本国产品标准及相关政策</w:t>
      </w:r>
      <w:r>
        <w:rPr>
          <w:rFonts w:hint="eastAsia" w:ascii="宋体" w:hAnsi="宋体" w:cs="宋体"/>
          <w:color w:val="FF0000"/>
          <w:kern w:val="0"/>
          <w:sz w:val="24"/>
          <w:lang w:val="zh-CN"/>
        </w:rPr>
        <w:t>的供应商，请填写</w:t>
      </w:r>
      <w:r>
        <w:rPr>
          <w:rFonts w:hint="eastAsia" w:ascii="宋体" w:hAnsi="宋体" w:cs="宋体"/>
          <w:color w:val="FF0000"/>
          <w:sz w:val="24"/>
        </w:rPr>
        <w:t>《关于符合本国产品标准的声明函》或出具财政部会同有关部门规定的有关证明文件。当采购项目或者采购包中含有多种产品，</w:t>
      </w:r>
      <w:r>
        <w:rPr>
          <w:rFonts w:hint="eastAsia" w:ascii="宋体" w:hAnsi="宋体" w:cs="宋体"/>
          <w:color w:val="FF0000"/>
          <w:kern w:val="0"/>
          <w:sz w:val="24"/>
          <w:lang w:val="zh-CN"/>
        </w:rPr>
        <w:t>供应商还</w:t>
      </w:r>
      <w:r>
        <w:rPr>
          <w:rFonts w:hint="eastAsia" w:ascii="宋体" w:hAnsi="宋体" w:cs="宋体"/>
          <w:color w:val="FF0000"/>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FF0000"/>
          <w:kern w:val="0"/>
          <w:sz w:val="24"/>
          <w:lang w:val="zh-CN"/>
        </w:rPr>
        <w:t>注：供应商提供的</w:t>
      </w:r>
      <w:r>
        <w:rPr>
          <w:rFonts w:hint="eastAsia" w:ascii="宋体" w:hAnsi="宋体" w:cs="宋体"/>
          <w:color w:val="FF0000"/>
          <w:sz w:val="24"/>
        </w:rPr>
        <w:t>《声明函》</w:t>
      </w:r>
      <w:r>
        <w:rPr>
          <w:rFonts w:hint="eastAsia" w:ascii="宋体" w:hAnsi="宋体" w:cs="宋体"/>
          <w:color w:val="FF0000"/>
          <w:kern w:val="0"/>
          <w:sz w:val="24"/>
          <w:lang w:val="zh-CN"/>
        </w:rPr>
        <w:t>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6、</w:t>
      </w:r>
      <w:r>
        <w:rPr>
          <w:rFonts w:hint="eastAsia" w:ascii="宋体" w:hAnsi="宋体" w:cs="宋体"/>
          <w:color w:val="FF0000"/>
          <w:kern w:val="0"/>
          <w:sz w:val="24"/>
        </w:rPr>
        <w:t>最后报价属于磋商文件规定的政府采购异常低价情形之一，</w:t>
      </w:r>
      <w:r>
        <w:rPr>
          <w:rFonts w:hint="eastAsia" w:ascii="宋体" w:hAnsi="宋体" w:cs="宋体"/>
          <w:color w:val="FF0000"/>
          <w:kern w:val="0"/>
          <w:sz w:val="24"/>
          <w:lang w:val="zh-CN"/>
        </w:rPr>
        <w:t>供应商</w:t>
      </w:r>
      <w:r>
        <w:rPr>
          <w:rFonts w:hint="eastAsia" w:ascii="宋体" w:hAnsi="宋体" w:cs="宋体"/>
          <w:color w:val="FF0000"/>
          <w:kern w:val="0"/>
          <w:sz w:val="24"/>
        </w:rPr>
        <w:t>应当按照谈判小组的要求提供书面说明、证明材料。</w:t>
      </w:r>
      <w:r>
        <w:rPr>
          <w:rFonts w:hint="eastAsia" w:ascii="宋体" w:hAnsi="宋体" w:cs="宋体"/>
          <w:color w:val="FF0000"/>
          <w:kern w:val="0"/>
          <w:sz w:val="24"/>
          <w:lang w:val="zh-CN"/>
        </w:rPr>
        <w:t>供应商</w:t>
      </w:r>
      <w:r>
        <w:rPr>
          <w:rFonts w:hint="eastAsia" w:ascii="宋体" w:hAnsi="宋体" w:cs="宋体"/>
          <w:color w:val="FF0000"/>
          <w:kern w:val="0"/>
          <w:sz w:val="24"/>
        </w:rPr>
        <w:t>不能提供书面说明、证明材料，或者提供的书面说明、证明材料不能证明其报价合理性的，谈判无效</w:t>
      </w:r>
      <w:r>
        <w:rPr>
          <w:rFonts w:hint="eastAsia" w:ascii="宋体" w:hAnsi="宋体" w:cs="宋体"/>
          <w:color w:val="FF0000"/>
          <w:kern w:val="0"/>
          <w:sz w:val="24"/>
          <w:lang w:val="zh-CN"/>
        </w:rPr>
        <w:t>。</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zh-CN"/>
        </w:rPr>
        <w:t>7、</w:t>
      </w:r>
      <w:r>
        <w:rPr>
          <w:rFonts w:hint="eastAsia" w:cs="仿宋_GB2312" w:asciiTheme="minorEastAsia" w:hAnsiTheme="minorEastAsia" w:eastAsiaTheme="minorEastAsia"/>
          <w:kern w:val="0"/>
          <w:sz w:val="24"/>
          <w:lang w:val="zh-CN"/>
        </w:rPr>
        <w:t>如有多轮报价，则每轮报价</w:t>
      </w:r>
      <w:r>
        <w:rPr>
          <w:rFonts w:hint="eastAsia" w:cs="宋体" w:asciiTheme="minorEastAsia" w:hAnsiTheme="minorEastAsia" w:eastAsiaTheme="minorEastAsia"/>
          <w:kern w:val="0"/>
          <w:sz w:val="24"/>
          <w:lang w:val="zh-CN"/>
        </w:rPr>
        <w:t>供应商均</w:t>
      </w:r>
      <w:r>
        <w:rPr>
          <w:rFonts w:hint="eastAsia" w:ascii="宋体" w:hAnsi="宋体" w:cs="宋体"/>
          <w:kern w:val="0"/>
          <w:sz w:val="24"/>
          <w:lang w:val="zh-CN"/>
        </w:rPr>
        <w:t>需按本表格式填写</w:t>
      </w:r>
      <w:r>
        <w:rPr>
          <w:rFonts w:cs="仿宋_GB2312" w:asciiTheme="minorEastAsia" w:hAnsiTheme="minorEastAsia" w:eastAsiaTheme="minorEastAsia"/>
          <w:kern w:val="0"/>
          <w:sz w:val="24"/>
          <w:lang w:val="zh-CN"/>
        </w:rPr>
        <w:t>。</w:t>
      </w:r>
    </w:p>
    <w:p>
      <w:pPr>
        <w:spacing w:line="360" w:lineRule="auto"/>
        <w:ind w:right="-874" w:rightChars="-416"/>
        <w:rPr>
          <w:rFonts w:cs="仿宋_GB2312" w:asciiTheme="minorEastAsia" w:hAnsiTheme="minorEastAsia" w:eastAsiaTheme="minorEastAsia"/>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9456" w:firstLineChars="394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firstLine="4920" w:firstLineChars="205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ind w:right="-874" w:rightChars="-416"/>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80" w:name="_Toc465665161"/>
      <w:r>
        <w:rPr>
          <w:rFonts w:hint="eastAsia" w:asciiTheme="minorEastAsia" w:hAnsiTheme="minorEastAsia" w:eastAsiaTheme="minorEastAsia"/>
          <w:b/>
          <w:sz w:val="32"/>
          <w:szCs w:val="32"/>
        </w:rPr>
        <w:t>（如果有）</w:t>
      </w:r>
    </w:p>
    <w:p>
      <w:pPr>
        <w:widowControl/>
        <w:spacing w:line="360" w:lineRule="auto"/>
        <w:ind w:firstLine="120" w:firstLineChars="50"/>
        <w:jc w:val="left"/>
        <w:rPr>
          <w:rFonts w:cs="宋体" w:asciiTheme="minorEastAsia" w:hAnsiTheme="minorEastAsia" w:eastAsiaTheme="minorEastAsia"/>
          <w:b/>
          <w:sz w:val="24"/>
        </w:rPr>
      </w:pPr>
    </w:p>
    <w:p>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pPr>
        <w:widowControl/>
        <w:adjustRightInd/>
        <w:jc w:val="center"/>
        <w:rPr>
          <w:rFonts w:cs="仿宋_GB2312" w:asciiTheme="minorEastAsia" w:hAnsiTheme="minorEastAsia" w:eastAsiaTheme="minorEastAsia"/>
          <w:sz w:val="24"/>
        </w:rPr>
      </w:pPr>
    </w:p>
    <w:p>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pPr>
        <w:pStyle w:val="631"/>
      </w:pPr>
      <w:r>
        <w:rPr>
          <w:rFonts w:hint="eastAsia"/>
        </w:rPr>
        <w:t>附件</w:t>
      </w:r>
      <w:bookmarkEnd w:id="180"/>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sz w:val="30"/>
          <w:szCs w:val="30"/>
        </w:rPr>
      </w:pPr>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pPr>
        <w:spacing w:line="360" w:lineRule="auto"/>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pPr>
        <w:spacing w:line="360" w:lineRule="auto"/>
        <w:rPr>
          <w:rFonts w:asciiTheme="minorEastAsia" w:hAnsiTheme="minorEastAsia" w:eastAsiaTheme="minorEastAsia"/>
          <w:b/>
          <w:spacing w:val="6"/>
          <w:sz w:val="30"/>
          <w:szCs w:val="30"/>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single"/>
          <w:lang w:eastAsia="zh-CN"/>
        </w:rPr>
        <w:t>北海市政务服务中心2026年后勤物业服务</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sz w:val="24"/>
        </w:rPr>
        <w:t>：</w:t>
      </w: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pPr>
        <w:spacing w:line="360" w:lineRule="auto"/>
        <w:ind w:firstLine="480" w:firstLineChars="200"/>
        <w:rPr>
          <w:rFonts w:cs="仿宋_GB2312" w:asciiTheme="minorEastAsia" w:hAnsiTheme="minorEastAsia" w:eastAsiaTheme="minorEastAsia"/>
          <w:sz w:val="24"/>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pPr>
        <w:spacing w:line="360" w:lineRule="auto"/>
        <w:jc w:val="left"/>
        <w:rPr>
          <w:rFonts w:cs="仿宋_GB2312" w:asciiTheme="minorEastAsia" w:hAnsiTheme="minorEastAsia" w:eastAsiaTheme="minorEastAsia"/>
          <w:b/>
          <w:sz w:val="24"/>
        </w:rPr>
      </w:pPr>
    </w:p>
    <w:p>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pPr>
        <w:autoSpaceDE w:val="0"/>
        <w:autoSpaceDN w:val="0"/>
        <w:jc w:val="center"/>
        <w:rPr>
          <w:rFonts w:asciiTheme="minorEastAsia" w:hAnsiTheme="minorEastAsia" w:eastAsiaTheme="minorEastAsia"/>
          <w:b/>
          <w:bCs/>
          <w:sz w:val="32"/>
          <w:szCs w:val="32"/>
        </w:rPr>
      </w:pP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w:t>
      </w:r>
      <w:r>
        <w:rPr>
          <w:rFonts w:hint="eastAsia" w:cs="仿宋_GB2312" w:asciiTheme="minorEastAsia" w:hAnsiTheme="minorEastAsia" w:eastAsiaTheme="minorEastAsia"/>
          <w:sz w:val="24"/>
          <w:lang w:eastAsia="zh-CN"/>
        </w:rPr>
        <w:t>北海市政务服务中心2026年后勤物业服务</w:t>
      </w:r>
      <w:r>
        <w:rPr>
          <w:rFonts w:hint="eastAsia" w:cs="仿宋_GB2312" w:asciiTheme="minorEastAsia" w:hAnsiTheme="minorEastAsia" w:eastAsiaTheme="minorEastAsia"/>
          <w:sz w:val="24"/>
        </w:rPr>
        <w:t>【项目编号：</w:t>
      </w:r>
      <w:r>
        <w:rPr>
          <w:rFonts w:hint="eastAsia" w:cs="仿宋_GB2312" w:asciiTheme="minorEastAsia" w:hAnsiTheme="minorEastAsia" w:eastAsiaTheme="minorEastAsia"/>
          <w:sz w:val="24"/>
          <w:lang w:eastAsia="zh-CN"/>
        </w:rPr>
        <w:t>BHZC2026-C3-990056-CGZX</w:t>
      </w:r>
      <w:r>
        <w:rPr>
          <w:rFonts w:hint="eastAsia" w:cs="仿宋_GB2312" w:asciiTheme="minorEastAsia" w:hAnsiTheme="minorEastAsia" w:eastAsiaTheme="minorEastAsia"/>
          <w:sz w:val="24"/>
        </w:rPr>
        <w:t>】</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pPr>
        <w:widowControl/>
        <w:spacing w:line="360" w:lineRule="auto"/>
        <w:ind w:firstLine="480" w:firstLineChars="200"/>
        <w:jc w:val="left"/>
        <w:rPr>
          <w:rFonts w:cs="宋体" w:asciiTheme="minorEastAsia" w:hAnsiTheme="minorEastAsia" w:eastAsiaTheme="minorEastAsia"/>
          <w:kern w:val="0"/>
          <w:sz w:val="24"/>
        </w:rPr>
      </w:pPr>
    </w:p>
    <w:p>
      <w:pPr>
        <w:snapToGrid w:val="0"/>
        <w:spacing w:line="360" w:lineRule="auto"/>
        <w:jc w:val="cente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pPr>
        <w:spacing w:line="360" w:lineRule="auto"/>
        <w:jc w:val="center"/>
        <w:rPr>
          <w:rFonts w:cs="宋体" w:asciiTheme="minorEastAsia" w:hAnsiTheme="minorEastAsia" w:eastAsiaTheme="minorEastAsia"/>
          <w:b/>
          <w:sz w:val="32"/>
          <w:szCs w:val="32"/>
        </w:rPr>
      </w:pPr>
    </w:p>
    <w:p>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pPr>
        <w:spacing w:line="360" w:lineRule="auto"/>
        <w:jc w:val="center"/>
        <w:rPr>
          <w:rFonts w:cs="宋体" w:asciiTheme="minorEastAsia" w:hAnsiTheme="minorEastAsia" w:eastAsiaTheme="minorEastAsia"/>
          <w:b/>
          <w:sz w:val="32"/>
          <w:szCs w:val="32"/>
        </w:rPr>
      </w:pPr>
    </w:p>
    <w:p>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eastAsia="zh-CN"/>
        </w:rPr>
        <w:t>北海市政务服务中心2026年后勤物业服务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pPr>
        <w:spacing w:line="360" w:lineRule="auto"/>
        <w:ind w:right="1760"/>
        <w:jc w:val="right"/>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磋商供应商名称(公章)</w:t>
      </w:r>
      <w:r>
        <w:rPr>
          <w:rFonts w:hint="eastAsia" w:cs="宋体" w:asciiTheme="minorEastAsia" w:hAnsiTheme="minorEastAsia" w:eastAsiaTheme="minorEastAsia"/>
          <w:sz w:val="24"/>
        </w:rPr>
        <w:t>：</w:t>
      </w:r>
    </w:p>
    <w:p>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sz w:val="24"/>
        </w:rPr>
      </w:pPr>
    </w:p>
    <w:p>
      <w:pPr>
        <w:snapToGrid w:val="0"/>
        <w:spacing w:line="360" w:lineRule="auto"/>
        <w:jc w:val="left"/>
        <w:rPr>
          <w:rFonts w:ascii="宋体" w:hAnsi="宋体" w:cs="宋体"/>
          <w:b/>
          <w:color w:val="FF0000"/>
          <w:kern w:val="0"/>
          <w:sz w:val="32"/>
          <w:szCs w:val="32"/>
        </w:rPr>
      </w:pPr>
      <w:r>
        <w:rPr>
          <w:rFonts w:ascii="宋体" w:hAnsi="宋体" w:cs="宋体"/>
          <w:b/>
          <w:color w:val="FF0000"/>
          <w:kern w:val="0"/>
          <w:sz w:val="32"/>
          <w:szCs w:val="32"/>
        </w:rPr>
        <w:br w:type="page"/>
      </w: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附件6：关于符合本国产品标准的声明函</w:t>
      </w:r>
    </w:p>
    <w:p>
      <w:pPr>
        <w:spacing w:line="360" w:lineRule="auto"/>
        <w:jc w:val="center"/>
        <w:rPr>
          <w:rFonts w:ascii="宋体" w:hAnsi="宋体" w:cs="宋体"/>
          <w:color w:val="FF0000"/>
          <w:sz w:val="24"/>
          <w:u w:val="single"/>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w:t>
      </w:r>
      <w:r>
        <w:rPr>
          <w:rFonts w:hint="eastAsia" w:ascii="宋体" w:hAnsi="宋体" w:cs="宋体"/>
          <w:color w:val="FF0000"/>
          <w:sz w:val="24"/>
          <w:u w:val="single"/>
        </w:rPr>
        <w:t>（产品名称1）</w:t>
      </w:r>
      <w:r>
        <w:rPr>
          <w:rFonts w:hint="eastAsia" w:ascii="宋体" w:hAnsi="宋体" w:cs="宋体"/>
          <w:color w:val="FF0000"/>
          <w:sz w:val="24"/>
        </w:rPr>
        <w:t>1，生产厂为</w:t>
      </w:r>
      <w:r>
        <w:rPr>
          <w:rFonts w:hint="eastAsia" w:ascii="宋体" w:hAnsi="宋体" w:cs="宋体"/>
          <w:color w:val="FF0000"/>
          <w:sz w:val="24"/>
          <w:u w:val="single"/>
        </w:rPr>
        <w:t>（厂名）</w:t>
      </w:r>
      <w:r>
        <w:rPr>
          <w:rFonts w:hint="eastAsia" w:ascii="宋体" w:hAnsi="宋体" w:cs="宋体"/>
          <w:color w:val="FF0000"/>
          <w:sz w:val="24"/>
        </w:rPr>
        <w:t>2，厂址为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（产品名称1）</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3。</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4在中国境内生产。</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5在中国境内完成。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w:t>
      </w:r>
      <w:r>
        <w:rPr>
          <w:rFonts w:hint="eastAsia" w:ascii="宋体" w:hAnsi="宋体" w:cs="宋体"/>
          <w:color w:val="FF0000"/>
          <w:sz w:val="24"/>
          <w:u w:val="single"/>
        </w:rPr>
        <w:t>（产品名称2）</w:t>
      </w:r>
      <w:r>
        <w:rPr>
          <w:rFonts w:hint="eastAsia" w:ascii="宋体" w:hAnsi="宋体" w:cs="宋体"/>
          <w:color w:val="FF0000"/>
          <w:sz w:val="24"/>
        </w:rPr>
        <w:t>，生产厂为</w:t>
      </w:r>
      <w:r>
        <w:rPr>
          <w:rFonts w:hint="eastAsia" w:ascii="宋体" w:hAnsi="宋体" w:cs="宋体"/>
          <w:color w:val="FF0000"/>
          <w:sz w:val="24"/>
          <w:u w:val="single"/>
        </w:rPr>
        <w:t>（厂名）</w:t>
      </w:r>
      <w:r>
        <w:rPr>
          <w:rFonts w:hint="eastAsia" w:ascii="宋体" w:hAnsi="宋体" w:cs="宋体"/>
          <w:color w:val="FF0000"/>
          <w:sz w:val="24"/>
        </w:rPr>
        <w:t>，厂址为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在中国境内生产。</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1.产品如有型号，请在“产品名称”栏一并填写。</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2.生产厂名与厂址应与生产厂营业执照载明的相关信息保持一致。</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3.该产品的中国境内生产的组件成本占比相关要求实施前，“规定比例”栏可不填，下同。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4.该产品的关键组件要求实施前，“关键组件”栏可不填，下同。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5.该产品的关键工序要求实施前，“关键工序”栏可不填，下同。</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附件7：关于符合本国产品标准的产品成本之和占提供的全部产品成本之和的比例达到80%以上的声明函</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关于符合本国产品标准的产品成本之和占所提供的全部产品成本之和的比例达到80%以上的声明函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2.当采购项目或者采购包中含有多种产品，供应商拟享受该政策时提供。当采购项目或者采购包中仅含有单一产品时，无须提供本声明函。</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p>
    <w:p>
      <w:pPr>
        <w:spacing w:line="360" w:lineRule="auto"/>
        <w:rPr>
          <w:rFonts w:ascii="宋体" w:hAnsi="宋体" w:cs="宋体"/>
          <w:bCs/>
          <w:sz w:val="24"/>
        </w:rPr>
      </w:pPr>
    </w:p>
    <w:p>
      <w:pPr>
        <w:spacing w:line="360" w:lineRule="auto"/>
        <w:ind w:firstLine="482" w:firstLineChars="200"/>
        <w:rPr>
          <w:rFonts w:cs="仿宋_GB2312" w:asciiTheme="minorEastAsia" w:hAnsiTheme="minorEastAsia" w:eastAsiaTheme="minorEastAsia"/>
          <w:b/>
          <w:sz w:val="24"/>
        </w:rPr>
      </w:pPr>
    </w:p>
    <w:p>
      <w:pPr>
        <w:spacing w:line="360" w:lineRule="auto"/>
        <w:ind w:firstLine="482" w:firstLineChars="2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181" w:name="_Toc36110187"/>
    <w:bookmarkStart w:id="182" w:name="_Toc91899912"/>
    <w:bookmarkStart w:id="183" w:name="_Toc131845147"/>
    <w:bookmarkStart w:id="184" w:name="_Toc164085800"/>
    <w:r>
      <w:rPr>
        <w:rFonts w:hint="eastAsia" w:ascii="仿宋_GB2312" w:eastAsia="仿宋_GB2312"/>
        <w:kern w:val="0"/>
        <w:sz w:val="21"/>
        <w:szCs w:val="21"/>
      </w:rPr>
      <w:t xml:space="preserve"> 页</w:t>
    </w:r>
    <w:bookmarkEnd w:id="181"/>
    <w:bookmarkEnd w:id="182"/>
    <w:bookmarkEnd w:id="183"/>
    <w:bookmarkEnd w:id="18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sz w:val="21"/>
        <w:szCs w:val="21"/>
      </w:rPr>
    </w:pP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rPr>
        <w:sz w:val="21"/>
        <w:szCs w:val="21"/>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3E03"/>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1D1"/>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5C"/>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C8E"/>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494A"/>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717"/>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6708"/>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1FF6"/>
    <w:rsid w:val="002A2001"/>
    <w:rsid w:val="002A30AD"/>
    <w:rsid w:val="002A40B2"/>
    <w:rsid w:val="002A4EB3"/>
    <w:rsid w:val="002A51D9"/>
    <w:rsid w:val="002A5275"/>
    <w:rsid w:val="002A6BA2"/>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DA6"/>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4F8A"/>
    <w:rsid w:val="0031531A"/>
    <w:rsid w:val="00315394"/>
    <w:rsid w:val="00315A0E"/>
    <w:rsid w:val="00315D77"/>
    <w:rsid w:val="00316254"/>
    <w:rsid w:val="00316CDE"/>
    <w:rsid w:val="00317012"/>
    <w:rsid w:val="00320AAB"/>
    <w:rsid w:val="003219DA"/>
    <w:rsid w:val="0032226B"/>
    <w:rsid w:val="00322BF9"/>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0E87"/>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0FE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6F76"/>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601"/>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33BA"/>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29C"/>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1A6E"/>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657"/>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1D4"/>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6DE"/>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8E"/>
    <w:rsid w:val="006B5FBC"/>
    <w:rsid w:val="006B6ED2"/>
    <w:rsid w:val="006B7D1C"/>
    <w:rsid w:val="006C0230"/>
    <w:rsid w:val="006C09CC"/>
    <w:rsid w:val="006C09F4"/>
    <w:rsid w:val="006C3EFE"/>
    <w:rsid w:val="006C5D5D"/>
    <w:rsid w:val="006C6303"/>
    <w:rsid w:val="006C6D6B"/>
    <w:rsid w:val="006C6EBD"/>
    <w:rsid w:val="006C78F7"/>
    <w:rsid w:val="006D0681"/>
    <w:rsid w:val="006D0A80"/>
    <w:rsid w:val="006D1388"/>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1BB"/>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0DF"/>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41B"/>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B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07C5"/>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320"/>
    <w:rsid w:val="00837914"/>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3CB0"/>
    <w:rsid w:val="008F4FE8"/>
    <w:rsid w:val="008F4FED"/>
    <w:rsid w:val="008F52EC"/>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AED"/>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49"/>
    <w:rsid w:val="00A63DDD"/>
    <w:rsid w:val="00A66473"/>
    <w:rsid w:val="00A66E28"/>
    <w:rsid w:val="00A70590"/>
    <w:rsid w:val="00A71542"/>
    <w:rsid w:val="00A71FA0"/>
    <w:rsid w:val="00A72C1A"/>
    <w:rsid w:val="00A73C48"/>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5AE"/>
    <w:rsid w:val="00A937D5"/>
    <w:rsid w:val="00A93C70"/>
    <w:rsid w:val="00A94700"/>
    <w:rsid w:val="00A96126"/>
    <w:rsid w:val="00A970CE"/>
    <w:rsid w:val="00A974A9"/>
    <w:rsid w:val="00A974ED"/>
    <w:rsid w:val="00A97718"/>
    <w:rsid w:val="00AA08F3"/>
    <w:rsid w:val="00AA0F23"/>
    <w:rsid w:val="00AA1DA8"/>
    <w:rsid w:val="00AA238E"/>
    <w:rsid w:val="00AA2EB9"/>
    <w:rsid w:val="00AA3197"/>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49F5"/>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B69"/>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2FD6"/>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679D1"/>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6EE"/>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1AC"/>
    <w:rsid w:val="00BF4A15"/>
    <w:rsid w:val="00BF4AA1"/>
    <w:rsid w:val="00BF4E27"/>
    <w:rsid w:val="00BF6D77"/>
    <w:rsid w:val="00C01444"/>
    <w:rsid w:val="00C01EF2"/>
    <w:rsid w:val="00C0378E"/>
    <w:rsid w:val="00C04258"/>
    <w:rsid w:val="00C05162"/>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44F0"/>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1E96"/>
    <w:rsid w:val="00CF28F8"/>
    <w:rsid w:val="00CF2ACF"/>
    <w:rsid w:val="00CF345B"/>
    <w:rsid w:val="00CF475F"/>
    <w:rsid w:val="00CF5069"/>
    <w:rsid w:val="00CF5230"/>
    <w:rsid w:val="00CF7082"/>
    <w:rsid w:val="00D01590"/>
    <w:rsid w:val="00D030C1"/>
    <w:rsid w:val="00D03323"/>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7CD"/>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71D"/>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87"/>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7DF"/>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19B"/>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B82A38"/>
    <w:rsid w:val="03DD35E4"/>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86742B0"/>
    <w:rsid w:val="1B2A271F"/>
    <w:rsid w:val="1B890139"/>
    <w:rsid w:val="1D266CE1"/>
    <w:rsid w:val="1D3963AF"/>
    <w:rsid w:val="1E714A66"/>
    <w:rsid w:val="1FE868A9"/>
    <w:rsid w:val="211E26D6"/>
    <w:rsid w:val="21283D08"/>
    <w:rsid w:val="25B440B3"/>
    <w:rsid w:val="29997774"/>
    <w:rsid w:val="2AA1365A"/>
    <w:rsid w:val="2DD15014"/>
    <w:rsid w:val="2FD25781"/>
    <w:rsid w:val="310E5DFD"/>
    <w:rsid w:val="319C6071"/>
    <w:rsid w:val="32DB72BE"/>
    <w:rsid w:val="342E63AB"/>
    <w:rsid w:val="345D260B"/>
    <w:rsid w:val="365302AE"/>
    <w:rsid w:val="37F142D2"/>
    <w:rsid w:val="39A13F14"/>
    <w:rsid w:val="3B616332"/>
    <w:rsid w:val="3BD84B31"/>
    <w:rsid w:val="3C5F759A"/>
    <w:rsid w:val="3D5C78D4"/>
    <w:rsid w:val="3FFF72A6"/>
    <w:rsid w:val="42E1381E"/>
    <w:rsid w:val="43FB717C"/>
    <w:rsid w:val="451E447A"/>
    <w:rsid w:val="45345B76"/>
    <w:rsid w:val="47307808"/>
    <w:rsid w:val="486F747C"/>
    <w:rsid w:val="4D861CF6"/>
    <w:rsid w:val="50CB7FB2"/>
    <w:rsid w:val="51A0432A"/>
    <w:rsid w:val="524836C2"/>
    <w:rsid w:val="527140E5"/>
    <w:rsid w:val="5292508F"/>
    <w:rsid w:val="52A96B6F"/>
    <w:rsid w:val="550764A4"/>
    <w:rsid w:val="551926E0"/>
    <w:rsid w:val="561279B9"/>
    <w:rsid w:val="56515F3B"/>
    <w:rsid w:val="572B71CA"/>
    <w:rsid w:val="57E958DA"/>
    <w:rsid w:val="58AE4F0C"/>
    <w:rsid w:val="5A2A7C7B"/>
    <w:rsid w:val="5C80234E"/>
    <w:rsid w:val="5E261785"/>
    <w:rsid w:val="5FCC5339"/>
    <w:rsid w:val="5FE70807"/>
    <w:rsid w:val="60E53485"/>
    <w:rsid w:val="61054A27"/>
    <w:rsid w:val="611D2366"/>
    <w:rsid w:val="62885958"/>
    <w:rsid w:val="64CE2EAA"/>
    <w:rsid w:val="662E75B1"/>
    <w:rsid w:val="66342C2E"/>
    <w:rsid w:val="663E784C"/>
    <w:rsid w:val="685867EC"/>
    <w:rsid w:val="6E8E12EF"/>
    <w:rsid w:val="71D43752"/>
    <w:rsid w:val="73DD6243"/>
    <w:rsid w:val="749C4185"/>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next w:val="1"/>
    <w:link w:val="636"/>
    <w:qFormat/>
    <w:uiPriority w:val="99"/>
    <w:pPr>
      <w:tabs>
        <w:tab w:val="center" w:pos="4153"/>
        <w:tab w:val="right" w:pos="8306"/>
      </w:tabs>
      <w:snapToGrid w:val="0"/>
      <w:jc w:val="left"/>
    </w:pPr>
    <w:rPr>
      <w:sz w:val="18"/>
      <w:szCs w:val="18"/>
    </w:rPr>
  </w:style>
  <w:style w:type="paragraph" w:styleId="38">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link w:val="543"/>
    <w:qFormat/>
    <w:uiPriority w:val="0"/>
    <w:pPr>
      <w:ind w:firstLine="420"/>
    </w:pPr>
    <w:rPr>
      <w:szCs w:val="20"/>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7"/>
    <w:qFormat/>
    <w:locked/>
    <w:uiPriority w:val="99"/>
    <w:rPr>
      <w:kern w:val="2"/>
      <w:sz w:val="18"/>
      <w:szCs w:val="18"/>
    </w:rPr>
  </w:style>
  <w:style w:type="character" w:customStyle="1" w:styleId="637">
    <w:name w:val="页眉 Char2"/>
    <w:link w:val="38"/>
    <w:qFormat/>
    <w:uiPriority w:val="99"/>
    <w:rPr>
      <w:kern w:val="2"/>
      <w:sz w:val="18"/>
      <w:szCs w:val="18"/>
    </w:rPr>
  </w:style>
  <w:style w:type="paragraph" w:customStyle="1" w:styleId="638">
    <w:name w:val="p15"/>
    <w:basedOn w:val="1"/>
    <w:qFormat/>
    <w:uiPriority w:val="0"/>
    <w:pPr>
      <w:widowControl/>
    </w:pPr>
    <w:rPr>
      <w:rFonts w:ascii="宋体" w:hAnsi="宋体" w:cs="宋体"/>
      <w:kern w:val="0"/>
    </w:rPr>
  </w:style>
  <w:style w:type="paragraph" w:customStyle="1" w:styleId="639">
    <w:name w:val="Body text|1"/>
    <w:basedOn w:val="1"/>
    <w:qFormat/>
    <w:uiPriority w:val="0"/>
    <w:pPr>
      <w:spacing w:line="352" w:lineRule="auto"/>
      <w:ind w:firstLine="400"/>
      <w:jc w:val="left"/>
    </w:pPr>
    <w:rPr>
      <w:rFonts w:ascii="宋体" w:hAnsi="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03A52-BFBC-40E7-B4DC-844DC8F71C87}">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94</Pages>
  <Words>49497</Words>
  <Characters>52241</Characters>
  <Lines>422</Lines>
  <Paragraphs>118</Paragraphs>
  <TotalTime>9</TotalTime>
  <ScaleCrop>false</ScaleCrop>
  <LinksUpToDate>false</LinksUpToDate>
  <CharactersWithSpaces>58204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lenovo</cp:lastModifiedBy>
  <cp:lastPrinted>2026-03-24T08:14:00Z</cp:lastPrinted>
  <dcterms:modified xsi:type="dcterms:W3CDTF">2026-03-25T00:39:18Z</dcterms:modified>
  <dc:title>北海市政府采购中心</dc:title>
  <cp:revision>993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944B081E382C41AB8F1F28C95B2236D7</vt:lpwstr>
  </property>
</Properties>
</file>