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安保管理服务</w:t>
      </w:r>
    </w:p>
    <w:p>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pPr>
        <w:snapToGrid w:val="0"/>
        <w:spacing w:line="360" w:lineRule="auto"/>
        <w:jc w:val="center"/>
        <w:rPr>
          <w:rFonts w:cs="仿宋_GB2312" w:asciiTheme="minorEastAsia" w:hAnsiTheme="minorEastAsia" w:eastAsiaTheme="minorEastAsia"/>
          <w:sz w:val="30"/>
          <w:szCs w:val="30"/>
        </w:rPr>
      </w:pPr>
    </w:p>
    <w:p>
      <w:pPr>
        <w:snapToGrid w:val="0"/>
        <w:spacing w:line="360" w:lineRule="auto"/>
        <w:jc w:val="center"/>
        <w:rPr>
          <w:rFonts w:cs="仿宋_GB2312" w:asciiTheme="minorEastAsia" w:hAnsiTheme="minorEastAsia"/>
          <w:sz w:val="30"/>
          <w:szCs w:val="30"/>
        </w:rPr>
      </w:pPr>
      <w:r>
        <w:rPr>
          <w:rFonts w:hint="eastAsia" w:cs="仿宋_GB2312" w:asciiTheme="minorEastAsia" w:hAnsiTheme="minorEastAsia" w:eastAsiaTheme="minorEastAsia"/>
          <w:sz w:val="30"/>
          <w:szCs w:val="30"/>
        </w:rPr>
        <w:t>项目编号:</w:t>
      </w:r>
      <w:r>
        <w:t xml:space="preserve"> </w:t>
      </w:r>
      <w:bookmarkStart w:id="0" w:name="OLE_LINK13"/>
      <w:bookmarkStart w:id="1" w:name="OLE_LINK14"/>
      <w:r>
        <w:rPr>
          <w:rFonts w:hint="eastAsia" w:cs="仿宋_GB2312" w:asciiTheme="minorEastAsia" w:hAnsiTheme="minorEastAsia" w:eastAsiaTheme="minorEastAsia"/>
          <w:sz w:val="30"/>
          <w:szCs w:val="30"/>
        </w:rPr>
        <w:t>BHZC2026-C3-990030-CGZX</w:t>
      </w:r>
      <w:bookmarkEnd w:id="0"/>
      <w:bookmarkEnd w:id="1"/>
    </w:p>
    <w:p>
      <w:pPr>
        <w:adjustRightInd/>
        <w:spacing w:line="360" w:lineRule="auto"/>
        <w:rPr>
          <w:rFonts w:cs="仿宋_GB2312" w:asciiTheme="minorEastAsia" w:hAnsiTheme="minorEastAsia" w:eastAsiaTheme="minorEastAsia"/>
          <w:sz w:val="28"/>
          <w:szCs w:val="20"/>
        </w:rPr>
      </w:pPr>
    </w:p>
    <w:p>
      <w:pPr>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sz w:val="24"/>
        </w:rPr>
      </w:pPr>
    </w:p>
    <w:p>
      <w:pPr>
        <w:pStyle w:val="183"/>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pStyle w:val="183"/>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pPr>
        <w:snapToGrid w:val="0"/>
        <w:spacing w:line="360" w:lineRule="auto"/>
        <w:jc w:val="center"/>
        <w:rPr>
          <w:rFonts w:cs="仿宋_GB2312" w:asciiTheme="minorEastAsia" w:hAnsiTheme="minorEastAsia" w:eastAsiaTheme="minorEastAsia"/>
          <w:sz w:val="32"/>
          <w:szCs w:val="32"/>
        </w:rPr>
      </w:pPr>
    </w:p>
    <w:p>
      <w:pPr>
        <w:snapToGrid w:val="0"/>
        <w:spacing w:line="360" w:lineRule="auto"/>
        <w:jc w:val="center"/>
        <w:rPr>
          <w:rFonts w:cs="仿宋_GB2312" w:asciiTheme="minorEastAsia" w:hAnsiTheme="minorEastAsia" w:eastAsiaTheme="minorEastAsia"/>
          <w:sz w:val="32"/>
          <w:szCs w:val="32"/>
        </w:rPr>
      </w:pPr>
      <w:bookmarkStart w:id="2" w:name="OLE_LINK5"/>
      <w:bookmarkStart w:id="3" w:name="OLE_LINK7"/>
      <w:bookmarkStart w:id="4" w:name="OLE_LINK6"/>
      <w:r>
        <w:rPr>
          <w:rFonts w:hint="eastAsia" w:ascii="宋体" w:hAnsi="宋体" w:cs="宋体" w:eastAsiaTheme="minorEastAsia"/>
          <w:sz w:val="32"/>
          <w:szCs w:val="32"/>
        </w:rPr>
        <w:t xml:space="preserve">北海职业学院  </w:t>
      </w:r>
    </w:p>
    <w:bookmarkEnd w:id="2"/>
    <w:bookmarkEnd w:id="3"/>
    <w:bookmarkEnd w:id="4"/>
    <w:p>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二〇二六年一月二十九日</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5" w:name="_Hlt67893495"/>
      <w:bookmarkEnd w:id="5"/>
    </w:p>
    <w:p>
      <w:pPr>
        <w:tabs>
          <w:tab w:val="left" w:pos="2268"/>
        </w:tabs>
        <w:spacing w:line="360" w:lineRule="auto"/>
        <w:jc w:val="center"/>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pPr>
        <w:spacing w:line="360" w:lineRule="auto"/>
        <w:rPr>
          <w:rFonts w:cs="仿宋_GB2312" w:asciiTheme="minorEastAsia" w:hAnsiTheme="minorEastAsia" w:eastAsiaTheme="minorEastAsia"/>
          <w:sz w:val="32"/>
          <w:szCs w:val="32"/>
        </w:rPr>
      </w:pPr>
    </w:p>
    <w:p>
      <w:pPr>
        <w:spacing w:line="360" w:lineRule="auto"/>
        <w:rPr>
          <w:rFonts w:cs="仿宋_GB2312" w:asciiTheme="minorEastAsia" w:hAnsiTheme="minorEastAsia" w:eastAsiaTheme="minorEastAsia"/>
          <w:sz w:val="32"/>
          <w:szCs w:val="32"/>
        </w:rPr>
      </w:pPr>
    </w:p>
    <w:p>
      <w:pPr>
        <w:pStyle w:val="41"/>
        <w:tabs>
          <w:tab w:val="right" w:leader="dot" w:pos="9060"/>
        </w:tabs>
        <w:spacing w:line="360" w:lineRule="auto"/>
        <w:rPr>
          <w:rFonts w:asciiTheme="minorEastAsia" w:hAnsiTheme="minorEastAsia" w:eastAsiaTheme="minorEastAsia" w:cstheme="minorBidi"/>
          <w:sz w:val="32"/>
          <w:szCs w:val="32"/>
        </w:rPr>
      </w:pPr>
      <w:bookmarkStart w:id="6" w:name="_Hlt91233176"/>
      <w:bookmarkEnd w:id="6"/>
      <w:bookmarkStart w:id="7"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9"/>
          <w:rFonts w:hint="eastAsia" w:cs="仿宋_GB2312" w:asciiTheme="minorEastAsia" w:hAnsiTheme="minorEastAsia" w:eastAsiaTheme="minorEastAsia"/>
          <w:sz w:val="32"/>
          <w:szCs w:val="32"/>
        </w:rPr>
        <w:t>第一部分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9"/>
          <w:rFonts w:hint="eastAsia" w:cs="仿宋_GB2312" w:asciiTheme="minorEastAsia" w:hAnsiTheme="minorEastAsia" w:eastAsiaTheme="minorEastAsia"/>
          <w:sz w:val="32"/>
          <w:szCs w:val="32"/>
        </w:rPr>
        <w:t>第二部分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竞争性磋商流程</w:t>
      </w:r>
      <w:r>
        <w:rPr>
          <w:rFonts w:asciiTheme="minorEastAsia" w:hAnsiTheme="minorEastAsia" w:eastAsiaTheme="minorEastAsia"/>
          <w:sz w:val="32"/>
          <w:szCs w:val="32"/>
        </w:rPr>
        <w:tab/>
      </w:r>
      <w:r>
        <w:rPr>
          <w:rFonts w:hint="eastAsia" w:asciiTheme="minorEastAsia" w:hAnsiTheme="minorEastAsia" w:eastAsiaTheme="minorEastAsia"/>
          <w:sz w:val="32"/>
          <w:szCs w:val="32"/>
        </w:rPr>
        <w:t>6</w:t>
      </w:r>
      <w:r>
        <w:rPr>
          <w:rFonts w:hint="eastAsia" w:asciiTheme="minorEastAsia" w:hAnsiTheme="minorEastAsia" w:eastAsiaTheme="minorEastAsia"/>
          <w:sz w:val="32"/>
          <w:szCs w:val="32"/>
        </w:rPr>
        <w:fldChar w:fldCharType="end"/>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9"/>
          <w:rFonts w:hint="eastAsia" w:cs="仿宋_GB2312" w:asciiTheme="minorEastAsia" w:hAnsiTheme="minorEastAsia" w:eastAsiaTheme="minorEastAsia"/>
          <w:sz w:val="32"/>
          <w:szCs w:val="32"/>
        </w:rPr>
        <w:t>第三部分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供应商须知</w:t>
      </w:r>
      <w:r>
        <w:rPr>
          <w:rFonts w:asciiTheme="minorEastAsia" w:hAnsiTheme="minorEastAsia" w:eastAsiaTheme="minorEastAsia"/>
          <w:sz w:val="32"/>
          <w:szCs w:val="32"/>
        </w:rPr>
        <w:tab/>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0</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"_Toc181203097" </w:instrText>
      </w:r>
      <w:r>
        <w:fldChar w:fldCharType="separate"/>
      </w:r>
      <w:r>
        <w:rPr>
          <w:rStyle w:val="69"/>
          <w:rFonts w:hint="eastAsia" w:cs="仿宋_GB2312" w:asciiTheme="minorEastAsia" w:hAnsiTheme="minorEastAsia" w:eastAsiaTheme="minorEastAsia"/>
          <w:sz w:val="32"/>
          <w:szCs w:val="32"/>
        </w:rPr>
        <w:t>第四部分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采购需求</w:t>
      </w:r>
      <w:r>
        <w:rPr>
          <w:rFonts w:asciiTheme="minorEastAsia" w:hAnsiTheme="minorEastAsia" w:eastAsiaTheme="minorEastAsia"/>
          <w:sz w:val="32"/>
          <w:szCs w:val="32"/>
        </w:rPr>
        <w:tab/>
      </w:r>
      <w:r>
        <w:rPr>
          <w:rFonts w:hint="eastAsia" w:asciiTheme="minorEastAsia" w:hAnsiTheme="minorEastAsia" w:eastAsiaTheme="minorEastAsia"/>
          <w:sz w:val="32"/>
          <w:szCs w:val="32"/>
        </w:rPr>
        <w:t>3</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1</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"_Toc181203098" </w:instrText>
      </w:r>
      <w:r>
        <w:fldChar w:fldCharType="separate"/>
      </w:r>
      <w:r>
        <w:rPr>
          <w:rStyle w:val="69"/>
          <w:rFonts w:hint="eastAsia" w:cs="仿宋_GB2312" w:asciiTheme="minorEastAsia" w:hAnsiTheme="minorEastAsia" w:eastAsiaTheme="minorEastAsia"/>
          <w:sz w:val="32"/>
          <w:szCs w:val="32"/>
        </w:rPr>
        <w:t>第五部分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评审方法及评审标准</w:t>
      </w:r>
      <w:r>
        <w:rPr>
          <w:rFonts w:asciiTheme="minorEastAsia" w:hAnsiTheme="minorEastAsia" w:eastAsiaTheme="minorEastAsia"/>
          <w:sz w:val="32"/>
          <w:szCs w:val="32"/>
        </w:rPr>
        <w:tab/>
      </w: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0</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"_Toc181203099" </w:instrText>
      </w:r>
      <w:r>
        <w:fldChar w:fldCharType="separate"/>
      </w:r>
      <w:r>
        <w:rPr>
          <w:rStyle w:val="69"/>
          <w:rFonts w:hint="eastAsia" w:cs="仿宋_GB2312" w:asciiTheme="minorEastAsia" w:hAnsiTheme="minorEastAsia" w:eastAsiaTheme="minorEastAsia"/>
          <w:sz w:val="32"/>
          <w:szCs w:val="32"/>
        </w:rPr>
        <w:t>第六部分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8</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"_Toc181203100" </w:instrText>
      </w:r>
      <w:r>
        <w:fldChar w:fldCharType="separate"/>
      </w:r>
      <w:r>
        <w:rPr>
          <w:rStyle w:val="69"/>
          <w:rFonts w:hint="eastAsia" w:cs="仿宋_GB2312" w:asciiTheme="minorEastAsia" w:hAnsiTheme="minorEastAsia" w:eastAsiaTheme="minorEastAsia"/>
          <w:sz w:val="32"/>
          <w:szCs w:val="32"/>
        </w:rPr>
        <w:t>第七部分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hint="eastAsia" w:asciiTheme="minorEastAsia" w:hAnsiTheme="minorEastAsia" w:eastAsiaTheme="minorEastAsia"/>
          <w:sz w:val="32"/>
          <w:szCs w:val="32"/>
        </w:rPr>
        <w:t>5</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8</w:t>
      </w:r>
    </w:p>
    <w:p>
      <w:pPr>
        <w:pStyle w:val="41"/>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"_Toc181203101" </w:instrText>
      </w:r>
      <w:r>
        <w:fldChar w:fldCharType="separate"/>
      </w:r>
      <w:r>
        <w:rPr>
          <w:rStyle w:val="69"/>
          <w:rFonts w:hint="eastAsia" w:cs="仿宋_GB2312" w:asciiTheme="minorEastAsia" w:hAnsiTheme="minorEastAsia" w:eastAsiaTheme="minorEastAsia"/>
          <w:sz w:val="32"/>
          <w:szCs w:val="32"/>
        </w:rPr>
        <w:t>第八部分</w:t>
      </w:r>
      <w:r>
        <w:rPr>
          <w:rStyle w:val="69"/>
          <w:rFonts w:cs="仿宋_GB2312" w:asciiTheme="minorEastAsia" w:hAnsiTheme="minorEastAsia" w:eastAsiaTheme="minorEastAsia"/>
          <w:sz w:val="32"/>
          <w:szCs w:val="32"/>
        </w:rPr>
        <w:t xml:space="preserve">  </w:t>
      </w:r>
      <w:r>
        <w:rPr>
          <w:rStyle w:val="69"/>
          <w:rFonts w:hint="eastAsia" w:cs="仿宋_GB2312" w:asciiTheme="minorEastAsia" w:hAnsiTheme="minorEastAsia" w:eastAsiaTheme="minorEastAsia"/>
          <w:sz w:val="32"/>
          <w:szCs w:val="32"/>
        </w:rPr>
        <w:t>最后报价格式</w:t>
      </w:r>
      <w:r>
        <w:rPr>
          <w:rFonts w:asciiTheme="minorEastAsia" w:hAnsiTheme="minorEastAsia" w:eastAsiaTheme="minorEastAsia"/>
          <w:sz w:val="32"/>
          <w:szCs w:val="32"/>
        </w:rPr>
        <w:tab/>
      </w:r>
      <w:r>
        <w:rPr>
          <w:rFonts w:hint="eastAsia" w:asciiTheme="minorEastAsia" w:hAnsiTheme="minorEastAsia" w:eastAsiaTheme="minorEastAsia"/>
          <w:sz w:val="32"/>
          <w:szCs w:val="32"/>
        </w:rPr>
        <w:t>8</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1</w:t>
      </w:r>
    </w:p>
    <w:p>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ind w:firstLine="549" w:firstLineChars="229"/>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djustRightInd/>
        <w:spacing w:line="360" w:lineRule="auto"/>
        <w:jc w:val="center"/>
        <w:outlineLvl w:val="0"/>
        <w:rPr>
          <w:rFonts w:cs="仿宋_GB2312" w:asciiTheme="minorEastAsia" w:hAnsiTheme="minorEastAsia" w:eastAsiaTheme="minorEastAsia"/>
          <w:b/>
          <w:sz w:val="36"/>
          <w:szCs w:val="20"/>
        </w:rPr>
      </w:pPr>
      <w:bookmarkStart w:id="8" w:name="第一部分"/>
      <w:r>
        <w:rPr>
          <w:rFonts w:hint="eastAsia" w:cs="仿宋_GB2312" w:asciiTheme="minorEastAsia" w:hAnsiTheme="minorEastAsia" w:eastAsiaTheme="minorEastAsia"/>
          <w:b/>
          <w:sz w:val="36"/>
          <w:szCs w:val="36"/>
        </w:rPr>
        <w:br w:type="page"/>
      </w:r>
      <w:bookmarkEnd w:id="7"/>
      <w:bookmarkEnd w:id="8"/>
      <w:bookmarkStart w:id="9" w:name="_Hlt74707423"/>
      <w:bookmarkEnd w:id="9"/>
      <w:bookmarkStart w:id="10" w:name="_Hlt74649545"/>
      <w:bookmarkEnd w:id="10"/>
      <w:bookmarkStart w:id="11" w:name="_Hlt74729822"/>
      <w:bookmarkEnd w:id="11"/>
      <w:bookmarkStart w:id="12" w:name="_Hlt74728647"/>
      <w:bookmarkEnd w:id="12"/>
      <w:bookmarkStart w:id="13" w:name="_Toc181203094"/>
      <w:bookmarkStart w:id="14" w:name="第二部分"/>
      <w:bookmarkStart w:id="15" w:name="_Toc91899870"/>
      <w:bookmarkStart w:id="16" w:name="_Toc91899871"/>
      <w:r>
        <w:rPr>
          <w:rFonts w:hint="eastAsia" w:cs="仿宋_GB2312" w:asciiTheme="minorEastAsia" w:hAnsiTheme="minorEastAsia" w:eastAsiaTheme="minorEastAsia"/>
          <w:b/>
          <w:sz w:val="36"/>
          <w:szCs w:val="20"/>
        </w:rPr>
        <w:t>第一部分  邀请供应商</w:t>
      </w:r>
      <w:bookmarkEnd w:id="13"/>
    </w:p>
    <w:p>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pPr>
        <w:spacing w:line="360" w:lineRule="auto"/>
        <w:rPr>
          <w:rFonts w:asciiTheme="minorEastAsia" w:hAnsiTheme="minorEastAsia" w:eastAsiaTheme="minorEastAsia"/>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rPr>
        <w:t>安保管理服务</w:t>
      </w:r>
      <w:r>
        <w:rPr>
          <w:rFonts w:hint="eastAsia" w:asciiTheme="minorEastAsia" w:hAnsiTheme="minorEastAsia" w:eastAsiaTheme="minorEastAsia"/>
          <w:sz w:val="24"/>
        </w:rPr>
        <w:t>采购项目的潜在供应商应在</w:t>
      </w:r>
      <w:r>
        <w:rPr>
          <w:rFonts w:hint="eastAsia" w:ascii="宋体" w:hAnsi="宋体" w:cs="宋体"/>
          <w:sz w:val="24"/>
        </w:rPr>
        <w:t>广西政府采购云平台（https://www.gcy.zfcg.gxzf.gov.cn/）</w:t>
      </w:r>
      <w:r>
        <w:rPr>
          <w:rFonts w:hint="eastAsia" w:asciiTheme="minorEastAsia" w:hAnsiTheme="minorEastAsia" w:eastAsiaTheme="minorEastAsia"/>
          <w:sz w:val="24"/>
        </w:rPr>
        <w:t>获取采购文件，并于</w:t>
      </w:r>
      <w:bookmarkStart w:id="17" w:name="OLE_LINK3"/>
      <w:bookmarkStart w:id="18" w:name="OLE_LINK4"/>
      <w:r>
        <w:rPr>
          <w:rFonts w:hint="eastAsia" w:asciiTheme="minorEastAsia" w:hAnsiTheme="minorEastAsia" w:eastAsiaTheme="minorEastAsia"/>
          <w:sz w:val="24"/>
          <w:u w:val="single"/>
        </w:rPr>
        <w:t>2026年2月10日9点00</w:t>
      </w:r>
      <w:r>
        <w:rPr>
          <w:rFonts w:hint="eastAsia" w:asciiTheme="minorEastAsia" w:hAnsiTheme="minorEastAsia" w:eastAsiaTheme="minorEastAsia"/>
          <w:bCs/>
          <w:sz w:val="24"/>
          <w:u w:val="single"/>
        </w:rPr>
        <w:t xml:space="preserve"> 分00秒</w:t>
      </w:r>
      <w:bookmarkEnd w:id="17"/>
      <w:bookmarkEnd w:id="18"/>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pPr>
        <w:spacing w:line="360" w:lineRule="auto"/>
        <w:rPr>
          <w:rFonts w:asciiTheme="minorEastAsia" w:hAnsiTheme="minorEastAsia" w:eastAsiaTheme="minorEastAsia"/>
          <w:sz w:val="24"/>
        </w:rPr>
      </w:pPr>
    </w:p>
    <w:p>
      <w:pPr>
        <w:pStyle w:val="632"/>
        <w:ind w:firstLine="0"/>
        <w:rPr>
          <w:b/>
        </w:rPr>
      </w:pPr>
      <w:bookmarkStart w:id="19" w:name="_Toc35393629"/>
      <w:bookmarkStart w:id="20" w:name="_Toc35393798"/>
      <w:bookmarkStart w:id="21" w:name="_Toc28359012"/>
      <w:bookmarkStart w:id="22" w:name="_Toc28359089"/>
      <w:r>
        <w:rPr>
          <w:rFonts w:hint="eastAsia"/>
          <w:b/>
        </w:rPr>
        <w:t>一、项目基本情况</w:t>
      </w:r>
      <w:bookmarkEnd w:id="19"/>
      <w:bookmarkEnd w:id="20"/>
      <w:bookmarkEnd w:id="21"/>
      <w:bookmarkEnd w:id="22"/>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项目编号：BHZC2026-C3-990030-CGZX</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项目名称：安保管理服务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预算金额（元）：1,856,531.00</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asciiTheme="minorEastAsia" w:hAnsiTheme="minorEastAsia" w:eastAsiaTheme="minorEastAsia"/>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采购需求：</w:t>
      </w:r>
      <w:r>
        <w:rPr>
          <w:rFonts w:hint="eastAsia" w:hAnsi="宋体" w:cs="宋体"/>
          <w:bCs/>
          <w:sz w:val="24"/>
        </w:rPr>
        <w:t>（项目名称）主要内容：安保管理服务1项。</w:t>
      </w:r>
      <w:bookmarkStart w:id="23" w:name="OLE_LINK2"/>
      <w:bookmarkStart w:id="24" w:name="OLE_LINK1"/>
      <w:r>
        <w:rPr>
          <w:rFonts w:hint="eastAsia" w:cs="仿宋_GB2312" w:asciiTheme="minorEastAsia" w:hAnsiTheme="minorEastAsia" w:eastAsiaTheme="minorEastAsia"/>
          <w:sz w:val="24"/>
        </w:rPr>
        <w:t>详见磋商文件</w:t>
      </w:r>
      <w:bookmarkEnd w:id="23"/>
      <w:bookmarkEnd w:id="24"/>
      <w:r>
        <w:rPr>
          <w:rFonts w:hint="eastAsia" w:cs="仿宋_GB2312"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合同履行期限：</w:t>
      </w:r>
      <w:r>
        <w:rPr>
          <w:rFonts w:hint="eastAsia" w:cs="仿宋_GB2312" w:asciiTheme="minorEastAsia" w:hAnsiTheme="minorEastAsia" w:eastAsiaTheme="minorEastAsia"/>
          <w:sz w:val="24"/>
        </w:rPr>
        <w:t>详见磋商文件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本项目是否接受联合体磋商：</w:t>
      </w:r>
      <w:sdt>
        <w:sdtPr>
          <w:rPr>
            <w:rFonts w:hint="eastAsia" w:asciiTheme="minorEastAsia" w:hAnsiTheme="minorEastAsia" w:eastAsiaTheme="minorEastAsia"/>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MS Gothic" w:hAnsi="MS Gothic" w:eastAsia="MS Gothic"/>
              <w:sz w:val="24"/>
            </w:rPr>
            <w:t>☐</w:t>
          </w:r>
        </w:sdtContent>
      </w:sdt>
      <w:r>
        <w:rPr>
          <w:rFonts w:hint="eastAsia" w:asciiTheme="minorEastAsia" w:hAnsiTheme="minorEastAsia" w:eastAsiaTheme="minorEastAsia"/>
          <w:sz w:val="24"/>
        </w:rPr>
        <w:t>是，</w:t>
      </w:r>
      <w:sdt>
        <w:sdtPr>
          <w:rPr>
            <w:rFonts w:hint="eastAsia" w:asciiTheme="minorEastAsia" w:hAnsiTheme="minorEastAsia" w:eastAsiaTheme="minorEastAsia"/>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rPr>
        </w:sdtEndPr>
        <w:sdtContent>
          <w:r>
            <w:rPr>
              <w:rFonts w:hint="eastAsia" w:asciiTheme="minorEastAsia" w:hAnsiTheme="minorEastAsia" w:eastAsiaTheme="minorEastAsia"/>
              <w:sz w:val="24"/>
            </w:rPr>
            <w:sym w:font="Wingdings" w:char="F0FE"/>
          </w:r>
        </w:sdtContent>
      </w:sdt>
      <w:r>
        <w:rPr>
          <w:rFonts w:hint="eastAsia" w:asciiTheme="minorEastAsia" w:hAnsiTheme="minorEastAsia" w:eastAsiaTheme="minorEastAsia"/>
          <w:sz w:val="24"/>
        </w:rPr>
        <w:t>否。</w:t>
      </w:r>
    </w:p>
    <w:p>
      <w:pPr>
        <w:pStyle w:val="632"/>
        <w:ind w:firstLine="0"/>
        <w:rPr>
          <w:b/>
        </w:rPr>
      </w:pPr>
      <w:bookmarkStart w:id="25" w:name="_Toc28359013"/>
      <w:bookmarkStart w:id="26" w:name="_Toc28359090"/>
      <w:bookmarkStart w:id="27" w:name="_Toc35393630"/>
      <w:bookmarkStart w:id="28" w:name="_Toc35393799"/>
      <w:r>
        <w:rPr>
          <w:rFonts w:hint="eastAsia"/>
          <w:b/>
        </w:rPr>
        <w:t>二、申请人的资格要求：</w:t>
      </w:r>
      <w:bookmarkEnd w:id="25"/>
      <w:bookmarkEnd w:id="26"/>
      <w:bookmarkEnd w:id="27"/>
      <w:bookmarkEnd w:id="28"/>
    </w:p>
    <w:p>
      <w:pPr>
        <w:spacing w:line="360" w:lineRule="auto"/>
        <w:ind w:firstLine="480"/>
        <w:rPr>
          <w:rFonts w:cs="宋体" w:asciiTheme="minorEastAsia" w:hAnsiTheme="minorEastAsia" w:eastAsiaTheme="minorEastAsia"/>
          <w:snapToGrid w:val="0"/>
          <w:color w:val="FF0000"/>
          <w:kern w:val="28"/>
          <w:sz w:val="24"/>
          <w:szCs w:val="20"/>
        </w:rPr>
      </w:pPr>
      <w:r>
        <w:rPr>
          <w:rFonts w:hint="eastAsia" w:cs="宋体" w:asciiTheme="minorEastAsia" w:hAnsiTheme="minorEastAsia" w:eastAsiaTheme="minorEastAsia"/>
          <w:snapToGrid w:val="0"/>
          <w:color w:val="FF0000"/>
          <w:kern w:val="28"/>
          <w:sz w:val="24"/>
          <w:szCs w:val="20"/>
        </w:rPr>
        <w:t>1. 满足《中华人民共和国政府采购法》第二十二条规定；</w:t>
      </w:r>
      <w:r>
        <w:rPr>
          <w:rFonts w:cs="宋体" w:asciiTheme="minorEastAsia" w:hAnsiTheme="minorEastAsia" w:eastAsiaTheme="minorEastAsia"/>
          <w:snapToGrid w:val="0"/>
          <w:color w:val="FF0000"/>
          <w:kern w:val="28"/>
          <w:sz w:val="24"/>
          <w:szCs w:val="20"/>
        </w:rPr>
        <w:t xml:space="preserve"> </w:t>
      </w:r>
    </w:p>
    <w:p>
      <w:pPr>
        <w:spacing w:line="360" w:lineRule="auto"/>
        <w:rPr>
          <w:rFonts w:cs="宋体" w:asciiTheme="minorEastAsia" w:hAnsiTheme="minorEastAsia" w:eastAsiaTheme="minorEastAsia"/>
          <w:snapToGrid w:val="0"/>
          <w:color w:val="FF0000"/>
          <w:kern w:val="28"/>
          <w:sz w:val="24"/>
          <w:szCs w:val="20"/>
        </w:rPr>
      </w:pPr>
      <w:r>
        <w:rPr>
          <w:rFonts w:hint="eastAsia" w:cs="宋体" w:asciiTheme="minorEastAsia" w:hAnsiTheme="minorEastAsia" w:eastAsiaTheme="minorEastAsia"/>
          <w:snapToGrid w:val="0"/>
          <w:color w:val="FF0000"/>
          <w:kern w:val="28"/>
          <w:sz w:val="24"/>
          <w:szCs w:val="20"/>
        </w:rPr>
        <w:t xml:space="preserve">    </w:t>
      </w:r>
      <w:r>
        <w:rPr>
          <w:rFonts w:cs="宋体" w:asciiTheme="minorEastAsia" w:hAnsiTheme="minorEastAsia" w:eastAsiaTheme="minorEastAsia"/>
          <w:snapToGrid w:val="0"/>
          <w:color w:val="FF0000"/>
          <w:kern w:val="28"/>
          <w:sz w:val="24"/>
          <w:szCs w:val="20"/>
        </w:rPr>
        <w:t>2</w:t>
      </w:r>
      <w:r>
        <w:rPr>
          <w:rFonts w:hint="eastAsia" w:cs="宋体" w:asciiTheme="minorEastAsia" w:hAnsiTheme="minorEastAsia" w:eastAsiaTheme="minorEastAsia"/>
          <w:snapToGrid w:val="0"/>
          <w:color w:val="FF0000"/>
          <w:kern w:val="28"/>
          <w:sz w:val="24"/>
          <w:szCs w:val="20"/>
        </w:rPr>
        <w:t>.落实政府采购政策需满足的资格要求：</w:t>
      </w:r>
      <w:bookmarkStart w:id="29" w:name="OLE_LINK9"/>
      <w:r>
        <w:rPr>
          <w:rFonts w:hint="eastAsia" w:cs="宋体" w:asciiTheme="minorEastAsia" w:hAnsiTheme="minorEastAsia" w:eastAsiaTheme="minorEastAsia"/>
          <w:color w:val="FF0000"/>
          <w:kern w:val="0"/>
          <w:sz w:val="24"/>
        </w:rPr>
        <w:t>专</w:t>
      </w:r>
      <w:r>
        <w:rPr>
          <w:rFonts w:hint="eastAsia" w:cs="宋体" w:asciiTheme="minorEastAsia" w:hAnsiTheme="minorEastAsia" w:eastAsiaTheme="minorEastAsia"/>
          <w:color w:val="FF0000"/>
          <w:sz w:val="24"/>
        </w:rPr>
        <w:t>门面向中小企业，服务全部由符合政策要求的中小企业承接，提供中小企业声明函；</w:t>
      </w:r>
      <w:bookmarkEnd w:id="29"/>
    </w:p>
    <w:p>
      <w:pPr>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3.本项目的特定资格要求：具备有效《保安服务许可证》； </w:t>
      </w:r>
    </w:p>
    <w:p>
      <w:pPr>
        <w:pStyle w:val="632"/>
        <w:ind w:firstLine="0"/>
        <w:rPr>
          <w:b/>
        </w:rPr>
      </w:pPr>
      <w:bookmarkStart w:id="30" w:name="_Toc28359091"/>
      <w:bookmarkStart w:id="31" w:name="_Toc35393631"/>
      <w:bookmarkStart w:id="32" w:name="_Toc35393800"/>
      <w:bookmarkStart w:id="33" w:name="_Toc28359014"/>
      <w:r>
        <w:rPr>
          <w:rFonts w:hint="eastAsia"/>
          <w:b/>
        </w:rPr>
        <w:t>三、获取（下载）采购文件</w:t>
      </w:r>
      <w:bookmarkEnd w:id="30"/>
      <w:bookmarkEnd w:id="31"/>
      <w:bookmarkEnd w:id="32"/>
      <w:bookmarkEnd w:id="33"/>
    </w:p>
    <w:p>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sz w:val="24"/>
        </w:rPr>
        <w:t>时间：2026年1月29日至2026年2月5日，每天上午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sz w:val="24"/>
        </w:rPr>
        <w:t>地点（网址）：</w:t>
      </w:r>
      <w:r>
        <w:rPr>
          <w:rFonts w:hint="eastAsia" w:ascii="宋体" w:hAnsi="宋体" w:cs="宋体"/>
          <w:sz w:val="24"/>
        </w:rPr>
        <w:t>广西政府采购云平台（https://www.gcy.zfcg.gxzf.gov.cn/）</w:t>
      </w:r>
    </w:p>
    <w:p>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方式：供应商登录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pPr>
        <w:pStyle w:val="632"/>
        <w:ind w:firstLine="0"/>
        <w:rPr>
          <w:b/>
        </w:rPr>
      </w:pPr>
      <w:bookmarkStart w:id="34" w:name="_Toc35393632"/>
      <w:bookmarkStart w:id="35" w:name="_Toc28359092"/>
      <w:bookmarkStart w:id="36" w:name="_Toc28359015"/>
      <w:bookmarkStart w:id="37" w:name="_Toc35393801"/>
      <w:r>
        <w:rPr>
          <w:rFonts w:hint="eastAsia"/>
          <w:b/>
        </w:rPr>
        <w:t>四、响应文件提交</w:t>
      </w:r>
      <w:bookmarkEnd w:id="34"/>
      <w:bookmarkEnd w:id="35"/>
      <w:bookmarkEnd w:id="36"/>
      <w:bookmarkEnd w:id="37"/>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2026年2月10日9点00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pPr>
        <w:pStyle w:val="632"/>
        <w:ind w:firstLine="0"/>
        <w:rPr>
          <w:b/>
        </w:rPr>
      </w:pPr>
      <w:bookmarkStart w:id="38" w:name="_Toc28359093"/>
      <w:bookmarkStart w:id="39" w:name="_Toc35393802"/>
      <w:bookmarkStart w:id="40" w:name="_Toc35393633"/>
      <w:bookmarkStart w:id="41" w:name="_Toc28359016"/>
      <w:r>
        <w:rPr>
          <w:rFonts w:hint="eastAsia"/>
          <w:b/>
        </w:rPr>
        <w:t>五、响应文件开启</w:t>
      </w:r>
      <w:bookmarkEnd w:id="38"/>
      <w:bookmarkEnd w:id="39"/>
      <w:bookmarkEnd w:id="40"/>
      <w:bookmarkEnd w:id="41"/>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2026年2月10日9点00 分00秒</w:t>
      </w:r>
      <w:r>
        <w:rPr>
          <w:rFonts w:hint="eastAsia" w:asciiTheme="minorEastAsia" w:hAnsiTheme="minorEastAsia" w:eastAsiaTheme="minorEastAsia"/>
          <w:bCs/>
          <w:sz w:val="24"/>
        </w:rPr>
        <w:t>（北京时间）</w:t>
      </w:r>
    </w:p>
    <w:p>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pPr>
        <w:pStyle w:val="632"/>
        <w:ind w:firstLine="0"/>
        <w:rPr>
          <w:b/>
        </w:rPr>
      </w:pPr>
      <w:bookmarkStart w:id="42" w:name="_Toc28359017"/>
      <w:bookmarkStart w:id="43" w:name="_Toc35393803"/>
      <w:bookmarkStart w:id="44" w:name="_Toc35393634"/>
      <w:bookmarkStart w:id="45" w:name="_Toc28359094"/>
      <w:r>
        <w:rPr>
          <w:rFonts w:hint="eastAsia"/>
          <w:b/>
        </w:rPr>
        <w:t>六、公告期限</w:t>
      </w:r>
      <w:bookmarkEnd w:id="42"/>
      <w:bookmarkEnd w:id="43"/>
      <w:bookmarkEnd w:id="44"/>
      <w:bookmarkEnd w:id="45"/>
    </w:p>
    <w:p>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pPr>
        <w:pStyle w:val="632"/>
        <w:ind w:firstLine="0"/>
        <w:rPr>
          <w:b/>
        </w:rPr>
      </w:pPr>
      <w:bookmarkStart w:id="46" w:name="_Toc35393635"/>
      <w:bookmarkStart w:id="47" w:name="_Toc35393804"/>
      <w:r>
        <w:rPr>
          <w:rFonts w:hint="eastAsia"/>
          <w:b/>
        </w:rPr>
        <w:t>七、其他补充事宜</w:t>
      </w:r>
      <w:bookmarkEnd w:id="46"/>
      <w:bookmarkEnd w:id="47"/>
    </w:p>
    <w:p>
      <w:pPr>
        <w:spacing w:line="360" w:lineRule="auto"/>
        <w:ind w:firstLine="480" w:firstLineChars="200"/>
        <w:rPr>
          <w:rFonts w:ascii="宋体" w:hAnsi="宋体" w:cs="宋体"/>
          <w:sz w:val="24"/>
        </w:rPr>
      </w:pPr>
      <w:r>
        <w:rPr>
          <w:rFonts w:hint="eastAsia" w:ascii="宋体" w:hAnsi="宋体" w:cs="宋体"/>
          <w:sz w:val="24"/>
        </w:rPr>
        <w:t>1.磋商保证金：本项目不收取磋商保证金。</w:t>
      </w:r>
    </w:p>
    <w:p>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w:t>
      </w:r>
      <w:r>
        <w:rPr>
          <w:rFonts w:hint="eastAsia" w:cs="宋体" w:asciiTheme="minorEastAsia" w:hAnsiTheme="minorEastAsia" w:eastAsiaTheme="minorEastAsia"/>
          <w:sz w:val="24"/>
        </w:rPr>
        <w:t>中小</w:t>
      </w:r>
      <w:r>
        <w:rPr>
          <w:rFonts w:hint="eastAsia" w:ascii="宋体" w:hAnsi="宋体" w:cs="宋体"/>
          <w:sz w:val="24"/>
        </w:rPr>
        <w:t>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4.网上公告媒体查询：中国政府采购网、广西政府采购网、北海市人民政府网-北海市政府采购中心网站、全国公共资源交易平台（广西•北海）。</w:t>
      </w:r>
    </w:p>
    <w:p>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Theme="minorEastAsia" w:hAnsiTheme="minorEastAsia" w:eastAsiaTheme="minorEastAsia"/>
          <w:sz w:val="24"/>
        </w:rPr>
      </w:pPr>
      <w:r>
        <w:rPr>
          <w:rFonts w:hint="eastAsia" w:ascii="宋体" w:hAnsi="宋体" w:cs="宋体"/>
          <w:sz w:val="24"/>
        </w:rPr>
        <w:t>7.本项目采用远程异地评标。</w:t>
      </w:r>
    </w:p>
    <w:p>
      <w:pPr>
        <w:pStyle w:val="632"/>
        <w:ind w:firstLine="0"/>
        <w:rPr>
          <w:b/>
        </w:rPr>
      </w:pPr>
      <w:bookmarkStart w:id="48" w:name="_Toc35393805"/>
      <w:bookmarkStart w:id="49" w:name="_Toc35393636"/>
      <w:bookmarkStart w:id="50" w:name="_Toc28359018"/>
      <w:bookmarkStart w:id="51" w:name="_Toc28359095"/>
      <w:r>
        <w:rPr>
          <w:rFonts w:hint="eastAsia"/>
          <w:b/>
        </w:rPr>
        <w:t>八、凡对本次采购提出询问、质疑、投诉，请按以下方式联系</w:t>
      </w:r>
      <w:bookmarkEnd w:id="48"/>
      <w:bookmarkEnd w:id="49"/>
      <w:bookmarkEnd w:id="50"/>
      <w:bookmarkEnd w:id="51"/>
    </w:p>
    <w:p>
      <w:pPr>
        <w:spacing w:line="360" w:lineRule="auto"/>
        <w:ind w:firstLine="480"/>
        <w:rPr>
          <w:rFonts w:ascii="宋体" w:hAnsi="宋体" w:cs="宋体"/>
          <w:sz w:val="24"/>
        </w:rPr>
      </w:pPr>
      <w:r>
        <w:rPr>
          <w:rFonts w:hint="eastAsia" w:ascii="宋体" w:hAnsi="宋体" w:cs="宋体"/>
          <w:sz w:val="24"/>
        </w:rPr>
        <w:t>1.采购人信息</w:t>
      </w:r>
    </w:p>
    <w:p>
      <w:pPr>
        <w:spacing w:line="360" w:lineRule="auto"/>
        <w:ind w:firstLine="480"/>
        <w:rPr>
          <w:rFonts w:ascii="宋体" w:hAnsi="宋体" w:cs="宋体"/>
          <w:sz w:val="24"/>
        </w:rPr>
      </w:pPr>
      <w:r>
        <w:rPr>
          <w:rFonts w:hint="eastAsia" w:ascii="宋体" w:hAnsi="宋体" w:cs="宋体"/>
          <w:sz w:val="24"/>
        </w:rPr>
        <w:t xml:space="preserve">名    称：北海职业学院   </w:t>
      </w:r>
    </w:p>
    <w:p>
      <w:pPr>
        <w:spacing w:line="360" w:lineRule="auto"/>
        <w:ind w:firstLine="480"/>
        <w:rPr>
          <w:rFonts w:ascii="宋体" w:hAnsi="宋体" w:cs="宋体"/>
          <w:sz w:val="24"/>
        </w:rPr>
      </w:pPr>
      <w:r>
        <w:rPr>
          <w:rFonts w:hint="eastAsia" w:ascii="宋体" w:hAnsi="宋体" w:cs="宋体"/>
          <w:sz w:val="24"/>
        </w:rPr>
        <w:t>地    址：</w:t>
      </w:r>
      <w:bookmarkStart w:id="198" w:name="_GoBack"/>
      <w:r>
        <w:rPr>
          <w:rFonts w:hint="eastAsia" w:ascii="宋体" w:hAnsi="宋体" w:cs="宋体"/>
          <w:sz w:val="24"/>
        </w:rPr>
        <w:t>北海市西藏路48号</w:t>
      </w:r>
      <w:bookmarkEnd w:id="198"/>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项目联系人：</w:t>
      </w:r>
      <w:r>
        <w:rPr>
          <w:rFonts w:hint="eastAsia" w:ascii="宋体" w:hAnsi="宋体" w:cs="宋体"/>
          <w:sz w:val="24"/>
          <w:lang w:eastAsia="zh-CN"/>
        </w:rPr>
        <w:t>邓恩志</w:t>
      </w:r>
      <w:r>
        <w:rPr>
          <w:rFonts w:hint="eastAsia" w:ascii="宋体" w:hAnsi="宋体" w:cs="宋体"/>
          <w:sz w:val="24"/>
        </w:rPr>
        <w:tab/>
      </w:r>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项目联系方式：0779-3902121</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2.采购代理机构信息            </w:t>
      </w:r>
    </w:p>
    <w:p>
      <w:pPr>
        <w:spacing w:line="360" w:lineRule="auto"/>
        <w:ind w:firstLine="480"/>
        <w:rPr>
          <w:rFonts w:ascii="宋体" w:hAnsi="宋体" w:cs="宋体"/>
          <w:sz w:val="24"/>
        </w:rPr>
      </w:pPr>
      <w:r>
        <w:rPr>
          <w:rFonts w:hint="eastAsia" w:ascii="宋体" w:hAnsi="宋体" w:cs="宋体"/>
          <w:sz w:val="24"/>
        </w:rPr>
        <w:t>名    称：北海市政府采购中心</w:t>
      </w:r>
    </w:p>
    <w:p>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pPr>
        <w:spacing w:line="360" w:lineRule="auto"/>
        <w:rPr>
          <w:rFonts w:ascii="宋体" w:hAnsi="宋体" w:cs="宋体"/>
          <w:sz w:val="24"/>
        </w:rPr>
      </w:pPr>
      <w:r>
        <w:rPr>
          <w:rFonts w:hint="eastAsia" w:ascii="宋体" w:hAnsi="宋体" w:cs="宋体"/>
          <w:sz w:val="24"/>
        </w:rPr>
        <w:t xml:space="preserve">    项目联系人（询问）： 陈工</w:t>
      </w:r>
    </w:p>
    <w:p>
      <w:pPr>
        <w:spacing w:line="360" w:lineRule="auto"/>
        <w:rPr>
          <w:rFonts w:ascii="宋体" w:hAnsi="宋体" w:cs="宋体"/>
          <w:sz w:val="24"/>
        </w:rPr>
      </w:pPr>
      <w:r>
        <w:rPr>
          <w:rFonts w:hint="eastAsia" w:ascii="宋体" w:hAnsi="宋体" w:cs="宋体"/>
          <w:sz w:val="24"/>
        </w:rPr>
        <w:t xml:space="preserve">    项目联系方式（询问）：0779-3056122</w:t>
      </w:r>
    </w:p>
    <w:p>
      <w:pPr>
        <w:pStyle w:val="632"/>
      </w:pPr>
    </w:p>
    <w:p>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pPr>
        <w:widowControl/>
        <w:adjustRightInd/>
        <w:jc w:val="left"/>
        <w:rPr>
          <w:rFonts w:cs="仿宋_GB2312" w:asciiTheme="minorEastAsia" w:hAnsiTheme="minorEastAsia" w:eastAsiaTheme="minorEastAsia"/>
          <w:sz w:val="24"/>
        </w:rPr>
      </w:pPr>
    </w:p>
    <w:p>
      <w:pPr>
        <w:adjustRightInd/>
        <w:spacing w:line="360" w:lineRule="auto"/>
        <w:rPr>
          <w:rFonts w:cs="仿宋_GB2312" w:asciiTheme="minorEastAsia" w:hAnsiTheme="minorEastAsia" w:eastAsiaTheme="minorEastAsia"/>
          <w:b/>
          <w:sz w:val="36"/>
          <w:szCs w:val="20"/>
        </w:rPr>
      </w:pPr>
    </w:p>
    <w:p>
      <w:pPr>
        <w:adjustRightInd/>
        <w:spacing w:line="360" w:lineRule="auto"/>
        <w:jc w:val="center"/>
        <w:outlineLvl w:val="0"/>
        <w:rPr>
          <w:rFonts w:cs="仿宋_GB2312" w:asciiTheme="minorEastAsia" w:hAnsiTheme="minorEastAsia" w:eastAsiaTheme="minorEastAsia"/>
          <w:b/>
          <w:sz w:val="32"/>
          <w:szCs w:val="20"/>
        </w:rPr>
      </w:pPr>
      <w:bookmarkStart w:id="52" w:name="_Toc181203095"/>
      <w:r>
        <w:rPr>
          <w:rFonts w:hint="eastAsia" w:cs="仿宋_GB2312" w:asciiTheme="minorEastAsia" w:hAnsiTheme="minorEastAsia" w:eastAsiaTheme="minorEastAsia"/>
          <w:b/>
          <w:sz w:val="36"/>
          <w:szCs w:val="20"/>
        </w:rPr>
        <w:t>第二部分  竞争性磋商流程</w:t>
      </w:r>
      <w:bookmarkEnd w:id="52"/>
    </w:p>
    <w:p>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pPr>
        <w:pStyle w:val="393"/>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pPr>
        <w:pStyle w:val="393"/>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pPr>
        <w:pStyle w:val="393"/>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4. 成交</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3"/>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pPr>
        <w:pStyle w:val="393"/>
        <w:spacing w:before="0"/>
        <w:ind w:firstLine="0" w:firstLineChars="0"/>
        <w:rPr>
          <w:rFonts w:asciiTheme="minorEastAsia" w:hAnsiTheme="minorEastAsia" w:eastAsiaTheme="minorEastAsia"/>
          <w:b/>
        </w:rPr>
      </w:pPr>
    </w:p>
    <w:p>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pPr>
        <w:adjustRightInd/>
        <w:spacing w:line="360" w:lineRule="auto"/>
        <w:jc w:val="center"/>
        <w:outlineLvl w:val="0"/>
        <w:rPr>
          <w:rFonts w:cs="仿宋_GB2312" w:asciiTheme="minorEastAsia" w:hAnsiTheme="minorEastAsia" w:eastAsiaTheme="minorEastAsia"/>
          <w:b/>
          <w:sz w:val="36"/>
          <w:szCs w:val="20"/>
        </w:rPr>
      </w:pPr>
      <w:bookmarkStart w:id="53" w:name="_Toc181203096"/>
      <w:r>
        <w:rPr>
          <w:rFonts w:hint="eastAsia" w:cs="仿宋_GB2312" w:asciiTheme="minorEastAsia" w:hAnsiTheme="minorEastAsia" w:eastAsiaTheme="minorEastAsia"/>
          <w:b/>
          <w:sz w:val="36"/>
          <w:szCs w:val="20"/>
        </w:rPr>
        <w:t>第三部分</w:t>
      </w:r>
      <w:bookmarkEnd w:id="14"/>
      <w:r>
        <w:rPr>
          <w:rFonts w:hint="eastAsia" w:cs="仿宋_GB2312" w:asciiTheme="minorEastAsia" w:hAnsiTheme="minorEastAsia" w:eastAsiaTheme="minorEastAsia"/>
          <w:b/>
          <w:sz w:val="36"/>
          <w:szCs w:val="20"/>
        </w:rPr>
        <w:t xml:space="preserve">  供应商须知</w:t>
      </w:r>
      <w:bookmarkEnd w:id="15"/>
      <w:bookmarkEnd w:id="53"/>
    </w:p>
    <w:p>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 安保管理服务   </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物业管理  </w:t>
            </w:r>
            <w:r>
              <w:rPr>
                <w:rFonts w:hint="eastAsia" w:cs="宋体" w:asciiTheme="minorEastAsia" w:hAnsiTheme="minorEastAsia" w:eastAsiaTheme="minorEastAsia"/>
                <w:kern w:val="0"/>
                <w:sz w:val="24"/>
              </w:rPr>
              <w:t>行业；</w:t>
            </w:r>
          </w:p>
          <w:p>
            <w:pPr>
              <w:pStyle w:val="4"/>
              <w:numPr>
                <w:ilvl w:val="0"/>
                <w:numId w:val="0"/>
              </w:numPr>
              <w:jc w:val="both"/>
              <w:rPr>
                <w:rFonts w:cs="宋体" w:asciiTheme="minorEastAsia" w:hAnsiTheme="minorEastAsia" w:eastAsiaTheme="minorEastAsia"/>
                <w:b w:val="0"/>
                <w:bCs w:val="0"/>
                <w:kern w:val="0"/>
                <w:sz w:val="24"/>
                <w:szCs w:val="24"/>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color w:val="FF0000"/>
                <w:sz w:val="24"/>
              </w:rPr>
              <w:t>资信证明文件：根据磋商文件采购需求及评审标准的要求提供。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pPr>
              <w:snapToGrid w:val="0"/>
              <w:spacing w:line="360" w:lineRule="auto"/>
              <w:ind w:firstLine="241" w:firstLineChars="1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pPr>
              <w:snapToGrid w:val="0"/>
              <w:spacing w:line="360" w:lineRule="auto"/>
              <w:ind w:firstLine="241" w:firstLineChars="1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pPr>
              <w:spacing w:line="360" w:lineRule="auto"/>
              <w:ind w:firstLine="241" w:firstLineChars="1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pPr>
              <w:pStyle w:val="32"/>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pPr>
        <w:snapToGrid w:val="0"/>
        <w:jc w:val="center"/>
        <w:rPr>
          <w:rFonts w:cs="仿宋_GB2312" w:asciiTheme="minorEastAsia" w:hAnsiTheme="minorEastAsia" w:eastAsiaTheme="minorEastAsia"/>
          <w:b/>
          <w:sz w:val="32"/>
          <w:szCs w:val="20"/>
        </w:rPr>
      </w:pPr>
    </w:p>
    <w:p>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 “采购人”系指磋商邀请公告中载明的本项目的采购人。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 “采购代理机构”系指磋商邀请公告中载明的本项目的采购代理机构。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 “供应商”系指响应磋商、参加本次竞争的法人、其他组织或自然人。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 “</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 “成交人”系指经评审确定的成交供应商。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 “▲” 系指实质性要求条款， “※”系指磋商过程中可能实质性变动的内容，</w:t>
      </w:r>
      <w:r>
        <w:rPr>
          <w:rFonts w:asciiTheme="minorEastAsia" w:hAnsiTheme="minorEastAsia" w:eastAsiaTheme="minorEastAsia"/>
          <w:sz w:val="24"/>
        </w:rPr>
        <w:t xml:space="preserve"> </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 响应有效期</w:t>
      </w:r>
    </w:p>
    <w:p>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pPr>
        <w:pStyle w:val="393"/>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pPr>
        <w:pStyle w:val="393"/>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w:t>
      </w:r>
      <w:r>
        <w:rPr>
          <w:rFonts w:hint="eastAsia" w:cs="仿宋_GB2312" w:asciiTheme="minorEastAsia" w:hAnsiTheme="minorEastAsia" w:eastAsiaTheme="minorEastAsia"/>
          <w:color w:val="FF0000"/>
        </w:rPr>
        <w:t>采购人或</w:t>
      </w:r>
      <w:r>
        <w:rPr>
          <w:rFonts w:hint="eastAsia" w:cs="仿宋_GB2312" w:asciiTheme="minorEastAsia" w:hAnsiTheme="minorEastAsia" w:eastAsiaTheme="minorEastAsia"/>
        </w:rPr>
        <w:t>采购代理机构可以以书面形式通知</w:t>
      </w:r>
      <w:r>
        <w:rPr>
          <w:rFonts w:hint="eastAsia" w:cs="仿宋_GB2312" w:asciiTheme="minorEastAsia" w:hAnsiTheme="minorEastAsia" w:eastAsiaTheme="minorEastAsia"/>
          <w:color w:val="FF0000"/>
        </w:rPr>
        <w:t>所有</w:t>
      </w:r>
      <w:r>
        <w:rPr>
          <w:rFonts w:hint="eastAsia" w:cs="仿宋_GB2312" w:asciiTheme="minorEastAsia" w:hAnsiTheme="minorEastAsia" w:eastAsiaTheme="minorEastAsia"/>
        </w:rPr>
        <w:t>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pPr>
        <w:pStyle w:val="32"/>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pPr>
        <w:spacing w:line="360" w:lineRule="auto"/>
        <w:jc w:val="center"/>
        <w:rPr>
          <w:rFonts w:cs="仿宋_GB2312" w:asciiTheme="minorEastAsia" w:hAnsiTheme="minorEastAsia" w:eastAsiaTheme="minorEastAsia"/>
          <w:b/>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pPr>
        <w:pStyle w:val="393"/>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sz w:val="24"/>
        </w:rPr>
      </w:pPr>
      <w:r>
        <w:rPr>
          <w:rFonts w:ascii="宋体" w:hAnsi="宋体" w:cs="宋体"/>
          <w:sz w:val="24"/>
        </w:rPr>
        <w:t xml:space="preserve">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成交、成交的，依法承担法律责任。</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ind w:firstLine="0"/>
        <w:rPr>
          <w:b/>
          <w:bCs/>
        </w:rPr>
      </w:pPr>
      <w:r>
        <w:rPr>
          <w:rFonts w:hint="eastAsia" w:cs="宋体" w:asciiTheme="minorEastAsia" w:hAnsiTheme="minorEastAsia" w:eastAsiaTheme="minorEastAsia"/>
          <w:b/>
        </w:rPr>
        <w:t>6.</w:t>
      </w:r>
      <w:r>
        <w:rPr>
          <w:rFonts w:hint="eastAsia"/>
          <w:b/>
        </w:rPr>
        <w:t>平等对待符合条件的破产重整企业</w:t>
      </w:r>
    </w:p>
    <w:p>
      <w:pPr>
        <w:pStyle w:val="632"/>
      </w:pPr>
      <w:r>
        <w:rPr>
          <w:rFonts w:hint="eastAsia" w:cs="宋体"/>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成交或者成交结果使自身权益受到损害的，均可依照相关规定提起质疑和投诉。</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4" w:name="OLE_LINK18"/>
      <w:bookmarkStart w:id="55" w:name="OLE_LINK19"/>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询问联系部门：北海市政府采购中心采购一科，联系电话：0779-3056122，地址：北海市海城区陈文村北路7号市直机关第三办公区2号楼一层。</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bookmarkEnd w:id="54"/>
    <w:bookmarkEnd w:id="55"/>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 供应商询问</w:t>
      </w:r>
    </w:p>
    <w:p>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 供应商质疑</w:t>
      </w:r>
    </w:p>
    <w:p>
      <w:pPr>
        <w:pStyle w:val="32"/>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2"/>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pPr>
        <w:pStyle w:val="32"/>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sz w:val="24"/>
              </w:rPr>
            </w:pP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pPr>
        <w:pStyle w:val="32"/>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sz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pPr>
        <w:pStyle w:val="32"/>
        <w:tabs>
          <w:tab w:val="left" w:pos="840"/>
        </w:tabs>
        <w:spacing w:line="360" w:lineRule="auto"/>
        <w:ind w:left="1319"/>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pPr>
        <w:pStyle w:val="3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 磋商文件的</w:t>
      </w:r>
      <w:r>
        <w:rPr>
          <w:rFonts w:hint="eastAsia" w:cs="仿宋_GB2312" w:asciiTheme="minorEastAsia" w:hAnsiTheme="minorEastAsia" w:eastAsiaTheme="minorEastAsia"/>
          <w:b/>
          <w:sz w:val="24"/>
          <w:szCs w:val="24"/>
        </w:rPr>
        <w:t>澄清、修改</w:t>
      </w:r>
    </w:p>
    <w:p>
      <w:pPr>
        <w:pStyle w:val="393"/>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pPr>
        <w:pStyle w:val="393"/>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pPr>
        <w:pStyle w:val="393"/>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pPr>
        <w:pStyle w:val="393"/>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pPr>
        <w:pStyle w:val="22"/>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响应文件的语言</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 响应文件的组成</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r>
        <w:rPr>
          <w:rFonts w:hint="eastAsia" w:asciiTheme="minorEastAsia" w:hAnsiTheme="minorEastAsia" w:eastAsiaTheme="minorEastAsia"/>
          <w:color w:val="FF0000"/>
          <w:sz w:val="24"/>
        </w:rPr>
        <w:t>（标注“▲”为实质性要求，供应商必须提供，否则磋商无效。相关格式见磋商文件第七部分）</w:t>
      </w:r>
      <w:r>
        <w:rPr>
          <w:rFonts w:hint="eastAsia"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（1）响应函</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（2）资格文件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（如果有)；</w:t>
      </w:r>
    </w:p>
    <w:p>
      <w:pPr>
        <w:pStyle w:val="32"/>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w:t>
      </w:r>
      <w:r>
        <w:rPr>
          <w:rFonts w:hint="eastAsia" w:cs="仿宋_GB2312" w:asciiTheme="minorEastAsia" w:hAnsiTheme="minorEastAsia" w:eastAsiaTheme="minorEastAsia"/>
          <w:sz w:val="24"/>
        </w:rPr>
        <w:t>（如果有）</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color w:val="FF0000"/>
          <w:sz w:val="24"/>
        </w:rPr>
        <w:t>▲</w:t>
      </w: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pPr>
        <w:pStyle w:val="32"/>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pPr>
        <w:pStyle w:val="32"/>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▲（19）商务、服务（技术）响应、偏离情况说明表；</w:t>
      </w:r>
    </w:p>
    <w:p>
      <w:pPr>
        <w:pStyle w:val="32"/>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▲（20）初始报价表。</w:t>
      </w:r>
    </w:p>
    <w:p>
      <w:pPr>
        <w:pStyle w:val="32"/>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 响应文件的编制和签署</w:t>
      </w:r>
    </w:p>
    <w:p>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pPr>
        <w:pStyle w:val="393"/>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pPr>
        <w:pStyle w:val="393"/>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pPr>
        <w:pStyle w:val="393"/>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pPr>
        <w:pStyle w:val="32"/>
        <w:spacing w:line="360" w:lineRule="auto"/>
        <w:ind w:firstLine="480" w:firstLineChars="200"/>
        <w:rPr>
          <w:rFonts w:cs="仿宋_GB2312" w:asciiTheme="minorEastAsia" w:hAnsiTheme="minorEastAsia" w:eastAsiaTheme="minorEastAsia"/>
          <w:sz w:val="24"/>
          <w:szCs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w:t>
      </w:r>
    </w:p>
    <w:p>
      <w:pPr>
        <w:pStyle w:val="393"/>
        <w:spacing w:before="0"/>
        <w:ind w:firstLine="0" w:firstLineChars="0"/>
        <w:rPr>
          <w:rFonts w:cs="仿宋_GB2312" w:asciiTheme="minorEastAsia" w:hAnsiTheme="minorEastAsia" w:eastAsiaTheme="minorEastAsia"/>
          <w:b/>
          <w:szCs w:val="24"/>
        </w:rPr>
      </w:pPr>
    </w:p>
    <w:p>
      <w:pPr>
        <w:pStyle w:val="393"/>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pPr>
        <w:pStyle w:val="393"/>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2.备份响应文件</w:t>
      </w:r>
    </w:p>
    <w:p>
      <w:pPr>
        <w:pStyle w:val="32"/>
        <w:spacing w:line="360" w:lineRule="auto"/>
        <w:ind w:firstLine="480"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sz w:val="24"/>
          <w:szCs w:val="24"/>
        </w:rPr>
        <w:t>不提交。</w:t>
      </w:r>
    </w:p>
    <w:p>
      <w:pPr>
        <w:spacing w:line="360" w:lineRule="auto"/>
        <w:rPr>
          <w:rFonts w:ascii="宋体" w:hAnsi="宋体" w:cs="宋体"/>
          <w:b/>
          <w:snapToGrid w:val="0"/>
          <w:kern w:val="28"/>
          <w:sz w:val="24"/>
        </w:rPr>
      </w:pPr>
      <w:r>
        <w:rPr>
          <w:rFonts w:hint="eastAsia" w:cs="仿宋_GB2312" w:asciiTheme="minorEastAsia" w:hAnsiTheme="minorEastAsia" w:eastAsiaTheme="minorEastAsia"/>
          <w:b/>
          <w:sz w:val="24"/>
        </w:rPr>
        <w:t>3.</w:t>
      </w:r>
      <w:r>
        <w:rPr>
          <w:rFonts w:hint="eastAsia" w:ascii="宋体" w:hAnsi="宋体" w:cs="宋体"/>
          <w:b/>
          <w:snapToGrid w:val="0"/>
          <w:kern w:val="28"/>
          <w:sz w:val="24"/>
        </w:rPr>
        <w:t>磋商保证金</w:t>
      </w:r>
    </w:p>
    <w:p>
      <w:pPr>
        <w:pStyle w:val="632"/>
      </w:pPr>
      <w:r>
        <w:rPr>
          <w:rFonts w:hint="eastAsia"/>
        </w:rPr>
        <w:t>本项目不提交磋商保证金。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3.1</w:t>
      </w:r>
      <w:r>
        <w:rPr>
          <w:rFonts w:hint="eastAsia" w:hAnsi="宋体" w:cs="宋体"/>
          <w:sz w:val="24"/>
        </w:rPr>
        <w:t>采购人在采购文件中要求提交</w:t>
      </w:r>
      <w:r>
        <w:rPr>
          <w:rFonts w:hint="eastAsia" w:ascii="宋体" w:hAnsi="宋体" w:cs="宋体"/>
          <w:sz w:val="24"/>
        </w:rPr>
        <w:t>磋商</w:t>
      </w:r>
      <w:r>
        <w:rPr>
          <w:rFonts w:hint="eastAsia" w:hAnsi="宋体" w:cs="宋体"/>
          <w:sz w:val="24"/>
        </w:rPr>
        <w:t>保证金的，</w:t>
      </w:r>
      <w:r>
        <w:rPr>
          <w:rFonts w:hint="eastAsia" w:ascii="宋体" w:hAnsi="宋体" w:cs="宋体"/>
          <w:sz w:val="24"/>
        </w:rPr>
        <w:t>磋商</w:t>
      </w:r>
      <w:r>
        <w:rPr>
          <w:rFonts w:hint="eastAsia" w:hAnsi="宋体" w:cs="宋体"/>
          <w:sz w:val="24"/>
        </w:rPr>
        <w:t>保证金的数额不得超过采购项目预算金额的1%，鼓励对诚信记录良好的供应商免收或者减少收取</w:t>
      </w:r>
      <w:r>
        <w:rPr>
          <w:rFonts w:hint="eastAsia" w:ascii="宋体" w:hAnsi="宋体" w:cs="宋体"/>
          <w:sz w:val="24"/>
        </w:rPr>
        <w:t>磋商</w:t>
      </w:r>
      <w:r>
        <w:rPr>
          <w:rFonts w:hint="eastAsia" w:hAnsi="宋体" w:cs="宋体"/>
          <w:sz w:val="24"/>
        </w:rPr>
        <w:t>保证金，对于需要收取保证金的政府采购项目，政府采购信用白名单供应商可以免于缴纳保证金，降低信用白名单供应商参与政府采购活动成本。</w:t>
      </w:r>
      <w:r>
        <w:rPr>
          <w:rFonts w:hint="eastAsia" w:ascii="宋体" w:hAnsi="宋体" w:cs="宋体"/>
          <w:sz w:val="24"/>
        </w:rPr>
        <w:t>磋商</w:t>
      </w:r>
      <w:r>
        <w:rPr>
          <w:rFonts w:hint="eastAsia" w:ascii="宋体" w:hAnsi="宋体" w:cs="宋体"/>
          <w:snapToGrid w:val="0"/>
          <w:kern w:val="28"/>
          <w:sz w:val="24"/>
          <w:szCs w:val="20"/>
        </w:rPr>
        <w:t>保证金应当以支票、汇票、本票或者金融机构、担保机构出具的保函等非现金形式提交。</w:t>
      </w:r>
    </w:p>
    <w:p>
      <w:pPr>
        <w:snapToGrid w:val="0"/>
        <w:spacing w:line="360" w:lineRule="auto"/>
        <w:ind w:firstLine="480" w:firstLineChars="200"/>
        <w:jc w:val="left"/>
        <w:rPr>
          <w:rFonts w:ascii="宋体" w:hAnsi="宋体" w:cs="宋体"/>
          <w:sz w:val="24"/>
        </w:rPr>
      </w:pPr>
      <w:r>
        <w:rPr>
          <w:rFonts w:hint="eastAsia" w:ascii="宋体" w:hAnsi="宋体" w:cs="宋体"/>
          <w:sz w:val="24"/>
        </w:rPr>
        <w:t>磋商保证金收取银行账户</w:t>
      </w:r>
    </w:p>
    <w:p>
      <w:pPr>
        <w:snapToGrid w:val="0"/>
        <w:spacing w:line="360" w:lineRule="auto"/>
        <w:ind w:firstLine="480" w:firstLineChars="200"/>
        <w:jc w:val="left"/>
        <w:rPr>
          <w:rFonts w:ascii="宋体" w:hAnsi="宋体" w:cs="宋体"/>
          <w:sz w:val="24"/>
        </w:rPr>
      </w:pPr>
      <w:r>
        <w:rPr>
          <w:rFonts w:hint="eastAsia" w:ascii="宋体" w:hAnsi="宋体" w:cs="宋体"/>
          <w:sz w:val="24"/>
        </w:rPr>
        <w:t xml:space="preserve">开户名称： </w:t>
      </w:r>
    </w:p>
    <w:p>
      <w:pPr>
        <w:snapToGrid w:val="0"/>
        <w:spacing w:line="360" w:lineRule="auto"/>
        <w:ind w:firstLine="480" w:firstLineChars="200"/>
        <w:jc w:val="left"/>
        <w:rPr>
          <w:rFonts w:ascii="宋体" w:hAnsi="宋体" w:cs="宋体"/>
          <w:sz w:val="24"/>
        </w:rPr>
      </w:pPr>
      <w:r>
        <w:rPr>
          <w:rFonts w:hint="eastAsia" w:ascii="宋体" w:hAnsi="宋体" w:cs="宋体"/>
          <w:sz w:val="24"/>
        </w:rPr>
        <w:t xml:space="preserve">开户银行： </w:t>
      </w:r>
    </w:p>
    <w:p>
      <w:pPr>
        <w:snapToGrid w:val="0"/>
        <w:spacing w:line="360" w:lineRule="auto"/>
        <w:ind w:firstLine="480" w:firstLineChars="200"/>
        <w:jc w:val="left"/>
        <w:rPr>
          <w:rFonts w:ascii="宋体" w:hAnsi="宋体" w:cs="宋体"/>
          <w:sz w:val="24"/>
        </w:rPr>
      </w:pPr>
      <w:r>
        <w:rPr>
          <w:rFonts w:hint="eastAsia" w:ascii="宋体" w:hAnsi="宋体" w:cs="宋体"/>
          <w:sz w:val="24"/>
        </w:rPr>
        <w:t>银行账号：</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3.2</w:t>
      </w:r>
      <w:r>
        <w:rPr>
          <w:rFonts w:hint="eastAsia" w:ascii="宋体" w:hAnsi="宋体" w:cs="宋体"/>
          <w:sz w:val="24"/>
        </w:rPr>
        <w:t>磋商供应商</w:t>
      </w:r>
      <w:r>
        <w:rPr>
          <w:rFonts w:hint="eastAsia" w:ascii="宋体" w:hAnsi="宋体" w:cs="宋体"/>
          <w:snapToGrid w:val="0"/>
          <w:kern w:val="28"/>
          <w:sz w:val="24"/>
          <w:szCs w:val="20"/>
        </w:rPr>
        <w:t>在响应文件提交截止时间前撤回已提交的响应文件的，采购人或者采购代理机构应当自收到</w:t>
      </w:r>
      <w:r>
        <w:rPr>
          <w:rFonts w:hint="eastAsia" w:ascii="宋体" w:hAnsi="宋体" w:cs="宋体"/>
          <w:sz w:val="24"/>
        </w:rPr>
        <w:t>磋商供应商</w:t>
      </w:r>
      <w:r>
        <w:rPr>
          <w:rFonts w:hint="eastAsia" w:ascii="宋体" w:hAnsi="宋体" w:cs="宋体"/>
          <w:snapToGrid w:val="0"/>
          <w:kern w:val="28"/>
          <w:sz w:val="24"/>
          <w:szCs w:val="20"/>
        </w:rPr>
        <w:t>书面撤回通知之日起５个工作日内，退还已收取的</w:t>
      </w:r>
      <w:r>
        <w:rPr>
          <w:rFonts w:hint="eastAsia" w:ascii="宋体" w:hAnsi="宋体" w:cs="宋体"/>
          <w:sz w:val="24"/>
        </w:rPr>
        <w:t>磋商</w:t>
      </w:r>
      <w:r>
        <w:rPr>
          <w:rFonts w:hint="eastAsia" w:ascii="宋体" w:hAnsi="宋体" w:cs="宋体"/>
          <w:snapToGrid w:val="0"/>
          <w:kern w:val="28"/>
          <w:sz w:val="24"/>
          <w:szCs w:val="20"/>
        </w:rPr>
        <w:t>保证金，但因</w:t>
      </w:r>
      <w:r>
        <w:rPr>
          <w:rFonts w:hint="eastAsia" w:ascii="宋体" w:hAnsi="宋体" w:cs="宋体"/>
          <w:sz w:val="24"/>
        </w:rPr>
        <w:t>磋商供应商</w:t>
      </w:r>
      <w:r>
        <w:rPr>
          <w:rFonts w:hint="eastAsia" w:ascii="宋体" w:hAnsi="宋体" w:cs="宋体"/>
          <w:snapToGrid w:val="0"/>
          <w:kern w:val="28"/>
          <w:sz w:val="24"/>
          <w:szCs w:val="20"/>
        </w:rPr>
        <w:t>自身原因导致无法及时退还的除外。</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pPr>
        <w:pStyle w:val="32"/>
        <w:spacing w:line="360" w:lineRule="auto"/>
        <w:ind w:firstLine="360" w:firstLineChars="150"/>
        <w:rPr>
          <w:rFonts w:cs="仿宋_GB2312" w:asciiTheme="minorEastAsia" w:hAnsiTheme="minorEastAsia" w:eastAsiaTheme="minorEastAsia"/>
          <w:sz w:val="24"/>
          <w:szCs w:val="24"/>
        </w:rPr>
      </w:pP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pPr>
        <w:pStyle w:val="32"/>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 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pPr>
        <w:pStyle w:val="32"/>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3"/>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sz w:val="24"/>
          <w:szCs w:val="24"/>
        </w:rPr>
      </w:pPr>
    </w:p>
    <w:p>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color w:val="FF0000"/>
          <w:kern w:val="0"/>
          <w:sz w:val="24"/>
          <w:lang w:val="zh-CN"/>
        </w:rPr>
        <w:t>▲</w:t>
      </w:r>
      <w:r>
        <w:rPr>
          <w:rFonts w:hint="eastAsia" w:cs="仿宋_GB2312" w:asciiTheme="minorEastAsia" w:hAnsiTheme="minorEastAsia" w:eastAsiaTheme="minorEastAsia"/>
          <w:sz w:val="24"/>
          <w:szCs w:val="24"/>
        </w:rPr>
        <w:t>1.1最后报价一览表；</w:t>
      </w:r>
    </w:p>
    <w:p>
      <w:pPr>
        <w:pStyle w:val="32"/>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1.2中小企业声明函（如果有）。</w:t>
      </w:r>
    </w:p>
    <w:p>
      <w:pPr>
        <w:adjustRightInd/>
        <w:spacing w:line="360" w:lineRule="auto"/>
        <w:jc w:val="center"/>
        <w:rPr>
          <w:rFonts w:cs="仿宋_GB2312" w:asciiTheme="minorEastAsia" w:hAnsiTheme="minorEastAsia" w:eastAsiaTheme="minorEastAsia"/>
          <w:b/>
          <w:sz w:val="32"/>
          <w:szCs w:val="20"/>
        </w:rPr>
      </w:pPr>
    </w:p>
    <w:p>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pPr>
        <w:pStyle w:val="393"/>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pPr>
        <w:pStyle w:val="393"/>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pPr>
        <w:pStyle w:val="393"/>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pPr>
        <w:adjustRightInd/>
        <w:spacing w:line="360" w:lineRule="auto"/>
        <w:jc w:val="center"/>
        <w:rPr>
          <w:rFonts w:cs="仿宋_GB2312" w:asciiTheme="minorEastAsia" w:hAnsiTheme="minorEastAsia" w:eastAsiaTheme="minorEastAsia"/>
          <w:sz w:val="24"/>
        </w:rPr>
      </w:pPr>
    </w:p>
    <w:p>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pPr>
        <w:pStyle w:val="32"/>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FF0000"/>
          <w:sz w:val="24"/>
        </w:rPr>
        <w:t>5</w:t>
      </w:r>
      <w:r>
        <w:rPr>
          <w:rFonts w:hint="eastAsia" w:cs="宋体" w:asciiTheme="minorEastAsia" w:hAnsiTheme="minorEastAsia" w:eastAsiaTheme="minorEastAsia"/>
          <w:sz w:val="24"/>
        </w:rPr>
        <w:t>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6" w:name="_Hlk101184471"/>
      <w:r>
        <w:rPr>
          <w:rFonts w:hint="eastAsia" w:cs="宋体" w:asciiTheme="minorEastAsia" w:hAnsiTheme="minorEastAsia" w:eastAsiaTheme="minorEastAsia"/>
          <w:sz w:val="24"/>
        </w:rPr>
        <w:t>评审专家抽取规则、</w:t>
      </w:r>
      <w:bookmarkEnd w:id="56"/>
      <w:r>
        <w:rPr>
          <w:rFonts w:hint="eastAsia" w:cs="宋体" w:asciiTheme="minorEastAsia" w:hAnsiTheme="minorEastAsia" w:eastAsiaTheme="minorEastAsia"/>
          <w:sz w:val="24"/>
        </w:rPr>
        <w:t>未成交情况说明、成交公告期限以及评审专家名单、成交供应商和未成交供应商的评审总得分及排名。</w:t>
      </w:r>
    </w:p>
    <w:p>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pPr>
        <w:snapToGrid w:val="0"/>
        <w:spacing w:line="360" w:lineRule="auto"/>
        <w:jc w:val="center"/>
        <w:rPr>
          <w:rFonts w:cs="仿宋_GB2312" w:asciiTheme="minorEastAsia" w:hAnsiTheme="minorEastAsia" w:eastAsiaTheme="minorEastAsia"/>
          <w:b/>
          <w:sz w:val="36"/>
          <w:szCs w:val="36"/>
        </w:rPr>
      </w:pPr>
    </w:p>
    <w:p>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3"/>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pPr>
        <w:pStyle w:val="393"/>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pPr>
        <w:pStyle w:val="393"/>
        <w:snapToGrid w:val="0"/>
        <w:spacing w:before="0"/>
        <w:ind w:firstLine="480"/>
        <w:rPr>
          <w:rFonts w:ascii="宋体" w:hAnsi="宋体" w:cs="宋体"/>
        </w:rPr>
      </w:pPr>
      <w:r>
        <w:rPr>
          <w:rFonts w:hint="eastAsia" w:ascii="宋体" w:hAnsi="宋体" w:cs="宋体"/>
        </w:rPr>
        <w:t>2.7政采贷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pPr>
        <w:pStyle w:val="632"/>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kern w:val="0"/>
          <w:sz w:val="24"/>
          <w:szCs w:val="20"/>
        </w:rPr>
        <w:t>https://jinrong.gcy.zfcg.gxzf.gov.cn/finance/loan/gx</w:t>
      </w:r>
      <w:r>
        <w:rPr>
          <w:rFonts w:ascii="宋体" w:hAnsi="宋体"/>
          <w:color w:val="000000"/>
          <w:kern w:val="0"/>
          <w:sz w:val="24"/>
          <w:szCs w:val="20"/>
        </w:rPr>
        <w:fldChar w:fldCharType="end"/>
      </w:r>
      <w:r>
        <w:rPr>
          <w:rFonts w:hint="eastAsia" w:ascii="宋体" w:hAnsi="宋体"/>
          <w:kern w:val="0"/>
          <w:sz w:val="24"/>
          <w:szCs w:val="20"/>
        </w:rPr>
        <w:t>）</w:t>
      </w:r>
    </w:p>
    <w:p>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pPr>
              <w:snapToGrid w:val="0"/>
              <w:spacing w:line="360" w:lineRule="auto"/>
              <w:jc w:val="left"/>
              <w:rPr>
                <w:rFonts w:ascii="宋体" w:hAnsi="宋体"/>
                <w:kern w:val="0"/>
                <w:sz w:val="24"/>
                <w:szCs w:val="20"/>
              </w:rPr>
            </w:pPr>
          </w:p>
        </w:tc>
        <w:tc>
          <w:tcPr>
            <w:tcW w:w="993" w:type="dxa"/>
            <w:vAlign w:val="center"/>
          </w:tcPr>
          <w:p>
            <w:pPr>
              <w:snapToGrid w:val="0"/>
              <w:spacing w:line="360" w:lineRule="auto"/>
              <w:jc w:val="center"/>
              <w:rPr>
                <w:rFonts w:ascii="宋体" w:hAnsi="宋体"/>
                <w:kern w:val="0"/>
                <w:sz w:val="24"/>
                <w:szCs w:val="20"/>
              </w:rPr>
            </w:pPr>
          </w:p>
        </w:tc>
        <w:tc>
          <w:tcPr>
            <w:tcW w:w="850" w:type="dxa"/>
            <w:vAlign w:val="center"/>
          </w:tcPr>
          <w:p>
            <w:pPr>
              <w:snapToGrid w:val="0"/>
              <w:spacing w:line="360" w:lineRule="auto"/>
              <w:jc w:val="center"/>
              <w:rPr>
                <w:rFonts w:ascii="宋体" w:hAnsi="宋体"/>
                <w:kern w:val="0"/>
                <w:sz w:val="24"/>
                <w:szCs w:val="20"/>
              </w:rPr>
            </w:pPr>
          </w:p>
        </w:tc>
        <w:tc>
          <w:tcPr>
            <w:tcW w:w="3366" w:type="dxa"/>
            <w:vAlign w:val="center"/>
          </w:tcPr>
          <w:p>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pPr>
        <w:pStyle w:val="632"/>
      </w:pPr>
      <w:r>
        <w:rPr>
          <w:rFonts w:hint="eastAsia"/>
        </w:rPr>
        <w:t>注：表中联系电话、授信金额、授信期限、最低利率等信息可能动态更新，仅供参考，具体以办理时相关银行公布的为准。</w:t>
      </w:r>
    </w:p>
    <w:p>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pPr>
        <w:tabs>
          <w:tab w:val="left" w:pos="0"/>
        </w:tabs>
        <w:spacing w:line="360" w:lineRule="auto"/>
        <w:ind w:firstLine="482"/>
        <w:rPr>
          <w:rFonts w:ascii="宋体" w:hAnsi="宋体" w:cs="宋体"/>
          <w:sz w:val="24"/>
        </w:rPr>
      </w:pPr>
      <w:r>
        <w:rPr>
          <w:rFonts w:hint="eastAsia" w:ascii="宋体" w:hAnsi="宋体" w:cs="宋体"/>
          <w:color w:val="FF0000"/>
          <w:kern w:val="0"/>
          <w:sz w:val="24"/>
        </w:rPr>
        <w:t>3.1</w:t>
      </w: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kern w:val="0"/>
          <w:sz w:val="24"/>
        </w:rPr>
        <w:t>成交</w:t>
      </w:r>
      <w:r>
        <w:rPr>
          <w:rFonts w:hint="eastAsia" w:ascii="宋体" w:hAnsi="宋体" w:cs="宋体"/>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pPr>
        <w:pStyle w:val="632"/>
        <w:ind w:firstLine="480" w:firstLineChars="200"/>
        <w:rPr>
          <w:rFonts w:cs="宋体"/>
          <w:kern w:val="2"/>
          <w:szCs w:val="24"/>
        </w:rPr>
      </w:pPr>
      <w:r>
        <w:rPr>
          <w:rFonts w:hint="eastAsia" w:cs="宋体"/>
        </w:rPr>
        <w:t>履约保证金</w:t>
      </w:r>
      <w:r>
        <w:rPr>
          <w:rFonts w:hint="eastAsia" w:cs="宋体"/>
          <w:kern w:val="2"/>
          <w:szCs w:val="24"/>
        </w:rPr>
        <w:t>收取银行账户</w:t>
      </w:r>
    </w:p>
    <w:p>
      <w:pPr>
        <w:pStyle w:val="632"/>
        <w:ind w:firstLine="480" w:firstLineChars="200"/>
        <w:rPr>
          <w:rFonts w:cs="宋体"/>
          <w:kern w:val="2"/>
          <w:szCs w:val="24"/>
        </w:rPr>
      </w:pPr>
      <w:r>
        <w:rPr>
          <w:rFonts w:hint="eastAsia" w:cs="宋体"/>
          <w:kern w:val="2"/>
          <w:szCs w:val="24"/>
        </w:rPr>
        <w:t xml:space="preserve">开户名称： </w:t>
      </w:r>
    </w:p>
    <w:p>
      <w:pPr>
        <w:pStyle w:val="632"/>
        <w:ind w:firstLine="480" w:firstLineChars="200"/>
        <w:rPr>
          <w:rFonts w:cs="宋体"/>
          <w:kern w:val="2"/>
          <w:szCs w:val="24"/>
        </w:rPr>
      </w:pPr>
      <w:r>
        <w:rPr>
          <w:rFonts w:hint="eastAsia" w:cs="宋体"/>
          <w:kern w:val="2"/>
          <w:szCs w:val="24"/>
        </w:rPr>
        <w:t xml:space="preserve">开户银行： </w:t>
      </w:r>
    </w:p>
    <w:p>
      <w:pPr>
        <w:pStyle w:val="632"/>
        <w:ind w:firstLine="480" w:firstLineChars="200"/>
        <w:rPr>
          <w:rFonts w:cs="宋体"/>
          <w:szCs w:val="24"/>
        </w:rPr>
      </w:pPr>
      <w:r>
        <w:rPr>
          <w:rFonts w:hint="eastAsia" w:cs="宋体"/>
          <w:kern w:val="2"/>
          <w:szCs w:val="24"/>
        </w:rPr>
        <w:t>银行账号：</w:t>
      </w:r>
    </w:p>
    <w:p>
      <w:pPr>
        <w:pStyle w:val="632"/>
        <w:ind w:firstLine="480" w:firstLineChars="200"/>
        <w:rPr>
          <w:rFonts w:cs="宋体"/>
          <w:szCs w:val="24"/>
        </w:rPr>
      </w:pPr>
      <w:r>
        <w:rPr>
          <w:rFonts w:hint="eastAsia" w:cs="宋体"/>
          <w:szCs w:val="24"/>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成交项目—确认信息—等待保险/保函受理—确认保单—支付保费—成功出单。广西政府采购云平台金融专线400-903-9583。</w:t>
      </w:r>
    </w:p>
    <w:p>
      <w:pPr>
        <w:pStyle w:val="632"/>
        <w:rPr>
          <w:rFonts w:cs="宋体"/>
          <w:szCs w:val="24"/>
        </w:rPr>
      </w:pPr>
      <w:r>
        <w:rPr>
          <w:rFonts w:hint="eastAsia" w:cs="宋体"/>
          <w:szCs w:val="24"/>
        </w:rPr>
        <w:t>3.3履约保证金的退还。验收合格的政府采购项目，采购人应当按照合同约定的退还方式，在5个工作日内办理履约保证金退还手续。</w:t>
      </w:r>
    </w:p>
    <w:p>
      <w:pPr>
        <w:pStyle w:val="632"/>
        <w:rPr>
          <w:rFonts w:cs="宋体"/>
          <w:szCs w:val="24"/>
        </w:rPr>
      </w:pPr>
      <w:r>
        <w:rPr>
          <w:rFonts w:hint="eastAsia" w:cs="宋体"/>
          <w:szCs w:val="24"/>
        </w:rPr>
        <w:t>4.预付款</w:t>
      </w:r>
    </w:p>
    <w:p>
      <w:pPr>
        <w:pStyle w:val="632"/>
        <w:rPr>
          <w:rFonts w:cs="宋体"/>
          <w:szCs w:val="24"/>
        </w:rPr>
      </w:pPr>
      <w:r>
        <w:rPr>
          <w:rFonts w:hint="eastAsia" w:cs="宋体"/>
          <w:szCs w:val="24"/>
        </w:rPr>
        <w:t>详见第四部分  采购需求。</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供应商可登录广西政府采购云平台前台大厅选择金融服务 - 【保函保险服务】出具预付款保函，具体步骤：选择产品—填写供应商信息—选择成交项目—确认信息—等待保险/保函受理—确认保单—支付保费—成功出单。广西政府采购云平台金融专线400-903-9583。</w:t>
      </w:r>
    </w:p>
    <w:p>
      <w:pPr>
        <w:snapToGrid w:val="0"/>
        <w:spacing w:line="360" w:lineRule="auto"/>
        <w:jc w:val="center"/>
        <w:rPr>
          <w:rFonts w:ascii="宋体" w:hAnsi="宋体" w:cs="宋体"/>
          <w:kern w:val="0"/>
          <w:sz w:val="24"/>
        </w:rPr>
      </w:pPr>
    </w:p>
    <w:p>
      <w:pPr>
        <w:snapToGrid w:val="0"/>
        <w:spacing w:line="360" w:lineRule="auto"/>
        <w:jc w:val="center"/>
        <w:outlineLvl w:val="1"/>
        <w:rPr>
          <w:rFonts w:ascii="宋体" w:hAnsi="宋体" w:cs="宋体"/>
          <w:kern w:val="0"/>
          <w:sz w:val="24"/>
        </w:rPr>
      </w:pPr>
      <w:r>
        <w:rPr>
          <w:rFonts w:hint="eastAsia" w:ascii="宋体" w:hAnsi="宋体" w:cs="宋体"/>
          <w:kern w:val="0"/>
          <w:sz w:val="24"/>
        </w:rPr>
        <w:t>十三、验收</w:t>
      </w:r>
    </w:p>
    <w:p>
      <w:pPr>
        <w:pStyle w:val="23"/>
        <w:spacing w:line="360" w:lineRule="auto"/>
        <w:ind w:firstLine="0" w:firstLineChars="0"/>
        <w:rPr>
          <w:rFonts w:cs="宋体"/>
          <w:kern w:val="0"/>
        </w:rPr>
      </w:pPr>
      <w:r>
        <w:rPr>
          <w:rFonts w:hint="eastAsia" w:cs="宋体"/>
          <w:kern w:val="0"/>
        </w:rPr>
        <w:t>1.验收</w:t>
      </w:r>
    </w:p>
    <w:p>
      <w:pPr>
        <w:tabs>
          <w:tab w:val="left" w:pos="0"/>
        </w:tabs>
        <w:spacing w:line="360" w:lineRule="auto"/>
        <w:ind w:firstLine="480"/>
        <w:rPr>
          <w:rFonts w:ascii="宋体" w:hAnsi="宋体" w:cs="宋体"/>
          <w:kern w:val="0"/>
          <w:sz w:val="24"/>
        </w:rPr>
      </w:pPr>
      <w:r>
        <w:rPr>
          <w:rFonts w:hint="eastAsia" w:ascii="宋体" w:hAnsi="宋体" w:cs="宋体"/>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kern w:val="0"/>
          <w:sz w:val="24"/>
        </w:rPr>
      </w:pPr>
      <w:r>
        <w:rPr>
          <w:rFonts w:hint="eastAsia" w:ascii="宋体" w:hAnsi="宋体" w:cs="宋体"/>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kern w:val="0"/>
          <w:sz w:val="24"/>
        </w:rPr>
      </w:pPr>
      <w:r>
        <w:rPr>
          <w:rFonts w:hint="eastAsia" w:ascii="宋体" w:hAnsi="宋体" w:cs="宋体"/>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kern w:val="0"/>
          <w:sz w:val="24"/>
        </w:rPr>
      </w:pPr>
      <w:r>
        <w:rPr>
          <w:rFonts w:hint="eastAsia" w:ascii="宋体" w:hAnsi="宋体" w:cs="宋体"/>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ascii="宋体" w:hAnsi="宋体" w:cs="宋体"/>
          <w:kern w:val="0"/>
          <w:sz w:val="24"/>
        </w:rPr>
      </w:pPr>
    </w:p>
    <w:p>
      <w:pPr>
        <w:snapToGrid w:val="0"/>
        <w:spacing w:line="360" w:lineRule="auto"/>
        <w:jc w:val="center"/>
        <w:outlineLvl w:val="1"/>
        <w:rPr>
          <w:rFonts w:ascii="宋体" w:hAnsi="宋体" w:cs="宋体"/>
          <w:kern w:val="0"/>
          <w:sz w:val="24"/>
        </w:rPr>
      </w:pPr>
      <w:r>
        <w:rPr>
          <w:rFonts w:hint="eastAsia" w:ascii="宋体" w:hAnsi="宋体" w:cs="宋体"/>
          <w:kern w:val="0"/>
          <w:sz w:val="24"/>
        </w:rPr>
        <w:t>十四、电子交易活动的中止</w:t>
      </w:r>
    </w:p>
    <w:p>
      <w:pPr>
        <w:tabs>
          <w:tab w:val="left" w:pos="0"/>
        </w:tabs>
        <w:spacing w:line="360" w:lineRule="auto"/>
        <w:rPr>
          <w:rFonts w:ascii="宋体" w:hAnsi="宋体" w:cs="宋体"/>
          <w:kern w:val="0"/>
          <w:sz w:val="24"/>
        </w:rPr>
      </w:pPr>
      <w:r>
        <w:rPr>
          <w:rFonts w:hint="eastAsia" w:ascii="宋体" w:hAnsi="宋体" w:cs="宋体"/>
          <w:kern w:val="0"/>
          <w:sz w:val="24"/>
        </w:rPr>
        <w:t>1. 电子交易活动的中止</w:t>
      </w:r>
    </w:p>
    <w:p>
      <w:pPr>
        <w:tabs>
          <w:tab w:val="left" w:pos="0"/>
        </w:tabs>
        <w:spacing w:line="360" w:lineRule="auto"/>
        <w:ind w:firstLine="480"/>
        <w:rPr>
          <w:rFonts w:ascii="宋体" w:hAnsi="宋体" w:cs="宋体"/>
          <w:kern w:val="0"/>
          <w:sz w:val="24"/>
        </w:rPr>
      </w:pPr>
      <w:r>
        <w:rPr>
          <w:rFonts w:hint="eastAsia" w:ascii="宋体" w:hAnsi="宋体" w:cs="宋体"/>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ascii="宋体" w:hAnsi="宋体" w:cs="宋体"/>
          <w:kern w:val="0"/>
          <w:sz w:val="24"/>
        </w:rPr>
      </w:pPr>
      <w:r>
        <w:rPr>
          <w:rFonts w:hint="eastAsia" w:ascii="宋体" w:hAnsi="宋体" w:cs="宋体"/>
          <w:kern w:val="0"/>
          <w:sz w:val="24"/>
        </w:rPr>
        <w:t xml:space="preserve">1.1电子交易平台发生故障而无法登录访问的； </w:t>
      </w:r>
    </w:p>
    <w:p>
      <w:pPr>
        <w:tabs>
          <w:tab w:val="left" w:pos="0"/>
        </w:tabs>
        <w:spacing w:line="360" w:lineRule="auto"/>
        <w:ind w:firstLine="480"/>
        <w:rPr>
          <w:rFonts w:ascii="宋体" w:hAnsi="宋体" w:cs="宋体"/>
          <w:kern w:val="0"/>
          <w:sz w:val="24"/>
        </w:rPr>
      </w:pPr>
      <w:r>
        <w:rPr>
          <w:rFonts w:hint="eastAsia" w:ascii="宋体" w:hAnsi="宋体" w:cs="宋体"/>
          <w:kern w:val="0"/>
          <w:sz w:val="24"/>
        </w:rPr>
        <w:t>1.2电子交易平台应用或数据库出现错误，不能进行正常操作的；</w:t>
      </w:r>
    </w:p>
    <w:p>
      <w:pPr>
        <w:tabs>
          <w:tab w:val="left" w:pos="0"/>
        </w:tabs>
        <w:spacing w:line="360" w:lineRule="auto"/>
        <w:ind w:firstLine="480"/>
        <w:rPr>
          <w:rFonts w:ascii="宋体" w:hAnsi="宋体" w:cs="宋体"/>
          <w:kern w:val="0"/>
          <w:sz w:val="24"/>
        </w:rPr>
      </w:pPr>
      <w:r>
        <w:rPr>
          <w:rFonts w:hint="eastAsia" w:ascii="宋体" w:hAnsi="宋体" w:cs="宋体"/>
          <w:kern w:val="0"/>
          <w:sz w:val="24"/>
        </w:rPr>
        <w:t>1.3电子交易平台发现严重安全漏洞，有潜在泄密危险的；</w:t>
      </w:r>
    </w:p>
    <w:p>
      <w:pPr>
        <w:tabs>
          <w:tab w:val="left" w:pos="0"/>
        </w:tabs>
        <w:spacing w:line="360" w:lineRule="auto"/>
        <w:ind w:firstLine="480"/>
        <w:rPr>
          <w:rFonts w:ascii="宋体" w:hAnsi="宋体" w:cs="宋体"/>
          <w:kern w:val="0"/>
          <w:sz w:val="24"/>
        </w:rPr>
      </w:pPr>
      <w:r>
        <w:rPr>
          <w:rFonts w:hint="eastAsia" w:ascii="宋体" w:hAnsi="宋体" w:cs="宋体"/>
          <w:kern w:val="0"/>
          <w:sz w:val="24"/>
        </w:rPr>
        <w:t xml:space="preserve">1.4病毒发作导致不能进行正常操作的； </w:t>
      </w:r>
    </w:p>
    <w:p>
      <w:pPr>
        <w:tabs>
          <w:tab w:val="left" w:pos="0"/>
        </w:tabs>
        <w:spacing w:line="360" w:lineRule="auto"/>
        <w:ind w:firstLine="480"/>
        <w:rPr>
          <w:rFonts w:ascii="宋体" w:hAnsi="宋体" w:cs="宋体"/>
          <w:kern w:val="0"/>
          <w:sz w:val="24"/>
        </w:rPr>
      </w:pPr>
      <w:r>
        <w:rPr>
          <w:rFonts w:hint="eastAsia" w:ascii="宋体" w:hAnsi="宋体" w:cs="宋体"/>
          <w:kern w:val="0"/>
          <w:sz w:val="24"/>
        </w:rPr>
        <w:t>1.5其他无法保证电子交易的公平、公正和安全的情况。</w:t>
      </w:r>
    </w:p>
    <w:p>
      <w:pPr>
        <w:tabs>
          <w:tab w:val="left" w:pos="0"/>
        </w:tabs>
        <w:spacing w:line="360" w:lineRule="auto"/>
        <w:rPr>
          <w:rFonts w:ascii="宋体" w:hAnsi="宋体" w:cs="宋体"/>
          <w:kern w:val="0"/>
          <w:sz w:val="24"/>
        </w:rPr>
      </w:pPr>
      <w:r>
        <w:rPr>
          <w:rFonts w:hint="eastAsia" w:ascii="宋体" w:hAnsi="宋体" w:cs="宋体"/>
          <w:kern w:val="0"/>
          <w:sz w:val="24"/>
        </w:rPr>
        <w:t>2.出现以上情形，不影响采购公平、公正性的，采购组织机构可以待上述情形消除后继续组织电子交易活动，也可以决定某些环节以纸质形式进行；影响或可能影响采购公平、公正性的，应当重新采购。</w:t>
      </w:r>
      <w:bookmarkEnd w:id="16"/>
      <w:bookmarkStart w:id="57" w:name="_Hlt75236011"/>
      <w:bookmarkEnd w:id="57"/>
      <w:bookmarkStart w:id="58" w:name="_Hlt74714665"/>
      <w:bookmarkEnd w:id="58"/>
      <w:bookmarkStart w:id="59" w:name="_Hlt74707468"/>
      <w:bookmarkEnd w:id="59"/>
      <w:bookmarkStart w:id="60" w:name="_Hlt74730295"/>
      <w:bookmarkEnd w:id="60"/>
      <w:bookmarkStart w:id="61" w:name="_Hlt68072990"/>
      <w:bookmarkEnd w:id="61"/>
      <w:bookmarkStart w:id="62" w:name="_Hlt75236290"/>
      <w:bookmarkEnd w:id="62"/>
      <w:bookmarkStart w:id="63" w:name="_Hlt74729768"/>
      <w:bookmarkEnd w:id="63"/>
      <w:bookmarkStart w:id="64" w:name="_Hlt68057669"/>
      <w:bookmarkEnd w:id="64"/>
      <w:bookmarkStart w:id="65" w:name="_Hlt75236101"/>
      <w:bookmarkEnd w:id="65"/>
      <w:bookmarkStart w:id="66" w:name="第三部分"/>
      <w:bookmarkStart w:id="67" w:name="_Toc164416483"/>
    </w:p>
    <w:p>
      <w:pPr>
        <w:snapToGrid w:val="0"/>
        <w:spacing w:line="360" w:lineRule="auto"/>
        <w:ind w:left="120" w:leftChars="57" w:firstLine="360" w:firstLineChars="150"/>
        <w:jc w:val="center"/>
        <w:outlineLvl w:val="1"/>
        <w:rPr>
          <w:rFonts w:ascii="宋体" w:hAnsi="宋体" w:cs="宋体"/>
          <w:kern w:val="0"/>
          <w:sz w:val="24"/>
        </w:rPr>
      </w:pPr>
      <w:r>
        <w:rPr>
          <w:rFonts w:hint="eastAsia" w:ascii="宋体" w:hAnsi="宋体" w:cs="宋体"/>
          <w:kern w:val="0"/>
          <w:sz w:val="24"/>
        </w:rPr>
        <w:t>十五、代理费用的收取标准和方式</w:t>
      </w:r>
    </w:p>
    <w:p>
      <w:pPr>
        <w:pStyle w:val="23"/>
        <w:numPr>
          <w:ilvl w:val="0"/>
          <w:numId w:val="7"/>
        </w:numPr>
        <w:spacing w:line="360" w:lineRule="auto"/>
        <w:ind w:firstLineChars="0"/>
        <w:rPr>
          <w:rFonts w:cs="宋体"/>
          <w:kern w:val="0"/>
        </w:rPr>
      </w:pPr>
      <w:r>
        <w:rPr>
          <w:rFonts w:hint="eastAsia" w:cs="宋体"/>
          <w:kern w:val="0"/>
        </w:rPr>
        <w:t>代理费用的收取标准和方式（适用于有权收取代理费用的采购代理机构）</w:t>
      </w:r>
    </w:p>
    <w:p>
      <w:pPr>
        <w:pStyle w:val="632"/>
        <w:rPr>
          <w:rFonts w:cs="宋体"/>
          <w:szCs w:val="24"/>
        </w:rPr>
      </w:pPr>
      <w:r>
        <w:rPr>
          <w:rFonts w:hint="eastAsia" w:cs="宋体"/>
          <w:szCs w:val="24"/>
        </w:rPr>
        <w:t>本项目不需代理费。</w:t>
      </w:r>
    </w:p>
    <w:p>
      <w:pPr>
        <w:pStyle w:val="632"/>
        <w:rPr>
          <w:rFonts w:cs="宋体"/>
          <w:szCs w:val="24"/>
        </w:rPr>
      </w:pPr>
      <w:r>
        <w:rPr>
          <w:rFonts w:hint="eastAsia" w:cs="宋体"/>
          <w:szCs w:val="24"/>
        </w:rPr>
        <w:br w:type="page"/>
      </w:r>
    </w:p>
    <w:p>
      <w:pPr>
        <w:pStyle w:val="632"/>
        <w:rPr>
          <w:rFonts w:cs="宋体"/>
          <w:szCs w:val="24"/>
        </w:rPr>
      </w:pPr>
    </w:p>
    <w:p>
      <w:pPr>
        <w:adjustRightInd/>
        <w:spacing w:line="360" w:lineRule="auto"/>
        <w:jc w:val="center"/>
        <w:outlineLvl w:val="0"/>
        <w:rPr>
          <w:rFonts w:ascii="宋体" w:hAnsi="宋体" w:cs="宋体"/>
          <w:kern w:val="0"/>
          <w:sz w:val="24"/>
        </w:rPr>
      </w:pPr>
      <w:bookmarkStart w:id="68" w:name="_Toc181203097"/>
      <w:r>
        <w:rPr>
          <w:rFonts w:hint="eastAsia" w:ascii="宋体" w:hAnsi="宋体" w:cs="宋体"/>
          <w:kern w:val="0"/>
          <w:sz w:val="24"/>
        </w:rPr>
        <w:t>第四部分  采购需求</w:t>
      </w:r>
      <w:bookmarkEnd w:id="68"/>
    </w:p>
    <w:p>
      <w:pPr>
        <w:adjustRightInd/>
        <w:spacing w:line="360" w:lineRule="auto"/>
        <w:jc w:val="left"/>
        <w:rPr>
          <w:rFonts w:ascii="宋体" w:hAnsi="宋体" w:cs="宋体"/>
          <w:kern w:val="0"/>
          <w:sz w:val="24"/>
        </w:rPr>
      </w:pPr>
      <w:r>
        <w:rPr>
          <w:rFonts w:hint="eastAsia" w:ascii="宋体" w:hAnsi="宋体" w:cs="宋体"/>
          <w:kern w:val="0"/>
          <w:sz w:val="24"/>
        </w:rPr>
        <w:t xml:space="preserve">     采购需求成交注“★”的内容必须响应满足，否则磋商无效</w:t>
      </w:r>
    </w:p>
    <w:tbl>
      <w:tblPr>
        <w:tblStyle w:val="61"/>
        <w:tblW w:w="10128"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2"/>
        <w:gridCol w:w="963"/>
        <w:gridCol w:w="68"/>
        <w:gridCol w:w="8342"/>
        <w:gridCol w:w="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53" w:type="dxa"/>
          <w:trHeight w:val="531" w:hRule="atLeast"/>
        </w:trPr>
        <w:tc>
          <w:tcPr>
            <w:tcW w:w="9675"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autoSpaceDE w:val="0"/>
              <w:autoSpaceDN w:val="0"/>
              <w:spacing w:line="420" w:lineRule="exact"/>
              <w:ind w:firstLine="480" w:firstLineChars="200"/>
              <w:rPr>
                <w:rFonts w:ascii="宋体" w:hAnsi="宋体" w:cs="宋体"/>
                <w:kern w:val="0"/>
                <w:sz w:val="24"/>
              </w:rPr>
            </w:pPr>
            <w:bookmarkStart w:id="69" w:name="_Toc181203098"/>
            <w:r>
              <w:rPr>
                <w:rFonts w:hint="eastAsia" w:ascii="宋体" w:hAnsi="宋体" w:cs="宋体"/>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53" w:type="dxa"/>
          <w:trHeight w:val="90" w:hRule="atLeast"/>
        </w:trPr>
        <w:tc>
          <w:tcPr>
            <w:tcW w:w="126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服务名称</w:t>
            </w:r>
          </w:p>
        </w:tc>
        <w:tc>
          <w:tcPr>
            <w:tcW w:w="841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 xml:space="preserve">安保管理服务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53" w:type="dxa"/>
          <w:trHeight w:val="90" w:hRule="atLeast"/>
        </w:trPr>
        <w:tc>
          <w:tcPr>
            <w:tcW w:w="126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服务要求</w:t>
            </w:r>
          </w:p>
        </w:tc>
        <w:tc>
          <w:tcPr>
            <w:tcW w:w="8410"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spacing w:line="520" w:lineRule="exact"/>
              <w:ind w:firstLine="480" w:firstLineChars="200"/>
              <w:rPr>
                <w:rFonts w:ascii="宋体" w:hAnsi="宋体" w:cs="宋体"/>
                <w:kern w:val="0"/>
                <w:sz w:val="24"/>
              </w:rPr>
            </w:pPr>
            <w:r>
              <w:rPr>
                <w:rFonts w:hint="eastAsia" w:ascii="宋体" w:hAnsi="宋体" w:cs="宋体"/>
                <w:kern w:val="0"/>
                <w:sz w:val="24"/>
              </w:rPr>
              <w:t>一、安保管理服务范围</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（一）安全保卫、交通、消防管理</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1.24小时全面负责校区（包括所有建筑物、公共场所）的治安防范工作。作为专业服务企业，应能够结合校园的具体情况制定和完善安全防范方案、管理方案，并有能力组织实施；必须按要求合理配置安保岗位和安保人员，明确岗位职责，抓好队伍管理和建设，采取人防、物防、技防措施，维护好校园治安秩序，全方位确保校园安全有序的教学科研、管理和学习生活环境。</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2.对学校进行不间断的安全巡查，落实有关夜间巡查要求；对值班、巡逻中发现问题及时报告，妥善解决。根据学校安排，服从学校人员调配，做好各项活动的安全保卫工作。</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负责学校大门24小时值班，按照学校规定，做好对进出车辆进行查询、检查、核对、登记工作，禁止闲杂车辆借道通行或在校区停放。加强校园道路管理，对校园内超速行驶、乱停乱放的车辆等进行及时阻拦；对在道路上乱堆放杂物或其他堵塞消防通道的行为应及时制止。对在校区内停泊的车辆应加强安全巡防，防止车辆及车辆上的物品被盗，防止车辆被人为损坏。</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对发生在校区内的治安刑事案件及其他扰乱校园教学、科研、生活秩序的事件，应制定应急预案并能作出快速反应，在30分钟内除现有配置人员外，再增派不低于10人的增援力量。并能采取恰当、有效的措施进行处置，防止事态进一步扩大，必要时及时报警，同时报告学校，事后协助公安机关及学校调查处置各种安全事件。对于发生在校园内的一般违纪事件，应视情况予以制止，并报告学校后勤部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5.积极配合学校、公安、综合执法局等部门加强校园周边治安巡防，排查和制止各种涉及校园安全的安全隐患和事件。负责门前“三包”，劝阻乱摆乱卖流动摊贩，制止在校区大门划线管理区域内停泊车辆，疏导校区人流，维护校区大门区域的秩序。对校区大门及校园周边存在的各种扰乱社会秩序、侵害师生员工的行为，应及时报警处置。对各种企图冲击校区大门的暴恐行为及破坏行为，应及时采取有效措施制止并及时报警。</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6.负责校园内消防安全管理工作，积极配合学校开展消防安全宣传和教育工作，积极开展消防演练提高灭火及人员疏散等处置能力。每月定期对学校所有场所（包括校园内对外出租铺面等场所）的消防设施、灭火器材、消防安全标志、应急灯等进行检查维护；每日对重点部位和场所进行巡查，确保疏散通道和安全出口畅通，对发现的消防安全隐患应及时整改并上报学校，对违反消防管理规定的行为应及时制止。校园发生火灾时，应及时组织力量进行灭火及人员疏散等处置，并及时报警和报告学校后勤部门。事后，应配合公安和学校维护火灾现场和开展调查。认真配合学校做好消防台账建设工作。每月应将各种消防检查、消防隐患整改等资料，上报学校备案。</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7.负责使用和管理学校现有的视频监控等安全技术防范系统，充分利用和发挥技防系统的作用，做好学校的安全保卫工作。爱护和维护系统设备，不能违反操作规程和其他规定，使用和操作系统设备，注意保持监控室和设施设备卫生，注意做好设施设备非技术性的保洁工作，确保系统正常运行。</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8.负责学校各种大型活动的治安、交通秩序维护和消防等安全工作（根据活动需求，无偿增补5-10人序管力量）。</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9.加强保安队伍的建设，严把人员聘用审核关，确保聘用的保安人员无违法犯罪行为；应通过开展培训，提高保安队伍的业务水平，通过加强管理，确保在岗人员能认真履行职责，无睡岗、离岗、串岗聊天及打牌、看书、玩手机，或出现与工作无关的事情的现象。工作人员不得与师生员工发生辱骂、冲突，特别不能发生殴打行为（经司法界定的属正当防卫除外），否则由当事人承担一切由此引起的法律及经济责任。如发生殴打学生的行为影响到学校形象的，除需要承担相应的法律责任及经济处罚外，学校有权终止与采购合同。</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10.工业园校区要求每班配备一名具有C1以上驾驶证的安保人员，负责对工业园校区生病、发热及突发事件情况下学生的送医，车辆由学院提供。</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（二）卫生监督</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制定学校卫生监督管理工作方案，负责组织实施并开展全区学校内生活环境、公共场所的卫生管理、监督；按学校行政管理部门的要求完成卫生管理及监督任务。</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1.校园：负责对校园公共场所的卫生情况进行监督及管理，对校园公共场所进行不间断巡视，确保地面清洁，路面、场地、绿化区无垃圾、杂物，无卫生死角。</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教学、宿舍楼：负责对教学楼及宿舍楼的卫生情况进行监督及管理，对楼梯、楼道、走廊进行不间断巡视、监督，确保学生在校期间，每天清扫地面，保持墙壁无浮灰、蜘蛛网、无污迹；保证地面、台阶每天打扫、湿拖2次；宣传窗、垃圾桶、装饰柱、植物花盆等每天保洁1次；装饰门及门套、踢脚线等3天保洁1次；墙面、天棚、消防设施、灯具每周保洁1次；保证假期空置学生宿舍内卫生清洁、物品整理摆放有序。</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3.卫生间：负责对学校卫生间的卫生情况进行监督及管理，确保学生在校期间，保持卫生间卫生，便池、水池、地面、墙壁无污迹，无明显异味，管道无堵塞，设施用具完好。</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4.垃圾清运：负责对学校垃圾清运的卫生情况进行监督及管理，确保校园垃圾箱每天的清除、外运，做到垃圾日产日清，保持校园垃圾全部进垃圾箱，保持箱外无垃圾，做到箱体清洁、无损坏。</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5.消防水池：定期对消防水池漂浮物进行清理。</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（三）园林绿化管理</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负责校园环境绿化管理体系的建立与维护,修订和完善绿化、保洁管理制度及标准。全面负责校园绿化区的日常养护监督及管理，制定切实可行的养护计划和管理措施，确保适时对花木、草坪进行修剪、施肥、防治病虫害、养护和浇水，清除绿化区杂草，保证每月至少清理杂草1次；确保每学期开学前对校园园林绿化进行全面清理。协助做好重大节日、重要活动的绿化美化工作（消杀药品由学校提供）。</w:t>
            </w:r>
          </w:p>
          <w:p>
            <w:pPr>
              <w:widowControl/>
              <w:numPr>
                <w:ilvl w:val="0"/>
                <w:numId w:val="8"/>
              </w:numPr>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卫生防疫</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按照要求负责全校范围内的灭蚊虫喷药（药品由学校提供）。</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（五）日常维修</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1.配备有资质的相关专业人员，配合做好对校园内建筑物和附属公共设施的日常安全检查及维修、养护和管理（包括室内外供水、排水、排污管道、道路、井盖、公共卫生间、车棚、停车场等）。如果日常安全检查中发现存在安全隐患，应第一时间在隐患区域标示和围警戒线，并及时上报学校协调处理。</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2.配合做好校园内供电、配电设施、设备、照明系统的日常维修、养护、管理，确保各种设施设备均处于良好和安全状态。</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 xml:space="preserve">3.配合做好校园内包括教学楼、宿舍楼、校园公共区域等的课桌椅、黑板、门窗、窗帘、锁具、灯具、开关、插座、水龙头、阀门、吊顶、下水管道疏通及楼内水管、电线等设施的日常维修（在学校提供维修材料的前提下，水龙头、电灯（室内）更换须在接到报修后6小时内完成；水管爆裂、变压器跳闸、主供电线路故障须立即协调配合学校处理）。                                       </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4.负责协调配合市政供水、供电单位对校内的相关设备进行检测、维护工作,专项检测、维保业务所需费用由学校支付。</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5.配合学校于每月3日前对校内水电总表及各建筑物水电分表进行抄表，并于每月5日前将水电使用明细表及水电费额报送给学校后勤。</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6.配合做好各类设备、设施日常检查维护台账建设工作。每月应将各种设备、设施检查、隐患整改等资料上报学校备案。</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（六）学生宿舍管理</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负责学生在校期间的学生宿舍楼24小时值班管理。根据学校关于学生宿舍管理的有关规章制度，禁止男女学生互串宿舍，并严禁闲杂人员进入宿舍。学生上课后清理检查学生宿舍安全和卫生。保持值班室内清洁卫生，执行夜间巡视排查的管理规定，熄灯前对学生进行点名登记。坚持每天对宿舍楼公物、门窗玻璃、消防器材、设施设备和学生反映的维修项目和安全隐患情况及时掌握，分清责任，如实上报且做好记录。熟悉消防器材的使用与保养，熟知消防通道钥匙的放置位置，遇到特殊紧急情况能及时打开消防通道，组织学生疏散撤离；指导学生做好内务整理工作，监督检查寝室纪律，并把每天检查的结果报学校。按照学校的宿舍卫生评比标准，进行内务卫生及纪律检查评分，并及时公布，改善学生不好的生活习惯，培养学生的文明行为习惯。当班人员不能就寝。</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（七）工业园区校区学生运送</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负责对生病、发热及突发事件情况下学生的送医，车辆由学院提供。</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二、管理人员行为规范要求</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 xml:space="preserve">（一）职业道德要求 </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1.敬业爱岗：勤奋敬业，积极肯干，热爱本职岗位，乐于为本职工作奉献。</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2.遵守纪律：认真遵守国家政策、法规、法令，遵守学院规章制度和劳动纪律。</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3.认真学习：努力学习科学文化知识，不断提高业务技术水平，努力提高服务质量。</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4.公私分明：爱护公物，不谋私利，自觉地维护供应商的利益和声誉。</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5.勤俭节约：具有良好的节约意识，勤俭办公，节约能源。</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6.团结合作：严于律己，宽以待人，正确处理好个人与集体、同事的工作关系，具有良好的协作精神，易与他人相处。</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7.严守秘密：未经批准，不向外界传播或提供有关学校的任何资料。</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 xml:space="preserve">（二）服务意识要求  </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1.文明礼貌：做到语言规范，谈吐文雅，衣冠整洁，举止端庄。</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2.主动热情：以真诚的笑容，主动热情地为师生服务，主动了解师生的需要，努力为师生排忧解难。</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3.耐心周到：员工在对师生的服务中要耐心周到，问多不厌，事多不烦，虚心听取师生意见，耐心解答师生问题，服务体贴入微，有求必应，面面俱到，尽善尽美。</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 xml:space="preserve">（三）仪容仪表要求 </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 xml:space="preserve">1.保持衣冠整洁，按规定要求着装，将工作卡端正地佩戴在左胸前。 </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 xml:space="preserve">2.工作场所不得穿短裤、背心、拖鞋。 </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3.男员工头发不盖耳朵、不遮衣领，每天剃须，保持指甲清洁，不留长指甲，扣好衣扣裤扣，紧束领带（大箭头垂到皮带扣处为准），衬衣下摆放进裤内。</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4.女员工头发不过肩，不做怪异发型，不留长指甲，不染指甲，不浓妆艳抹，不穿黑色或带花丝袜。</w:t>
            </w:r>
          </w:p>
          <w:p>
            <w:pPr>
              <w:widowControl/>
              <w:snapToGrid w:val="0"/>
              <w:spacing w:line="520" w:lineRule="exact"/>
              <w:ind w:firstLine="602" w:firstLineChars="251"/>
              <w:jc w:val="left"/>
              <w:rPr>
                <w:rFonts w:ascii="宋体" w:hAnsi="宋体" w:cs="宋体"/>
                <w:kern w:val="0"/>
                <w:sz w:val="24"/>
              </w:rPr>
            </w:pPr>
            <w:r>
              <w:rPr>
                <w:rFonts w:hint="eastAsia" w:ascii="宋体" w:hAnsi="宋体" w:cs="宋体"/>
                <w:kern w:val="0"/>
                <w:sz w:val="24"/>
              </w:rPr>
              <w:t>三、服务期内承担发生经济损失责任赔偿细则</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（一）为了规范管理，明确界定赔偿责任，特制定本细则</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1.赔偿应遵循的原则：根据责任大小实行“责任赔偿”。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2.赔偿责任的确定，一般由采购人后勤保卫管理部门依据执法部门裁定进行确认，由成交供应商根据确认结果实施赔偿。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3.被损失物品价值的确定。按市场价格和使用折旧情况综合确定，即按实际价值确定。</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（二）关于教职工宿舍被盗损失的赔偿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（1）现金和现金等价物；</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（2）金银、珠宝等首饰；</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（3）电脑、冰箱、电视机等大件电器物品；</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（4）其他经认定应予赔偿的物品。</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3.损失价值的确认</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（1）现金：由成交供应商责任导致损失的，损失在2000元人民币之内（含2000元）的，成交供应商按100%赔偿；超过2000元人民币的，按2000元确认赔偿；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（2）金银、珠宝等首饰按原购价计算确认；</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（3）其他物品按原购价扣除折旧(采用年限法)后的折余价值计算确认。</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（三）关于车辆（汽车、摩托车、电动助力车等）被盗损失的赔偿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1.赔偿的前提条件</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（1）必须停放在学院指定停放点；</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（2）停放车辆离开时必须锁好，摩托车、电动助力车应加挂防盗锁，小汽车应关好门窗；</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（3）停放车辆离开时应取走车钥匙；</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（4）有正式发票；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（5）机动车主应有行驶证、出入牌等证件。</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2.赔偿的范围</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（1）学院公车；</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（2）教职员工私车；</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（3）外来办事或上课停放在指定停车场及经认定应予赔偿的公、私车。</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3.损失的认定和赔偿比例</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按车辆原购价（汽车含车辆购置附加费）扣除折旧（采用年限法）后的折余价值计算确认。</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4.关于办公楼、教学楼和实验室（楼）等场所内公共财产被盗损失的赔偿。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（1）赔偿的前提条件</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安装有基本的防盗设施；</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②人员离开后应关好门窗；</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有正式的购物发票。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（2）赔偿的范围</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电脑、打印机、复印机、多媒体设备、传真机等公共财产；</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②其他认定应予赔偿的办公用品等公共财产；</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（3）损失价值的确认</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按公共财产的原购价扣除折旧（采用年限法）后的折余价值计算确认。</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5.关于学生公寓楼被盗损失的赔偿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（1）学生公寓如发生外人撬门（锁、窗）入室盗窃案件，报公安部门(或甲方后勤、保卫部门)现场核定后，成交供应商按全部损失的100%给予赔偿；</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（2）学生公寓发生的因本人安全防范意识差（如出门不关门窗、不锁门、钥匙乱放、财物保管不善等），造成的财物丢失，不在赔偿之列。</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3）学生凡有贵重物品的，需要在成交供应商进行登记，没有进行登记的贵重物品被盗和损失的，不在赔偿之列。手机、银行卡、饭卡等随身携带，若造成丢失不在赔偿范围之列，不便于携带的大件贵重物品如电脑等，若没有进行登记备案的必须要有同公寓学生及辅导员的证明，并提供购物发票，否则也不在赔偿之列。</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四、管理服务人员配备方案</w:t>
            </w:r>
          </w:p>
          <w:p>
            <w:pPr>
              <w:widowControl/>
              <w:snapToGrid w:val="0"/>
              <w:spacing w:line="520" w:lineRule="exact"/>
              <w:ind w:firstLine="484" w:firstLineChars="202"/>
              <w:jc w:val="left"/>
              <w:rPr>
                <w:rFonts w:ascii="宋体" w:hAnsi="宋体" w:cs="宋体"/>
                <w:kern w:val="0"/>
                <w:sz w:val="24"/>
              </w:rPr>
            </w:pPr>
            <w:r>
              <w:rPr>
                <w:rFonts w:hint="eastAsia" w:ascii="宋体" w:hAnsi="宋体" w:cs="宋体"/>
                <w:kern w:val="0"/>
                <w:sz w:val="24"/>
              </w:rPr>
              <w:t>人员配备一览表</w:t>
            </w:r>
          </w:p>
          <w:tbl>
            <w:tblPr>
              <w:tblStyle w:val="61"/>
              <w:tblW w:w="8026" w:type="dxa"/>
              <w:tblInd w:w="0" w:type="dxa"/>
              <w:tblLayout w:type="autofit"/>
              <w:tblCellMar>
                <w:top w:w="0" w:type="dxa"/>
                <w:left w:w="108" w:type="dxa"/>
                <w:bottom w:w="0" w:type="dxa"/>
                <w:right w:w="108" w:type="dxa"/>
              </w:tblCellMar>
            </w:tblPr>
            <w:tblGrid>
              <w:gridCol w:w="583"/>
              <w:gridCol w:w="1053"/>
              <w:gridCol w:w="865"/>
              <w:gridCol w:w="1301"/>
              <w:gridCol w:w="4128"/>
              <w:gridCol w:w="96"/>
            </w:tblGrid>
            <w:tr>
              <w:tblPrEx>
                <w:tblCellMar>
                  <w:top w:w="0" w:type="dxa"/>
                  <w:left w:w="108" w:type="dxa"/>
                  <w:bottom w:w="0" w:type="dxa"/>
                  <w:right w:w="108" w:type="dxa"/>
                </w:tblCellMar>
              </w:tblPrEx>
              <w:trPr>
                <w:gridAfter w:val="1"/>
                <w:wAfter w:w="96" w:type="dxa"/>
                <w:trHeight w:val="372" w:hRule="atLeast"/>
              </w:trPr>
              <w:tc>
                <w:tcPr>
                  <w:tcW w:w="583" w:type="dxa"/>
                  <w:vMerge w:val="restart"/>
                  <w:tcBorders>
                    <w:top w:val="single" w:color="auto" w:sz="4" w:space="0"/>
                    <w:left w:val="single" w:color="auto" w:sz="4" w:space="0"/>
                    <w:right w:val="single" w:color="auto" w:sz="4" w:space="0"/>
                  </w:tcBorders>
                  <w:vAlign w:val="center"/>
                </w:tcPr>
                <w:p>
                  <w:pPr>
                    <w:widowControl/>
                    <w:snapToGrid w:val="0"/>
                    <w:spacing w:line="400" w:lineRule="exact"/>
                    <w:jc w:val="left"/>
                    <w:rPr>
                      <w:rFonts w:ascii="宋体" w:hAnsi="宋体" w:cs="宋体"/>
                      <w:kern w:val="0"/>
                      <w:sz w:val="24"/>
                    </w:rPr>
                  </w:pPr>
                  <w:r>
                    <w:rPr>
                      <w:rFonts w:hint="eastAsia" w:ascii="宋体" w:hAnsi="宋体" w:cs="宋体"/>
                      <w:kern w:val="0"/>
                      <w:sz w:val="24"/>
                    </w:rPr>
                    <w:t>序号</w:t>
                  </w:r>
                </w:p>
              </w:tc>
              <w:tc>
                <w:tcPr>
                  <w:tcW w:w="1053" w:type="dxa"/>
                  <w:vMerge w:val="restart"/>
                  <w:tcBorders>
                    <w:top w:val="single" w:color="auto" w:sz="4" w:space="0"/>
                    <w:left w:val="nil"/>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岗位设置</w:t>
                  </w:r>
                </w:p>
              </w:tc>
              <w:tc>
                <w:tcPr>
                  <w:tcW w:w="6294" w:type="dxa"/>
                  <w:gridSpan w:val="3"/>
                  <w:tcBorders>
                    <w:top w:val="single" w:color="auto" w:sz="4" w:space="0"/>
                    <w:left w:val="nil"/>
                    <w:bottom w:val="single" w:color="auto" w:sz="4" w:space="0"/>
                    <w:right w:val="single" w:color="auto" w:sz="4" w:space="0"/>
                  </w:tcBorders>
                  <w:vAlign w:val="center"/>
                </w:tcPr>
                <w:p>
                  <w:pPr>
                    <w:widowControl/>
                    <w:snapToGrid w:val="0"/>
                    <w:spacing w:line="400" w:lineRule="exact"/>
                    <w:ind w:firstLine="484" w:firstLineChars="202"/>
                    <w:jc w:val="center"/>
                    <w:rPr>
                      <w:rFonts w:ascii="宋体" w:hAnsi="宋体" w:cs="宋体"/>
                      <w:kern w:val="0"/>
                      <w:sz w:val="24"/>
                    </w:rPr>
                  </w:pPr>
                  <w:r>
                    <w:rPr>
                      <w:rFonts w:hint="eastAsia" w:ascii="宋体" w:hAnsi="宋体" w:cs="宋体"/>
                      <w:kern w:val="0"/>
                      <w:sz w:val="24"/>
                    </w:rPr>
                    <w:t>岗位工作要求</w:t>
                  </w:r>
                </w:p>
              </w:tc>
            </w:tr>
            <w:tr>
              <w:tblPrEx>
                <w:tblCellMar>
                  <w:top w:w="0" w:type="dxa"/>
                  <w:left w:w="108" w:type="dxa"/>
                  <w:bottom w:w="0" w:type="dxa"/>
                  <w:right w:w="108" w:type="dxa"/>
                </w:tblCellMar>
              </w:tblPrEx>
              <w:trPr>
                <w:trHeight w:val="421" w:hRule="atLeast"/>
              </w:trPr>
              <w:tc>
                <w:tcPr>
                  <w:tcW w:w="583" w:type="dxa"/>
                  <w:vMerge w:val="continue"/>
                  <w:tcBorders>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p>
              </w:tc>
              <w:tc>
                <w:tcPr>
                  <w:tcW w:w="1053" w:type="dxa"/>
                  <w:vMerge w:val="continue"/>
                  <w:tcBorders>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北校区</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工业园校区</w:t>
                  </w:r>
                </w:p>
              </w:tc>
              <w:tc>
                <w:tcPr>
                  <w:tcW w:w="4224" w:type="dxa"/>
                  <w:gridSpan w:val="2"/>
                  <w:tcBorders>
                    <w:top w:val="single" w:color="auto" w:sz="4" w:space="0"/>
                    <w:left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p>
              </w:tc>
            </w:tr>
            <w:tr>
              <w:tblPrEx>
                <w:tblCellMar>
                  <w:top w:w="0" w:type="dxa"/>
                  <w:left w:w="108" w:type="dxa"/>
                  <w:bottom w:w="0" w:type="dxa"/>
                  <w:right w:w="108" w:type="dxa"/>
                </w:tblCellMar>
              </w:tblPrEx>
              <w:trPr>
                <w:trHeight w:val="2177"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1</w:t>
                  </w:r>
                </w:p>
              </w:tc>
              <w:tc>
                <w:tcPr>
                  <w:tcW w:w="105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项目经理</w:t>
                  </w: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1</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1</w:t>
                  </w:r>
                </w:p>
              </w:tc>
              <w:tc>
                <w:tcPr>
                  <w:tcW w:w="42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ascii="宋体" w:hAnsi="宋体" w:cs="宋体"/>
                      <w:kern w:val="0"/>
                      <w:sz w:val="24"/>
                    </w:rPr>
                  </w:pPr>
                  <w:r>
                    <w:rPr>
                      <w:rFonts w:hint="eastAsia" w:ascii="宋体" w:hAnsi="宋体" w:cs="宋体"/>
                      <w:kern w:val="0"/>
                      <w:sz w:val="24"/>
                    </w:rPr>
                    <w:t>男性，35—50 岁，负责物业全面工 作。（具备从业相关资质，有 3 年 以上物业管理工作经验。工业园校 区经理要求住工业园校区。）</w:t>
                  </w:r>
                </w:p>
              </w:tc>
            </w:tr>
            <w:tr>
              <w:tblPrEx>
                <w:tblCellMar>
                  <w:top w:w="0" w:type="dxa"/>
                  <w:left w:w="108" w:type="dxa"/>
                  <w:bottom w:w="0" w:type="dxa"/>
                  <w:right w:w="108" w:type="dxa"/>
                </w:tblCellMar>
              </w:tblPrEx>
              <w:trPr>
                <w:trHeight w:val="793"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2</w:t>
                  </w:r>
                </w:p>
              </w:tc>
              <w:tc>
                <w:tcPr>
                  <w:tcW w:w="105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安保人员</w:t>
                  </w: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8</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12</w:t>
                  </w:r>
                </w:p>
              </w:tc>
              <w:tc>
                <w:tcPr>
                  <w:tcW w:w="42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ascii="宋体" w:hAnsi="宋体" w:cs="宋体"/>
                      <w:kern w:val="0"/>
                      <w:sz w:val="24"/>
                    </w:rPr>
                  </w:pPr>
                  <w:r>
                    <w:rPr>
                      <w:rFonts w:hint="eastAsia" w:ascii="宋体" w:hAnsi="宋体" w:cs="宋体"/>
                      <w:kern w:val="0"/>
                      <w:sz w:val="24"/>
                    </w:rPr>
                    <w:t>男性，工业园校区需要 3 名女性保安，55 岁以下，负责学校的安全 保卫工作。（安保人员具备从业相 关资质，有2 年以上安保工作经验， 工业园校区需要 3 名女性保安）</w:t>
                  </w:r>
                </w:p>
              </w:tc>
            </w:tr>
            <w:tr>
              <w:tblPrEx>
                <w:tblCellMar>
                  <w:top w:w="0" w:type="dxa"/>
                  <w:left w:w="108" w:type="dxa"/>
                  <w:bottom w:w="0" w:type="dxa"/>
                  <w:right w:w="108" w:type="dxa"/>
                </w:tblCellMar>
              </w:tblPrEx>
              <w:trPr>
                <w:trHeight w:val="793"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3</w:t>
                  </w:r>
                </w:p>
              </w:tc>
              <w:tc>
                <w:tcPr>
                  <w:tcW w:w="105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宿舍管理员</w:t>
                  </w: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4</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8</w:t>
                  </w:r>
                </w:p>
              </w:tc>
              <w:tc>
                <w:tcPr>
                  <w:tcW w:w="42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ascii="宋体" w:hAnsi="宋体" w:cs="宋体"/>
                      <w:kern w:val="0"/>
                      <w:sz w:val="24"/>
                    </w:rPr>
                  </w:pPr>
                  <w:r>
                    <w:rPr>
                      <w:rFonts w:hint="eastAsia" w:ascii="宋体" w:hAnsi="宋体" w:cs="宋体"/>
                      <w:kern w:val="0"/>
                      <w:sz w:val="24"/>
                    </w:rPr>
                    <w:t>女性，55 岁以下，负责学生宿舍的 管理。（宿舍管理员负责人具备从 业相关资质，有 2 年以上学校宿舍 管理工作经验）</w:t>
                  </w:r>
                </w:p>
              </w:tc>
            </w:tr>
            <w:tr>
              <w:tblPrEx>
                <w:tblCellMar>
                  <w:top w:w="0" w:type="dxa"/>
                  <w:left w:w="108" w:type="dxa"/>
                  <w:bottom w:w="0" w:type="dxa"/>
                  <w:right w:w="108" w:type="dxa"/>
                </w:tblCellMar>
              </w:tblPrEx>
              <w:trPr>
                <w:trHeight w:val="793"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4</w:t>
                  </w:r>
                </w:p>
              </w:tc>
              <w:tc>
                <w:tcPr>
                  <w:tcW w:w="105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卫生监督员、</w:t>
                  </w:r>
                </w:p>
                <w:p>
                  <w:pPr>
                    <w:widowControl/>
                    <w:snapToGrid w:val="0"/>
                    <w:spacing w:line="400" w:lineRule="exact"/>
                    <w:jc w:val="center"/>
                    <w:rPr>
                      <w:rFonts w:ascii="宋体" w:hAnsi="宋体" w:cs="宋体"/>
                      <w:kern w:val="0"/>
                      <w:sz w:val="24"/>
                    </w:rPr>
                  </w:pPr>
                  <w:r>
                    <w:rPr>
                      <w:rFonts w:hint="eastAsia" w:ascii="宋体" w:hAnsi="宋体" w:cs="宋体"/>
                      <w:kern w:val="0"/>
                      <w:sz w:val="24"/>
                    </w:rPr>
                    <w:t>园林绿化管理员</w:t>
                  </w: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5</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6</w:t>
                  </w:r>
                </w:p>
              </w:tc>
              <w:tc>
                <w:tcPr>
                  <w:tcW w:w="42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ascii="宋体" w:hAnsi="宋体" w:cs="宋体"/>
                      <w:kern w:val="0"/>
                      <w:sz w:val="24"/>
                    </w:rPr>
                  </w:pPr>
                  <w:r>
                    <w:rPr>
                      <w:rFonts w:hint="eastAsia" w:ascii="宋体" w:hAnsi="宋体" w:cs="宋体"/>
                      <w:kern w:val="0"/>
                      <w:sz w:val="24"/>
                    </w:rPr>
                    <w:t>55 岁以下，负责学校卫生清洁、保 洁、绿化养护工作。（其中北校区 和工业园校区各 1 名绿化工，要求 男性。）</w:t>
                  </w:r>
                </w:p>
              </w:tc>
            </w:tr>
            <w:tr>
              <w:tblPrEx>
                <w:tblCellMar>
                  <w:top w:w="0" w:type="dxa"/>
                  <w:left w:w="108" w:type="dxa"/>
                  <w:bottom w:w="0" w:type="dxa"/>
                  <w:right w:w="108" w:type="dxa"/>
                </w:tblCellMar>
              </w:tblPrEx>
              <w:trPr>
                <w:trHeight w:val="793"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5</w:t>
                  </w:r>
                </w:p>
              </w:tc>
              <w:tc>
                <w:tcPr>
                  <w:tcW w:w="105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维修人员</w:t>
                  </w: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0</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2</w:t>
                  </w:r>
                </w:p>
              </w:tc>
              <w:tc>
                <w:tcPr>
                  <w:tcW w:w="42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rPr>
                      <w:rFonts w:ascii="宋体" w:hAnsi="宋体" w:cs="宋体"/>
                      <w:kern w:val="0"/>
                      <w:sz w:val="24"/>
                    </w:rPr>
                  </w:pPr>
                  <w:r>
                    <w:rPr>
                      <w:rFonts w:hint="eastAsia" w:ascii="宋体" w:hAnsi="宋体" w:cs="宋体"/>
                      <w:kern w:val="0"/>
                      <w:sz w:val="24"/>
                    </w:rPr>
                    <w:t>男性，55 岁以下，负责学校的水、 电、门、窗等维修,工业园校区 24 小时有维修人员在岗。维修人员须 持电工作业上岗证。</w:t>
                  </w:r>
                </w:p>
              </w:tc>
            </w:tr>
            <w:tr>
              <w:tblPrEx>
                <w:tblCellMar>
                  <w:top w:w="0" w:type="dxa"/>
                  <w:left w:w="108" w:type="dxa"/>
                  <w:bottom w:w="0" w:type="dxa"/>
                  <w:right w:w="108" w:type="dxa"/>
                </w:tblCellMar>
              </w:tblPrEx>
              <w:trPr>
                <w:trHeight w:val="528"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p>
              </w:tc>
              <w:tc>
                <w:tcPr>
                  <w:tcW w:w="1053"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合计</w:t>
                  </w:r>
                </w:p>
              </w:tc>
              <w:tc>
                <w:tcPr>
                  <w:tcW w:w="865"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18</w:t>
                  </w:r>
                </w:p>
              </w:tc>
              <w:tc>
                <w:tcPr>
                  <w:tcW w:w="1301" w:type="dxa"/>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宋体" w:hAnsi="宋体" w:cs="宋体"/>
                      <w:kern w:val="0"/>
                      <w:sz w:val="24"/>
                    </w:rPr>
                  </w:pPr>
                  <w:r>
                    <w:rPr>
                      <w:rFonts w:hint="eastAsia" w:ascii="宋体" w:hAnsi="宋体" w:cs="宋体"/>
                      <w:kern w:val="0"/>
                      <w:sz w:val="24"/>
                    </w:rPr>
                    <w:t>29</w:t>
                  </w:r>
                </w:p>
              </w:tc>
              <w:tc>
                <w:tcPr>
                  <w:tcW w:w="42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484" w:firstLineChars="202"/>
                    <w:jc w:val="center"/>
                    <w:rPr>
                      <w:rFonts w:ascii="宋体" w:hAnsi="宋体" w:cs="宋体"/>
                      <w:kern w:val="0"/>
                      <w:sz w:val="24"/>
                    </w:rPr>
                  </w:pPr>
                  <w:r>
                    <w:rPr>
                      <w:rFonts w:hint="eastAsia" w:ascii="宋体" w:hAnsi="宋体" w:cs="宋体"/>
                      <w:kern w:val="0"/>
                      <w:sz w:val="24"/>
                    </w:rPr>
                    <w:t>共47人</w:t>
                  </w:r>
                </w:p>
              </w:tc>
            </w:tr>
          </w:tbl>
          <w:p>
            <w:pPr>
              <w:autoSpaceDE w:val="0"/>
              <w:autoSpaceDN w:val="0"/>
              <w:spacing w:line="420" w:lineRule="exact"/>
              <w:rPr>
                <w:rFonts w:ascii="宋体" w:hAnsi="宋体" w:cs="宋体"/>
                <w:kern w:val="0"/>
                <w:sz w:val="24"/>
              </w:rPr>
            </w:pP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53" w:type="dxa"/>
          <w:trHeight w:val="514" w:hRule="atLeast"/>
        </w:trPr>
        <w:tc>
          <w:tcPr>
            <w:tcW w:w="9675"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服务期</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自签订合同并开始履行之日起1年。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进场实施服务时间及服务地点</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1.进场实施服务时间：签订合同后 5个工作日。</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2.服务交付地点：北海市，北海职业学院北校区和工业园校区。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付款方式</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安保服务费按月支付，中标公司须每月10日前提交费用支付审批表，由学校相关部门考核并审批通过后，待财政资金下达到位即支付上月费用。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服务及管理要求</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一）质量要求：中标供应商每月接受业主单位质量考核（按照采购要求标准考核），未达标准从承包价中扣除。满意率至少在90％以上、合同履约率达98%以上、上岗培训合格率达100%、合理投诉解决率达100%，连续两个月达不到，业主可以终止合同。</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二）保修和服务要求：①服务时间自合同签订之日起服务用工人数不少于57人；②管理服务人员统一着装，行为规范，服务主动热情；③要有相关制度及应急预案；④上岗人员必须经过岗前培训；⑤上岗人员必须提供健康证；</w:t>
            </w:r>
            <w:r>
              <w:rPr>
                <w:rFonts w:hint="eastAsia" w:ascii="宋体" w:hAnsi="宋体" w:cs="宋体"/>
                <w:kern w:val="0"/>
                <w:sz w:val="24"/>
              </w:rPr>
              <w:fldChar w:fldCharType="begin"/>
            </w:r>
            <w:r>
              <w:rPr>
                <w:rFonts w:hint="eastAsia" w:ascii="宋体" w:hAnsi="宋体" w:cs="宋体"/>
                <w:kern w:val="0"/>
                <w:sz w:val="24"/>
              </w:rPr>
              <w:instrText xml:space="preserve"> = 6 \* GB3 </w:instrText>
            </w:r>
            <w:r>
              <w:rPr>
                <w:rFonts w:hint="eastAsia" w:ascii="宋体" w:hAnsi="宋体" w:cs="宋体"/>
                <w:kern w:val="0"/>
                <w:sz w:val="24"/>
              </w:rPr>
              <w:fldChar w:fldCharType="separate"/>
            </w:r>
            <w:r>
              <w:rPr>
                <w:rFonts w:hint="eastAsia" w:ascii="宋体" w:hAnsi="宋体" w:cs="宋体"/>
                <w:kern w:val="0"/>
                <w:sz w:val="24"/>
              </w:rPr>
              <w:t>⑥</w:t>
            </w:r>
            <w:r>
              <w:rPr>
                <w:rFonts w:hint="eastAsia" w:ascii="宋体" w:hAnsi="宋体" w:cs="宋体"/>
                <w:kern w:val="0"/>
                <w:sz w:val="24"/>
              </w:rPr>
              <w:fldChar w:fldCharType="end"/>
            </w:r>
            <w:r>
              <w:rPr>
                <w:rFonts w:hint="eastAsia" w:ascii="宋体" w:hAnsi="宋体" w:cs="宋体"/>
                <w:kern w:val="0"/>
                <w:sz w:val="24"/>
              </w:rPr>
              <w:t>上岗人员的工作服装、安保器械及所有的福利由中标供应商承担；</w:t>
            </w:r>
            <w:r>
              <w:rPr>
                <w:rFonts w:hint="eastAsia" w:ascii="宋体" w:hAnsi="宋体" w:cs="宋体"/>
                <w:kern w:val="0"/>
                <w:sz w:val="24"/>
              </w:rPr>
              <w:fldChar w:fldCharType="begin"/>
            </w:r>
            <w:r>
              <w:rPr>
                <w:rFonts w:hint="eastAsia" w:ascii="宋体" w:hAnsi="宋体" w:cs="宋体"/>
                <w:kern w:val="0"/>
                <w:sz w:val="24"/>
              </w:rPr>
              <w:instrText xml:space="preserve"> = 7 \* GB3 </w:instrText>
            </w:r>
            <w:r>
              <w:rPr>
                <w:rFonts w:hint="eastAsia" w:ascii="宋体" w:hAnsi="宋体" w:cs="宋体"/>
                <w:kern w:val="0"/>
                <w:sz w:val="24"/>
              </w:rPr>
              <w:fldChar w:fldCharType="separate"/>
            </w:r>
            <w:r>
              <w:rPr>
                <w:rFonts w:hint="eastAsia" w:ascii="宋体" w:hAnsi="宋体" w:cs="宋体"/>
                <w:kern w:val="0"/>
                <w:sz w:val="24"/>
              </w:rPr>
              <w:t>⑦</w:t>
            </w:r>
            <w:r>
              <w:rPr>
                <w:rFonts w:hint="eastAsia" w:ascii="宋体" w:hAnsi="宋体" w:cs="宋体"/>
                <w:kern w:val="0"/>
                <w:sz w:val="24"/>
              </w:rPr>
              <w:fldChar w:fldCharType="end"/>
            </w:r>
            <w:r>
              <w:rPr>
                <w:rFonts w:hint="eastAsia" w:ascii="宋体" w:hAnsi="宋体" w:cs="宋体"/>
                <w:kern w:val="0"/>
                <w:sz w:val="24"/>
              </w:rPr>
              <w:t>不听从学校正常工作安排及管理者，供应商必须马上换人。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其他要求</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一）供应商负责在学校划定的工作范围、工作内容及管理目标成立相关机构，制定相应工作流程、工作制度、监督考核办法，合理安排人员，科学管理，严格要求，达标运行。学校分管领导、职能部门负责监督、检查、指导，发现问题及时沟通、整改，规范运行。</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（二）开展安保管理服务所需的工具及设备由中标供应商自行配置，费用由中标供应商负责。</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（四）学生放假期间，根据工作量安排留守工作人员，保持学校的安保管理正常运行，管理目标不变。</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（五）聘用员工必须符合法律、政策的有关要求，在工作期间发生员工工伤及意外伤害事故和员工的疾病和人身安全由乙方负责，工作人员的劳资、各项保险费用均由乙方自理，发生的劳资纠纷由乙方负责。</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（六）必须接受学校职能部门的监督。学校提供管理办公用房，不提供员工住宿用房。</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（七）惩罚条款：</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 xml:space="preserve">如有下列现象之一又未造成大损失的，扣费条例如下： </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1.空岗或缺岗：7天内，扣除该岗位半个月工资，7—15天的，扣除该岗位一个月工资，15天以上的，扣除该岗位双倍工资。</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2.没有履行服务范围、要求及人员行为规范要求的，迟到或早退，或双方约定的其他内容：第一次从应付供应商费用中扣100元；第二次扣200元；第三次扣500元，且供应商立即换人。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报价要求</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1.投标报价包含:</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(1) 员工工资、社会保险费用(含养老保险、医疗保险、工伤保险、失业保险、生育保险及人身意外伤害保险) 、福利费、奖金、加班费等；</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(2) 服务材料消耗品的补充、更换、维修维护、服装等费用；</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(3) 员工必要的保险费用和各项税金；</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(4) 企业合理利润。</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2.其他说明：投标报价被视为已经包含了但并不限于本项目各项购买服务及相关服务等的费用和所需缴纳的税、费。投标报价未填报或填报不完整、不清楚或存在其它任何失误，所导致的任何不利后果均应当由磋商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02" w:type="dxa"/>
          <w:trHeight w:val="567" w:hRule="atLeast"/>
          <w:jc w:val="center"/>
        </w:trPr>
        <w:tc>
          <w:tcPr>
            <w:tcW w:w="1031" w:type="dxa"/>
            <w:gridSpan w:val="2"/>
            <w:vAlign w:val="center"/>
          </w:tcPr>
          <w:p>
            <w:pPr>
              <w:autoSpaceDE w:val="0"/>
              <w:autoSpaceDN w:val="0"/>
              <w:spacing w:line="420" w:lineRule="exact"/>
              <w:rPr>
                <w:rFonts w:ascii="宋体" w:hAnsi="宋体" w:cs="宋体"/>
                <w:kern w:val="0"/>
                <w:sz w:val="24"/>
              </w:rPr>
            </w:pPr>
            <w:r>
              <w:rPr>
                <w:rFonts w:hint="eastAsia" w:ascii="宋体" w:hAnsi="宋体" w:cs="宋体"/>
                <w:kern w:val="0"/>
                <w:sz w:val="24"/>
              </w:rPr>
              <w:t>保密要求</w:t>
            </w:r>
          </w:p>
        </w:tc>
        <w:tc>
          <w:tcPr>
            <w:tcW w:w="8795" w:type="dxa"/>
            <w:gridSpan w:val="2"/>
            <w:vAlign w:val="center"/>
          </w:tcPr>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成交供应商提供对本项目采购人的内部资料、情况等内容进行保密，未经采购人许可，成交供应商不得以任何形式向第三方透露本项目服务时的任何内容。如有泄密，需承担相应的法律责任。</w:t>
            </w:r>
          </w:p>
        </w:tc>
      </w:tr>
    </w:tbl>
    <w:p>
      <w:pPr>
        <w:adjustRightInd/>
        <w:spacing w:line="360" w:lineRule="auto"/>
        <w:jc w:val="center"/>
        <w:outlineLvl w:val="0"/>
        <w:rPr>
          <w:rFonts w:cs="仿宋_GB2312" w:asciiTheme="minorEastAsia" w:hAnsiTheme="minorEastAsia" w:eastAsiaTheme="minorEastAsia"/>
          <w:b/>
          <w:sz w:val="36"/>
          <w:szCs w:val="36"/>
        </w:rPr>
      </w:pPr>
    </w:p>
    <w:p>
      <w:pPr>
        <w:pStyle w:val="4"/>
      </w:pPr>
      <w:r>
        <w:br w:type="page"/>
      </w:r>
    </w:p>
    <w:p>
      <w:pPr>
        <w:adjustRightInd/>
        <w:spacing w:line="360" w:lineRule="auto"/>
        <w:jc w:val="center"/>
        <w:outlineLvl w:val="0"/>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 xml:space="preserve">第五部分  </w:t>
      </w:r>
      <w:bookmarkEnd w:id="66"/>
      <w:bookmarkEnd w:id="67"/>
      <w:bookmarkStart w:id="70" w:name="第四部分"/>
      <w:r>
        <w:rPr>
          <w:rFonts w:hint="eastAsia" w:cs="仿宋_GB2312" w:asciiTheme="minorEastAsia" w:hAnsiTheme="minorEastAsia" w:eastAsiaTheme="minorEastAsia"/>
          <w:b/>
          <w:sz w:val="36"/>
          <w:szCs w:val="36"/>
        </w:rPr>
        <w:t>评审方法及评审标准</w:t>
      </w:r>
      <w:bookmarkEnd w:id="69"/>
    </w:p>
    <w:p>
      <w:pPr>
        <w:snapToGrid w:val="0"/>
        <w:spacing w:line="420" w:lineRule="exact"/>
        <w:ind w:firstLine="3213" w:firstLineChars="1000"/>
        <w:rPr>
          <w:rFonts w:ascii="宋体" w:hAnsi="宋体" w:cs="宋体"/>
          <w:b/>
          <w:sz w:val="32"/>
          <w:szCs w:val="20"/>
        </w:rPr>
      </w:pPr>
      <w:r>
        <w:rPr>
          <w:rFonts w:hint="eastAsia" w:ascii="宋体" w:hAnsi="宋体" w:cs="宋体"/>
          <w:b/>
          <w:sz w:val="32"/>
          <w:szCs w:val="20"/>
        </w:rPr>
        <w:t>评标办法前附表</w:t>
      </w:r>
    </w:p>
    <w:p>
      <w:pPr>
        <w:snapToGrid w:val="0"/>
        <w:spacing w:line="420" w:lineRule="exact"/>
        <w:ind w:firstLine="482" w:firstLineChars="200"/>
        <w:rPr>
          <w:rFonts w:ascii="宋体" w:hAnsi="Calibri" w:cs="宋体"/>
          <w:b/>
          <w:bCs/>
          <w:sz w:val="24"/>
        </w:rPr>
      </w:pPr>
      <w:r>
        <w:rPr>
          <w:rFonts w:hint="eastAsia" w:ascii="宋体" w:hAnsi="Calibri" w:cs="宋体"/>
          <w:b/>
          <w:bCs/>
          <w:sz w:val="24"/>
        </w:rPr>
        <w:t>一、磋商原则</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pPr>
        <w:autoSpaceDE w:val="0"/>
        <w:autoSpaceDN w:val="0"/>
        <w:spacing w:line="42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pPr>
        <w:widowControl/>
        <w:adjustRightInd/>
        <w:spacing w:line="42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pPr>
        <w:autoSpaceDE w:val="0"/>
        <w:autoSpaceDN w:val="0"/>
        <w:spacing w:line="42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pPr>
        <w:autoSpaceDE w:val="0"/>
        <w:autoSpaceDN w:val="0"/>
        <w:spacing w:line="420" w:lineRule="exact"/>
        <w:ind w:firstLine="480" w:firstLineChars="200"/>
        <w:jc w:val="left"/>
        <w:rPr>
          <w:rFonts w:ascii="宋体" w:hAnsi="宋体" w:cs="宋体"/>
          <w:b/>
          <w:bCs/>
          <w:kern w:val="0"/>
          <w:sz w:val="24"/>
          <w:lang w:val="zh-CN" w:bidi="zh-CN"/>
        </w:rPr>
      </w:pPr>
      <w:r>
        <w:rPr>
          <w:rFonts w:hint="eastAsia" w:ascii="宋体" w:hAnsi="宋体" w:cs="宋体"/>
          <w:kern w:val="0"/>
          <w:sz w:val="24"/>
        </w:rPr>
        <w:t>（二）计分办法（按四舍五入取至百分位）：</w:t>
      </w:r>
      <w:r>
        <w:rPr>
          <w:rFonts w:ascii="宋体" w:hAnsi="宋体" w:cs="宋体"/>
          <w:bCs/>
          <w:kern w:val="0"/>
          <w:sz w:val="24"/>
          <w:lang w:val="zh-CN" w:bidi="zh-CN"/>
        </w:rPr>
        <w:t xml:space="preserve"> </w:t>
      </w:r>
    </w:p>
    <w:tbl>
      <w:tblPr>
        <w:tblStyle w:val="6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06"/>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5" w:type="dxa"/>
            <w:vAlign w:val="center"/>
          </w:tcPr>
          <w:p>
            <w:pPr>
              <w:spacing w:line="400" w:lineRule="exact"/>
              <w:jc w:val="center"/>
              <w:rPr>
                <w:rFonts w:ascii="宋体" w:hAnsi="宋体" w:cs="宋体"/>
                <w:b/>
                <w:szCs w:val="21"/>
              </w:rPr>
            </w:pPr>
            <w:r>
              <w:rPr>
                <w:rFonts w:hint="eastAsia" w:ascii="宋体" w:hAnsi="宋体" w:cs="宋体"/>
                <w:b/>
                <w:szCs w:val="21"/>
              </w:rPr>
              <w:t>序号</w:t>
            </w:r>
          </w:p>
        </w:tc>
        <w:tc>
          <w:tcPr>
            <w:tcW w:w="1406" w:type="dxa"/>
            <w:vAlign w:val="center"/>
          </w:tcPr>
          <w:p>
            <w:pPr>
              <w:spacing w:line="400" w:lineRule="exact"/>
              <w:jc w:val="center"/>
              <w:rPr>
                <w:rFonts w:ascii="宋体" w:hAnsi="宋体" w:cs="宋体"/>
                <w:b/>
                <w:szCs w:val="21"/>
              </w:rPr>
            </w:pPr>
            <w:r>
              <w:rPr>
                <w:rFonts w:hint="eastAsia" w:ascii="宋体" w:hAnsi="宋体" w:cs="宋体"/>
                <w:b/>
                <w:szCs w:val="21"/>
              </w:rPr>
              <w:t>评标因素及分值</w:t>
            </w:r>
          </w:p>
        </w:tc>
        <w:tc>
          <w:tcPr>
            <w:tcW w:w="7329" w:type="dxa"/>
            <w:vAlign w:val="center"/>
          </w:tcPr>
          <w:p>
            <w:pPr>
              <w:spacing w:line="400" w:lineRule="exact"/>
              <w:jc w:val="center"/>
              <w:rPr>
                <w:rFonts w:ascii="宋体" w:hAnsi="宋体" w:cs="宋体"/>
                <w:b/>
                <w:szCs w:val="21"/>
              </w:rPr>
            </w:pPr>
            <w:r>
              <w:rPr>
                <w:rFonts w:hint="eastAsia" w:ascii="宋体" w:hAnsi="宋体" w:cs="宋体"/>
                <w:b/>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pPr>
              <w:spacing w:line="400" w:lineRule="exact"/>
              <w:jc w:val="center"/>
              <w:rPr>
                <w:rFonts w:ascii="宋体" w:hAnsi="宋体" w:cs="宋体"/>
                <w:b/>
                <w:bCs/>
                <w:szCs w:val="21"/>
              </w:rPr>
            </w:pPr>
            <w:r>
              <w:rPr>
                <w:rFonts w:hint="eastAsia" w:ascii="宋体" w:hAnsi="宋体" w:cs="宋体"/>
                <w:b/>
                <w:bCs/>
                <w:szCs w:val="21"/>
              </w:rPr>
              <w:t>1</w:t>
            </w:r>
          </w:p>
        </w:tc>
        <w:tc>
          <w:tcPr>
            <w:tcW w:w="1406" w:type="dxa"/>
            <w:vAlign w:val="center"/>
          </w:tcPr>
          <w:p>
            <w:pPr>
              <w:spacing w:line="400" w:lineRule="exact"/>
              <w:jc w:val="center"/>
              <w:rPr>
                <w:rFonts w:ascii="宋体" w:hAnsi="宋体" w:cs="宋体"/>
                <w:b/>
                <w:bCs/>
                <w:szCs w:val="21"/>
              </w:rPr>
            </w:pPr>
            <w:r>
              <w:rPr>
                <w:rFonts w:hint="eastAsia" w:ascii="宋体" w:hAnsi="宋体" w:cs="宋体"/>
                <w:b/>
                <w:bCs/>
                <w:szCs w:val="21"/>
              </w:rPr>
              <w:t>投标报价</w:t>
            </w:r>
          </w:p>
          <w:p>
            <w:pPr>
              <w:spacing w:line="400" w:lineRule="exact"/>
              <w:jc w:val="center"/>
              <w:rPr>
                <w:rFonts w:ascii="宋体" w:hAnsi="宋体" w:cs="宋体"/>
                <w:b/>
                <w:bCs/>
                <w:szCs w:val="21"/>
              </w:rPr>
            </w:pPr>
            <w:r>
              <w:rPr>
                <w:rFonts w:hint="eastAsia" w:ascii="宋体" w:hAnsi="宋体" w:cs="宋体"/>
                <w:b/>
                <w:bCs/>
                <w:szCs w:val="21"/>
              </w:rPr>
              <w:t>（30分）</w:t>
            </w:r>
          </w:p>
        </w:tc>
        <w:tc>
          <w:tcPr>
            <w:tcW w:w="7329" w:type="dxa"/>
            <w:vAlign w:val="center"/>
          </w:tcPr>
          <w:p>
            <w:pPr>
              <w:adjustRightInd/>
              <w:spacing w:line="440" w:lineRule="atLeast"/>
              <w:ind w:firstLine="420" w:firstLineChars="200"/>
              <w:jc w:val="left"/>
              <w:rPr>
                <w:rFonts w:ascii="宋体" w:hAnsi="Calibri" w:cs="宋体"/>
                <w:bCs/>
                <w:szCs w:val="21"/>
              </w:rPr>
            </w:pPr>
            <w:r>
              <w:rPr>
                <w:rFonts w:hint="eastAsia" w:ascii="宋体" w:hAnsi="Calibri" w:cs="宋体"/>
                <w:bCs/>
                <w:szCs w:val="21"/>
              </w:rPr>
              <w:t>（1）以进入综合评分环节的最低的磋商</w:t>
            </w:r>
            <w:r>
              <w:rPr>
                <w:rFonts w:hint="eastAsia" w:ascii="宋体" w:hAnsi="Calibri" w:cs="宋体"/>
                <w:kern w:val="0"/>
                <w:szCs w:val="21"/>
              </w:rPr>
              <w:t>评审价</w:t>
            </w:r>
            <w:r>
              <w:rPr>
                <w:rFonts w:hint="eastAsia" w:ascii="宋体" w:hAnsi="Calibri" w:cs="宋体"/>
                <w:bCs/>
                <w:szCs w:val="21"/>
              </w:rPr>
              <w:t>为基准价，基准价报价得分为30分。</w:t>
            </w:r>
          </w:p>
          <w:p>
            <w:pPr>
              <w:adjustRightInd/>
              <w:spacing w:line="440" w:lineRule="atLeast"/>
              <w:ind w:firstLine="420" w:firstLineChars="200"/>
              <w:jc w:val="left"/>
              <w:rPr>
                <w:rFonts w:ascii="宋体" w:hAnsi="Calibri" w:cs="宋体"/>
                <w:bCs/>
                <w:szCs w:val="21"/>
              </w:rPr>
            </w:pPr>
            <w:r>
              <w:rPr>
                <w:rFonts w:hint="eastAsia" w:ascii="宋体" w:hAnsi="Calibri" w:cs="宋体"/>
                <w:bCs/>
                <w:szCs w:val="21"/>
              </w:rPr>
              <w:t>（2）价格分计算公式：某磋商供应商价格分=磋商基准价/某磋商供应商磋商</w:t>
            </w:r>
            <w:r>
              <w:rPr>
                <w:rFonts w:hint="eastAsia" w:ascii="宋体" w:hAnsi="Calibri" w:cs="宋体"/>
                <w:kern w:val="0"/>
                <w:szCs w:val="21"/>
              </w:rPr>
              <w:t>评审价</w:t>
            </w:r>
            <w:r>
              <w:rPr>
                <w:rFonts w:hint="eastAsia" w:ascii="宋体" w:hAnsi="Calibri" w:cs="宋体"/>
                <w:bCs/>
                <w:szCs w:val="21"/>
              </w:rPr>
              <w:t>×30分</w:t>
            </w:r>
          </w:p>
          <w:p>
            <w:pPr>
              <w:spacing w:line="400" w:lineRule="exact"/>
              <w:ind w:firstLine="420" w:firstLineChars="20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5" w:type="dxa"/>
            <w:vAlign w:val="center"/>
          </w:tcPr>
          <w:p>
            <w:pPr>
              <w:spacing w:line="400" w:lineRule="exact"/>
              <w:jc w:val="center"/>
              <w:rPr>
                <w:rFonts w:ascii="宋体" w:hAnsi="宋体" w:cs="宋体"/>
                <w:b/>
                <w:bCs/>
                <w:szCs w:val="21"/>
              </w:rPr>
            </w:pPr>
            <w:bookmarkStart w:id="71" w:name="_Hlk220573771"/>
            <w:r>
              <w:rPr>
                <w:rFonts w:hint="eastAsia" w:ascii="宋体" w:hAnsi="宋体" w:cs="宋体"/>
                <w:b/>
                <w:bCs/>
                <w:szCs w:val="21"/>
              </w:rPr>
              <w:t>2</w:t>
            </w:r>
          </w:p>
        </w:tc>
        <w:tc>
          <w:tcPr>
            <w:tcW w:w="1406" w:type="dxa"/>
            <w:vAlign w:val="center"/>
          </w:tcPr>
          <w:p>
            <w:pPr>
              <w:spacing w:line="400" w:lineRule="exact"/>
              <w:jc w:val="center"/>
              <w:rPr>
                <w:rFonts w:ascii="宋体" w:hAnsi="宋体" w:cs="宋体"/>
                <w:b/>
                <w:bCs/>
                <w:szCs w:val="21"/>
              </w:rPr>
            </w:pPr>
            <w:r>
              <w:rPr>
                <w:rFonts w:ascii="宋体" w:hAnsi="宋体" w:cs="宋体"/>
                <w:b/>
                <w:bCs/>
                <w:szCs w:val="21"/>
              </w:rPr>
              <w:t xml:space="preserve">服务管理措 </w:t>
            </w:r>
          </w:p>
          <w:p>
            <w:pPr>
              <w:spacing w:line="400" w:lineRule="exact"/>
              <w:jc w:val="center"/>
              <w:rPr>
                <w:rFonts w:ascii="宋体" w:hAnsi="宋体" w:cs="宋体"/>
                <w:b/>
                <w:bCs/>
                <w:szCs w:val="21"/>
              </w:rPr>
            </w:pPr>
            <w:r>
              <w:rPr>
                <w:rFonts w:ascii="宋体" w:hAnsi="宋体" w:cs="宋体"/>
                <w:b/>
                <w:bCs/>
                <w:szCs w:val="21"/>
              </w:rPr>
              <w:t>施（满分 2</w:t>
            </w:r>
            <w:r>
              <w:rPr>
                <w:rFonts w:hint="eastAsia" w:ascii="宋体" w:hAnsi="宋体" w:cs="宋体"/>
                <w:b/>
                <w:bCs/>
                <w:szCs w:val="21"/>
              </w:rPr>
              <w:t>0</w:t>
            </w:r>
            <w:r>
              <w:rPr>
                <w:rFonts w:ascii="宋体" w:hAnsi="宋体" w:cs="宋体"/>
                <w:b/>
                <w:bCs/>
                <w:szCs w:val="21"/>
              </w:rPr>
              <w:t xml:space="preserve"> </w:t>
            </w:r>
          </w:p>
          <w:p>
            <w:pPr>
              <w:spacing w:line="400" w:lineRule="exact"/>
              <w:jc w:val="center"/>
              <w:rPr>
                <w:rFonts w:ascii="宋体" w:hAnsi="宋体" w:cs="宋体"/>
                <w:b/>
                <w:bCs/>
                <w:szCs w:val="21"/>
              </w:rPr>
            </w:pPr>
            <w:r>
              <w:rPr>
                <w:rFonts w:ascii="宋体" w:hAnsi="宋体" w:cs="宋体"/>
                <w:b/>
                <w:bCs/>
                <w:szCs w:val="21"/>
              </w:rPr>
              <w:t>分）</w:t>
            </w:r>
          </w:p>
          <w:p>
            <w:pPr>
              <w:spacing w:line="400" w:lineRule="exact"/>
              <w:jc w:val="center"/>
              <w:rPr>
                <w:rFonts w:ascii="宋体" w:hAnsi="宋体" w:cs="宋体"/>
                <w:b/>
                <w:bCs/>
                <w:szCs w:val="21"/>
              </w:rPr>
            </w:pPr>
          </w:p>
        </w:tc>
        <w:tc>
          <w:tcPr>
            <w:tcW w:w="7329" w:type="dxa"/>
            <w:vAlign w:val="center"/>
          </w:tcPr>
          <w:p>
            <w:pPr>
              <w:spacing w:line="400" w:lineRule="exact"/>
              <w:ind w:firstLine="420" w:firstLineChars="200"/>
              <w:rPr>
                <w:rFonts w:ascii="宋体" w:hAnsi="宋体" w:cs="宋体"/>
                <w:kern w:val="0"/>
                <w:szCs w:val="21"/>
              </w:rPr>
            </w:pPr>
            <w:r>
              <w:rPr>
                <w:rFonts w:ascii="宋体" w:hAnsi="宋体" w:cs="宋体"/>
                <w:kern w:val="0"/>
                <w:szCs w:val="21"/>
              </w:rPr>
              <w:t>一档(0分)</w:t>
            </w:r>
            <w:r>
              <w:rPr>
                <w:rFonts w:hint="eastAsia" w:ascii="宋体" w:hAnsi="宋体" w:cs="宋体"/>
                <w:kern w:val="0"/>
                <w:szCs w:val="21"/>
              </w:rPr>
              <w:t>：响应</w:t>
            </w:r>
            <w:r>
              <w:rPr>
                <w:rFonts w:ascii="宋体" w:hAnsi="宋体" w:cs="宋体"/>
                <w:kern w:val="0"/>
                <w:szCs w:val="21"/>
              </w:rPr>
              <w:t>文件中未提供服务管理措施不得分。</w:t>
            </w:r>
          </w:p>
          <w:p>
            <w:pPr>
              <w:spacing w:line="400" w:lineRule="exact"/>
              <w:ind w:firstLine="420" w:firstLineChars="200"/>
              <w:rPr>
                <w:rFonts w:ascii="宋体" w:hAnsi="宋体" w:cs="宋体"/>
                <w:kern w:val="0"/>
                <w:szCs w:val="21"/>
              </w:rPr>
            </w:pPr>
            <w:r>
              <w:rPr>
                <w:rFonts w:ascii="宋体" w:hAnsi="宋体" w:cs="宋体"/>
                <w:kern w:val="0"/>
                <w:szCs w:val="21"/>
              </w:rPr>
              <w:t>二档(</w:t>
            </w:r>
            <w:r>
              <w:rPr>
                <w:rFonts w:hint="eastAsia" w:ascii="宋体" w:hAnsi="宋体" w:cs="宋体"/>
                <w:kern w:val="0"/>
                <w:szCs w:val="21"/>
              </w:rPr>
              <w:t>5</w:t>
            </w:r>
            <w:r>
              <w:rPr>
                <w:rFonts w:ascii="宋体" w:hAnsi="宋体" w:cs="宋体"/>
                <w:kern w:val="0"/>
                <w:szCs w:val="21"/>
              </w:rPr>
              <w:t>分)</w:t>
            </w:r>
            <w:r>
              <w:rPr>
                <w:rFonts w:hint="eastAsia" w:ascii="宋体" w:hAnsi="宋体" w:cs="宋体"/>
                <w:kern w:val="0"/>
                <w:szCs w:val="21"/>
              </w:rPr>
              <w:t>：</w:t>
            </w:r>
            <w:r>
              <w:rPr>
                <w:rFonts w:ascii="宋体" w:hAnsi="宋体" w:cs="宋体"/>
                <w:kern w:val="0"/>
                <w:szCs w:val="21"/>
              </w:rPr>
              <w:t>具有服务管理措施，有服务总体要求与目标。</w:t>
            </w:r>
          </w:p>
          <w:p>
            <w:pPr>
              <w:spacing w:line="400" w:lineRule="exact"/>
              <w:ind w:firstLine="420" w:firstLineChars="200"/>
              <w:rPr>
                <w:rFonts w:ascii="宋体" w:hAnsi="宋体" w:cs="宋体"/>
                <w:kern w:val="0"/>
                <w:szCs w:val="21"/>
              </w:rPr>
            </w:pPr>
            <w:r>
              <w:rPr>
                <w:rFonts w:ascii="宋体" w:hAnsi="宋体" w:cs="宋体"/>
                <w:kern w:val="0"/>
                <w:szCs w:val="21"/>
              </w:rPr>
              <w:t>三档(1</w:t>
            </w:r>
            <w:r>
              <w:rPr>
                <w:rFonts w:hint="eastAsia" w:ascii="宋体" w:hAnsi="宋体" w:cs="宋体"/>
                <w:kern w:val="0"/>
                <w:szCs w:val="21"/>
              </w:rPr>
              <w:t>0</w:t>
            </w:r>
            <w:r>
              <w:rPr>
                <w:rFonts w:ascii="宋体" w:hAnsi="宋体" w:cs="宋体"/>
                <w:kern w:val="0"/>
                <w:szCs w:val="21"/>
              </w:rPr>
              <w:t>分)</w:t>
            </w:r>
            <w:r>
              <w:rPr>
                <w:rFonts w:hint="eastAsia" w:ascii="宋体" w:hAnsi="宋体" w:cs="宋体"/>
                <w:kern w:val="0"/>
                <w:szCs w:val="21"/>
              </w:rPr>
              <w:t>：</w:t>
            </w:r>
            <w:r>
              <w:rPr>
                <w:rFonts w:ascii="宋体" w:hAnsi="宋体" w:cs="宋体"/>
                <w:kern w:val="0"/>
                <w:szCs w:val="21"/>
              </w:rPr>
              <w:t>具有服务管理措施，能针对项目需求制定服务总体要求与目标，有各服务区域的管理措施。</w:t>
            </w:r>
          </w:p>
          <w:p>
            <w:pPr>
              <w:spacing w:line="400" w:lineRule="exact"/>
              <w:ind w:firstLine="420" w:firstLineChars="200"/>
              <w:rPr>
                <w:rFonts w:ascii="宋体" w:hAnsi="宋体" w:cs="宋体"/>
                <w:kern w:val="0"/>
                <w:szCs w:val="21"/>
              </w:rPr>
            </w:pPr>
            <w:r>
              <w:rPr>
                <w:rFonts w:ascii="宋体" w:hAnsi="宋体" w:cs="宋体"/>
                <w:kern w:val="0"/>
                <w:szCs w:val="21"/>
              </w:rPr>
              <w:t>四档(1</w:t>
            </w:r>
            <w:r>
              <w:rPr>
                <w:rFonts w:hint="eastAsia" w:ascii="宋体" w:hAnsi="宋体" w:cs="宋体"/>
                <w:kern w:val="0"/>
                <w:szCs w:val="21"/>
              </w:rPr>
              <w:t>5</w:t>
            </w:r>
            <w:r>
              <w:rPr>
                <w:rFonts w:ascii="宋体" w:hAnsi="宋体" w:cs="宋体"/>
                <w:kern w:val="0"/>
                <w:szCs w:val="21"/>
              </w:rPr>
              <w:t>分)</w:t>
            </w:r>
            <w:r>
              <w:rPr>
                <w:rFonts w:hint="eastAsia" w:ascii="宋体" w:hAnsi="宋体" w:cs="宋体"/>
                <w:kern w:val="0"/>
                <w:szCs w:val="21"/>
              </w:rPr>
              <w:t>：</w:t>
            </w:r>
            <w:r>
              <w:rPr>
                <w:rFonts w:ascii="宋体" w:hAnsi="宋体" w:cs="宋体"/>
                <w:kern w:val="0"/>
                <w:szCs w:val="21"/>
              </w:rPr>
              <w:t>具有服务管理措施，能针对项目需求制定的服务总体要求与目标，有各服务区域的管理措施，能提供</w:t>
            </w:r>
            <w:r>
              <w:rPr>
                <w:rFonts w:hint="eastAsia" w:ascii="宋体" w:hAnsi="宋体" w:cs="宋体"/>
                <w:kern w:val="0"/>
                <w:szCs w:val="21"/>
              </w:rPr>
              <w:t>各岗位人员工作</w:t>
            </w:r>
            <w:r>
              <w:rPr>
                <w:rFonts w:ascii="宋体" w:hAnsi="宋体" w:cs="宋体"/>
                <w:kern w:val="0"/>
                <w:szCs w:val="21"/>
              </w:rPr>
              <w:t>管理计划、服务工作流程管理、轮岗管理制度、交接工作管理安排。</w:t>
            </w:r>
          </w:p>
          <w:p>
            <w:pPr>
              <w:spacing w:line="400" w:lineRule="exact"/>
              <w:ind w:firstLine="420" w:firstLineChars="200"/>
            </w:pPr>
            <w:r>
              <w:rPr>
                <w:rFonts w:ascii="宋体" w:hAnsi="宋体" w:cs="宋体"/>
                <w:kern w:val="0"/>
                <w:szCs w:val="21"/>
              </w:rPr>
              <w:t>五档(</w:t>
            </w:r>
            <w:r>
              <w:rPr>
                <w:rFonts w:hint="eastAsia" w:ascii="宋体" w:hAnsi="宋体" w:cs="宋体"/>
                <w:kern w:val="0"/>
                <w:szCs w:val="21"/>
              </w:rPr>
              <w:t>20</w:t>
            </w:r>
            <w:r>
              <w:rPr>
                <w:rFonts w:ascii="宋体" w:hAnsi="宋体" w:cs="宋体"/>
                <w:kern w:val="0"/>
                <w:szCs w:val="21"/>
              </w:rPr>
              <w:t>分)</w:t>
            </w:r>
            <w:r>
              <w:rPr>
                <w:rFonts w:hint="eastAsia" w:ascii="宋体" w:hAnsi="宋体" w:cs="宋体"/>
                <w:kern w:val="0"/>
                <w:szCs w:val="21"/>
              </w:rPr>
              <w:t>：</w:t>
            </w:r>
            <w:r>
              <w:rPr>
                <w:rFonts w:ascii="宋体" w:hAnsi="宋体" w:cs="宋体"/>
                <w:kern w:val="0"/>
                <w:szCs w:val="21"/>
              </w:rPr>
              <w:t>具有服务管理措施，并能针对项目需求制定服务总体要求与目标，有各服务区域的管理措施，能提供</w:t>
            </w:r>
            <w:r>
              <w:rPr>
                <w:rFonts w:hint="eastAsia" w:ascii="宋体" w:hAnsi="宋体" w:cs="宋体"/>
                <w:kern w:val="0"/>
                <w:szCs w:val="21"/>
              </w:rPr>
              <w:t>各岗位人员工作</w:t>
            </w:r>
            <w:r>
              <w:rPr>
                <w:rFonts w:ascii="宋体" w:hAnsi="宋体" w:cs="宋体"/>
                <w:kern w:val="0"/>
                <w:szCs w:val="21"/>
              </w:rPr>
              <w:t>管理计划、服务工作流程管理、轮岗管理制度、交接工作管理安排，明确服务人员的职责和权限配备接收投诉人员、协调处理人员，有健全的管理机制。</w:t>
            </w:r>
          </w:p>
        </w:tc>
      </w:tr>
      <w:bookmark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pPr>
              <w:spacing w:line="400" w:lineRule="exact"/>
              <w:jc w:val="center"/>
              <w:rPr>
                <w:rFonts w:ascii="宋体" w:hAnsi="宋体" w:cs="宋体"/>
                <w:b/>
                <w:bCs/>
                <w:szCs w:val="21"/>
              </w:rPr>
            </w:pPr>
            <w:bookmarkStart w:id="72" w:name="_Hlk220573790"/>
            <w:r>
              <w:rPr>
                <w:rFonts w:hint="eastAsia" w:ascii="宋体" w:hAnsi="宋体" w:cs="宋体"/>
                <w:b/>
                <w:bCs/>
                <w:szCs w:val="21"/>
              </w:rPr>
              <w:t>3</w:t>
            </w:r>
          </w:p>
        </w:tc>
        <w:tc>
          <w:tcPr>
            <w:tcW w:w="1406" w:type="dxa"/>
            <w:vAlign w:val="center"/>
          </w:tcPr>
          <w:p>
            <w:pPr>
              <w:spacing w:line="400" w:lineRule="exact"/>
              <w:jc w:val="center"/>
              <w:rPr>
                <w:rFonts w:ascii="宋体" w:hAnsi="宋体" w:cs="宋体"/>
                <w:b/>
                <w:bCs/>
                <w:szCs w:val="21"/>
              </w:rPr>
            </w:pPr>
            <w:r>
              <w:rPr>
                <w:rFonts w:ascii="宋体" w:hAnsi="宋体" w:cs="宋体"/>
                <w:b/>
                <w:bCs/>
                <w:szCs w:val="21"/>
              </w:rPr>
              <w:t>规章制度及考核管理办法（满分</w:t>
            </w:r>
            <w:r>
              <w:rPr>
                <w:rFonts w:hint="eastAsia" w:ascii="宋体" w:hAnsi="宋体" w:cs="宋体"/>
                <w:b/>
                <w:bCs/>
                <w:szCs w:val="21"/>
              </w:rPr>
              <w:t>12</w:t>
            </w:r>
            <w:r>
              <w:rPr>
                <w:rFonts w:ascii="宋体" w:hAnsi="宋体" w:cs="宋体"/>
                <w:b/>
                <w:bCs/>
                <w:szCs w:val="21"/>
              </w:rPr>
              <w:t>分）</w:t>
            </w:r>
          </w:p>
        </w:tc>
        <w:tc>
          <w:tcPr>
            <w:tcW w:w="7329" w:type="dxa"/>
            <w:vAlign w:val="center"/>
          </w:tcPr>
          <w:p>
            <w:pPr>
              <w:spacing w:line="400" w:lineRule="exact"/>
              <w:ind w:firstLine="420" w:firstLineChars="200"/>
              <w:rPr>
                <w:rFonts w:ascii="宋体" w:hAnsi="宋体" w:cs="宋体"/>
                <w:kern w:val="0"/>
                <w:szCs w:val="21"/>
              </w:rPr>
            </w:pPr>
            <w:r>
              <w:rPr>
                <w:rFonts w:hint="eastAsia" w:ascii="宋体" w:hAnsi="宋体" w:cs="宋体"/>
                <w:kern w:val="0"/>
                <w:szCs w:val="21"/>
              </w:rPr>
              <w:t>一档(0分</w:t>
            </w:r>
            <w:r>
              <w:rPr>
                <w:rFonts w:ascii="宋体" w:hAnsi="宋体" w:cs="宋体"/>
                <w:kern w:val="0"/>
                <w:szCs w:val="21"/>
              </w:rPr>
              <w:t>)</w:t>
            </w:r>
            <w:r>
              <w:rPr>
                <w:rFonts w:hint="eastAsia" w:ascii="宋体" w:hAnsi="宋体" w:cs="宋体"/>
                <w:kern w:val="0"/>
                <w:szCs w:val="21"/>
              </w:rPr>
              <w:t>：响应文件中未提供管理规章制度及考核管理办法不得分。</w:t>
            </w:r>
          </w:p>
          <w:p>
            <w:pPr>
              <w:spacing w:line="400" w:lineRule="exact"/>
              <w:ind w:firstLine="420" w:firstLineChars="200"/>
              <w:rPr>
                <w:rFonts w:ascii="宋体" w:hAnsi="宋体" w:cs="宋体"/>
                <w:kern w:val="0"/>
                <w:szCs w:val="21"/>
              </w:rPr>
            </w:pPr>
            <w:r>
              <w:rPr>
                <w:rFonts w:hint="eastAsia" w:ascii="宋体" w:hAnsi="宋体" w:cs="宋体"/>
                <w:kern w:val="0"/>
                <w:szCs w:val="21"/>
              </w:rPr>
              <w:t>二档(4分):具有内部管理构架、管理运作制度及人员服务考核制度，实行3 个月一次的考核管理，对考核不合格的人员进行整顿及加强管理。</w:t>
            </w:r>
          </w:p>
          <w:p>
            <w:pPr>
              <w:spacing w:line="400" w:lineRule="exact"/>
              <w:ind w:firstLine="420" w:firstLineChars="200"/>
              <w:rPr>
                <w:rFonts w:ascii="宋体" w:hAnsi="宋体" w:cs="宋体"/>
                <w:kern w:val="0"/>
                <w:szCs w:val="21"/>
              </w:rPr>
            </w:pPr>
            <w:r>
              <w:rPr>
                <w:rFonts w:hint="eastAsia" w:ascii="宋体" w:hAnsi="宋体" w:cs="宋体"/>
                <w:kern w:val="0"/>
                <w:szCs w:val="21"/>
              </w:rPr>
              <w:t>三档(8分</w:t>
            </w:r>
            <w:r>
              <w:rPr>
                <w:rFonts w:ascii="宋体" w:hAnsi="宋体" w:cs="宋体"/>
                <w:kern w:val="0"/>
                <w:szCs w:val="21"/>
              </w:rPr>
              <w:t>)</w:t>
            </w:r>
            <w:r>
              <w:rPr>
                <w:rFonts w:hint="eastAsia" w:ascii="宋体" w:hAnsi="宋体" w:cs="宋体"/>
                <w:kern w:val="0"/>
                <w:szCs w:val="21"/>
              </w:rPr>
              <w:t>：具有内部管理构架、管理运作制度、管理规章制度及人员服务考核制度，实行二个月一次的考核管理，对考核不合格的人员进行整顿及加强管理，有各岗位服务人员监督机制、奖惩制度。</w:t>
            </w:r>
          </w:p>
          <w:p>
            <w:pPr>
              <w:spacing w:line="400" w:lineRule="exact"/>
              <w:ind w:firstLine="420" w:firstLineChars="200"/>
              <w:rPr>
                <w:rFonts w:ascii="宋体" w:hAnsi="宋体" w:cs="宋体"/>
                <w:kern w:val="0"/>
                <w:szCs w:val="21"/>
              </w:rPr>
            </w:pPr>
            <w:r>
              <w:rPr>
                <w:rFonts w:hint="eastAsia" w:ascii="宋体" w:hAnsi="宋体" w:cs="宋体"/>
                <w:kern w:val="0"/>
                <w:szCs w:val="21"/>
              </w:rPr>
              <w:t>四档(12分</w:t>
            </w:r>
            <w:r>
              <w:rPr>
                <w:rFonts w:ascii="宋体" w:hAnsi="宋体" w:cs="宋体"/>
                <w:kern w:val="0"/>
                <w:szCs w:val="21"/>
              </w:rPr>
              <w:t>)</w:t>
            </w:r>
            <w:r>
              <w:rPr>
                <w:rFonts w:hint="eastAsia" w:ascii="宋体" w:hAnsi="宋体" w:cs="宋体"/>
                <w:kern w:val="0"/>
                <w:szCs w:val="21"/>
              </w:rPr>
              <w:t>：具有内部管理构架、管理运作制度及标准、管理规章制度、考勤管理制度、档案管理制度、人员服务考核制度，实行一个月一次的考核管理.对考核不合格的人员进行整顿及加强管理，有各岗位服务人员监督机制、奖惩机制、自我约束机制等。</w:t>
            </w:r>
          </w:p>
        </w:tc>
      </w:tr>
      <w:bookmark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pPr>
              <w:spacing w:line="400" w:lineRule="exact"/>
              <w:jc w:val="center"/>
              <w:rPr>
                <w:rFonts w:ascii="宋体" w:hAnsi="宋体" w:cs="宋体"/>
                <w:b/>
                <w:bCs/>
                <w:szCs w:val="21"/>
              </w:rPr>
            </w:pPr>
            <w:bookmarkStart w:id="73" w:name="_Hlk220573808"/>
            <w:r>
              <w:rPr>
                <w:rFonts w:hint="eastAsia" w:ascii="宋体" w:hAnsi="宋体" w:cs="宋体"/>
                <w:b/>
                <w:bCs/>
                <w:szCs w:val="21"/>
              </w:rPr>
              <w:t>4</w:t>
            </w:r>
          </w:p>
        </w:tc>
        <w:tc>
          <w:tcPr>
            <w:tcW w:w="1406" w:type="dxa"/>
            <w:vAlign w:val="center"/>
          </w:tcPr>
          <w:p>
            <w:pPr>
              <w:spacing w:line="400" w:lineRule="exact"/>
              <w:jc w:val="center"/>
              <w:rPr>
                <w:rFonts w:ascii="宋体" w:hAnsi="宋体" w:cs="宋体"/>
                <w:szCs w:val="21"/>
              </w:rPr>
            </w:pPr>
            <w:r>
              <w:rPr>
                <w:rFonts w:hint="eastAsia" w:ascii="宋体" w:hAnsi="宋体" w:cs="宋体"/>
                <w:b/>
                <w:bCs/>
                <w:szCs w:val="21"/>
              </w:rPr>
              <w:t>服务质量保障方案（满分10分）</w:t>
            </w:r>
          </w:p>
        </w:tc>
        <w:tc>
          <w:tcPr>
            <w:tcW w:w="7329" w:type="dxa"/>
            <w:vAlign w:val="center"/>
          </w:tcPr>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一档(0分</w:t>
            </w:r>
            <w:r>
              <w:rPr>
                <w:rFonts w:ascii="宋体" w:hAnsi="宋体" w:cs="宋体"/>
                <w:kern w:val="0"/>
                <w:szCs w:val="21"/>
              </w:rPr>
              <w:t>)</w:t>
            </w:r>
            <w:r>
              <w:rPr>
                <w:rFonts w:hint="eastAsia" w:ascii="宋体" w:hAnsi="宋体" w:cs="宋体"/>
                <w:kern w:val="0"/>
                <w:szCs w:val="21"/>
              </w:rPr>
              <w:t>：响应文件</w:t>
            </w:r>
            <w:r>
              <w:rPr>
                <w:rFonts w:hint="eastAsia" w:ascii="宋体" w:hAnsi="宋体" w:cs="宋体"/>
                <w:bCs/>
                <w:szCs w:val="21"/>
              </w:rPr>
              <w:t>中未提供服务质量保障方案不得分。</w:t>
            </w:r>
          </w:p>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二档(2分):提供有基本的服务质量保障方案，提供保安服务质量标准，方案基本符合项目需求。</w:t>
            </w:r>
          </w:p>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三档(5分</w:t>
            </w:r>
            <w:r>
              <w:rPr>
                <w:rFonts w:ascii="宋体" w:hAnsi="宋体" w:cs="宋体"/>
                <w:kern w:val="0"/>
                <w:szCs w:val="21"/>
              </w:rPr>
              <w:t>)</w:t>
            </w:r>
            <w:r>
              <w:rPr>
                <w:rFonts w:hint="eastAsia" w:ascii="宋体" w:hAnsi="宋体" w:cs="宋体"/>
                <w:kern w:val="0"/>
                <w:szCs w:val="21"/>
              </w:rPr>
              <w:t>：</w:t>
            </w:r>
            <w:r>
              <w:rPr>
                <w:rFonts w:hint="eastAsia" w:ascii="宋体" w:hAnsi="宋体" w:cs="宋体"/>
                <w:bCs/>
                <w:szCs w:val="21"/>
              </w:rPr>
              <w:t>提供有完善的服务质量保障方案，提供各岗位服务质量标准，方案中有针对本项目建立的检查及监督机制，能说明各级别检查及监督机制的主要职责及检查程序，方案符合项目需求。</w:t>
            </w:r>
          </w:p>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四档(10分</w:t>
            </w:r>
            <w:r>
              <w:rPr>
                <w:rFonts w:ascii="宋体" w:hAnsi="宋体" w:cs="宋体"/>
                <w:kern w:val="0"/>
                <w:szCs w:val="21"/>
              </w:rPr>
              <w:t>)</w:t>
            </w:r>
            <w:r>
              <w:rPr>
                <w:rFonts w:hint="eastAsia" w:ascii="宋体" w:hAnsi="宋体" w:cs="宋体"/>
                <w:kern w:val="0"/>
                <w:szCs w:val="21"/>
              </w:rPr>
              <w:t>：</w:t>
            </w:r>
            <w:r>
              <w:rPr>
                <w:rFonts w:hint="eastAsia" w:ascii="宋体" w:hAnsi="宋体" w:cs="宋体"/>
                <w:bCs/>
                <w:szCs w:val="21"/>
              </w:rPr>
              <w:t>提供有合理、完善的服务质量保方案，提供各岗位服务质量标准，方案中有针对本项目建立的检查及监督机制，能说明各级别检查及监督机制的主要职责及检查程序，并提供完善的服务保障措施，保证安保人员的服务质量，方案可行性高，完全满足项目需求。</w:t>
            </w:r>
          </w:p>
        </w:tc>
      </w:tr>
      <w:bookmark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pPr>
              <w:spacing w:line="400" w:lineRule="exact"/>
              <w:jc w:val="center"/>
              <w:rPr>
                <w:rFonts w:ascii="宋体" w:hAnsi="宋体" w:cs="宋体"/>
                <w:b/>
                <w:bCs/>
                <w:szCs w:val="21"/>
              </w:rPr>
            </w:pPr>
            <w:bookmarkStart w:id="74" w:name="_Hlk220573827"/>
            <w:r>
              <w:rPr>
                <w:rFonts w:hint="eastAsia" w:ascii="宋体" w:hAnsi="宋体" w:cs="宋体"/>
                <w:b/>
                <w:bCs/>
                <w:szCs w:val="21"/>
              </w:rPr>
              <w:t>5</w:t>
            </w:r>
          </w:p>
        </w:tc>
        <w:tc>
          <w:tcPr>
            <w:tcW w:w="1406" w:type="dxa"/>
            <w:vAlign w:val="center"/>
          </w:tcPr>
          <w:p>
            <w:pPr>
              <w:spacing w:line="400" w:lineRule="exact"/>
              <w:jc w:val="center"/>
              <w:rPr>
                <w:rFonts w:ascii="宋体" w:hAnsi="宋体" w:cs="宋体"/>
                <w:b/>
                <w:bCs/>
                <w:szCs w:val="21"/>
              </w:rPr>
            </w:pPr>
            <w:r>
              <w:rPr>
                <w:rFonts w:hint="eastAsia" w:ascii="宋体" w:hAnsi="宋体" w:cs="宋体"/>
                <w:b/>
                <w:szCs w:val="21"/>
              </w:rPr>
              <w:t>岗前培训方案（满分10分）</w:t>
            </w:r>
          </w:p>
        </w:tc>
        <w:tc>
          <w:tcPr>
            <w:tcW w:w="7329" w:type="dxa"/>
            <w:vAlign w:val="center"/>
          </w:tcPr>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一档(0分</w:t>
            </w:r>
            <w:r>
              <w:rPr>
                <w:rFonts w:ascii="宋体" w:hAnsi="宋体" w:cs="宋体"/>
                <w:kern w:val="0"/>
                <w:szCs w:val="21"/>
              </w:rPr>
              <w:t>)</w:t>
            </w:r>
            <w:r>
              <w:rPr>
                <w:rFonts w:hint="eastAsia" w:ascii="宋体" w:hAnsi="宋体" w:cs="宋体"/>
                <w:kern w:val="0"/>
                <w:szCs w:val="21"/>
              </w:rPr>
              <w:t>：响应文件</w:t>
            </w:r>
            <w:r>
              <w:rPr>
                <w:rFonts w:hint="eastAsia" w:ascii="宋体" w:hAnsi="宋体" w:cs="宋体"/>
                <w:bCs/>
                <w:szCs w:val="21"/>
              </w:rPr>
              <w:t>中未提供岗前培训方案不得分。</w:t>
            </w:r>
          </w:p>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二档(4分</w:t>
            </w:r>
            <w:r>
              <w:rPr>
                <w:rFonts w:ascii="宋体" w:hAnsi="宋体" w:cs="宋体"/>
                <w:kern w:val="0"/>
                <w:szCs w:val="21"/>
              </w:rPr>
              <w:t>)</w:t>
            </w:r>
            <w:r>
              <w:rPr>
                <w:rFonts w:hint="eastAsia" w:ascii="宋体" w:hAnsi="宋体" w:cs="宋体"/>
                <w:kern w:val="0"/>
                <w:szCs w:val="21"/>
              </w:rPr>
              <w:t>：提供</w:t>
            </w:r>
            <w:r>
              <w:rPr>
                <w:rFonts w:hint="eastAsia" w:ascii="宋体" w:hAnsi="宋体" w:cs="宋体"/>
                <w:bCs/>
                <w:szCs w:val="21"/>
              </w:rPr>
              <w:t>有安保人员培训方案，制定培训计划，每三个月实行一次培训活动，有培训目标、培训内容。</w:t>
            </w:r>
          </w:p>
          <w:p>
            <w:pPr>
              <w:widowControl/>
              <w:adjustRightInd/>
              <w:spacing w:line="400" w:lineRule="exact"/>
              <w:ind w:firstLine="420" w:firstLineChars="200"/>
              <w:jc w:val="left"/>
              <w:rPr>
                <w:rFonts w:ascii="宋体" w:hAnsi="宋体" w:cs="宋体"/>
                <w:bCs/>
                <w:szCs w:val="21"/>
              </w:rPr>
            </w:pPr>
            <w:r>
              <w:rPr>
                <w:rFonts w:hint="eastAsia" w:ascii="宋体" w:hAnsi="宋体" w:cs="宋体"/>
                <w:bCs/>
                <w:szCs w:val="21"/>
              </w:rPr>
              <w:t>三档(7分</w:t>
            </w:r>
            <w:r>
              <w:rPr>
                <w:rFonts w:ascii="宋体" w:hAnsi="宋体" w:cs="宋体"/>
                <w:kern w:val="0"/>
                <w:szCs w:val="21"/>
              </w:rPr>
              <w:t>)</w:t>
            </w:r>
            <w:r>
              <w:rPr>
                <w:rFonts w:hint="eastAsia" w:ascii="宋体" w:hAnsi="宋体" w:cs="宋体"/>
                <w:kern w:val="0"/>
                <w:szCs w:val="21"/>
              </w:rPr>
              <w:t>：提供</w:t>
            </w:r>
            <w:r>
              <w:rPr>
                <w:rFonts w:hint="eastAsia" w:ascii="宋体" w:hAnsi="宋体" w:cs="宋体"/>
                <w:bCs/>
                <w:szCs w:val="21"/>
              </w:rPr>
              <w:t>有安保人员培训方案，制定培训计划，每二个月实行一次培训活动，有培训目标、培训内容、培训方式，包含各岗位理论知识及专业技能培训，有多种培训方式。</w:t>
            </w:r>
          </w:p>
          <w:p>
            <w:pPr>
              <w:widowControl/>
              <w:adjustRightInd/>
              <w:spacing w:line="400" w:lineRule="exact"/>
              <w:ind w:firstLine="420" w:firstLineChars="200"/>
              <w:jc w:val="left"/>
              <w:rPr>
                <w:rFonts w:ascii="宋体" w:hAnsi="宋体" w:cs="宋体"/>
                <w:szCs w:val="21"/>
              </w:rPr>
            </w:pPr>
            <w:r>
              <w:rPr>
                <w:rFonts w:hint="eastAsia" w:ascii="宋体" w:hAnsi="宋体" w:cs="宋体"/>
                <w:bCs/>
                <w:szCs w:val="21"/>
              </w:rPr>
              <w:t>四档(10分</w:t>
            </w:r>
            <w:r>
              <w:rPr>
                <w:rFonts w:ascii="宋体" w:hAnsi="宋体" w:cs="宋体"/>
                <w:kern w:val="0"/>
                <w:szCs w:val="21"/>
              </w:rPr>
              <w:t>)</w:t>
            </w:r>
            <w:r>
              <w:rPr>
                <w:rFonts w:hint="eastAsia" w:ascii="宋体" w:hAnsi="宋体" w:cs="宋体"/>
                <w:kern w:val="0"/>
                <w:szCs w:val="21"/>
              </w:rPr>
              <w:t>：提供</w:t>
            </w:r>
            <w:r>
              <w:rPr>
                <w:rFonts w:hint="eastAsia" w:ascii="宋体" w:hAnsi="宋体" w:cs="宋体"/>
                <w:bCs/>
                <w:szCs w:val="21"/>
              </w:rPr>
              <w:t>有安保人员培训方案，制定培训计划，每一个月实行一次培训活动，有培训目标、培训内容、培训方式，包含各岗位理论知识及专业技能培训，有多种培训方式，制定有培训考核办法及考核标准。</w:t>
            </w:r>
          </w:p>
        </w:tc>
      </w:tr>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pPr>
              <w:spacing w:line="400" w:lineRule="exact"/>
              <w:jc w:val="center"/>
              <w:rPr>
                <w:rFonts w:ascii="宋体" w:hAnsi="宋体" w:cs="宋体"/>
                <w:b/>
                <w:bCs/>
                <w:szCs w:val="21"/>
              </w:rPr>
            </w:pPr>
            <w:bookmarkStart w:id="75" w:name="_Hlk220573844"/>
            <w:r>
              <w:rPr>
                <w:rFonts w:hint="eastAsia" w:ascii="宋体" w:hAnsi="宋体" w:cs="宋体"/>
                <w:b/>
                <w:bCs/>
                <w:szCs w:val="21"/>
              </w:rPr>
              <w:t>6</w:t>
            </w:r>
          </w:p>
        </w:tc>
        <w:tc>
          <w:tcPr>
            <w:tcW w:w="1406" w:type="dxa"/>
            <w:vAlign w:val="center"/>
          </w:tcPr>
          <w:p>
            <w:pPr>
              <w:spacing w:line="400" w:lineRule="exact"/>
              <w:jc w:val="center"/>
              <w:rPr>
                <w:rFonts w:ascii="宋体" w:hAnsi="宋体" w:cs="宋体"/>
                <w:b/>
                <w:bCs/>
                <w:szCs w:val="21"/>
              </w:rPr>
            </w:pPr>
            <w:r>
              <w:rPr>
                <w:rFonts w:hint="eastAsia" w:ascii="宋体" w:hAnsi="宋体" w:cs="宋体"/>
                <w:b/>
                <w:bCs/>
                <w:szCs w:val="21"/>
              </w:rPr>
              <w:t>应急预案（满分13分）</w:t>
            </w:r>
          </w:p>
        </w:tc>
        <w:tc>
          <w:tcPr>
            <w:tcW w:w="7329" w:type="dxa"/>
            <w:vAlign w:val="center"/>
          </w:tcPr>
          <w:p>
            <w:pPr>
              <w:pStyle w:val="29"/>
              <w:spacing w:line="300" w:lineRule="auto"/>
              <w:ind w:firstLine="420" w:firstLineChars="200"/>
              <w:rPr>
                <w:rFonts w:ascii="宋体" w:hAnsi="宋体" w:cs="宋体"/>
                <w:b w:val="0"/>
                <w:sz w:val="21"/>
                <w:szCs w:val="21"/>
                <w:lang w:val="en-US"/>
              </w:rPr>
            </w:pPr>
            <w:r>
              <w:rPr>
                <w:rFonts w:hint="eastAsia" w:ascii="宋体" w:hAnsi="宋体" w:cs="宋体"/>
                <w:b w:val="0"/>
                <w:sz w:val="21"/>
                <w:szCs w:val="21"/>
                <w:lang w:val="en-US"/>
              </w:rPr>
              <w:t>一档(0分</w:t>
            </w:r>
            <w:r>
              <w:rPr>
                <w:rFonts w:ascii="宋体" w:hAnsi="宋体" w:cs="宋体"/>
                <w:b w:val="0"/>
                <w:bCs/>
                <w:kern w:val="0"/>
                <w:sz w:val="21"/>
                <w:szCs w:val="21"/>
                <w:lang w:val="en-US"/>
              </w:rPr>
              <w:t>)</w:t>
            </w:r>
            <w:r>
              <w:rPr>
                <w:rFonts w:hint="eastAsia" w:ascii="宋体" w:hAnsi="宋体" w:cs="宋体"/>
                <w:b w:val="0"/>
                <w:bCs/>
                <w:kern w:val="0"/>
                <w:sz w:val="21"/>
                <w:szCs w:val="21"/>
                <w:lang w:val="en-US"/>
              </w:rPr>
              <w:t>：响应文件</w:t>
            </w:r>
            <w:r>
              <w:rPr>
                <w:rFonts w:hint="eastAsia" w:ascii="宋体" w:hAnsi="宋体" w:cs="宋体"/>
                <w:b w:val="0"/>
                <w:sz w:val="21"/>
                <w:szCs w:val="21"/>
                <w:lang w:val="en-US"/>
              </w:rPr>
              <w:t>中未提供应急预案不得分。</w:t>
            </w:r>
          </w:p>
          <w:p>
            <w:pPr>
              <w:pStyle w:val="29"/>
              <w:spacing w:line="300" w:lineRule="auto"/>
              <w:ind w:firstLine="420" w:firstLineChars="200"/>
              <w:rPr>
                <w:rFonts w:ascii="宋体" w:hAnsi="宋体" w:cs="宋体"/>
                <w:b w:val="0"/>
                <w:sz w:val="21"/>
                <w:szCs w:val="21"/>
                <w:lang w:val="en-US"/>
              </w:rPr>
            </w:pPr>
            <w:r>
              <w:rPr>
                <w:rFonts w:hint="eastAsia" w:ascii="宋体" w:hAnsi="宋体" w:cs="宋体"/>
                <w:b w:val="0"/>
                <w:sz w:val="21"/>
                <w:szCs w:val="21"/>
                <w:lang w:val="en-US"/>
              </w:rPr>
              <w:t>二档(4分</w:t>
            </w:r>
            <w:r>
              <w:rPr>
                <w:rFonts w:ascii="宋体" w:hAnsi="宋体" w:cs="宋体"/>
                <w:b w:val="0"/>
                <w:bCs/>
                <w:kern w:val="0"/>
                <w:sz w:val="21"/>
                <w:szCs w:val="21"/>
                <w:lang w:val="en-US"/>
              </w:rPr>
              <w:t>)</w:t>
            </w:r>
            <w:r>
              <w:rPr>
                <w:rFonts w:hint="eastAsia" w:ascii="宋体" w:hAnsi="宋体" w:cs="宋体"/>
                <w:b w:val="0"/>
                <w:bCs/>
                <w:kern w:val="0"/>
                <w:sz w:val="21"/>
                <w:szCs w:val="21"/>
                <w:lang w:val="en-US"/>
              </w:rPr>
              <w:t>：提供应急预案，</w:t>
            </w:r>
            <w:r>
              <w:rPr>
                <w:rFonts w:hint="eastAsia" w:ascii="宋体" w:hAnsi="宋体" w:cs="宋体"/>
                <w:b w:val="0"/>
                <w:sz w:val="21"/>
                <w:szCs w:val="21"/>
                <w:lang w:val="en-US"/>
              </w:rPr>
              <w:t>提供应急人员安排及应急人员岗位职责、应急人员调配计划及人员计划安排表。</w:t>
            </w:r>
          </w:p>
          <w:p>
            <w:pPr>
              <w:pStyle w:val="29"/>
              <w:spacing w:line="300" w:lineRule="auto"/>
              <w:ind w:firstLine="420" w:firstLineChars="200"/>
              <w:rPr>
                <w:rFonts w:ascii="宋体" w:hAnsi="宋体" w:cs="宋体"/>
                <w:b w:val="0"/>
                <w:sz w:val="21"/>
                <w:szCs w:val="21"/>
                <w:lang w:val="en-US"/>
              </w:rPr>
            </w:pPr>
            <w:r>
              <w:rPr>
                <w:rFonts w:hint="eastAsia" w:ascii="宋体" w:hAnsi="宋体" w:cs="宋体"/>
                <w:b w:val="0"/>
                <w:sz w:val="21"/>
                <w:szCs w:val="21"/>
                <w:lang w:val="en-US"/>
              </w:rPr>
              <w:t>三档(8分</w:t>
            </w:r>
            <w:r>
              <w:rPr>
                <w:rFonts w:ascii="宋体" w:hAnsi="宋体" w:cs="宋体"/>
                <w:b w:val="0"/>
                <w:bCs/>
                <w:kern w:val="0"/>
                <w:sz w:val="21"/>
                <w:szCs w:val="21"/>
                <w:lang w:val="en-US"/>
              </w:rPr>
              <w:t>)</w:t>
            </w:r>
            <w:r>
              <w:rPr>
                <w:rFonts w:hint="eastAsia" w:ascii="宋体" w:hAnsi="宋体" w:cs="宋体"/>
                <w:b w:val="0"/>
                <w:bCs/>
                <w:kern w:val="0"/>
                <w:sz w:val="21"/>
                <w:szCs w:val="21"/>
                <w:lang w:val="en-US"/>
              </w:rPr>
              <w:t>：提供应急预案，</w:t>
            </w:r>
            <w:r>
              <w:rPr>
                <w:rFonts w:hint="eastAsia" w:ascii="宋体" w:hAnsi="宋体" w:cs="宋体"/>
                <w:b w:val="0"/>
                <w:sz w:val="21"/>
                <w:szCs w:val="21"/>
                <w:lang w:val="en-US"/>
              </w:rPr>
              <w:t>提供应急人员安排及应急人员岗位职责应急人员调配计划及人员计划安排表，能提出对消防管理、治安事件、卫生事件的解决措施，能对应急情况发生的问题立即响应，配备应急人员调配计划与应急事件处理方案。</w:t>
            </w:r>
          </w:p>
          <w:p>
            <w:pPr>
              <w:pStyle w:val="29"/>
              <w:spacing w:line="300" w:lineRule="auto"/>
              <w:ind w:firstLine="420" w:firstLineChars="200"/>
              <w:rPr>
                <w:rFonts w:ascii="宋体" w:hAnsi="宋体" w:cs="宋体"/>
                <w:sz w:val="21"/>
                <w:szCs w:val="21"/>
                <w:lang w:val="en-US"/>
              </w:rPr>
            </w:pPr>
            <w:r>
              <w:rPr>
                <w:rFonts w:hint="eastAsia" w:ascii="宋体" w:hAnsi="宋体" w:cs="宋体"/>
                <w:b w:val="0"/>
                <w:sz w:val="21"/>
                <w:szCs w:val="21"/>
                <w:lang w:val="en-US"/>
              </w:rPr>
              <w:t>四档（13分</w:t>
            </w:r>
            <w:r>
              <w:rPr>
                <w:rFonts w:ascii="宋体" w:hAnsi="宋体" w:cs="宋体"/>
                <w:b w:val="0"/>
                <w:bCs/>
                <w:kern w:val="0"/>
                <w:sz w:val="21"/>
                <w:szCs w:val="21"/>
                <w:lang w:val="en-US"/>
              </w:rPr>
              <w:t>)</w:t>
            </w:r>
            <w:r>
              <w:rPr>
                <w:rFonts w:hint="eastAsia" w:ascii="宋体" w:hAnsi="宋体" w:cs="宋体"/>
                <w:b w:val="0"/>
                <w:bCs/>
                <w:kern w:val="0"/>
                <w:sz w:val="21"/>
                <w:szCs w:val="21"/>
                <w:lang w:val="en-US"/>
              </w:rPr>
              <w:t>：提供应急预案，</w:t>
            </w:r>
            <w:r>
              <w:rPr>
                <w:rFonts w:hint="eastAsia" w:ascii="宋体" w:hAnsi="宋体" w:cs="宋体"/>
                <w:b w:val="0"/>
                <w:sz w:val="21"/>
                <w:szCs w:val="21"/>
                <w:lang w:val="en-US"/>
              </w:rPr>
              <w:t>提供应急人员安排及应急人员岗位职责应急人员调配计划及人员计划安排表，能提出对消防管理、治安事件、卫生事件、自然灾害事件、盗窃事件、意外事件等突发事件的解决措施，能对应急情况发生的问题立即响应，提供处理完成时间，配备应急人员调配计划及人员计划《安排)表及应急事件处理方案。</w:t>
            </w: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25" w:type="dxa"/>
            <w:vAlign w:val="center"/>
          </w:tcPr>
          <w:p>
            <w:pPr>
              <w:spacing w:line="400" w:lineRule="exact"/>
              <w:jc w:val="center"/>
              <w:rPr>
                <w:rFonts w:ascii="宋体" w:hAnsi="宋体" w:cs="宋体"/>
                <w:b/>
                <w:bCs/>
                <w:szCs w:val="21"/>
              </w:rPr>
            </w:pPr>
            <w:bookmarkStart w:id="76" w:name="_Hlk220573941"/>
            <w:r>
              <w:rPr>
                <w:rFonts w:hint="eastAsia" w:ascii="宋体" w:hAnsi="宋体" w:cs="宋体"/>
                <w:b/>
                <w:bCs/>
                <w:szCs w:val="21"/>
              </w:rPr>
              <w:t>7</w:t>
            </w:r>
          </w:p>
        </w:tc>
        <w:tc>
          <w:tcPr>
            <w:tcW w:w="1406" w:type="dxa"/>
            <w:vAlign w:val="center"/>
          </w:tcPr>
          <w:p>
            <w:pPr>
              <w:spacing w:line="400" w:lineRule="exact"/>
              <w:jc w:val="center"/>
              <w:rPr>
                <w:rFonts w:ascii="宋体" w:hAnsi="宋体" w:cs="宋体"/>
                <w:szCs w:val="21"/>
              </w:rPr>
            </w:pPr>
            <w:r>
              <w:rPr>
                <w:rFonts w:hint="eastAsia" w:ascii="宋体" w:hAnsi="宋体" w:cs="宋体"/>
                <w:b/>
                <w:szCs w:val="21"/>
              </w:rPr>
              <w:t>业绩分（5分）</w:t>
            </w:r>
          </w:p>
        </w:tc>
        <w:tc>
          <w:tcPr>
            <w:tcW w:w="7329" w:type="dxa"/>
            <w:vAlign w:val="center"/>
          </w:tcPr>
          <w:p>
            <w:pPr>
              <w:spacing w:line="400" w:lineRule="exact"/>
              <w:ind w:firstLine="420" w:firstLineChars="200"/>
              <w:rPr>
                <w:rFonts w:ascii="宋体" w:hAnsi="宋体" w:cs="宋体"/>
                <w:bCs/>
                <w:szCs w:val="21"/>
              </w:rPr>
            </w:pPr>
            <w:r>
              <w:rPr>
                <w:rFonts w:hint="eastAsia" w:ascii="宋体" w:hAnsi="宋体" w:cs="宋体"/>
                <w:bCs/>
                <w:szCs w:val="21"/>
              </w:rPr>
              <w:t>磋商供应商2022年1月1日以来至响应文件递交截止时间前关于安保、物业服务内容有关的项目业绩，每提供一个得1分，满分5分。</w:t>
            </w:r>
          </w:p>
          <w:p>
            <w:pPr>
              <w:spacing w:line="400" w:lineRule="exact"/>
              <w:ind w:firstLine="422" w:firstLineChars="200"/>
              <w:rPr>
                <w:rFonts w:ascii="宋体" w:hAnsi="宋体" w:cs="宋体"/>
                <w:b/>
                <w:bCs/>
                <w:szCs w:val="21"/>
              </w:rPr>
            </w:pPr>
            <w:r>
              <w:rPr>
                <w:rFonts w:hint="eastAsia" w:ascii="宋体" w:hAnsi="宋体" w:cs="宋体"/>
                <w:b/>
                <w:szCs w:val="21"/>
              </w:rPr>
              <w:t>注：响应文件中须提供有效的合同或中标（成交）通知书复印件，加盖磋商供应商电子印章。</w:t>
            </w:r>
          </w:p>
        </w:tc>
      </w:tr>
      <w:bookmark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25" w:type="dxa"/>
            <w:vAlign w:val="center"/>
          </w:tcPr>
          <w:p>
            <w:pPr>
              <w:spacing w:line="400" w:lineRule="exact"/>
              <w:jc w:val="center"/>
              <w:rPr>
                <w:rFonts w:ascii="宋体" w:hAnsi="宋体" w:cs="宋体"/>
                <w:b/>
                <w:bCs/>
                <w:szCs w:val="21"/>
              </w:rPr>
            </w:pPr>
            <w:r>
              <w:rPr>
                <w:rFonts w:hint="eastAsia" w:ascii="宋体" w:hAnsi="宋体" w:cs="宋体"/>
                <w:b/>
                <w:bCs/>
                <w:szCs w:val="21"/>
              </w:rPr>
              <w:t>8</w:t>
            </w:r>
          </w:p>
        </w:tc>
        <w:tc>
          <w:tcPr>
            <w:tcW w:w="8735" w:type="dxa"/>
            <w:gridSpan w:val="2"/>
            <w:vAlign w:val="center"/>
          </w:tcPr>
          <w:p>
            <w:pPr>
              <w:pStyle w:val="32"/>
              <w:spacing w:line="400" w:lineRule="exact"/>
              <w:jc w:val="left"/>
              <w:rPr>
                <w:rFonts w:hAnsi="宋体" w:cs="宋体"/>
                <w:b/>
                <w:bCs/>
                <w:kern w:val="0"/>
                <w:szCs w:val="21"/>
                <w:lang w:bidi="ar"/>
              </w:rPr>
            </w:pPr>
            <w:r>
              <w:rPr>
                <w:rFonts w:hint="eastAsia" w:hAnsi="宋体" w:cs="宋体"/>
                <w:b/>
                <w:bCs/>
                <w:kern w:val="0"/>
                <w:szCs w:val="21"/>
                <w:lang w:bidi="ar"/>
              </w:rPr>
              <w:t>总得分=1+2+3+4+5+6+7</w:t>
            </w:r>
          </w:p>
        </w:tc>
      </w:tr>
    </w:tbl>
    <w:p>
      <w:pPr>
        <w:widowControl/>
        <w:adjustRightInd/>
        <w:spacing w:line="440" w:lineRule="atLeast"/>
        <w:ind w:firstLine="422" w:firstLineChars="200"/>
        <w:rPr>
          <w:rFonts w:ascii="宋体" w:hAnsi="宋体" w:cs="Courier New"/>
          <w:szCs w:val="21"/>
        </w:rPr>
      </w:pPr>
      <w:r>
        <w:rPr>
          <w:rFonts w:hint="eastAsia" w:ascii="宋体" w:hAnsi="Courier New" w:cs="Courier New"/>
          <w:b/>
          <w:bCs/>
          <w:szCs w:val="21"/>
        </w:rPr>
        <w:t xml:space="preserve">   </w:t>
      </w:r>
      <w:r>
        <w:rPr>
          <w:rFonts w:hint="eastAsia" w:ascii="宋体" w:hAnsi="Courier New" w:cs="Courier New"/>
          <w:szCs w:val="21"/>
          <w:lang w:bidi="ar"/>
        </w:rPr>
        <w:t xml:space="preserve">  </w:t>
      </w:r>
    </w:p>
    <w:p>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pPr>
        <w:adjustRightInd/>
        <w:spacing w:line="360" w:lineRule="auto"/>
        <w:ind w:firstLine="482" w:firstLineChars="200"/>
        <w:rPr>
          <w:rFonts w:cs="Arial" w:asciiTheme="minorEastAsia" w:hAnsiTheme="minorEastAsia" w:eastAsiaTheme="minorEastAsia"/>
          <w:b/>
          <w:kern w:val="0"/>
          <w:sz w:val="24"/>
        </w:rPr>
      </w:pPr>
    </w:p>
    <w:p>
      <w:pPr>
        <w:pStyle w:val="393"/>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kern w:val="0"/>
          <w:sz w:val="24"/>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pPr>
        <w:pStyle w:val="393"/>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pPr>
        <w:pStyle w:val="393"/>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pPr>
        <w:pStyle w:val="393"/>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pPr>
        <w:pStyle w:val="393"/>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pPr>
        <w:pStyle w:val="393"/>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pPr>
        <w:pStyle w:val="393"/>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sz w:val="32"/>
        </w:rPr>
      </w:pPr>
    </w:p>
    <w:p>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pPr>
        <w:pStyle w:val="393"/>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pPr>
        <w:pStyle w:val="393"/>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pPr>
        <w:pStyle w:val="393"/>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pPr>
        <w:pStyle w:val="393"/>
        <w:spacing w:before="0"/>
        <w:ind w:firstLine="0" w:firstLineChars="0"/>
        <w:rPr>
          <w:rFonts w:asciiTheme="minorEastAsia" w:hAnsiTheme="minorEastAsia" w:eastAsiaTheme="minorEastAsia"/>
          <w:b/>
        </w:rPr>
      </w:pPr>
    </w:p>
    <w:p>
      <w:pPr>
        <w:pStyle w:val="393"/>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pPr>
        <w:pStyle w:val="393"/>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pPr>
        <w:pStyle w:val="393"/>
        <w:spacing w:before="0"/>
        <w:ind w:firstLine="0" w:firstLineChars="0"/>
        <w:rPr>
          <w:rFonts w:asciiTheme="minorEastAsia" w:hAnsiTheme="minorEastAsia" w:eastAsiaTheme="minorEastAsia"/>
          <w:b/>
        </w:rPr>
      </w:pPr>
    </w:p>
    <w:p>
      <w:pPr>
        <w:pStyle w:val="393"/>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pPr>
        <w:pStyle w:val="393"/>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3"/>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pPr>
        <w:pStyle w:val="393"/>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pPr>
        <w:pStyle w:val="23"/>
        <w:spacing w:line="360" w:lineRule="auto"/>
        <w:ind w:firstLine="600" w:firstLineChars="250"/>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3.15《最后报价一览表》填写不完整或字迹不能辨认或有漏项的；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3.17.1使用伪造、变造的许可证件；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3.17.2提供虚假的财务状况或者业绩；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3.17.3提供虚假的项目负责人或者主要技术人员简历、劳动关系证明；</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3.17.4提供虚假的信用状况；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3.17.5其他弄虚作假的行为。</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3.18.2供应商按照采购人或者采购代理机构的授意撤换、修改响应文件或者响应文件；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3.18.3供应商之间协商报价、技术方案等响应文件或者响应文件的实质性内容；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3.18.5供应商之间事先约定由某一特定供应商成交、成交；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3.18.6供应商之间商定部分供应商放弃参加政府采购活动或者放弃成交、成交；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3.18.7供应商与采购人或者采购代理机构之间、供应商相互之间，为谋求特定供应商成交、成交或者排斥其他供应商的其他串通行为。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3.18.8不同供应商的响应文件由同一单位或者个人编制；</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3.18.9不同供应商委托同一单位或者个人办理响应事宜；</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3.18.10不同供应商的响应文件载明的项目管理成员或者联系人员为同一人；</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3.18.11不同供应商的响应文件异常一致或者最后报价呈规律性差异。</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3.19供应商仅提交备份响应文件，没有在电子交易平台传输提交响应文件的，响应无效；</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3.20法律、法规、规章（适用本市的）及省级以上规范性文件（适用本市的）规定的其他无效情形。</w:t>
      </w:r>
    </w:p>
    <w:p>
      <w:pPr>
        <w:pStyle w:val="393"/>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 重新开展采购活动</w:t>
      </w:r>
    </w:p>
    <w:p>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pPr>
        <w:pStyle w:val="393"/>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 终止采购活动</w:t>
      </w:r>
    </w:p>
    <w:p>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 xml:space="preserve">6. </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3"/>
        <w:spacing w:before="0"/>
        <w:ind w:firstLine="0" w:firstLineChars="0"/>
        <w:rPr>
          <w:rFonts w:cs="仿宋_GB2312" w:asciiTheme="minorEastAsia" w:hAnsiTheme="minorEastAsia" w:eastAsiaTheme="minorEastAsia"/>
          <w:b/>
        </w:rPr>
      </w:pPr>
    </w:p>
    <w:p>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spacing w:line="360" w:lineRule="auto"/>
        <w:jc w:val="center"/>
        <w:outlineLvl w:val="0"/>
        <w:rPr>
          <w:rFonts w:cs="仿宋_GB2312" w:asciiTheme="minorEastAsia" w:hAnsiTheme="minorEastAsia" w:eastAsiaTheme="minorEastAsia"/>
          <w:b/>
          <w:sz w:val="36"/>
          <w:szCs w:val="36"/>
        </w:rPr>
      </w:pPr>
      <w:bookmarkStart w:id="77" w:name="_Toc181203099"/>
      <w:r>
        <w:rPr>
          <w:rFonts w:hint="eastAsia" w:cs="仿宋_GB2312" w:asciiTheme="minorEastAsia" w:hAnsiTheme="minorEastAsia" w:eastAsiaTheme="minorEastAsia"/>
          <w:b/>
          <w:sz w:val="36"/>
          <w:szCs w:val="36"/>
        </w:rPr>
        <w:t>第六部分</w:t>
      </w:r>
      <w:bookmarkEnd w:id="70"/>
      <w:r>
        <w:rPr>
          <w:rFonts w:hint="eastAsia" w:cs="仿宋_GB2312" w:asciiTheme="minorEastAsia" w:hAnsiTheme="minorEastAsia" w:eastAsiaTheme="minorEastAsia"/>
          <w:b/>
          <w:sz w:val="36"/>
          <w:szCs w:val="36"/>
        </w:rPr>
        <w:t xml:space="preserve">  拟签订的合同文本</w:t>
      </w:r>
      <w:bookmarkEnd w:id="77"/>
    </w:p>
    <w:p>
      <w:pPr>
        <w:spacing w:line="480" w:lineRule="auto"/>
        <w:jc w:val="center"/>
        <w:rPr>
          <w:rFonts w:ascii="宋体" w:hAnsi="宋体" w:cs="宋体"/>
          <w:b/>
          <w:sz w:val="24"/>
        </w:rPr>
      </w:pPr>
      <w:bookmarkStart w:id="78" w:name="OLE_LINK8"/>
      <w:bookmarkStart w:id="79" w:name="第五部分"/>
      <w:bookmarkStart w:id="80" w:name="_Toc86217003"/>
    </w:p>
    <w:p>
      <w:pPr>
        <w:spacing w:line="480" w:lineRule="auto"/>
        <w:jc w:val="center"/>
        <w:rPr>
          <w:rFonts w:ascii="宋体" w:hAnsi="宋体" w:cs="宋体"/>
          <w:b/>
          <w:sz w:val="24"/>
        </w:rPr>
      </w:pPr>
    </w:p>
    <w:p>
      <w:pPr>
        <w:pStyle w:val="632"/>
      </w:pPr>
    </w:p>
    <w:p>
      <w:pPr>
        <w:pStyle w:val="632"/>
      </w:pPr>
    </w:p>
    <w:p>
      <w:pPr>
        <w:pStyle w:val="632"/>
      </w:pPr>
    </w:p>
    <w:p>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282"/>
        <w:ind w:firstLine="2843" w:firstLineChars="1180"/>
        <w:rPr>
          <w:rFonts w:ascii="宋体" w:hAnsi="宋体" w:cs="宋体"/>
          <w:b/>
          <w:szCs w:val="24"/>
        </w:rPr>
      </w:pPr>
    </w:p>
    <w:p>
      <w:pPr>
        <w:pStyle w:val="23"/>
        <w:spacing w:after="120"/>
      </w:pPr>
    </w:p>
    <w:p>
      <w:pPr>
        <w:pStyle w:val="23"/>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632"/>
      </w:pPr>
    </w:p>
    <w:p>
      <w:pPr>
        <w:pStyle w:val="632"/>
      </w:pPr>
    </w:p>
    <w:p>
      <w:pPr>
        <w:pStyle w:val="632"/>
      </w:pPr>
    </w:p>
    <w:p>
      <w:pPr>
        <w:pStyle w:val="632"/>
      </w:pPr>
    </w:p>
    <w:p>
      <w:pPr>
        <w:pStyle w:val="632"/>
      </w:pPr>
    </w:p>
    <w:p>
      <w:pPr>
        <w:pStyle w:val="632"/>
      </w:pPr>
    </w:p>
    <w:p>
      <w:pPr>
        <w:pStyle w:val="632"/>
      </w:pPr>
    </w:p>
    <w:p>
      <w:pPr>
        <w:pStyle w:val="632"/>
      </w:pPr>
    </w:p>
    <w:p>
      <w:pPr>
        <w:pStyle w:val="632"/>
      </w:pPr>
    </w:p>
    <w:p>
      <w:pPr>
        <w:pStyle w:val="632"/>
      </w:pPr>
    </w:p>
    <w:p>
      <w:pPr>
        <w:spacing w:line="360" w:lineRule="auto"/>
        <w:jc w:val="center"/>
        <w:outlineLvl w:val="1"/>
        <w:rPr>
          <w:rFonts w:ascii="宋体" w:hAnsi="宋体" w:cs="宋体"/>
          <w:b/>
          <w:sz w:val="24"/>
        </w:rPr>
      </w:pPr>
      <w:bookmarkStart w:id="81" w:name="_Toc22209"/>
      <w:r>
        <w:rPr>
          <w:rFonts w:hint="eastAsia" w:ascii="宋体" w:hAnsi="宋体"/>
          <w:b/>
          <w:sz w:val="24"/>
        </w:rPr>
        <w:t>第一节 政府采购合同协议书</w:t>
      </w:r>
      <w:bookmarkEnd w:id="81"/>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rPr>
          <w:rFonts w:ascii="宋体" w:hAnsi="宋体"/>
          <w:sz w:val="24"/>
        </w:rPr>
      </w:pPr>
      <w:bookmarkStart w:id="82" w:name="_Toc22967"/>
      <w:bookmarkStart w:id="83" w:name="_Toc19273"/>
      <w:bookmarkStart w:id="84" w:name="_Toc28855"/>
      <w:bookmarkStart w:id="85" w:name="_Toc20421"/>
      <w:bookmarkStart w:id="86" w:name="_Toc15367"/>
      <w:r>
        <w:rPr>
          <w:rFonts w:ascii="宋体" w:hAnsi="宋体"/>
          <w:b/>
          <w:sz w:val="24"/>
        </w:rPr>
        <w:t xml:space="preserve">1.1 </w:t>
      </w:r>
      <w:r>
        <w:rPr>
          <w:rFonts w:hint="eastAsia" w:ascii="宋体" w:hAnsi="宋体"/>
          <w:b/>
          <w:sz w:val="24"/>
        </w:rPr>
        <w:t>合同组成部分</w:t>
      </w:r>
      <w:bookmarkEnd w:id="82"/>
      <w:bookmarkEnd w:id="83"/>
      <w:bookmarkEnd w:id="84"/>
      <w:bookmarkEnd w:id="85"/>
      <w:bookmarkEnd w:id="86"/>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成交或者成交通知书；</w:t>
      </w:r>
    </w:p>
    <w:p>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pPr>
        <w:spacing w:line="360" w:lineRule="auto"/>
        <w:ind w:firstLine="482" w:firstLineChars="200"/>
        <w:rPr>
          <w:rFonts w:ascii="宋体" w:hAnsi="宋体"/>
          <w:b/>
          <w:sz w:val="24"/>
        </w:rPr>
      </w:pPr>
      <w:bookmarkStart w:id="87" w:name="_Toc22185"/>
      <w:bookmarkStart w:id="88" w:name="_Toc18585"/>
      <w:bookmarkStart w:id="89" w:name="_Toc6773"/>
      <w:bookmarkStart w:id="90" w:name="_Toc2918"/>
      <w:bookmarkStart w:id="91" w:name="_Toc6311"/>
      <w:r>
        <w:rPr>
          <w:rFonts w:ascii="宋体" w:hAnsi="宋体"/>
          <w:b/>
          <w:sz w:val="24"/>
        </w:rPr>
        <w:t xml:space="preserve">1.2 </w:t>
      </w:r>
      <w:r>
        <w:rPr>
          <w:rFonts w:hint="eastAsia" w:ascii="宋体" w:hAnsi="宋体"/>
          <w:b/>
          <w:sz w:val="24"/>
        </w:rPr>
        <w:t>标的</w:t>
      </w:r>
      <w:bookmarkEnd w:id="87"/>
      <w:bookmarkEnd w:id="88"/>
      <w:bookmarkEnd w:id="89"/>
      <w:bookmarkEnd w:id="90"/>
      <w:bookmarkEnd w:id="91"/>
    </w:p>
    <w:p>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pPr>
        <w:pStyle w:val="630"/>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pPr>
        <w:spacing w:line="360" w:lineRule="auto"/>
        <w:ind w:firstLine="480" w:firstLineChars="200"/>
        <w:rPr>
          <w:rFonts w:ascii="宋体" w:hAnsi="宋体" w:cs="宋体"/>
          <w:sz w:val="24"/>
          <w:u w:val="single"/>
        </w:rPr>
      </w:pPr>
      <w:bookmarkStart w:id="92" w:name="_Toc1386"/>
      <w:bookmarkStart w:id="93" w:name="_Toc21124"/>
      <w:bookmarkStart w:id="94" w:name="_Toc5635"/>
      <w:bookmarkStart w:id="95" w:name="_Toc4929"/>
      <w:bookmarkStart w:id="96" w:name="_Toc13918"/>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1.3 价款</w:t>
      </w:r>
      <w:bookmarkEnd w:id="92"/>
      <w:bookmarkEnd w:id="93"/>
      <w:bookmarkEnd w:id="94"/>
      <w:bookmarkEnd w:id="95"/>
      <w:bookmarkEnd w:id="96"/>
    </w:p>
    <w:p>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pPr>
        <w:spacing w:line="360" w:lineRule="auto"/>
        <w:ind w:firstLine="480" w:firstLineChars="200"/>
        <w:rPr>
          <w:rFonts w:ascii="宋体" w:hAnsi="宋体"/>
          <w:sz w:val="24"/>
          <w:u w:val="single"/>
        </w:rPr>
      </w:pPr>
      <w:r>
        <w:rPr>
          <w:rFonts w:ascii="宋体" w:hAnsi="宋体"/>
          <w:sz w:val="24"/>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jc w:val="center"/>
              <w:rPr>
                <w:rFonts w:hAnsi="宋体"/>
                <w:sz w:val="24"/>
                <w:szCs w:val="24"/>
              </w:rPr>
            </w:pPr>
            <w:r>
              <w:rPr>
                <w:rFonts w:hAnsi="宋体"/>
                <w:sz w:val="24"/>
                <w:szCs w:val="24"/>
              </w:rPr>
              <w:t>序号</w:t>
            </w:r>
          </w:p>
        </w:tc>
        <w:tc>
          <w:tcPr>
            <w:tcW w:w="3402" w:type="dxa"/>
            <w:vAlign w:val="center"/>
          </w:tcPr>
          <w:p>
            <w:pPr>
              <w:pStyle w:val="622"/>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pPr>
              <w:pStyle w:val="622"/>
              <w:spacing w:line="360" w:lineRule="auto"/>
              <w:jc w:val="center"/>
              <w:rPr>
                <w:rFonts w:hAnsi="宋体"/>
                <w:sz w:val="24"/>
                <w:szCs w:val="24"/>
              </w:rPr>
            </w:pPr>
            <w:r>
              <w:rPr>
                <w:rFonts w:hAnsi="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sz w:val="24"/>
                <w:szCs w:val="24"/>
              </w:rPr>
            </w:pPr>
          </w:p>
        </w:tc>
        <w:tc>
          <w:tcPr>
            <w:tcW w:w="3402" w:type="dxa"/>
            <w:vAlign w:val="center"/>
          </w:tcPr>
          <w:p>
            <w:pPr>
              <w:pStyle w:val="622"/>
              <w:spacing w:line="360" w:lineRule="auto"/>
              <w:ind w:firstLine="200"/>
              <w:jc w:val="center"/>
              <w:rPr>
                <w:rFonts w:hAnsi="宋体"/>
                <w:sz w:val="24"/>
                <w:szCs w:val="24"/>
              </w:rPr>
            </w:pPr>
          </w:p>
        </w:tc>
        <w:tc>
          <w:tcPr>
            <w:tcW w:w="2552" w:type="dxa"/>
            <w:vAlign w:val="center"/>
          </w:tcPr>
          <w:p>
            <w:pPr>
              <w:pStyle w:val="622"/>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sz w:val="24"/>
                <w:szCs w:val="24"/>
              </w:rPr>
            </w:pPr>
          </w:p>
        </w:tc>
        <w:tc>
          <w:tcPr>
            <w:tcW w:w="3402" w:type="dxa"/>
            <w:vAlign w:val="center"/>
          </w:tcPr>
          <w:p>
            <w:pPr>
              <w:pStyle w:val="622"/>
              <w:spacing w:line="360" w:lineRule="auto"/>
              <w:ind w:firstLine="200"/>
              <w:jc w:val="center"/>
              <w:rPr>
                <w:rFonts w:hAnsi="宋体"/>
                <w:sz w:val="24"/>
                <w:szCs w:val="24"/>
              </w:rPr>
            </w:pPr>
          </w:p>
        </w:tc>
        <w:tc>
          <w:tcPr>
            <w:tcW w:w="2552" w:type="dxa"/>
            <w:vAlign w:val="center"/>
          </w:tcPr>
          <w:p>
            <w:pPr>
              <w:pStyle w:val="622"/>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sz w:val="24"/>
                <w:szCs w:val="24"/>
              </w:rPr>
            </w:pPr>
          </w:p>
        </w:tc>
        <w:tc>
          <w:tcPr>
            <w:tcW w:w="3402" w:type="dxa"/>
            <w:vAlign w:val="center"/>
          </w:tcPr>
          <w:p>
            <w:pPr>
              <w:pStyle w:val="622"/>
              <w:spacing w:line="360" w:lineRule="auto"/>
              <w:ind w:firstLine="200"/>
              <w:jc w:val="center"/>
              <w:rPr>
                <w:rFonts w:hAnsi="宋体"/>
                <w:sz w:val="24"/>
                <w:szCs w:val="24"/>
              </w:rPr>
            </w:pPr>
          </w:p>
        </w:tc>
        <w:tc>
          <w:tcPr>
            <w:tcW w:w="2552" w:type="dxa"/>
            <w:vAlign w:val="center"/>
          </w:tcPr>
          <w:p>
            <w:pPr>
              <w:pStyle w:val="622"/>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sz w:val="24"/>
                <w:szCs w:val="24"/>
              </w:rPr>
            </w:pPr>
          </w:p>
        </w:tc>
        <w:tc>
          <w:tcPr>
            <w:tcW w:w="3402" w:type="dxa"/>
            <w:vAlign w:val="center"/>
          </w:tcPr>
          <w:p>
            <w:pPr>
              <w:pStyle w:val="622"/>
              <w:spacing w:line="360" w:lineRule="auto"/>
              <w:ind w:firstLine="200"/>
              <w:jc w:val="center"/>
              <w:rPr>
                <w:rFonts w:hAnsi="宋体"/>
                <w:sz w:val="24"/>
                <w:szCs w:val="24"/>
              </w:rPr>
            </w:pPr>
          </w:p>
        </w:tc>
        <w:tc>
          <w:tcPr>
            <w:tcW w:w="2552" w:type="dxa"/>
            <w:vAlign w:val="center"/>
          </w:tcPr>
          <w:p>
            <w:pPr>
              <w:pStyle w:val="622"/>
              <w:spacing w:line="360" w:lineRule="auto"/>
              <w:ind w:firstLine="20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2"/>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pPr>
              <w:pStyle w:val="622"/>
              <w:spacing w:line="360" w:lineRule="auto"/>
              <w:ind w:firstLine="200"/>
              <w:jc w:val="center"/>
              <w:rPr>
                <w:rFonts w:hAnsi="宋体"/>
                <w:sz w:val="24"/>
                <w:szCs w:val="24"/>
              </w:rPr>
            </w:pPr>
          </w:p>
        </w:tc>
      </w:tr>
    </w:tbl>
    <w:p>
      <w:pPr>
        <w:spacing w:line="360" w:lineRule="auto"/>
        <w:ind w:firstLine="480" w:firstLineChars="200"/>
        <w:rPr>
          <w:rFonts w:ascii="宋体" w:hAnsi="宋体"/>
          <w:sz w:val="24"/>
        </w:rPr>
      </w:pPr>
      <w:bookmarkStart w:id="97" w:name="_Toc3654"/>
      <w:bookmarkStart w:id="98" w:name="_Toc30506"/>
      <w:bookmarkStart w:id="99" w:name="_Toc14993"/>
      <w:bookmarkStart w:id="100" w:name="_Toc26916"/>
      <w:bookmarkStart w:id="101" w:name="_Toc30158"/>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pPr>
        <w:pStyle w:val="632"/>
      </w:pPr>
      <w:r>
        <w:rPr>
          <w:rFonts w:hint="eastAsia"/>
        </w:rPr>
        <w:t>1.3.3其他计价方式：                   。</w:t>
      </w:r>
    </w:p>
    <w:bookmarkEnd w:id="97"/>
    <w:bookmarkEnd w:id="98"/>
    <w:bookmarkEnd w:id="99"/>
    <w:bookmarkEnd w:id="100"/>
    <w:bookmarkEnd w:id="101"/>
    <w:p>
      <w:pPr>
        <w:pStyle w:val="630"/>
        <w:spacing w:before="0" w:beforeAutospacing="0" w:after="0" w:afterAutospacing="0" w:line="360" w:lineRule="auto"/>
        <w:ind w:firstLine="480"/>
        <w:rPr>
          <w:b/>
        </w:rPr>
      </w:pPr>
      <w:bookmarkStart w:id="102" w:name="_Toc1814"/>
      <w:bookmarkStart w:id="103" w:name="_Toc22618"/>
      <w:bookmarkStart w:id="104" w:name="_Toc10340"/>
      <w:bookmarkStart w:id="105" w:name="_Toc31421"/>
      <w:bookmarkStart w:id="106" w:name="_Toc4760"/>
      <w:bookmarkStart w:id="107" w:name="_Toc8772"/>
      <w:bookmarkStart w:id="108" w:name="_Toc11108"/>
      <w:bookmarkStart w:id="109" w:name="_Toc3625"/>
      <w:r>
        <w:rPr>
          <w:rFonts w:hint="eastAsia"/>
          <w:b/>
        </w:rPr>
        <w:t>1.4履约保证金</w:t>
      </w:r>
    </w:p>
    <w:p>
      <w:pPr>
        <w:pStyle w:val="630"/>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2"/>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1.5</w:t>
      </w:r>
      <w:bookmarkEnd w:id="102"/>
      <w:bookmarkEnd w:id="103"/>
      <w:bookmarkEnd w:id="104"/>
      <w:r>
        <w:rPr>
          <w:rFonts w:hint="eastAsia" w:ascii="宋体" w:hAnsi="宋体" w:cs="宋体"/>
          <w:b/>
          <w:sz w:val="24"/>
        </w:rPr>
        <w:t>预付款</w:t>
      </w:r>
    </w:p>
    <w:p>
      <w:pPr>
        <w:pStyle w:val="630"/>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pPr>
        <w:pStyle w:val="630"/>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30"/>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pPr>
        <w:pStyle w:val="630"/>
        <w:spacing w:before="0" w:beforeAutospacing="0" w:after="0" w:afterAutospacing="0" w:line="360" w:lineRule="auto"/>
        <w:ind w:firstLine="480"/>
        <w:rPr>
          <w:b/>
          <w:bCs/>
        </w:rPr>
      </w:pPr>
      <w:r>
        <w:rPr>
          <w:rFonts w:hint="eastAsia"/>
          <w:b/>
          <w:bCs/>
        </w:rPr>
        <w:t>1.6资金支付</w:t>
      </w:r>
    </w:p>
    <w:p>
      <w:pPr>
        <w:pStyle w:val="630"/>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105"/>
      <w:bookmarkEnd w:id="106"/>
      <w:bookmarkEnd w:id="107"/>
      <w:bookmarkEnd w:id="108"/>
      <w:bookmarkEnd w:id="109"/>
    </w:p>
    <w:p>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pPr>
        <w:spacing w:line="360" w:lineRule="auto"/>
        <w:ind w:firstLine="480" w:firstLineChars="200"/>
        <w:rPr>
          <w:rFonts w:ascii="宋体" w:hAnsi="宋体"/>
          <w:bCs/>
          <w:sz w:val="24"/>
        </w:rPr>
      </w:pPr>
      <w:bookmarkStart w:id="110" w:name="_Toc24662"/>
      <w:bookmarkStart w:id="111" w:name="_Toc2375"/>
      <w:bookmarkStart w:id="112" w:name="_Toc8586"/>
      <w:bookmarkStart w:id="113" w:name="_Toc5698"/>
      <w:bookmarkStart w:id="114" w:name="_Toc3079"/>
      <w:r>
        <w:rPr>
          <w:rFonts w:hint="eastAsia" w:ascii="宋体" w:hAnsi="宋体"/>
          <w:bCs/>
          <w:sz w:val="24"/>
        </w:rPr>
        <w:t>1.7.4若服务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110"/>
      <w:bookmarkEnd w:id="111"/>
      <w:bookmarkEnd w:id="112"/>
      <w:bookmarkEnd w:id="113"/>
      <w:bookmarkEnd w:id="114"/>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pPr>
        <w:pStyle w:val="632"/>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115" w:name="_Toc26807"/>
      <w:bookmarkStart w:id="116" w:name="_Toc18683"/>
      <w:bookmarkStart w:id="117" w:name="_Toc30329"/>
      <w:bookmarkStart w:id="118" w:name="_Toc9497"/>
      <w:bookmarkStart w:id="119" w:name="_Toc32454"/>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1.8.6如果出现政府采购监督管理部门在处理投诉事项期间，书面通知甲方暂停采购活动的情形，或者询问或质疑事项可能影响成交或者成交结果的，导致甲方中止履行合同的情形，均不视为甲方违约。</w:t>
      </w:r>
    </w:p>
    <w:p>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115"/>
    <w:bookmarkEnd w:id="116"/>
    <w:bookmarkEnd w:id="117"/>
    <w:bookmarkEnd w:id="118"/>
    <w:bookmarkEnd w:id="119"/>
    <w:p>
      <w:pPr>
        <w:spacing w:line="360" w:lineRule="auto"/>
        <w:ind w:firstLine="482" w:firstLineChars="200"/>
        <w:rPr>
          <w:rFonts w:ascii="宋体" w:hAnsi="宋体" w:cs="宋体"/>
          <w:b/>
          <w:sz w:val="24"/>
        </w:rPr>
      </w:pPr>
      <w:r>
        <w:rPr>
          <w:rFonts w:hint="eastAsia" w:ascii="宋体" w:hAnsi="宋体" w:cs="宋体"/>
          <w:b/>
          <w:sz w:val="24"/>
        </w:rPr>
        <w:t>1.9合同争议的解决</w:t>
      </w:r>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pPr>
        <w:spacing w:line="360" w:lineRule="auto"/>
        <w:ind w:firstLine="482" w:firstLineChars="200"/>
        <w:rPr>
          <w:rFonts w:ascii="宋体" w:hAnsi="宋体" w:cs="宋体"/>
          <w:b/>
          <w:sz w:val="24"/>
        </w:rPr>
      </w:pPr>
      <w:r>
        <w:rPr>
          <w:rFonts w:hint="eastAsia" w:ascii="宋体" w:hAnsi="宋体" w:cs="宋体"/>
          <w:b/>
          <w:sz w:val="24"/>
        </w:rPr>
        <w:t>2.0 合同生效</w:t>
      </w:r>
    </w:p>
    <w:p>
      <w:pPr>
        <w:spacing w:line="360" w:lineRule="auto"/>
        <w:ind w:firstLine="480" w:firstLineChars="200"/>
        <w:rPr>
          <w:rFonts w:ascii="宋体" w:hAnsi="宋体" w:cs="宋体"/>
          <w:b/>
          <w:sz w:val="24"/>
        </w:rPr>
      </w:pPr>
      <w:r>
        <w:rPr>
          <w:rFonts w:hint="eastAsia" w:ascii="宋体" w:hAnsi="宋体" w:cs="宋体"/>
          <w:sz w:val="24"/>
        </w:rPr>
        <w:t>本合同自双方当事人盖章签字时生效。</w:t>
      </w:r>
    </w:p>
    <w:p>
      <w:pPr>
        <w:autoSpaceDE w:val="0"/>
        <w:autoSpaceDN w:val="0"/>
        <w:spacing w:line="360" w:lineRule="auto"/>
        <w:rPr>
          <w:rFonts w:ascii="宋体" w:hAnsi="宋体"/>
          <w:sz w:val="24"/>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r>
              <w:rPr>
                <w:rFonts w:hint="eastAsia" w:ascii="Calibri" w:hAnsi="Calibri"/>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法定代表人</w:t>
            </w:r>
          </w:p>
          <w:p>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pPr>
        <w:widowControl/>
        <w:spacing w:line="360" w:lineRule="auto"/>
        <w:jc w:val="left"/>
        <w:rPr>
          <w:rFonts w:ascii="宋体" w:hAnsi="宋体"/>
          <w:b/>
          <w:sz w:val="24"/>
        </w:rPr>
      </w:pPr>
    </w:p>
    <w:p>
      <w:pPr>
        <w:pStyle w:val="282"/>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rPr>
          <w:rFonts w:ascii="宋体" w:hAnsi="宋体"/>
          <w:b/>
          <w:sz w:val="24"/>
        </w:rPr>
      </w:pPr>
      <w:bookmarkStart w:id="120" w:name="_Toc25079"/>
      <w:bookmarkStart w:id="121" w:name="_Toc14021"/>
      <w:bookmarkStart w:id="122" w:name="_Toc19680"/>
      <w:bookmarkStart w:id="123" w:name="_Toc5228"/>
      <w:bookmarkStart w:id="124" w:name="_Toc31297"/>
      <w:r>
        <w:rPr>
          <w:rFonts w:ascii="宋体" w:hAnsi="宋体"/>
          <w:b/>
          <w:sz w:val="24"/>
        </w:rPr>
        <w:t>2.1 定义</w:t>
      </w:r>
      <w:bookmarkEnd w:id="120"/>
      <w:bookmarkEnd w:id="121"/>
      <w:bookmarkEnd w:id="122"/>
      <w:bookmarkEnd w:id="123"/>
      <w:bookmarkEnd w:id="124"/>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成交或成交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成交或成交</w:t>
      </w:r>
      <w:r>
        <w:rPr>
          <w:rFonts w:ascii="宋体" w:hAnsi="宋体"/>
          <w:sz w:val="24"/>
        </w:rPr>
        <w:t>供应商的价格。</w:t>
      </w:r>
    </w:p>
    <w:p>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成交或成交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成交或成交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成交或成交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ascii="宋体" w:hAnsi="宋体"/>
          <w:sz w:val="24"/>
        </w:rPr>
        <w:t>2.1.6 “现场”系指合同约定提供服务的地点。</w:t>
      </w:r>
    </w:p>
    <w:p>
      <w:pPr>
        <w:spacing w:line="360" w:lineRule="auto"/>
        <w:ind w:firstLine="482" w:firstLineChars="200"/>
        <w:rPr>
          <w:rFonts w:ascii="宋体" w:hAnsi="宋体"/>
          <w:b/>
          <w:sz w:val="24"/>
        </w:rPr>
      </w:pPr>
      <w:bookmarkStart w:id="125" w:name="_Toc19539"/>
      <w:bookmarkStart w:id="126" w:name="_Toc3769"/>
      <w:bookmarkStart w:id="127" w:name="_Toc16752"/>
      <w:bookmarkStart w:id="128" w:name="_Toc23289"/>
      <w:bookmarkStart w:id="129" w:name="_Toc31402"/>
      <w:r>
        <w:rPr>
          <w:rFonts w:ascii="宋体" w:hAnsi="宋体"/>
          <w:b/>
          <w:sz w:val="24"/>
        </w:rPr>
        <w:t>2.2 技术规范</w:t>
      </w:r>
      <w:bookmarkEnd w:id="125"/>
      <w:bookmarkEnd w:id="126"/>
      <w:bookmarkEnd w:id="127"/>
      <w:bookmarkEnd w:id="128"/>
      <w:bookmarkEnd w:id="129"/>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rPr>
          <w:rFonts w:ascii="宋体" w:hAnsi="宋体"/>
          <w:b/>
          <w:sz w:val="24"/>
        </w:rPr>
      </w:pPr>
      <w:bookmarkStart w:id="130" w:name="_Toc12412"/>
      <w:bookmarkStart w:id="131" w:name="_Toc27945"/>
      <w:bookmarkStart w:id="132" w:name="_Toc9161"/>
      <w:bookmarkStart w:id="133" w:name="_Toc13673"/>
      <w:bookmarkStart w:id="134" w:name="_Toc4133"/>
      <w:r>
        <w:rPr>
          <w:rFonts w:ascii="宋体" w:hAnsi="宋体"/>
          <w:b/>
          <w:sz w:val="24"/>
        </w:rPr>
        <w:t>2.3 知识产权</w:t>
      </w:r>
      <w:bookmarkEnd w:id="130"/>
      <w:bookmarkEnd w:id="131"/>
      <w:bookmarkEnd w:id="132"/>
      <w:bookmarkEnd w:id="133"/>
      <w:bookmarkEnd w:id="134"/>
    </w:p>
    <w:p>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sz w:val="24"/>
        </w:rPr>
      </w:pPr>
      <w:bookmarkStart w:id="135" w:name="_Toc26555"/>
      <w:bookmarkStart w:id="136" w:name="_Toc22011"/>
      <w:bookmarkStart w:id="137" w:name="_Toc32670"/>
      <w:bookmarkStart w:id="138" w:name="_Toc31233"/>
      <w:bookmarkStart w:id="139" w:name="_Toc15447"/>
      <w:r>
        <w:rPr>
          <w:rFonts w:ascii="宋体" w:hAnsi="宋体"/>
          <w:b/>
          <w:sz w:val="24"/>
        </w:rPr>
        <w:t>2.5 结算方式和付款条件</w:t>
      </w:r>
      <w:bookmarkEnd w:id="135"/>
      <w:bookmarkEnd w:id="136"/>
      <w:bookmarkEnd w:id="137"/>
      <w:bookmarkEnd w:id="138"/>
      <w:bookmarkEnd w:id="139"/>
    </w:p>
    <w:p>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pPr>
        <w:spacing w:line="360" w:lineRule="auto"/>
        <w:ind w:firstLine="482" w:firstLineChars="200"/>
        <w:rPr>
          <w:rFonts w:ascii="宋体" w:hAnsi="宋体"/>
          <w:b/>
          <w:sz w:val="24"/>
        </w:rPr>
      </w:pPr>
      <w:bookmarkStart w:id="140" w:name="_Toc16163"/>
      <w:bookmarkStart w:id="141" w:name="_Toc30507"/>
      <w:bookmarkStart w:id="142" w:name="_Toc18990"/>
      <w:bookmarkStart w:id="143" w:name="_Toc13467"/>
      <w:bookmarkStart w:id="144" w:name="_Toc13154"/>
      <w:r>
        <w:rPr>
          <w:rFonts w:ascii="宋体" w:hAnsi="宋体"/>
          <w:b/>
          <w:sz w:val="24"/>
        </w:rPr>
        <w:t>2.6 技术资料和保密义务</w:t>
      </w:r>
      <w:bookmarkEnd w:id="140"/>
      <w:bookmarkEnd w:id="141"/>
      <w:bookmarkEnd w:id="142"/>
      <w:bookmarkEnd w:id="143"/>
      <w:bookmarkEnd w:id="144"/>
    </w:p>
    <w:p>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sz w:val="24"/>
        </w:rPr>
      </w:pPr>
      <w:bookmarkStart w:id="145" w:name="_Toc19069"/>
      <w:r>
        <w:rPr>
          <w:rFonts w:ascii="宋体" w:hAnsi="宋体"/>
          <w:b/>
          <w:sz w:val="24"/>
        </w:rPr>
        <w:t xml:space="preserve">2.7 </w:t>
      </w:r>
      <w:r>
        <w:rPr>
          <w:rFonts w:hint="eastAsia" w:ascii="宋体" w:hAnsi="宋体"/>
          <w:b/>
          <w:sz w:val="24"/>
        </w:rPr>
        <w:t>质量保证</w:t>
      </w:r>
      <w:bookmarkEnd w:id="145"/>
    </w:p>
    <w:p>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sz w:val="24"/>
        </w:rPr>
      </w:pPr>
      <w:bookmarkStart w:id="146" w:name="_Toc22267"/>
      <w:r>
        <w:rPr>
          <w:rFonts w:ascii="宋体" w:hAnsi="宋体"/>
          <w:b/>
          <w:sz w:val="24"/>
        </w:rPr>
        <w:t xml:space="preserve">2.8 </w:t>
      </w:r>
      <w:r>
        <w:rPr>
          <w:rFonts w:hint="eastAsia" w:ascii="宋体" w:hAnsi="宋体"/>
          <w:b/>
          <w:sz w:val="24"/>
        </w:rPr>
        <w:t>延迟履行</w:t>
      </w:r>
      <w:bookmarkEnd w:id="146"/>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rPr>
          <w:rFonts w:ascii="宋体" w:hAnsi="宋体"/>
          <w:b/>
          <w:sz w:val="24"/>
        </w:rPr>
      </w:pPr>
      <w:bookmarkStart w:id="147" w:name="_Toc10611"/>
      <w:r>
        <w:rPr>
          <w:rFonts w:ascii="宋体" w:hAnsi="宋体"/>
          <w:b/>
          <w:sz w:val="24"/>
        </w:rPr>
        <w:t xml:space="preserve">2.9 </w:t>
      </w:r>
      <w:r>
        <w:rPr>
          <w:rFonts w:hint="eastAsia" w:ascii="宋体" w:hAnsi="宋体"/>
          <w:b/>
          <w:sz w:val="24"/>
        </w:rPr>
        <w:t>合同变更</w:t>
      </w:r>
      <w:bookmarkEnd w:id="147"/>
    </w:p>
    <w:p>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sz w:val="24"/>
        </w:rPr>
      </w:pPr>
      <w:bookmarkStart w:id="148" w:name="_Toc10663"/>
      <w:bookmarkStart w:id="149" w:name="_Toc26689"/>
      <w:bookmarkStart w:id="150" w:name="_Toc21830"/>
      <w:bookmarkStart w:id="151" w:name="_Toc42"/>
      <w:bookmarkStart w:id="152" w:name="_Toc23368"/>
      <w:r>
        <w:rPr>
          <w:rFonts w:ascii="宋体" w:hAnsi="宋体"/>
          <w:b/>
          <w:sz w:val="24"/>
        </w:rPr>
        <w:t>2.10 合同转让和分包</w:t>
      </w:r>
      <w:bookmarkEnd w:id="148"/>
      <w:bookmarkEnd w:id="149"/>
      <w:bookmarkEnd w:id="150"/>
      <w:bookmarkEnd w:id="151"/>
      <w:bookmarkEnd w:id="152"/>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rPr>
          <w:rFonts w:ascii="宋体" w:hAnsi="宋体"/>
          <w:b/>
          <w:sz w:val="24"/>
        </w:rPr>
      </w:pPr>
      <w:bookmarkStart w:id="153" w:name="_Toc14371"/>
      <w:bookmarkStart w:id="154" w:name="_Toc32494"/>
      <w:bookmarkStart w:id="155" w:name="_Toc25571"/>
      <w:bookmarkStart w:id="156" w:name="_Toc4720"/>
      <w:bookmarkStart w:id="157" w:name="_Toc26633"/>
      <w:r>
        <w:rPr>
          <w:rFonts w:ascii="宋体" w:hAnsi="宋体"/>
          <w:b/>
          <w:sz w:val="24"/>
        </w:rPr>
        <w:t>2.11 不可抗力</w:t>
      </w:r>
      <w:bookmarkEnd w:id="153"/>
      <w:bookmarkEnd w:id="154"/>
      <w:bookmarkEnd w:id="155"/>
      <w:bookmarkEnd w:id="156"/>
      <w:bookmarkEnd w:id="157"/>
    </w:p>
    <w:p>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b/>
          <w:sz w:val="24"/>
        </w:rPr>
      </w:pPr>
      <w:bookmarkStart w:id="158" w:name="_Toc25783"/>
      <w:bookmarkStart w:id="159" w:name="_Toc3638"/>
      <w:bookmarkStart w:id="160" w:name="_Toc24465"/>
      <w:bookmarkStart w:id="161" w:name="_Toc14115"/>
      <w:bookmarkStart w:id="162" w:name="_Toc23854"/>
      <w:r>
        <w:rPr>
          <w:rFonts w:ascii="宋体" w:hAnsi="宋体"/>
          <w:b/>
          <w:sz w:val="24"/>
        </w:rPr>
        <w:t>2.12 税费</w:t>
      </w:r>
      <w:bookmarkEnd w:id="158"/>
      <w:bookmarkEnd w:id="159"/>
      <w:bookmarkEnd w:id="160"/>
      <w:bookmarkEnd w:id="161"/>
      <w:bookmarkEnd w:id="162"/>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rPr>
          <w:rFonts w:ascii="宋体" w:hAnsi="宋体"/>
          <w:b/>
          <w:sz w:val="24"/>
        </w:rPr>
      </w:pPr>
      <w:bookmarkStart w:id="163" w:name="_Toc7315"/>
      <w:bookmarkStart w:id="164" w:name="_Toc26883"/>
      <w:bookmarkStart w:id="165" w:name="_Toc30105"/>
      <w:bookmarkStart w:id="166" w:name="_Toc25525"/>
      <w:bookmarkStart w:id="167" w:name="_Toc14814"/>
      <w:r>
        <w:rPr>
          <w:rFonts w:ascii="宋体" w:hAnsi="宋体"/>
          <w:b/>
          <w:sz w:val="24"/>
        </w:rPr>
        <w:t>2.13 乙方破产</w:t>
      </w:r>
      <w:bookmarkEnd w:id="163"/>
      <w:bookmarkEnd w:id="164"/>
      <w:bookmarkEnd w:id="165"/>
      <w:bookmarkEnd w:id="166"/>
      <w:bookmarkEnd w:id="167"/>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rPr>
          <w:rFonts w:ascii="宋体" w:hAnsi="宋体"/>
          <w:b/>
          <w:sz w:val="24"/>
        </w:rPr>
      </w:pPr>
      <w:bookmarkStart w:id="168" w:name="_Toc23323"/>
      <w:bookmarkStart w:id="169" w:name="_Toc2016"/>
      <w:bookmarkStart w:id="170" w:name="_Toc1123"/>
      <w:r>
        <w:rPr>
          <w:rFonts w:ascii="宋体" w:hAnsi="宋体"/>
          <w:b/>
          <w:sz w:val="24"/>
        </w:rPr>
        <w:t>2.14 合同中止、终止</w:t>
      </w:r>
      <w:bookmarkEnd w:id="168"/>
      <w:bookmarkEnd w:id="169"/>
      <w:bookmarkEnd w:id="170"/>
    </w:p>
    <w:p>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sz w:val="24"/>
        </w:rPr>
      </w:pPr>
      <w:bookmarkStart w:id="171" w:name="_Toc1969"/>
      <w:bookmarkStart w:id="172" w:name="_Toc14525"/>
      <w:bookmarkStart w:id="173" w:name="_Toc17363"/>
      <w:r>
        <w:rPr>
          <w:rFonts w:ascii="宋体" w:hAnsi="宋体"/>
          <w:b/>
          <w:sz w:val="24"/>
        </w:rPr>
        <w:t>2.15 检验和验收</w:t>
      </w:r>
      <w:bookmarkEnd w:id="171"/>
      <w:bookmarkEnd w:id="172"/>
      <w:bookmarkEnd w:id="173"/>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pPr>
        <w:spacing w:line="360" w:lineRule="auto"/>
        <w:ind w:firstLine="482" w:firstLineChars="200"/>
        <w:rPr>
          <w:rFonts w:ascii="宋体" w:hAnsi="宋体"/>
          <w:b/>
          <w:sz w:val="24"/>
        </w:rPr>
      </w:pPr>
      <w:bookmarkStart w:id="174" w:name="_Toc9808"/>
      <w:bookmarkStart w:id="175" w:name="_Toc12666"/>
      <w:bookmarkStart w:id="176" w:name="_Toc31892"/>
      <w:bookmarkStart w:id="177" w:name="_Toc2308"/>
      <w:bookmarkStart w:id="178" w:name="_Toc25198"/>
      <w:r>
        <w:rPr>
          <w:rFonts w:ascii="宋体" w:hAnsi="宋体"/>
          <w:b/>
          <w:sz w:val="24"/>
        </w:rPr>
        <w:t>2.16 通知和送达</w:t>
      </w:r>
      <w:bookmarkEnd w:id="174"/>
      <w:bookmarkEnd w:id="175"/>
      <w:bookmarkEnd w:id="176"/>
      <w:bookmarkEnd w:id="177"/>
      <w:bookmarkEnd w:id="178"/>
    </w:p>
    <w:p>
      <w:pPr>
        <w:spacing w:line="360" w:lineRule="auto"/>
        <w:ind w:firstLine="480" w:firstLineChars="200"/>
        <w:rPr>
          <w:rFonts w:ascii="宋体" w:hAnsi="宋体"/>
          <w:sz w:val="24"/>
        </w:rPr>
      </w:pPr>
      <w:bookmarkStart w:id="179" w:name="_Toc27674"/>
      <w:bookmarkStart w:id="180" w:name="_Toc18401"/>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79"/>
      <w:bookmarkEnd w:id="180"/>
    </w:p>
    <w:p>
      <w:pPr>
        <w:spacing w:line="360" w:lineRule="auto"/>
        <w:ind w:firstLine="482" w:firstLineChars="200"/>
        <w:rPr>
          <w:rFonts w:ascii="宋体" w:hAnsi="宋体"/>
          <w:b/>
          <w:sz w:val="24"/>
        </w:rPr>
      </w:pPr>
      <w:bookmarkStart w:id="181" w:name="_Toc20808"/>
      <w:bookmarkStart w:id="182" w:name="_Toc5063"/>
      <w:bookmarkStart w:id="183" w:name="_Toc27644"/>
      <w:bookmarkStart w:id="184" w:name="_Toc12254"/>
      <w:bookmarkStart w:id="185" w:name="_Toc28906"/>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81"/>
      <w:bookmarkEnd w:id="182"/>
      <w:bookmarkEnd w:id="183"/>
      <w:bookmarkEnd w:id="184"/>
      <w:bookmarkEnd w:id="185"/>
    </w:p>
    <w:p>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pPr>
        <w:spacing w:line="360" w:lineRule="auto"/>
        <w:ind w:firstLine="482" w:firstLineChars="200"/>
        <w:rPr>
          <w:rFonts w:ascii="宋体" w:hAnsi="宋体" w:cs="宋体"/>
          <w:b/>
          <w:sz w:val="24"/>
        </w:rPr>
      </w:pPr>
      <w:r>
        <w:rPr>
          <w:rFonts w:hint="eastAsia" w:ascii="宋体" w:hAnsi="宋体" w:cs="宋体"/>
          <w:b/>
          <w:sz w:val="24"/>
        </w:rPr>
        <w:t>2.18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pPr>
              <w:spacing w:line="360" w:lineRule="auto"/>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1.3.2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1.5.2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1.6.2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1.7.4.3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1.8.7</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1.9.2</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2.3.2</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pPr>
              <w:spacing w:line="360" w:lineRule="auto"/>
              <w:ind w:left="-420" w:leftChars="-200" w:right="-420" w:rightChars="-200" w:firstLine="480" w:firstLineChars="200"/>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pPr>
              <w:spacing w:line="360" w:lineRule="auto"/>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sz w:val="24"/>
              </w:rPr>
            </w:pPr>
            <w:r>
              <w:rPr>
                <w:rFonts w:hint="eastAsia" w:ascii="宋体" w:hAnsi="宋体" w:cs="宋体"/>
                <w:sz w:val="24"/>
              </w:rPr>
              <w:t>2.19</w:t>
            </w:r>
          </w:p>
        </w:tc>
        <w:tc>
          <w:tcPr>
            <w:tcW w:w="4464" w:type="pct"/>
          </w:tcPr>
          <w:p>
            <w:pPr>
              <w:spacing w:line="360" w:lineRule="auto"/>
              <w:rPr>
                <w:rFonts w:ascii="宋体" w:hAnsi="宋体" w:cs="宋体"/>
                <w:sz w:val="24"/>
              </w:rPr>
            </w:pPr>
          </w:p>
        </w:tc>
      </w:tr>
    </w:tbl>
    <w:p>
      <w:pPr>
        <w:spacing w:line="360" w:lineRule="auto"/>
        <w:ind w:left="-420" w:leftChars="-200" w:right="-420" w:rightChars="-200" w:firstLine="480" w:firstLineChars="200"/>
        <w:rPr>
          <w:rFonts w:ascii="宋体" w:hAnsi="宋体" w:cs="宋体"/>
          <w:sz w:val="24"/>
        </w:rPr>
      </w:pPr>
    </w:p>
    <w:bookmarkEnd w:id="78"/>
    <w:p>
      <w:pPr>
        <w:spacing w:line="360" w:lineRule="auto"/>
        <w:ind w:firstLine="562" w:firstLineChars="200"/>
        <w:jc w:val="center"/>
        <w:rPr>
          <w:rFonts w:asciiTheme="minorEastAsia" w:hAnsiTheme="minorEastAsia" w:eastAsiaTheme="minorEastAsia"/>
          <w:b/>
          <w:sz w:val="28"/>
          <w:szCs w:val="28"/>
        </w:rPr>
      </w:pPr>
    </w:p>
    <w:p>
      <w:pPr>
        <w:snapToGrid w:val="0"/>
        <w:spacing w:line="360" w:lineRule="auto"/>
        <w:jc w:val="center"/>
        <w:outlineLvl w:val="0"/>
        <w:rPr>
          <w:rFonts w:cs="仿宋_GB2312" w:asciiTheme="minorEastAsia" w:hAnsiTheme="minorEastAsia" w:eastAsiaTheme="minorEastAsia"/>
          <w:b/>
          <w:sz w:val="36"/>
          <w:szCs w:val="20"/>
        </w:rPr>
      </w:pPr>
      <w:bookmarkStart w:id="186" w:name="_Toc181203100"/>
      <w:r>
        <w:rPr>
          <w:rFonts w:hint="eastAsia" w:cs="仿宋_GB2312" w:asciiTheme="minorEastAsia" w:hAnsiTheme="minorEastAsia" w:eastAsiaTheme="minorEastAsia"/>
          <w:b/>
          <w:sz w:val="36"/>
          <w:szCs w:val="20"/>
        </w:rPr>
        <w:t>第七部分</w:t>
      </w:r>
      <w:bookmarkEnd w:id="79"/>
      <w:r>
        <w:rPr>
          <w:rFonts w:hint="eastAsia" w:cs="仿宋_GB2312" w:asciiTheme="minorEastAsia" w:hAnsiTheme="minorEastAsia" w:eastAsiaTheme="minorEastAsia"/>
          <w:b/>
          <w:sz w:val="36"/>
          <w:szCs w:val="20"/>
        </w:rPr>
        <w:t xml:space="preserve">  </w:t>
      </w:r>
      <w:bookmarkEnd w:id="80"/>
      <w:r>
        <w:rPr>
          <w:rFonts w:hint="eastAsia" w:cs="仿宋_GB2312" w:asciiTheme="minorEastAsia" w:hAnsiTheme="minorEastAsia" w:eastAsiaTheme="minorEastAsia"/>
          <w:b/>
          <w:sz w:val="36"/>
          <w:szCs w:val="20"/>
        </w:rPr>
        <w:t>应提交的有关格式范例</w:t>
      </w:r>
      <w:bookmarkEnd w:id="186"/>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pPr>
        <w:spacing w:line="360" w:lineRule="auto"/>
        <w:ind w:firstLine="480" w:firstLineChars="200"/>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color w:val="FF0000"/>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pPr>
        <w:pStyle w:val="632"/>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pPr>
        <w:pStyle w:val="632"/>
        <w:rPr>
          <w:color w:val="FF0000"/>
        </w:rPr>
      </w:pPr>
      <w:r>
        <w:rPr>
          <w:rFonts w:hint="eastAsia"/>
          <w:color w:val="FF0000"/>
        </w:rPr>
        <w:t>（19）商务、服务（技术）响应、偏离情况说明表…………………………（页码）</w:t>
      </w:r>
    </w:p>
    <w:p>
      <w:pPr>
        <w:pStyle w:val="632"/>
        <w:rPr>
          <w:color w:val="FF0000"/>
        </w:rPr>
      </w:pPr>
      <w:r>
        <w:rPr>
          <w:rFonts w:hint="eastAsia"/>
          <w:color w:val="FF0000"/>
        </w:rPr>
        <w:t>（20）初始报价表…………………………………………………………………（页码）</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pPr>
        <w:pStyle w:val="105"/>
        <w:numPr>
          <w:ilvl w:val="0"/>
          <w:numId w:val="9"/>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pPr>
        <w:numPr>
          <w:ilvl w:val="0"/>
          <w:numId w:val="9"/>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pPr>
        <w:numPr>
          <w:ilvl w:val="0"/>
          <w:numId w:val="9"/>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pPr>
        <w:numPr>
          <w:ilvl w:val="0"/>
          <w:numId w:val="9"/>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pPr>
        <w:numPr>
          <w:ilvl w:val="0"/>
          <w:numId w:val="9"/>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pPr>
        <w:numPr>
          <w:ilvl w:val="0"/>
          <w:numId w:val="9"/>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pPr>
        <w:numPr>
          <w:ilvl w:val="0"/>
          <w:numId w:val="9"/>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pPr>
        <w:numPr>
          <w:ilvl w:val="0"/>
          <w:numId w:val="9"/>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pPr>
        <w:autoSpaceDE w:val="0"/>
        <w:autoSpaceDN w:val="0"/>
        <w:spacing w:line="360" w:lineRule="auto"/>
        <w:ind w:firstLine="3960" w:firstLineChars="1650"/>
        <w:rPr>
          <w:rFonts w:cs="仿宋_GB2312" w:asciiTheme="minorEastAsia" w:hAnsiTheme="minorEastAsia" w:eastAsiaTheme="minorEastAsia"/>
          <w:kern w:val="0"/>
          <w:sz w:val="24"/>
          <w:lang w:val="zh-CN"/>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autoSpaceDE w:val="0"/>
        <w:autoSpaceDN w:val="0"/>
        <w:spacing w:line="360" w:lineRule="auto"/>
        <w:rPr>
          <w:rFonts w:cs="仿宋_GB2312" w:asciiTheme="minorEastAsia" w:hAnsiTheme="minorEastAsia" w:eastAsiaTheme="minorEastAsia"/>
          <w:kern w:val="0"/>
          <w:sz w:val="24"/>
        </w:rPr>
      </w:pPr>
    </w:p>
    <w:p>
      <w:pPr>
        <w:pStyle w:val="115"/>
        <w:keepNext w:val="0"/>
        <w:pageBreakBefore w:val="0"/>
        <w:tabs>
          <w:tab w:val="clear" w:pos="720"/>
        </w:tabs>
        <w:jc w:val="both"/>
        <w:outlineLvl w:val="9"/>
        <w:rPr>
          <w:rFonts w:cs="仿宋_GB2312" w:asciiTheme="minorEastAsia" w:hAnsiTheme="minorEastAsia" w:eastAsiaTheme="minorEastAsia"/>
          <w:sz w:val="24"/>
          <w:szCs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18"/>
          <w:szCs w:val="18"/>
        </w:rPr>
      </w:pPr>
    </w:p>
    <w:p>
      <w:pPr>
        <w:spacing w:line="360" w:lineRule="auto"/>
        <w:rPr>
          <w:rFonts w:cs="仿宋_GB2312" w:asciiTheme="minorEastAsia" w:hAnsiTheme="minorEastAsia" w:eastAsiaTheme="minorEastAsia"/>
          <w:sz w:val="18"/>
          <w:szCs w:val="18"/>
        </w:rPr>
      </w:pP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pPr>
        <w:pStyle w:val="105"/>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w:t>
      </w:r>
      <w:bookmarkStart w:id="187" w:name="OLE_LINK11"/>
      <w:bookmarkStart w:id="188" w:name="OLE_LINK12"/>
      <w:r>
        <w:rPr>
          <w:rFonts w:hint="eastAsia" w:cs="宋体" w:asciiTheme="minorEastAsia" w:hAnsiTheme="minorEastAsia" w:eastAsiaTheme="minorEastAsia"/>
          <w:b/>
          <w:kern w:val="0"/>
          <w:sz w:val="32"/>
          <w:szCs w:val="32"/>
        </w:rPr>
        <w:t>符合参加政府采购活动应当具备的一般条件的承诺函</w:t>
      </w:r>
      <w:bookmarkEnd w:id="187"/>
      <w:bookmarkEnd w:id="188"/>
    </w:p>
    <w:p>
      <w:pPr>
        <w:snapToGrid w:val="0"/>
        <w:spacing w:line="360" w:lineRule="auto"/>
        <w:ind w:right="480"/>
        <w:jc w:val="center"/>
        <w:rPr>
          <w:rFonts w:ascii="宋体" w:hAnsi="宋体" w:cs="宋体"/>
          <w:sz w:val="24"/>
        </w:rPr>
      </w:pPr>
    </w:p>
    <w:p>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pPr>
        <w:snapToGrid w:val="0"/>
        <w:spacing w:line="360" w:lineRule="auto"/>
        <w:rPr>
          <w:rFonts w:ascii="宋体" w:hAnsi="宋体" w:cs="宋体"/>
          <w:color w:val="0000FF"/>
          <w:sz w:val="24"/>
        </w:rPr>
      </w:pPr>
    </w:p>
    <w:p>
      <w:pPr>
        <w:snapToGrid w:val="0"/>
        <w:spacing w:line="360" w:lineRule="auto"/>
        <w:ind w:right="480"/>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 ：</w:t>
      </w:r>
    </w:p>
    <w:p>
      <w:pPr>
        <w:snapToGrid w:val="0"/>
        <w:spacing w:line="360" w:lineRule="auto"/>
        <w:ind w:right="480"/>
        <w:rPr>
          <w:rFonts w:ascii="宋体" w:hAnsi="宋体" w:cs="宋体"/>
          <w:sz w:val="24"/>
        </w:rPr>
      </w:pPr>
      <w:r>
        <w:rPr>
          <w:rFonts w:hint="eastAsia" w:ascii="宋体" w:hAnsi="宋体" w:cs="宋体"/>
          <w:sz w:val="24"/>
        </w:rPr>
        <w:t>供应商名称：</w:t>
      </w:r>
    </w:p>
    <w:p>
      <w:pPr>
        <w:snapToGrid w:val="0"/>
        <w:spacing w:line="360" w:lineRule="auto"/>
        <w:ind w:right="480"/>
        <w:rPr>
          <w:rFonts w:ascii="宋体" w:hAnsi="宋体" w:cs="宋体"/>
          <w:sz w:val="24"/>
        </w:rPr>
      </w:pPr>
      <w:r>
        <w:rPr>
          <w:rFonts w:hint="eastAsia" w:ascii="宋体" w:hAnsi="宋体" w:cs="宋体"/>
          <w:sz w:val="24"/>
        </w:rPr>
        <w:t>统一社会信用代码：</w:t>
      </w:r>
    </w:p>
    <w:p>
      <w:pPr>
        <w:snapToGrid w:val="0"/>
        <w:spacing w:line="360" w:lineRule="auto"/>
        <w:ind w:right="480"/>
        <w:rPr>
          <w:rFonts w:ascii="宋体" w:hAnsi="宋体" w:cs="宋体"/>
          <w:sz w:val="24"/>
        </w:rPr>
      </w:pPr>
      <w:r>
        <w:rPr>
          <w:rFonts w:hint="eastAsia" w:ascii="宋体" w:hAnsi="宋体" w:cs="宋体"/>
          <w:sz w:val="24"/>
        </w:rPr>
        <w:t>供应商地址：</w:t>
      </w:r>
    </w:p>
    <w:p>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若我单位承诺不实，自愿承担提供虚假材料谋取成交、成交的法律责任。</w:t>
      </w:r>
    </w:p>
    <w:p>
      <w:pPr>
        <w:snapToGrid w:val="0"/>
        <w:spacing w:line="360" w:lineRule="auto"/>
        <w:ind w:right="48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磋商供应商名称（公章）：</w:t>
      </w:r>
    </w:p>
    <w:p>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pPr>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360" w:lineRule="auto"/>
        <w:ind w:right="480"/>
        <w:rPr>
          <w:rFonts w:ascii="宋体" w:hAnsi="宋体" w:cs="宋体"/>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89"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89"/>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90"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90"/>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91"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91"/>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pPr>
        <w:snapToGrid w:val="0"/>
        <w:spacing w:line="360" w:lineRule="auto"/>
        <w:ind w:firstLine="5040" w:firstLineChars="2100"/>
        <w:rPr>
          <w:rStyle w:val="631"/>
        </w:rPr>
      </w:pPr>
      <w:r>
        <w:rPr>
          <w:rStyle w:val="631"/>
          <w:rFonts w:hint="eastAsia"/>
        </w:rPr>
        <w:t>法定代表人（负责人） (签名)：</w:t>
      </w:r>
    </w:p>
    <w:p>
      <w:pPr>
        <w:snapToGrid w:val="0"/>
        <w:spacing w:line="360" w:lineRule="auto"/>
        <w:ind w:firstLine="5040" w:firstLineChars="2100"/>
        <w:rPr>
          <w:rFonts w:ascii="宋体" w:hAnsi="宋体" w:cs="宋体"/>
          <w:kern w:val="0"/>
          <w:sz w:val="24"/>
          <w:lang w:val="zh-CN"/>
        </w:rPr>
      </w:pPr>
      <w:r>
        <w:rPr>
          <w:rStyle w:val="631"/>
          <w:rFonts w:hint="eastAsia"/>
        </w:rPr>
        <w:t>联合体成</w:t>
      </w:r>
      <w:r>
        <w:rPr>
          <w:rFonts w:hint="eastAsia" w:ascii="宋体" w:hAnsi="宋体" w:cs="宋体"/>
          <w:kern w:val="0"/>
          <w:sz w:val="24"/>
          <w:lang w:val="zh-CN"/>
        </w:rPr>
        <w:t>员名称(公章)：</w:t>
      </w:r>
    </w:p>
    <w:p>
      <w:pPr>
        <w:snapToGrid w:val="0"/>
        <w:spacing w:line="360" w:lineRule="auto"/>
        <w:ind w:firstLine="5040" w:firstLineChars="2100"/>
        <w:rPr>
          <w:rFonts w:cs="宋体" w:asciiTheme="minorEastAsia" w:hAnsiTheme="minorEastAsia" w:eastAsiaTheme="minorEastAsia"/>
          <w:kern w:val="0"/>
          <w:sz w:val="24"/>
          <w:lang w:val="zh-CN"/>
        </w:rPr>
      </w:pPr>
      <w:r>
        <w:rPr>
          <w:rStyle w:val="631"/>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pPr>
        <w:snapToGrid w:val="0"/>
        <w:spacing w:line="360" w:lineRule="auto"/>
        <w:ind w:right="480"/>
        <w:jc w:val="center"/>
        <w:rPr>
          <w:rFonts w:cs="仿宋_GB2312" w:asciiTheme="minorEastAsia" w:hAnsiTheme="minorEastAsia" w:eastAsiaTheme="minorEastAsia"/>
          <w:b/>
          <w:sz w:val="32"/>
          <w:szCs w:val="32"/>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snapToGrid w:val="0"/>
        <w:spacing w:line="360" w:lineRule="auto"/>
        <w:ind w:right="48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pPr>
        <w:widowControl/>
        <w:spacing w:line="360" w:lineRule="auto"/>
        <w:ind w:firstLine="480"/>
        <w:jc w:val="left"/>
        <w:rPr>
          <w:rFonts w:cs="宋体" w:asciiTheme="minorEastAsia" w:hAnsiTheme="minorEastAsia" w:eastAsiaTheme="minorEastAsia"/>
          <w:sz w:val="24"/>
        </w:rPr>
      </w:pPr>
    </w:p>
    <w:p>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sz w:val="24"/>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rPr>
          <w:rFonts w:cs="仿宋_GB2312" w:asciiTheme="minorEastAsia" w:hAnsiTheme="minorEastAsia" w:eastAsiaTheme="minorEastAsia"/>
          <w:kern w:val="0"/>
          <w:sz w:val="24"/>
          <w:lang w:val="zh-CN"/>
        </w:rPr>
      </w:pPr>
    </w:p>
    <w:p>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pPr>
        <w:jc w:val="center"/>
        <w:rPr>
          <w:rFonts w:ascii="宋体" w:hAnsi="宋体" w:cs="宋体"/>
          <w:b/>
          <w:color w:val="FF0000"/>
          <w:kern w:val="0"/>
          <w:sz w:val="32"/>
          <w:szCs w:val="32"/>
          <w:lang w:val="zh-CN"/>
        </w:rPr>
      </w:pPr>
      <w:r>
        <w:rPr>
          <w:rFonts w:hint="eastAsia" w:cs="仿宋_GB2312" w:asciiTheme="minorEastAsia" w:hAnsiTheme="minorEastAsia" w:eastAsiaTheme="minorEastAsia"/>
          <w:b/>
          <w:color w:val="FF0000"/>
          <w:kern w:val="0"/>
          <w:sz w:val="32"/>
          <w:szCs w:val="32"/>
          <w:lang w:val="zh-CN"/>
        </w:rPr>
        <w:t>三、</w:t>
      </w:r>
      <w:r>
        <w:rPr>
          <w:rFonts w:hint="eastAsia" w:ascii="宋体" w:hAnsi="宋体" w:cs="宋体"/>
          <w:b/>
          <w:color w:val="FF0000"/>
          <w:kern w:val="0"/>
          <w:sz w:val="32"/>
          <w:szCs w:val="32"/>
          <w:lang w:val="zh-CN"/>
        </w:rPr>
        <w:t>授权委托书或法定代表人（单位负责人、自然人本人）身份证明</w:t>
      </w:r>
    </w:p>
    <w:p>
      <w:pPr>
        <w:snapToGrid w:val="0"/>
        <w:spacing w:line="360" w:lineRule="auto"/>
        <w:rPr>
          <w:rFonts w:ascii="宋体" w:hAnsi="宋体" w:cs="宋体"/>
          <w:color w:val="FF0000"/>
          <w:sz w:val="24"/>
        </w:rPr>
      </w:pPr>
      <w:r>
        <w:rPr>
          <w:rFonts w:hint="eastAsia" w:ascii="宋体" w:hAnsi="宋体" w:cs="宋体"/>
          <w:color w:val="FF0000"/>
          <w:sz w:val="24"/>
        </w:rPr>
        <w:t xml:space="preserve">                                </w:t>
      </w:r>
    </w:p>
    <w:p>
      <w:pPr>
        <w:snapToGrid w:val="0"/>
        <w:spacing w:line="360" w:lineRule="auto"/>
        <w:ind w:firstLine="2872" w:firstLineChars="894"/>
        <w:rPr>
          <w:rFonts w:ascii="宋体" w:hAnsi="宋体" w:cs="宋体"/>
          <w:color w:val="FF0000"/>
        </w:rPr>
      </w:pPr>
      <w:r>
        <w:rPr>
          <w:rFonts w:hint="eastAsia" w:ascii="宋体" w:hAnsi="宋体" w:cs="宋体"/>
          <w:b/>
          <w:color w:val="FF0000"/>
          <w:kern w:val="0"/>
          <w:sz w:val="32"/>
          <w:szCs w:val="32"/>
          <w:lang w:val="zh-CN"/>
        </w:rPr>
        <w:t>授权委托书（适用于非联合体磋商）</w:t>
      </w:r>
      <w:r>
        <w:rPr>
          <w:rFonts w:hint="eastAsia" w:ascii="宋体" w:hAnsi="宋体" w:cs="宋体"/>
          <w:color w:val="FF0000"/>
        </w:rPr>
        <w:t xml:space="preserve">                               </w:t>
      </w:r>
    </w:p>
    <w:p>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pPr>
        <w:spacing w:line="360" w:lineRule="auto"/>
        <w:ind w:left="4649" w:leftChars="2214" w:firstLine="3600" w:firstLineChars="1500"/>
        <w:rPr>
          <w:rFonts w:ascii="宋体" w:hAnsi="宋体" w:cs="宋体"/>
          <w:color w:val="FF0000"/>
          <w:sz w:val="24"/>
        </w:rPr>
      </w:pPr>
      <w:r>
        <w:rPr>
          <w:rFonts w:hint="eastAsia" w:ascii="宋体" w:hAnsi="宋体" w:cs="宋体"/>
          <w:color w:val="FF0000"/>
          <w:kern w:val="0"/>
          <w:sz w:val="24"/>
          <w:lang w:val="zh-CN"/>
        </w:rPr>
        <w:t xml:space="preserve">                                                 </w:t>
      </w:r>
      <w:r>
        <w:rPr>
          <w:rFonts w:hint="eastAsia" w:ascii="宋体" w:hAnsi="宋体" w:cs="宋体"/>
          <w:color w:val="FF0000"/>
          <w:sz w:val="24"/>
        </w:rPr>
        <w:t>磋商供应商名称（公章）：</w:t>
      </w:r>
    </w:p>
    <w:p>
      <w:pPr>
        <w:snapToGrid w:val="0"/>
        <w:spacing w:line="360" w:lineRule="auto"/>
        <w:ind w:left="4649" w:leftChars="2214"/>
        <w:rPr>
          <w:rFonts w:ascii="宋体" w:hAnsi="宋体" w:cs="宋体"/>
          <w:color w:val="FF0000"/>
          <w:kern w:val="0"/>
          <w:sz w:val="24"/>
        </w:rPr>
      </w:pPr>
      <w:r>
        <w:rPr>
          <w:rFonts w:hint="eastAsia" w:ascii="宋体" w:hAnsi="宋体" w:cs="宋体"/>
          <w:color w:val="FF0000"/>
          <w:sz w:val="24"/>
        </w:rPr>
        <w:t>法定代表人（负责人） (签名)：</w:t>
      </w:r>
    </w:p>
    <w:p>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签发日期：  年  月   日</w:t>
      </w:r>
    </w:p>
    <w:p>
      <w:pPr>
        <w:adjustRightInd/>
        <w:spacing w:line="360" w:lineRule="auto"/>
        <w:rPr>
          <w:rFonts w:ascii="宋体" w:hAnsi="宋体"/>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pPr>
        <w:snapToGrid w:val="0"/>
        <w:spacing w:line="360" w:lineRule="auto"/>
        <w:ind w:right="480"/>
        <w:rPr>
          <w:rFonts w:ascii="宋体" w:hAnsi="宋体" w:cs="宋体"/>
          <w:b/>
          <w:color w:val="FF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FF0000"/>
          <w:sz w:val="24"/>
        </w:rPr>
      </w:pPr>
    </w:p>
    <w:p>
      <w:pPr>
        <w:jc w:val="center"/>
        <w:rPr>
          <w:rFonts w:ascii="宋体" w:hAnsi="宋体" w:cs="宋体"/>
          <w:b/>
          <w:color w:val="FF0000"/>
          <w:kern w:val="0"/>
          <w:sz w:val="32"/>
          <w:szCs w:val="32"/>
          <w:lang w:val="zh-CN"/>
        </w:rPr>
      </w:pPr>
      <w:r>
        <w:rPr>
          <w:rFonts w:hint="eastAsia" w:ascii="宋体" w:hAnsi="宋体" w:cs="宋体"/>
          <w:b/>
          <w:color w:val="FF0000"/>
          <w:kern w:val="0"/>
          <w:sz w:val="32"/>
          <w:szCs w:val="32"/>
        </w:rPr>
        <w:t xml:space="preserve">       </w:t>
      </w:r>
      <w:r>
        <w:rPr>
          <w:rFonts w:hint="eastAsia" w:ascii="宋体" w:hAnsi="宋体" w:cs="宋体"/>
          <w:b/>
          <w:color w:val="FF0000"/>
          <w:kern w:val="0"/>
          <w:sz w:val="32"/>
          <w:szCs w:val="32"/>
          <w:lang w:val="zh-CN"/>
        </w:rPr>
        <w:t>授权委托书（适用于联合体磋商）</w:t>
      </w:r>
    </w:p>
    <w:p>
      <w:pPr>
        <w:pStyle w:val="632"/>
      </w:pPr>
    </w:p>
    <w:p>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pPr>
        <w:jc w:val="center"/>
        <w:rPr>
          <w:rFonts w:ascii="宋体" w:hAnsi="宋体" w:cs="宋体"/>
          <w:b/>
          <w:color w:val="FF0000"/>
          <w:kern w:val="0"/>
          <w:sz w:val="32"/>
          <w:szCs w:val="32"/>
        </w:rPr>
      </w:pPr>
    </w:p>
    <w:p>
      <w:pPr>
        <w:jc w:val="center"/>
        <w:rPr>
          <w:rFonts w:ascii="宋体" w:hAnsi="宋体" w:cs="宋体"/>
          <w:b/>
          <w:color w:val="FF0000"/>
          <w:kern w:val="0"/>
          <w:sz w:val="32"/>
          <w:szCs w:val="32"/>
        </w:rPr>
      </w:pPr>
    </w:p>
    <w:p>
      <w:pPr>
        <w:jc w:val="center"/>
        <w:rPr>
          <w:rFonts w:ascii="宋体" w:hAnsi="宋体" w:cs="宋体"/>
          <w:b/>
          <w:color w:val="FF0000"/>
          <w:kern w:val="0"/>
          <w:sz w:val="32"/>
          <w:szCs w:val="32"/>
        </w:rPr>
      </w:pPr>
    </w:p>
    <w:p>
      <w:pPr>
        <w:rPr>
          <w:rFonts w:ascii="宋体" w:hAnsi="宋体" w:cs="宋体"/>
          <w:color w:val="FF0000"/>
        </w:rPr>
      </w:pPr>
    </w:p>
    <w:p>
      <w:pPr>
        <w:snapToGrid w:val="0"/>
        <w:spacing w:line="360" w:lineRule="auto"/>
        <w:ind w:firstLine="5040" w:firstLineChars="2100"/>
        <w:rPr>
          <w:rFonts w:ascii="宋体" w:hAnsi="宋体" w:cs="宋体"/>
          <w:color w:val="FF0000"/>
          <w:kern w:val="0"/>
          <w:sz w:val="24"/>
          <w:lang w:val="zh-CN"/>
        </w:rPr>
      </w:pPr>
      <w:r>
        <w:rPr>
          <w:rFonts w:hint="eastAsia" w:ascii="宋体" w:hAnsi="宋体" w:cs="宋体"/>
          <w:color w:val="FF0000"/>
          <w:kern w:val="0"/>
          <w:sz w:val="24"/>
          <w:lang w:val="zh-CN"/>
        </w:rPr>
        <w:t>联合体成员名称(公章)：</w:t>
      </w:r>
    </w:p>
    <w:p>
      <w:pPr>
        <w:snapToGrid w:val="0"/>
        <w:spacing w:line="360" w:lineRule="auto"/>
        <w:ind w:firstLine="5040" w:firstLineChars="2100"/>
        <w:rPr>
          <w:rFonts w:ascii="宋体" w:hAnsi="宋体"/>
          <w:color w:val="FF0000"/>
          <w:sz w:val="24"/>
        </w:rPr>
      </w:pPr>
      <w:r>
        <w:rPr>
          <w:rFonts w:hint="eastAsia" w:ascii="宋体" w:hAnsi="宋体"/>
          <w:color w:val="FF0000"/>
          <w:sz w:val="24"/>
        </w:rPr>
        <w:t>法定代表人（负责人） (签名)：</w:t>
      </w:r>
    </w:p>
    <w:p>
      <w:pPr>
        <w:snapToGrid w:val="0"/>
        <w:spacing w:line="360" w:lineRule="auto"/>
        <w:ind w:firstLine="5040" w:firstLineChars="2100"/>
        <w:rPr>
          <w:rFonts w:ascii="宋体" w:hAnsi="宋体" w:cs="宋体"/>
          <w:color w:val="FF0000"/>
          <w:kern w:val="0"/>
          <w:sz w:val="24"/>
          <w:lang w:val="zh-CN"/>
        </w:rPr>
      </w:pPr>
      <w:r>
        <w:rPr>
          <w:rFonts w:hint="eastAsia" w:ascii="宋体" w:hAnsi="宋体"/>
          <w:color w:val="FF0000"/>
          <w:sz w:val="24"/>
        </w:rPr>
        <w:t>联合体成</w:t>
      </w:r>
      <w:r>
        <w:rPr>
          <w:rFonts w:hint="eastAsia" w:ascii="宋体" w:hAnsi="宋体" w:cs="宋体"/>
          <w:color w:val="FF0000"/>
          <w:kern w:val="0"/>
          <w:sz w:val="24"/>
          <w:lang w:val="zh-CN"/>
        </w:rPr>
        <w:t>员名称(公章)：</w:t>
      </w:r>
    </w:p>
    <w:p>
      <w:pPr>
        <w:snapToGrid w:val="0"/>
        <w:spacing w:line="360" w:lineRule="auto"/>
        <w:ind w:firstLine="5040" w:firstLineChars="2100"/>
        <w:jc w:val="left"/>
        <w:rPr>
          <w:rFonts w:ascii="宋体" w:hAnsi="宋体"/>
          <w:color w:val="FF0000"/>
          <w:kern w:val="0"/>
          <w:sz w:val="24"/>
          <w:szCs w:val="20"/>
        </w:rPr>
      </w:pPr>
      <w:r>
        <w:rPr>
          <w:rFonts w:hint="eastAsia" w:ascii="宋体" w:hAnsi="宋体"/>
          <w:color w:val="FF0000"/>
          <w:kern w:val="0"/>
          <w:sz w:val="24"/>
          <w:szCs w:val="20"/>
        </w:rPr>
        <w:t>法定代表人（负责人） (签名)：</w:t>
      </w:r>
    </w:p>
    <w:p>
      <w:pPr>
        <w:snapToGrid w:val="0"/>
        <w:spacing w:line="360" w:lineRule="auto"/>
        <w:ind w:firstLine="5040" w:firstLineChars="2100"/>
        <w:rPr>
          <w:rFonts w:ascii="宋体" w:hAnsi="宋体" w:cs="宋体"/>
          <w:color w:val="FF0000"/>
          <w:kern w:val="0"/>
          <w:sz w:val="24"/>
          <w:lang w:val="zh-CN"/>
        </w:rPr>
      </w:pPr>
    </w:p>
    <w:p>
      <w:pPr>
        <w:snapToGrid w:val="0"/>
        <w:spacing w:line="360" w:lineRule="auto"/>
        <w:ind w:firstLine="5760" w:firstLineChars="2400"/>
        <w:rPr>
          <w:rFonts w:ascii="宋体" w:hAnsi="宋体" w:cs="宋体"/>
          <w:color w:val="FF0000"/>
        </w:rPr>
      </w:pPr>
      <w:r>
        <w:rPr>
          <w:rFonts w:hint="eastAsia" w:ascii="宋体" w:hAnsi="宋体" w:cs="宋体"/>
          <w:color w:val="FF0000"/>
          <w:kern w:val="0"/>
          <w:sz w:val="24"/>
          <w:lang w:val="zh-CN"/>
        </w:rPr>
        <w:t>……</w:t>
      </w:r>
    </w:p>
    <w:p>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日期：  年  月   日</w:t>
      </w:r>
    </w:p>
    <w:p>
      <w:pPr>
        <w:adjustRightInd/>
        <w:spacing w:line="360" w:lineRule="auto"/>
        <w:rPr>
          <w:rFonts w:ascii="宋体" w:hAnsi="宋体"/>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p>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pPr>
        <w:snapToGrid w:val="0"/>
        <w:spacing w:line="360" w:lineRule="auto"/>
        <w:ind w:right="480"/>
        <w:rPr>
          <w:rFonts w:ascii="宋体" w:hAnsi="宋体" w:cs="宋体"/>
          <w:b/>
          <w:color w:val="FF0000"/>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FF0000"/>
          <w:sz w:val="24"/>
        </w:rPr>
      </w:pPr>
      <w:r>
        <w:rPr>
          <w:rFonts w:hint="eastAsia" w:ascii="宋体" w:hAnsi="宋体" w:cs="宋体"/>
          <w:b/>
          <w:color w:val="FF0000"/>
          <w:kern w:val="0"/>
          <w:sz w:val="32"/>
          <w:szCs w:val="32"/>
          <w:lang w:val="zh-CN"/>
        </w:rPr>
        <w:t>法定代表人、单位负责人或自然人本人</w:t>
      </w:r>
      <w:r>
        <w:rPr>
          <w:rFonts w:hint="eastAsia" w:ascii="宋体" w:hAnsi="宋体" w:cs="宋体"/>
          <w:b/>
          <w:color w:val="FF0000"/>
          <w:sz w:val="30"/>
          <w:szCs w:val="30"/>
        </w:rPr>
        <w:t>的身份证明（适用于法定代表人、单位负责人或者自然人本人代表磋商供应商参加谈判）</w:t>
      </w:r>
    </w:p>
    <w:p>
      <w:pPr>
        <w:adjustRightInd/>
        <w:spacing w:line="360" w:lineRule="auto"/>
        <w:rPr>
          <w:rFonts w:ascii="宋体" w:hAnsi="宋体" w:cs="宋体"/>
          <w:bCs/>
          <w:color w:val="FF0000"/>
          <w:sz w:val="24"/>
          <w:szCs w:val="21"/>
        </w:rPr>
      </w:pPr>
    </w:p>
    <w:p>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pPr>
        <w:snapToGrid w:val="0"/>
        <w:spacing w:line="276" w:lineRule="auto"/>
        <w:ind w:firstLine="960" w:firstLineChars="400"/>
        <w:rPr>
          <w:rFonts w:ascii="宋体" w:hAnsi="宋体"/>
          <w:color w:val="FF0000"/>
          <w:sz w:val="24"/>
          <w:u w:val="single"/>
        </w:rPr>
      </w:pPr>
    </w:p>
    <w:p>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pPr>
        <w:snapToGrid w:val="0"/>
        <w:spacing w:line="276" w:lineRule="auto"/>
        <w:rPr>
          <w:rFonts w:ascii="宋体" w:hAnsi="宋体"/>
          <w:color w:val="FF0000"/>
          <w:sz w:val="24"/>
        </w:rPr>
      </w:pPr>
    </w:p>
    <w:p>
      <w:pPr>
        <w:snapToGrid w:val="0"/>
        <w:spacing w:line="276" w:lineRule="auto"/>
        <w:rPr>
          <w:rFonts w:ascii="宋体" w:hAnsi="宋体"/>
          <w:color w:val="FF0000"/>
          <w:sz w:val="24"/>
        </w:rPr>
      </w:pPr>
      <w:r>
        <w:rPr>
          <w:rFonts w:hint="eastAsia" w:ascii="宋体" w:hAnsi="宋体"/>
          <w:color w:val="FF0000"/>
          <w:sz w:val="24"/>
        </w:rPr>
        <w:t xml:space="preserve">                        </w:t>
      </w:r>
    </w:p>
    <w:p>
      <w:pPr>
        <w:snapToGrid w:val="0"/>
        <w:spacing w:line="276" w:lineRule="auto"/>
        <w:rPr>
          <w:rFonts w:ascii="宋体" w:hAnsi="宋体"/>
          <w:color w:val="FF0000"/>
          <w:sz w:val="24"/>
        </w:rPr>
      </w:pPr>
    </w:p>
    <w:p>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sz w:val="24"/>
        </w:rPr>
        <w:t>磋商供应商名称</w:t>
      </w:r>
      <w:r>
        <w:rPr>
          <w:rFonts w:hint="eastAsia" w:ascii="宋体" w:hAnsi="宋体" w:cs="宋体"/>
          <w:color w:val="FF0000"/>
          <w:kern w:val="0"/>
          <w:sz w:val="24"/>
          <w:lang w:val="zh-CN"/>
        </w:rPr>
        <w:t xml:space="preserve">(公章)：                              </w:t>
      </w:r>
    </w:p>
    <w:p>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pPr>
        <w:adjustRightInd/>
        <w:spacing w:line="360" w:lineRule="auto"/>
        <w:rPr>
          <w:rFonts w:ascii="宋体" w:hAnsi="宋体" w:cs="宋体"/>
          <w:bCs/>
          <w:color w:val="FF0000"/>
          <w:sz w:val="24"/>
          <w:szCs w:val="21"/>
        </w:rPr>
      </w:pPr>
    </w:p>
    <w:p>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pPr>
              <w:spacing w:line="360" w:lineRule="auto"/>
              <w:rPr>
                <w:rFonts w:ascii="宋体" w:hAnsi="宋体" w:cs="宋体"/>
                <w:bCs/>
                <w:color w:val="FF0000"/>
                <w:sz w:val="24"/>
                <w:szCs w:val="21"/>
              </w:rPr>
            </w:pPr>
          </w:p>
        </w:tc>
      </w:tr>
    </w:tbl>
    <w:p>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                 </w:t>
      </w: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snapToGrid w:val="0"/>
        <w:spacing w:line="360" w:lineRule="auto"/>
        <w:ind w:firstLine="3534" w:firstLineChars="1100"/>
        <w:rPr>
          <w:rFonts w:cs="仿宋_GB2312" w:asciiTheme="minorEastAsia" w:hAnsiTheme="minorEastAsia" w:eastAsiaTheme="minorEastAsia"/>
          <w:b/>
          <w:kern w:val="0"/>
          <w:sz w:val="32"/>
          <w:szCs w:val="32"/>
          <w:lang w:val="zh-CN"/>
        </w:rPr>
      </w:pPr>
    </w:p>
    <w:p>
      <w:pPr>
        <w:pStyle w:val="632"/>
      </w:pPr>
    </w:p>
    <w:p>
      <w:pPr>
        <w:pStyle w:val="632"/>
      </w:pPr>
    </w:p>
    <w:p>
      <w:pPr>
        <w:snapToGrid w:val="0"/>
        <w:spacing w:line="360" w:lineRule="auto"/>
        <w:ind w:firstLine="3534" w:firstLineChars="1100"/>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pPr>
        <w:pStyle w:val="632"/>
      </w:pPr>
      <w:r>
        <w:rPr>
          <w:rFonts w:hint="eastAsia"/>
        </w:rPr>
        <w:t>……</w:t>
      </w:r>
    </w:p>
    <w:p>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pPr>
        <w:snapToGrid w:val="0"/>
        <w:spacing w:line="360" w:lineRule="auto"/>
        <w:ind w:left="4830" w:leftChars="2300" w:firstLine="720" w:firstLineChars="300"/>
        <w:rPr>
          <w:rFonts w:cs="宋体" w:asciiTheme="minorEastAsia" w:hAnsiTheme="minorEastAsia" w:eastAsiaTheme="minorEastAsia"/>
          <w:kern w:val="0"/>
          <w:sz w:val="24"/>
          <w:lang w:val="zh-CN"/>
        </w:rPr>
      </w:pPr>
    </w:p>
    <w:p>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pPr>
        <w:snapToGrid w:val="0"/>
        <w:spacing w:line="360" w:lineRule="auto"/>
        <w:jc w:val="right"/>
        <w:rPr>
          <w:rStyle w:val="631"/>
        </w:rPr>
      </w:pPr>
      <w:r>
        <w:rPr>
          <w:rStyle w:val="631"/>
          <w:rFonts w:hint="eastAsia"/>
        </w:rPr>
        <w:t>法定代表人（负责人） (签名)：</w:t>
      </w:r>
    </w:p>
    <w:p>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pPr>
        <w:snapToGrid w:val="0"/>
        <w:spacing w:line="360" w:lineRule="auto"/>
        <w:jc w:val="right"/>
        <w:rPr>
          <w:rFonts w:cs="宋体" w:asciiTheme="minorEastAsia" w:hAnsiTheme="minorEastAsia" w:eastAsiaTheme="minorEastAsia"/>
          <w:kern w:val="0"/>
          <w:sz w:val="24"/>
          <w:lang w:val="zh-CN"/>
        </w:rPr>
      </w:pPr>
      <w:r>
        <w:rPr>
          <w:rStyle w:val="631"/>
          <w:rFonts w:hint="eastAsia"/>
        </w:rPr>
        <w:t>法定代表人（负责人） (签名)：</w:t>
      </w:r>
    </w:p>
    <w:p>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b/>
          <w:sz w:val="30"/>
          <w:szCs w:val="30"/>
        </w:rPr>
      </w:pPr>
    </w:p>
    <w:p>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pPr>
        <w:spacing w:line="360" w:lineRule="auto"/>
        <w:jc w:val="center"/>
        <w:rPr>
          <w:rFonts w:cs="仿宋_GB2312" w:asciiTheme="minorEastAsia" w:hAnsiTheme="minorEastAsia" w:eastAsiaTheme="minorEastAsia"/>
          <w:b/>
          <w:kern w:val="0"/>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5280" w:firstLineChars="22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rPr>
          <w:rFonts w:cs="仿宋_GB2312" w:asciiTheme="minorEastAsia" w:hAnsiTheme="minorEastAsia" w:eastAsiaTheme="minorEastAsia"/>
          <w:b/>
          <w:bCs/>
          <w:kern w:val="0"/>
          <w:sz w:val="24"/>
        </w:rPr>
      </w:pPr>
    </w:p>
    <w:p>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pPr>
              <w:snapToGrid w:val="0"/>
              <w:spacing w:line="360" w:lineRule="auto"/>
              <w:jc w:val="center"/>
              <w:rPr>
                <w:rFonts w:cs="仿宋_GB2312" w:asciiTheme="minorEastAsia" w:hAnsiTheme="minorEastAsia" w:eastAsiaTheme="minorEastAsia"/>
                <w:sz w:val="24"/>
              </w:rPr>
            </w:pPr>
          </w:p>
        </w:tc>
        <w:tc>
          <w:tcPr>
            <w:tcW w:w="2160" w:type="dxa"/>
            <w:vAlign w:val="center"/>
          </w:tcPr>
          <w:p>
            <w:pPr>
              <w:snapToGrid w:val="0"/>
              <w:spacing w:line="360" w:lineRule="auto"/>
              <w:jc w:val="center"/>
              <w:rPr>
                <w:rFonts w:cs="仿宋_GB2312" w:asciiTheme="minorEastAsia" w:hAnsiTheme="minorEastAsia" w:eastAsiaTheme="minorEastAsia"/>
                <w:sz w:val="24"/>
              </w:rPr>
            </w:pPr>
          </w:p>
        </w:tc>
        <w:tc>
          <w:tcPr>
            <w:tcW w:w="2340" w:type="dxa"/>
            <w:vAlign w:val="center"/>
          </w:tcPr>
          <w:p>
            <w:pPr>
              <w:spacing w:line="360" w:lineRule="auto"/>
              <w:jc w:val="center"/>
              <w:rPr>
                <w:rFonts w:cs="仿宋_GB2312" w:asciiTheme="minorEastAsia" w:hAnsiTheme="minorEastAsia" w:eastAsiaTheme="minorEastAsia"/>
                <w:sz w:val="24"/>
              </w:rPr>
            </w:pPr>
          </w:p>
        </w:tc>
        <w:tc>
          <w:tcPr>
            <w:tcW w:w="1080" w:type="dxa"/>
            <w:vAlign w:val="center"/>
          </w:tcPr>
          <w:p>
            <w:pPr>
              <w:spacing w:line="360" w:lineRule="auto"/>
              <w:jc w:val="center"/>
              <w:rPr>
                <w:rFonts w:cs="仿宋_GB2312" w:asciiTheme="minorEastAsia" w:hAnsiTheme="minorEastAsia" w:eastAsiaTheme="minorEastAsia"/>
                <w:sz w:val="24"/>
              </w:rPr>
            </w:pPr>
          </w:p>
        </w:tc>
        <w:tc>
          <w:tcPr>
            <w:tcW w:w="1332" w:type="dxa"/>
            <w:vAlign w:val="center"/>
          </w:tcPr>
          <w:p>
            <w:pPr>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left"/>
        <w:rPr>
          <w:rFonts w:asciiTheme="minorEastAsia" w:hAnsiTheme="minorEastAsia" w:eastAsiaTheme="minorEastAsia"/>
          <w:b/>
          <w:spacing w:val="6"/>
          <w:sz w:val="32"/>
          <w:szCs w:val="32"/>
        </w:rPr>
      </w:pPr>
    </w:p>
    <w:p>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pPr>
        <w:spacing w:line="360" w:lineRule="auto"/>
        <w:ind w:firstLine="1333" w:firstLineChars="400"/>
        <w:jc w:val="center"/>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bCs/>
          <w:sz w:val="24"/>
        </w:rPr>
      </w:pPr>
    </w:p>
    <w:p>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pPr>
        <w:autoSpaceDE w:val="0"/>
        <w:autoSpaceDN w:val="0"/>
        <w:spacing w:line="360" w:lineRule="auto"/>
        <w:rPr>
          <w:rFonts w:cs="仿宋_GB2312" w:asciiTheme="minorEastAsia" w:hAnsiTheme="minorEastAsia" w:eastAsiaTheme="minorEastAsia"/>
          <w:b/>
          <w:kern w:val="0"/>
          <w:sz w:val="28"/>
          <w:szCs w:val="28"/>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2"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c>
          <w:tcPr>
            <w:tcW w:w="553" w:type="dxa"/>
          </w:tcPr>
          <w:p>
            <w:pPr>
              <w:spacing w:line="360" w:lineRule="auto"/>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pPr>
        <w:autoSpaceDE w:val="0"/>
        <w:autoSpaceDN w:val="0"/>
        <w:spacing w:line="360" w:lineRule="auto"/>
        <w:rPr>
          <w:rFonts w:cs="仿宋_GB2312" w:asciiTheme="minorEastAsia" w:hAnsiTheme="minorEastAsia" w:eastAsiaTheme="minorEastAsia"/>
          <w:kern w:val="0"/>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p>
        </w:tc>
      </w:tr>
    </w:tbl>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r>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sz w:val="24"/>
              </w:rPr>
            </w:pPr>
          </w:p>
        </w:tc>
      </w:tr>
    </w:tbl>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jc w:val="center"/>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b/>
          <w:bCs/>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sz w:val="24"/>
              </w:rPr>
            </w:pPr>
          </w:p>
        </w:tc>
        <w:tc>
          <w:tcPr>
            <w:tcW w:w="1900" w:type="dxa"/>
          </w:tcPr>
          <w:p>
            <w:pPr>
              <w:pStyle w:val="32"/>
              <w:spacing w:line="360" w:lineRule="auto"/>
              <w:jc w:val="center"/>
              <w:rPr>
                <w:rFonts w:cs="仿宋_GB2312" w:asciiTheme="minorEastAsia" w:hAnsiTheme="minorEastAsia" w:eastAsiaTheme="minorEastAsia"/>
                <w:sz w:val="24"/>
              </w:rPr>
            </w:pPr>
          </w:p>
        </w:tc>
        <w:tc>
          <w:tcPr>
            <w:tcW w:w="1800" w:type="dxa"/>
          </w:tcPr>
          <w:p>
            <w:pPr>
              <w:pStyle w:val="32"/>
              <w:spacing w:line="360" w:lineRule="auto"/>
              <w:jc w:val="center"/>
              <w:rPr>
                <w:rFonts w:cs="仿宋_GB2312" w:asciiTheme="minorEastAsia" w:hAnsiTheme="minorEastAsia" w:eastAsiaTheme="minorEastAsia"/>
                <w:sz w:val="24"/>
              </w:rPr>
            </w:pPr>
          </w:p>
        </w:tc>
        <w:tc>
          <w:tcPr>
            <w:tcW w:w="2880" w:type="dxa"/>
          </w:tcPr>
          <w:p>
            <w:pPr>
              <w:pStyle w:val="32"/>
              <w:spacing w:line="360" w:lineRule="auto"/>
              <w:jc w:val="center"/>
              <w:rPr>
                <w:rFonts w:cs="仿宋_GB2312" w:asciiTheme="minorEastAsia" w:hAnsiTheme="minorEastAsia" w:eastAsiaTheme="minorEastAsia"/>
                <w:sz w:val="24"/>
              </w:rPr>
            </w:pPr>
          </w:p>
        </w:tc>
        <w:tc>
          <w:tcPr>
            <w:tcW w:w="1332" w:type="dxa"/>
          </w:tcPr>
          <w:p>
            <w:pPr>
              <w:pStyle w:val="32"/>
              <w:spacing w:line="360" w:lineRule="auto"/>
              <w:jc w:val="center"/>
              <w:rPr>
                <w:rFonts w:cs="仿宋_GB2312" w:asciiTheme="minorEastAsia" w:hAnsiTheme="minorEastAsia" w:eastAsiaTheme="minorEastAsia"/>
                <w:sz w:val="24"/>
              </w:rPr>
            </w:pPr>
          </w:p>
        </w:tc>
      </w:tr>
    </w:tbl>
    <w:p>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kern w:val="0"/>
          <w:sz w:val="24"/>
        </w:rPr>
      </w:pPr>
    </w:p>
    <w:p>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pPr>
        <w:spacing w:line="360" w:lineRule="auto"/>
        <w:rPr>
          <w:rFonts w:cs="仿宋_GB2312" w:asciiTheme="minorEastAsia" w:hAnsiTheme="minorEastAsia" w:eastAsiaTheme="minorEastAsia"/>
          <w:sz w:val="24"/>
        </w:rPr>
      </w:pPr>
    </w:p>
    <w:p>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pPr>
        <w:spacing w:line="360" w:lineRule="auto"/>
        <w:jc w:val="center"/>
        <w:rPr>
          <w:rFonts w:cs="仿宋_GB2312" w:asciiTheme="minorEastAsia" w:hAnsiTheme="minorEastAsia" w:eastAsiaTheme="minorEastAsia"/>
          <w:b/>
          <w:bCs/>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color w:val="0000FF"/>
          <w:sz w:val="24"/>
        </w:rPr>
        <w:t>（采购人）</w:t>
      </w:r>
      <w:r>
        <w:rPr>
          <w:rFonts w:hint="eastAsia" w:ascii="宋体" w:hAnsi="宋体" w:cs="宋体"/>
          <w:sz w:val="24"/>
        </w:rPr>
        <w:t>、（采购代理机构）</w:t>
      </w:r>
      <w:r>
        <w:rPr>
          <w:rFonts w:hint="eastAsia" w:cs="仿宋_GB2312" w:asciiTheme="minorEastAsia" w:hAnsiTheme="minorEastAsia" w:eastAsiaTheme="minorEastAsia"/>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left="2"/>
        <w:jc w:val="left"/>
        <w:rPr>
          <w:rFonts w:cs="仿宋_GB2312" w:asciiTheme="minorEastAsia" w:hAnsiTheme="minorEastAsia" w:eastAsiaTheme="minorEastAsia"/>
          <w:kern w:val="0"/>
          <w:sz w:val="24"/>
          <w:lang w:val="zh-CN"/>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pPr>
        <w:widowControl/>
        <w:adjustRightInd/>
        <w:ind w:firstLine="640" w:firstLineChars="200"/>
        <w:jc w:val="left"/>
        <w:rPr>
          <w:rFonts w:ascii="宋体" w:hAnsi="宋体" w:cs="宋体"/>
          <w:kern w:val="0"/>
          <w:sz w:val="32"/>
          <w:szCs w:val="21"/>
        </w:rPr>
      </w:pPr>
    </w:p>
    <w:p>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ascii="宋体" w:hAnsi="宋体" w:cs="宋体"/>
          <w:kern w:val="0"/>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ascii="宋体" w:hAnsi="宋体" w:cs="宋体"/>
          <w:b/>
          <w:bCs/>
          <w:sz w:val="24"/>
        </w:rPr>
      </w:pPr>
    </w:p>
    <w:p>
      <w:pPr>
        <w:spacing w:line="360" w:lineRule="auto"/>
        <w:ind w:right="420"/>
        <w:rPr>
          <w:rFonts w:ascii="宋体" w:hAnsi="宋体" w:cs="宋体"/>
          <w:sz w:val="24"/>
        </w:rPr>
      </w:pPr>
      <w:r>
        <w:rPr>
          <w:rFonts w:hint="eastAsia" w:ascii="宋体" w:hAnsi="宋体" w:cs="宋体"/>
          <w:sz w:val="24"/>
        </w:rPr>
        <w:t>注：按本格式和要求提供。</w:t>
      </w: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pPr>
        <w:snapToGrid w:val="0"/>
        <w:spacing w:line="400" w:lineRule="exact"/>
        <w:ind w:firstLine="420" w:firstLineChars="200"/>
        <w:rPr>
          <w:rFonts w:asciiTheme="minorEastAsia" w:hAnsiTheme="minorEastAsia" w:eastAsiaTheme="minorEastAsia"/>
          <w:szCs w:val="21"/>
        </w:rPr>
      </w:pPr>
    </w:p>
    <w:p>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pPr>
        <w:pStyle w:val="72"/>
        <w:snapToGrid w:val="0"/>
        <w:spacing w:after="120" w:line="400" w:lineRule="exact"/>
        <w:ind w:firstLine="480" w:firstLineChars="200"/>
        <w:rPr>
          <w:rFonts w:asciiTheme="minorEastAsia" w:hAnsiTheme="minorEastAsia" w:eastAsiaTheme="minorEastAsia"/>
          <w:color w:val="auto"/>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sz w:val="24"/>
              </w:rPr>
            </w:pPr>
          </w:p>
        </w:tc>
      </w:tr>
    </w:tbl>
    <w:p>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pPr>
        <w:snapToGrid w:val="0"/>
        <w:spacing w:line="400" w:lineRule="exact"/>
        <w:rPr>
          <w:rFonts w:cs="Courier New" w:asciiTheme="minorEastAsia" w:hAnsiTheme="minorEastAsia" w:eastAsiaTheme="minorEastAsia"/>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jc w:val="center"/>
        <w:rPr>
          <w:rFonts w:cs="仿宋_GB2312" w:asciiTheme="minorEastAsia" w:hAnsiTheme="minorEastAsia" w:eastAsiaTheme="minorEastAsia"/>
          <w:b/>
          <w:sz w:val="36"/>
          <w:szCs w:val="36"/>
        </w:rPr>
      </w:pPr>
    </w:p>
    <w:p>
      <w:pPr>
        <w:jc w:val="center"/>
        <w:rPr>
          <w:rFonts w:ascii="宋体" w:hAnsi="宋体" w:cs="宋体"/>
          <w:b/>
          <w:bCs/>
          <w:color w:val="FF0000"/>
          <w:sz w:val="32"/>
          <w:szCs w:val="32"/>
        </w:rPr>
      </w:pPr>
      <w:r>
        <w:rPr>
          <w:rFonts w:hint="eastAsia" w:ascii="宋体" w:hAnsi="宋体" w:cs="宋体"/>
          <w:b/>
          <w:bCs/>
          <w:color w:val="FF0000"/>
          <w:sz w:val="32"/>
          <w:szCs w:val="32"/>
        </w:rPr>
        <w:t>二十</w:t>
      </w:r>
      <w:r>
        <w:rPr>
          <w:rFonts w:hint="eastAsia" w:ascii="宋体" w:hAnsi="宋体" w:cs="宋体"/>
          <w:b/>
          <w:color w:val="FF0000"/>
          <w:kern w:val="0"/>
          <w:sz w:val="32"/>
          <w:szCs w:val="32"/>
        </w:rPr>
        <w:t>、</w:t>
      </w:r>
      <w:r>
        <w:rPr>
          <w:rFonts w:hint="eastAsia" w:ascii="宋体" w:hAnsi="宋体" w:cs="宋体"/>
          <w:b/>
          <w:bCs/>
          <w:color w:val="FF0000"/>
          <w:sz w:val="32"/>
          <w:szCs w:val="32"/>
        </w:rPr>
        <w:t>初始报价表</w:t>
      </w:r>
    </w:p>
    <w:p>
      <w:pPr>
        <w:pStyle w:val="632"/>
        <w:jc w:val="center"/>
        <w:rPr>
          <w:rFonts w:asciiTheme="minorEastAsia" w:hAnsiTheme="minorEastAsia" w:eastAsiaTheme="minorEastAsia"/>
          <w:color w:val="FF0000"/>
          <w:kern w:val="2"/>
          <w:szCs w:val="24"/>
        </w:rPr>
      </w:pPr>
      <w:r>
        <w:rPr>
          <w:rFonts w:hint="eastAsia" w:asciiTheme="minorEastAsia" w:hAnsiTheme="minorEastAsia" w:eastAsiaTheme="minorEastAsia"/>
          <w:color w:val="FF0000"/>
          <w:kern w:val="2"/>
          <w:szCs w:val="24"/>
        </w:rPr>
        <w:t>（初始报价表格式参照第八部分  最后报价格式）</w:t>
      </w:r>
    </w:p>
    <w:p>
      <w:pPr>
        <w:pStyle w:val="115"/>
        <w:keepNext w:val="0"/>
        <w:pageBreakBefore w:val="0"/>
        <w:tabs>
          <w:tab w:val="clear" w:pos="720"/>
        </w:tabs>
        <w:ind w:firstLine="640"/>
        <w:outlineLvl w:val="9"/>
        <w:rPr>
          <w:rFonts w:cs="仿宋_GB2312" w:asciiTheme="minorEastAsia" w:hAnsiTheme="minorEastAsia" w:eastAsiaTheme="minorEastAsia"/>
          <w:kern w:val="2"/>
          <w:sz w:val="32"/>
          <w:szCs w:val="32"/>
        </w:rPr>
      </w:pPr>
    </w:p>
    <w:p>
      <w:pPr>
        <w:pStyle w:val="115"/>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3"/>
        <w:ind w:firstLine="0" w:firstLineChars="0"/>
        <w:jc w:val="center"/>
        <w:outlineLvl w:val="0"/>
        <w:rPr>
          <w:rFonts w:cs="仿宋_GB2312" w:asciiTheme="minorEastAsia" w:hAnsiTheme="minorEastAsia" w:eastAsiaTheme="minorEastAsia"/>
          <w:b/>
          <w:sz w:val="36"/>
          <w:szCs w:val="36"/>
        </w:rPr>
      </w:pPr>
      <w:bookmarkStart w:id="192" w:name="_Toc181203101"/>
      <w:r>
        <w:rPr>
          <w:rFonts w:hint="eastAsia" w:cs="仿宋_GB2312" w:asciiTheme="minorEastAsia" w:hAnsiTheme="minorEastAsia" w:eastAsiaTheme="minorEastAsia"/>
          <w:b/>
          <w:sz w:val="36"/>
          <w:szCs w:val="36"/>
        </w:rPr>
        <w:t>第八部分  最后报价格式</w:t>
      </w:r>
      <w:bookmarkEnd w:id="192"/>
    </w:p>
    <w:p>
      <w:pPr>
        <w:pStyle w:val="632"/>
        <w:jc w:val="center"/>
        <w:rPr>
          <w:b/>
          <w:sz w:val="32"/>
          <w:szCs w:val="32"/>
        </w:rPr>
      </w:pPr>
      <w:r>
        <w:rPr>
          <w:rFonts w:hint="eastAsia"/>
          <w:b/>
          <w:sz w:val="32"/>
          <w:szCs w:val="32"/>
        </w:rPr>
        <w:t>（一）报价一览表</w:t>
      </w:r>
    </w:p>
    <w:p>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pPr>
              <w:spacing w:line="360" w:lineRule="auto"/>
              <w:jc w:val="center"/>
              <w:rPr>
                <w:rFonts w:cs="宋体" w:asciiTheme="minorEastAsia" w:hAnsiTheme="minorEastAsia" w:eastAsiaTheme="minorEastAsia"/>
                <w:b/>
                <w:sz w:val="24"/>
              </w:rPr>
            </w:pPr>
          </w:p>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pPr>
              <w:spacing w:line="360" w:lineRule="auto"/>
              <w:jc w:val="center"/>
              <w:rPr>
                <w:rFonts w:cs="宋体"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cs="宋体" w:asciiTheme="minorEastAsia" w:hAnsiTheme="minorEastAsia" w:eastAsiaTheme="minorEastAsia"/>
                <w:sz w:val="24"/>
              </w:rPr>
            </w:pPr>
          </w:p>
        </w:tc>
        <w:tc>
          <w:tcPr>
            <w:tcW w:w="992"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410" w:type="dxa"/>
            <w:vAlign w:val="center"/>
          </w:tcPr>
          <w:p>
            <w:pPr>
              <w:snapToGrid w:val="0"/>
              <w:spacing w:line="360" w:lineRule="auto"/>
              <w:jc w:val="center"/>
              <w:rPr>
                <w:rFonts w:cs="宋体" w:asciiTheme="minorEastAsia" w:hAnsiTheme="minorEastAsia" w:eastAsiaTheme="minorEastAsia"/>
                <w:sz w:val="24"/>
              </w:rPr>
            </w:pPr>
          </w:p>
        </w:tc>
        <w:tc>
          <w:tcPr>
            <w:tcW w:w="2268" w:type="dxa"/>
            <w:vAlign w:val="center"/>
          </w:tcPr>
          <w:p>
            <w:pPr>
              <w:snapToGrid w:val="0"/>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c>
          <w:tcPr>
            <w:tcW w:w="2127" w:type="dxa"/>
          </w:tcPr>
          <w:p>
            <w:pPr>
              <w:spacing w:line="360" w:lineRule="auto"/>
              <w:jc w:val="center"/>
              <w:rPr>
                <w:rFonts w:cs="宋体" w:asciiTheme="minorEastAsia" w:hAnsiTheme="minorEastAsia" w:eastAsiaTheme="minorEastAsia"/>
                <w:sz w:val="24"/>
              </w:rPr>
            </w:pPr>
          </w:p>
        </w:tc>
        <w:tc>
          <w:tcPr>
            <w:tcW w:w="2126" w:type="dxa"/>
            <w:vAlign w:val="center"/>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pPr>
              <w:spacing w:line="360" w:lineRule="auto"/>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pPr>
              <w:spacing w:line="360" w:lineRule="auto"/>
              <w:jc w:val="center"/>
              <w:rPr>
                <w:rFonts w:cs="宋体" w:asciiTheme="minorEastAsia" w:hAnsiTheme="minorEastAsia" w:eastAsiaTheme="minorEastAsia"/>
                <w:sz w:val="24"/>
              </w:rPr>
            </w:pPr>
          </w:p>
        </w:tc>
      </w:tr>
    </w:tbl>
    <w:p>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w:t>
      </w:r>
      <w:r>
        <w:rPr>
          <w:rFonts w:hint="eastAsia" w:cs="仿宋_GB2312" w:asciiTheme="minorEastAsia" w:hAnsiTheme="minorEastAsia" w:eastAsiaTheme="minorEastAsia"/>
          <w:kern w:val="0"/>
          <w:sz w:val="24"/>
          <w:lang w:val="zh-CN"/>
        </w:rPr>
        <w:t>成交</w:t>
      </w:r>
      <w:r>
        <w:rPr>
          <w:rFonts w:cs="仿宋_GB2312" w:asciiTheme="minorEastAsia" w:hAnsiTheme="minorEastAsia" w:eastAsiaTheme="minorEastAsia"/>
          <w:kern w:val="0"/>
          <w:sz w:val="24"/>
          <w:lang w:val="zh-CN"/>
        </w:rPr>
        <w:t>、成交，依照《中华人民共和国政府采购法》等国家有关规定追究相应责任。</w:t>
      </w:r>
    </w:p>
    <w:p>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cs="仿宋_GB2312" w:asciiTheme="minorEastAsia" w:hAnsiTheme="minorEastAsia" w:eastAsiaTheme="minorEastAsia"/>
          <w:color w:val="FF0000"/>
          <w:kern w:val="0"/>
          <w:sz w:val="24"/>
          <w:lang w:val="zh-CN"/>
        </w:rPr>
        <w:t>如有多轮报价，则每轮报价</w:t>
      </w:r>
      <w:r>
        <w:rPr>
          <w:rFonts w:hint="eastAsia" w:cs="宋体" w:asciiTheme="minorEastAsia" w:hAnsiTheme="minorEastAsia" w:eastAsiaTheme="minorEastAsia"/>
          <w:color w:val="FF0000"/>
          <w:kern w:val="0"/>
          <w:sz w:val="24"/>
          <w:lang w:val="zh-CN"/>
        </w:rPr>
        <w:t>供应商均</w:t>
      </w:r>
      <w:r>
        <w:rPr>
          <w:rFonts w:hint="eastAsia" w:ascii="宋体" w:hAnsi="宋体" w:cs="宋体"/>
          <w:color w:val="FF0000"/>
          <w:kern w:val="0"/>
          <w:sz w:val="24"/>
          <w:lang w:val="zh-CN"/>
        </w:rPr>
        <w:t>需按本表格式填写</w:t>
      </w:r>
      <w:r>
        <w:rPr>
          <w:rFonts w:cs="仿宋_GB2312" w:asciiTheme="minorEastAsia" w:hAnsiTheme="minorEastAsia" w:eastAsiaTheme="minorEastAsia"/>
          <w:color w:val="FF0000"/>
          <w:kern w:val="0"/>
          <w:sz w:val="24"/>
          <w:lang w:val="zh-CN"/>
        </w:rPr>
        <w:t>。</w:t>
      </w:r>
    </w:p>
    <w:p>
      <w:pPr>
        <w:spacing w:line="360" w:lineRule="auto"/>
        <w:ind w:right="-874" w:rightChars="-416"/>
        <w:rPr>
          <w:rFonts w:cs="仿宋_GB2312" w:asciiTheme="minorEastAsia" w:hAnsiTheme="minorEastAsia" w:eastAsiaTheme="minorEastAsia"/>
          <w:sz w:val="24"/>
        </w:rPr>
      </w:pPr>
    </w:p>
    <w:p>
      <w:pPr>
        <w:spacing w:line="360" w:lineRule="auto"/>
        <w:ind w:right="-874" w:rightChars="-416"/>
        <w:rPr>
          <w:rFonts w:cs="仿宋_GB2312" w:asciiTheme="minorEastAsia" w:hAnsiTheme="minorEastAsia" w:eastAsiaTheme="minorEastAsia"/>
          <w:sz w:val="24"/>
        </w:rPr>
      </w:pPr>
    </w:p>
    <w:p>
      <w:pPr>
        <w:spacing w:line="360" w:lineRule="auto"/>
        <w:ind w:right="-874" w:rightChars="-416"/>
        <w:rPr>
          <w:rFonts w:cs="仿宋_GB2312" w:asciiTheme="minorEastAsia" w:hAnsiTheme="minorEastAsia" w:eastAsiaTheme="minorEastAsia"/>
          <w:sz w:val="24"/>
        </w:rPr>
      </w:pPr>
    </w:p>
    <w:p>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93" w:name="_Toc465665161"/>
      <w:r>
        <w:rPr>
          <w:rFonts w:hint="eastAsia" w:asciiTheme="minorEastAsia" w:hAnsiTheme="minorEastAsia" w:eastAsiaTheme="minorEastAsia"/>
          <w:b/>
          <w:sz w:val="32"/>
          <w:szCs w:val="32"/>
        </w:rPr>
        <w:t>（如果有）</w:t>
      </w:r>
    </w:p>
    <w:p>
      <w:pPr>
        <w:widowControl/>
        <w:spacing w:line="360" w:lineRule="auto"/>
        <w:ind w:firstLine="120" w:firstLineChars="50"/>
        <w:jc w:val="left"/>
        <w:rPr>
          <w:rFonts w:cs="宋体" w:asciiTheme="minorEastAsia" w:hAnsiTheme="minorEastAsia" w:eastAsiaTheme="minorEastAsia"/>
          <w:b/>
          <w:sz w:val="24"/>
        </w:rPr>
      </w:pPr>
    </w:p>
    <w:p>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pPr>
        <w:widowControl/>
        <w:adjustRightInd/>
        <w:jc w:val="center"/>
        <w:rPr>
          <w:rFonts w:cs="仿宋_GB2312" w:asciiTheme="minorEastAsia" w:hAnsiTheme="minorEastAsia" w:eastAsiaTheme="minorEastAsia"/>
          <w:sz w:val="24"/>
        </w:rPr>
      </w:pPr>
    </w:p>
    <w:p>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pPr>
        <w:pStyle w:val="632"/>
      </w:pPr>
      <w:r>
        <w:rPr>
          <w:rFonts w:hint="eastAsia"/>
        </w:rPr>
        <w:t>附件</w:t>
      </w:r>
      <w:bookmarkEnd w:id="193"/>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sz w:val="30"/>
          <w:szCs w:val="30"/>
        </w:rPr>
      </w:pPr>
    </w:p>
    <w:p>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pPr>
        <w:spacing w:line="360" w:lineRule="auto"/>
        <w:jc w:val="center"/>
        <w:rPr>
          <w:rFonts w:cs="仿宋_GB2312" w:asciiTheme="minorEastAsia" w:hAnsiTheme="minorEastAsia" w:eastAsiaTheme="minorEastAsia"/>
          <w:b/>
          <w:sz w:val="24"/>
        </w:rPr>
      </w:pPr>
    </w:p>
    <w:p>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p>
    <w:p>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pPr>
        <w:spacing w:line="360" w:lineRule="auto"/>
        <w:rPr>
          <w:rFonts w:asciiTheme="minorEastAsia" w:hAnsiTheme="minorEastAsia" w:eastAsiaTheme="minorEastAsia"/>
          <w:b/>
          <w:spacing w:val="6"/>
          <w:sz w:val="32"/>
          <w:szCs w:val="32"/>
        </w:rPr>
      </w:pPr>
    </w:p>
    <w:p>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pPr>
        <w:spacing w:line="360" w:lineRule="auto"/>
        <w:rPr>
          <w:rFonts w:asciiTheme="minorEastAsia" w:hAnsiTheme="minorEastAsia" w:eastAsiaTheme="minorEastAsia"/>
          <w:b/>
          <w:spacing w:val="6"/>
          <w:sz w:val="30"/>
          <w:szCs w:val="30"/>
        </w:rPr>
      </w:pP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sz w:val="24"/>
        </w:rPr>
      </w:pPr>
    </w:p>
    <w:p>
      <w:pPr>
        <w:spacing w:line="360" w:lineRule="auto"/>
        <w:ind w:firstLine="480" w:firstLineChars="200"/>
        <w:rPr>
          <w:rFonts w:cs="仿宋_GB2312" w:asciiTheme="minorEastAsia" w:hAnsiTheme="minorEastAsia" w:eastAsiaTheme="minorEastAsia"/>
          <w:sz w:val="24"/>
        </w:rPr>
      </w:pP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pPr>
        <w:spacing w:line="360" w:lineRule="auto"/>
        <w:ind w:firstLine="480" w:firstLineChars="200"/>
        <w:rPr>
          <w:rFonts w:cs="仿宋_GB2312" w:asciiTheme="minorEastAsia" w:hAnsiTheme="minorEastAsia" w:eastAsiaTheme="minorEastAsia"/>
          <w:sz w:val="24"/>
        </w:rPr>
      </w:pPr>
    </w:p>
    <w:p>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pPr>
        <w:spacing w:line="360" w:lineRule="auto"/>
        <w:jc w:val="left"/>
        <w:rPr>
          <w:rFonts w:cs="仿宋_GB2312" w:asciiTheme="minorEastAsia" w:hAnsiTheme="minorEastAsia" w:eastAsiaTheme="minorEastAsia"/>
          <w:b/>
          <w:sz w:val="24"/>
        </w:rPr>
      </w:pPr>
    </w:p>
    <w:p>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pPr>
        <w:autoSpaceDE w:val="0"/>
        <w:autoSpaceDN w:val="0"/>
        <w:jc w:val="center"/>
        <w:rPr>
          <w:rFonts w:asciiTheme="minorEastAsia" w:hAnsiTheme="minorEastAsia" w:eastAsiaTheme="minorEastAsia"/>
          <w:b/>
          <w:bCs/>
          <w:sz w:val="32"/>
          <w:szCs w:val="32"/>
        </w:rPr>
      </w:pP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firstLine="494"/>
        <w:rPr>
          <w:rFonts w:cs="宋体" w:asciiTheme="minorEastAsia" w:hAnsiTheme="minorEastAsia" w:eastAsiaTheme="minorEastAsia"/>
          <w:sz w:val="24"/>
        </w:rPr>
      </w:pP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pPr>
        <w:widowControl/>
        <w:spacing w:line="360" w:lineRule="auto"/>
        <w:ind w:firstLine="480" w:firstLineChars="200"/>
        <w:jc w:val="left"/>
        <w:rPr>
          <w:rFonts w:cs="宋体" w:asciiTheme="minorEastAsia" w:hAnsiTheme="minorEastAsia" w:eastAsiaTheme="minorEastAsia"/>
          <w:kern w:val="0"/>
          <w:sz w:val="24"/>
        </w:rPr>
      </w:pPr>
    </w:p>
    <w:p>
      <w:pPr>
        <w:snapToGrid w:val="0"/>
        <w:spacing w:line="360" w:lineRule="auto"/>
        <w:jc w:val="center"/>
        <w:rPr>
          <w:rFonts w:cs="仿宋_GB2312" w:asciiTheme="minorEastAsia" w:hAnsiTheme="minorEastAsia" w:eastAsiaTheme="minorEastAsia"/>
          <w:b/>
          <w:sz w:val="24"/>
        </w:rPr>
      </w:pPr>
    </w:p>
    <w:p>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pPr>
        <w:spacing w:line="360" w:lineRule="auto"/>
        <w:jc w:val="center"/>
        <w:rPr>
          <w:rFonts w:cs="宋体" w:asciiTheme="minorEastAsia" w:hAnsiTheme="minorEastAsia" w:eastAsiaTheme="minorEastAsia"/>
          <w:b/>
          <w:sz w:val="32"/>
          <w:szCs w:val="32"/>
        </w:rPr>
      </w:pPr>
    </w:p>
    <w:p>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pPr>
        <w:spacing w:line="360" w:lineRule="auto"/>
        <w:jc w:val="center"/>
        <w:rPr>
          <w:rFonts w:cs="宋体" w:asciiTheme="minorEastAsia" w:hAnsiTheme="minorEastAsia" w:eastAsiaTheme="minorEastAsia"/>
          <w:b/>
          <w:sz w:val="32"/>
          <w:szCs w:val="32"/>
        </w:rPr>
      </w:pPr>
    </w:p>
    <w:p>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成交、成交的，依法承担法律责任。</w:t>
      </w:r>
    </w:p>
    <w:p>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sz w:val="24"/>
        </w:rPr>
      </w:pPr>
    </w:p>
    <w:p>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bookmarkStart w:id="194" w:name="_Toc164085800"/>
    <w:bookmarkStart w:id="195" w:name="_Toc36110187"/>
    <w:bookmarkStart w:id="196" w:name="_Toc91899912"/>
    <w:bookmarkStart w:id="197" w:name="_Toc131845147"/>
    <w:r>
      <w:rPr>
        <w:rFonts w:hint="eastAsia" w:ascii="仿宋_GB2312" w:eastAsia="仿宋_GB2312"/>
        <w:kern w:val="0"/>
        <w:sz w:val="21"/>
        <w:szCs w:val="21"/>
      </w:rPr>
      <w:t xml:space="preserve"> 页</w:t>
    </w:r>
    <w:bookmarkEnd w:id="194"/>
    <w:bookmarkEnd w:id="195"/>
    <w:bookmarkEnd w:id="196"/>
    <w:bookmarkEnd w:id="19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w:t>
    </w:r>
    <w:r>
      <w:rPr>
        <w:rFonts w:hint="eastAsia"/>
      </w:rPr>
      <w:t xml:space="preserve">         </w:t>
    </w:r>
  </w:p>
  <w:p>
    <w:pPr>
      <w:pStyle w:val="39"/>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spacing w:after="120"/>
    </w:pPr>
    <w:r>
      <w:t></w:t>
    </w:r>
    <w:r>
      <w:rPr>
        <w:rFonts w:hint="eastAsia"/>
      </w:rPr>
      <w:t xml:space="preserve">         </w:t>
    </w:r>
  </w:p>
  <w:p>
    <w:pPr>
      <w:pStyle w:val="39"/>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02F40A95"/>
    <w:multiLevelType w:val="multilevel"/>
    <w:tmpl w:val="02F40A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6">
    <w:nsid w:val="20182419"/>
    <w:multiLevelType w:val="singleLevel"/>
    <w:tmpl w:val="20182419"/>
    <w:lvl w:ilvl="0" w:tentative="0">
      <w:start w:val="4"/>
      <w:numFmt w:val="chineseCounting"/>
      <w:suff w:val="nothing"/>
      <w:lvlText w:val="（%1）"/>
      <w:lvlJc w:val="left"/>
      <w:rPr>
        <w:rFonts w:hint="eastAsia"/>
      </w:r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2"/>
  </w:num>
  <w:num w:numId="3">
    <w:abstractNumId w:val="0"/>
  </w:num>
  <w:num w:numId="4">
    <w:abstractNumId w:val="1"/>
  </w:num>
  <w:num w:numId="5">
    <w:abstractNumId w:val="8"/>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2C5"/>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9F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6EF1"/>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F93"/>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7765D"/>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0A58"/>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36938"/>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20D"/>
    <w:rsid w:val="0090079D"/>
    <w:rsid w:val="00900D2C"/>
    <w:rsid w:val="00901F0E"/>
    <w:rsid w:val="0090408F"/>
    <w:rsid w:val="0090446A"/>
    <w:rsid w:val="00904DC3"/>
    <w:rsid w:val="00905469"/>
    <w:rsid w:val="0090629C"/>
    <w:rsid w:val="009065C6"/>
    <w:rsid w:val="00906EA2"/>
    <w:rsid w:val="00907278"/>
    <w:rsid w:val="0091092A"/>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021"/>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94"/>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6A6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4D9"/>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1706"/>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3FAD"/>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D7B28"/>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65A6178"/>
    <w:rsid w:val="075562B7"/>
    <w:rsid w:val="07F6164B"/>
    <w:rsid w:val="087A1B7A"/>
    <w:rsid w:val="096B2097"/>
    <w:rsid w:val="0A5B7E63"/>
    <w:rsid w:val="0C87121B"/>
    <w:rsid w:val="0DF702FE"/>
    <w:rsid w:val="0E3F698B"/>
    <w:rsid w:val="0E4F12F3"/>
    <w:rsid w:val="0F21508F"/>
    <w:rsid w:val="0F816ACD"/>
    <w:rsid w:val="0FB94501"/>
    <w:rsid w:val="10B047CF"/>
    <w:rsid w:val="10FC16EA"/>
    <w:rsid w:val="118963A1"/>
    <w:rsid w:val="11D15FAD"/>
    <w:rsid w:val="127723A9"/>
    <w:rsid w:val="12B30A94"/>
    <w:rsid w:val="13072A44"/>
    <w:rsid w:val="145044FA"/>
    <w:rsid w:val="186742B0"/>
    <w:rsid w:val="1A0E0CCD"/>
    <w:rsid w:val="1A80234F"/>
    <w:rsid w:val="1B2A271F"/>
    <w:rsid w:val="1B890139"/>
    <w:rsid w:val="1D266CE1"/>
    <w:rsid w:val="1D3963AF"/>
    <w:rsid w:val="1E714A66"/>
    <w:rsid w:val="1FE868A9"/>
    <w:rsid w:val="211E26D6"/>
    <w:rsid w:val="21283D08"/>
    <w:rsid w:val="25B440B3"/>
    <w:rsid w:val="2AA1365A"/>
    <w:rsid w:val="2ADA0B18"/>
    <w:rsid w:val="2DD15014"/>
    <w:rsid w:val="2FD25781"/>
    <w:rsid w:val="319C6071"/>
    <w:rsid w:val="32DB72BE"/>
    <w:rsid w:val="342E63AB"/>
    <w:rsid w:val="345D260B"/>
    <w:rsid w:val="365302AE"/>
    <w:rsid w:val="37F142D2"/>
    <w:rsid w:val="39A13F14"/>
    <w:rsid w:val="3C336342"/>
    <w:rsid w:val="3C5F759A"/>
    <w:rsid w:val="3D5C78D4"/>
    <w:rsid w:val="3FFF72A6"/>
    <w:rsid w:val="42E1381E"/>
    <w:rsid w:val="43FB717C"/>
    <w:rsid w:val="451E447A"/>
    <w:rsid w:val="45345B76"/>
    <w:rsid w:val="47307808"/>
    <w:rsid w:val="486F747C"/>
    <w:rsid w:val="4D861CF6"/>
    <w:rsid w:val="51A0432A"/>
    <w:rsid w:val="527140E5"/>
    <w:rsid w:val="5292508F"/>
    <w:rsid w:val="52A96B6F"/>
    <w:rsid w:val="54917466"/>
    <w:rsid w:val="550764A4"/>
    <w:rsid w:val="551926E0"/>
    <w:rsid w:val="561279B9"/>
    <w:rsid w:val="56515F3B"/>
    <w:rsid w:val="572B71CA"/>
    <w:rsid w:val="57E958DA"/>
    <w:rsid w:val="58AE4F0C"/>
    <w:rsid w:val="5A2A7C7B"/>
    <w:rsid w:val="5C80234E"/>
    <w:rsid w:val="5E261785"/>
    <w:rsid w:val="5FCC5339"/>
    <w:rsid w:val="5FE70807"/>
    <w:rsid w:val="60E53485"/>
    <w:rsid w:val="61054A27"/>
    <w:rsid w:val="611D2366"/>
    <w:rsid w:val="62885958"/>
    <w:rsid w:val="63B75221"/>
    <w:rsid w:val="64CE2EAA"/>
    <w:rsid w:val="662E75B1"/>
    <w:rsid w:val="66342C2E"/>
    <w:rsid w:val="663E784C"/>
    <w:rsid w:val="685867EC"/>
    <w:rsid w:val="6B6925B8"/>
    <w:rsid w:val="6E8E12EF"/>
    <w:rsid w:val="6F300241"/>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styleId="2">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index 4"/>
    <w:basedOn w:val="1"/>
    <w:next w:val="1"/>
    <w:unhideWhenUsed/>
    <w:qFormat/>
    <w:uiPriority w:val="99"/>
    <w:rPr>
      <w:b/>
      <w:sz w:val="24"/>
      <w:lang w:val="zh-CN"/>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6"/>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link w:val="637"/>
    <w:qFormat/>
    <w:uiPriority w:val="99"/>
    <w:pPr>
      <w:tabs>
        <w:tab w:val="center" w:pos="4153"/>
        <w:tab w:val="right" w:pos="8306"/>
      </w:tabs>
      <w:snapToGrid w:val="0"/>
      <w:jc w:val="left"/>
    </w:pPr>
    <w:rPr>
      <w:sz w:val="18"/>
      <w:szCs w:val="18"/>
    </w:rPr>
  </w:style>
  <w:style w:type="paragraph" w:styleId="39">
    <w:name w:val="header"/>
    <w:basedOn w:val="1"/>
    <w:link w:val="638"/>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2"/>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0"/>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w:basedOn w:val="22"/>
    <w:link w:val="544"/>
    <w:qFormat/>
    <w:uiPriority w:val="0"/>
    <w:pPr>
      <w:ind w:firstLine="420"/>
    </w:pPr>
    <w:rPr>
      <w:szCs w:val="20"/>
    </w:rPr>
  </w:style>
  <w:style w:type="paragraph" w:styleId="60">
    <w:name w:val="Body Text First Indent 2"/>
    <w:basedOn w:val="23"/>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Default"/>
    <w:next w:val="1"/>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72"/>
    <w:next w:val="72"/>
    <w:qFormat/>
    <w:uiPriority w:val="0"/>
    <w:pPr>
      <w:spacing w:after="68"/>
    </w:pPr>
    <w:rPr>
      <w:rFonts w:ascii="FHLHE E+ Futura Bk" w:eastAsia="FHLHE E+ Futura Bk" w:cs="Times New Roman"/>
      <w:color w:val="auto"/>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99"/>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2"/>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2"/>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6"/>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6"/>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72"/>
    <w:next w:val="72"/>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5"/>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5"/>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2"/>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6"/>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1"/>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7"/>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2"/>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7"/>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10"/>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9"/>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0"/>
    <w:qFormat/>
    <w:uiPriority w:val="0"/>
    <w:rPr>
      <w:rFonts w:ascii="宋体" w:hAnsi="宋体"/>
      <w:kern w:val="2"/>
      <w:sz w:val="21"/>
      <w:szCs w:val="24"/>
    </w:rPr>
  </w:style>
  <w:style w:type="character" w:customStyle="1" w:styleId="502">
    <w:name w:val="正文文本缩进 2 Char"/>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1"/>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7"/>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5"/>
    <w:qFormat/>
    <w:uiPriority w:val="0"/>
    <w:rPr>
      <w:rFonts w:ascii="宋体"/>
      <w:kern w:val="2"/>
      <w:sz w:val="24"/>
      <w:szCs w:val="21"/>
      <w:lang w:val="zh-CN"/>
    </w:rPr>
  </w:style>
  <w:style w:type="character" w:customStyle="1" w:styleId="598">
    <w:name w:val="标题 4 Char"/>
    <w:link w:val="6"/>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8"/>
    <w:qFormat/>
    <w:uiPriority w:val="0"/>
    <w:rPr>
      <w:rFonts w:ascii="Arial" w:hAnsi="Arial" w:eastAsia="黑体"/>
      <w:b/>
      <w:bCs/>
      <w:kern w:val="2"/>
      <w:sz w:val="24"/>
      <w:szCs w:val="24"/>
    </w:rPr>
  </w:style>
  <w:style w:type="character" w:customStyle="1" w:styleId="612">
    <w:name w:val="正文缩进 Char2"/>
    <w:link w:val="2"/>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72"/>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character" w:customStyle="1" w:styleId="637">
    <w:name w:val="页脚 Char2"/>
    <w:link w:val="38"/>
    <w:qFormat/>
    <w:locked/>
    <w:uiPriority w:val="99"/>
    <w:rPr>
      <w:kern w:val="2"/>
      <w:sz w:val="18"/>
      <w:szCs w:val="18"/>
    </w:rPr>
  </w:style>
  <w:style w:type="character" w:customStyle="1" w:styleId="638">
    <w:name w:val="页眉 Char2"/>
    <w:link w:val="39"/>
    <w:qFormat/>
    <w:uiPriority w:val="99"/>
    <w:rPr>
      <w:kern w:val="2"/>
      <w:sz w:val="18"/>
      <w:szCs w:val="18"/>
    </w:rPr>
  </w:style>
  <w:style w:type="table" w:customStyle="1" w:styleId="639">
    <w:name w:val="网格型3"/>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0">
    <w:name w:val="Table Normal"/>
    <w:basedOn w:val="61"/>
    <w:semiHidden/>
    <w:qFormat/>
    <w:uiPriority w:val="0"/>
    <w:rPr>
      <w:rFonts w:ascii="Calibri" w:hAnsi="Calibri"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35329-F6BA-46A4-A477-67E94CC025A8}">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92</Pages>
  <Words>47126</Words>
  <Characters>49499</Characters>
  <Lines>414</Lines>
  <Paragraphs>116</Paragraphs>
  <TotalTime>99</TotalTime>
  <ScaleCrop>false</ScaleCrop>
  <LinksUpToDate>false</LinksUpToDate>
  <CharactersWithSpaces>55430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2026-01-29T01:23:00Z</cp:lastPrinted>
  <dcterms:modified xsi:type="dcterms:W3CDTF">2026-01-29T07:33:24Z</dcterms:modified>
  <dc:title>北海市政府采购中心</dc:title>
  <cp:revision>789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15613CAFFEDA41F6934B8678D5595575</vt:lpwstr>
  </property>
  <property fmtid="{D5CDD505-2E9C-101B-9397-08002B2CF9AE}" pid="4" name="KSOTemplateDocerSaveRecord">
    <vt:lpwstr>eyJoZGlkIjoiOTdlZmYyMDQyZTU4YzRmYWMwNjVkZGI4NDVhODE1ODciLCJ1c2VySWQiOiIyNTAyOTM1NTQifQ==</vt:lpwstr>
  </property>
</Properties>
</file>