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8"/>
          <w:szCs w:val="48"/>
          <w:highlight w:val="none"/>
          <w:lang w:eastAsia="zh-CN"/>
        </w:rPr>
        <w:t>科技法庭二期建设项目</w:t>
      </w:r>
    </w:p>
    <w:p>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52"/>
          <w:szCs w:val="52"/>
          <w:highlight w:val="none"/>
          <w:lang w:val="zh-CN"/>
        </w:rPr>
        <w:t>竞争性谈判</w:t>
      </w:r>
      <w:r>
        <w:rPr>
          <w:rFonts w:hint="eastAsia" w:cs="仿宋_GB2312" w:asciiTheme="minorEastAsia" w:hAnsiTheme="minorEastAsia" w:eastAsiaTheme="minorEastAsia"/>
          <w:b/>
          <w:color w:val="auto"/>
          <w:sz w:val="52"/>
          <w:szCs w:val="52"/>
          <w:highlight w:val="none"/>
        </w:rPr>
        <w:t>文件</w:t>
      </w:r>
    </w:p>
    <w:p>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BHZC2025-J1-990370-CGZX</w:t>
      </w:r>
      <w:r>
        <w:rPr>
          <w:rFonts w:hint="eastAsia" w:cs="仿宋_GB2312" w:asciiTheme="minorEastAsia" w:hAnsiTheme="minorEastAsia" w:eastAsiaTheme="minorEastAsia"/>
          <w:color w:val="auto"/>
          <w:sz w:val="30"/>
          <w:szCs w:val="30"/>
          <w:highlight w:val="none"/>
        </w:rPr>
        <w:t>）</w:t>
      </w:r>
    </w:p>
    <w:p>
      <w:pPr>
        <w:adjustRightInd/>
        <w:spacing w:line="360" w:lineRule="auto"/>
        <w:rPr>
          <w:rFonts w:cs="仿宋_GB2312" w:asciiTheme="minorEastAsia" w:hAnsiTheme="minorEastAsia" w:eastAsiaTheme="minorEastAsia"/>
          <w:color w:val="auto"/>
          <w:sz w:val="28"/>
          <w:szCs w:val="20"/>
          <w:highlight w:val="none"/>
        </w:rPr>
      </w:pPr>
    </w:p>
    <w:p>
      <w:pPr>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sz w:val="24"/>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lang w:eastAsia="zh-CN"/>
        </w:rPr>
      </w:pPr>
      <w:r>
        <w:rPr>
          <w:rFonts w:hint="eastAsia" w:ascii="宋体" w:hAnsi="宋体" w:cs="宋体" w:eastAsiaTheme="minorEastAsia"/>
          <w:color w:val="auto"/>
          <w:sz w:val="32"/>
          <w:szCs w:val="32"/>
          <w:highlight w:val="none"/>
          <w:lang w:eastAsia="zh-CN"/>
        </w:rPr>
        <w:t>合浦县人民法院</w:t>
      </w:r>
    </w:p>
    <w:p>
      <w:pPr>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ascii="宋体" w:hAnsi="宋体" w:cs="宋体" w:eastAsiaTheme="minorEastAsia"/>
          <w:bCs/>
          <w:color w:val="auto"/>
          <w:sz w:val="32"/>
          <w:szCs w:val="32"/>
          <w:highlight w:val="none"/>
          <w:lang w:eastAsia="zh-CN"/>
        </w:rPr>
        <w:t>北海市政府采购中心</w:t>
      </w:r>
    </w:p>
    <w:p>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二五年</w:t>
      </w:r>
      <w:r>
        <w:rPr>
          <w:rFonts w:hint="eastAsia" w:cs="仿宋_GB2312" w:asciiTheme="minorEastAsia" w:hAnsiTheme="minorEastAsia" w:eastAsiaTheme="minorEastAsia"/>
          <w:bCs/>
          <w:color w:val="auto"/>
          <w:sz w:val="32"/>
          <w:szCs w:val="32"/>
          <w:highlight w:val="none"/>
          <w:lang w:val="en-US" w:eastAsia="zh-CN"/>
        </w:rPr>
        <w:t>十二</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二十五</w:t>
      </w:r>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29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8</w:t>
      </w:r>
      <w:r>
        <w:rPr>
          <w:rFonts w:hint="eastAsia"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1</w:t>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第八部分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 xml:space="preserve">第一部分  </w:t>
      </w:r>
      <w:bookmarkEnd w:id="8"/>
      <w:r>
        <w:rPr>
          <w:rFonts w:hint="eastAsia" w:cs="仿宋_GB2312" w:asciiTheme="minorEastAsia" w:hAnsiTheme="minorEastAsia" w:eastAsiaTheme="minorEastAsia"/>
          <w:b/>
          <w:color w:val="auto"/>
          <w:sz w:val="36"/>
          <w:szCs w:val="36"/>
          <w:highlight w:val="none"/>
        </w:rPr>
        <w:t>采购公告</w:t>
      </w:r>
    </w:p>
    <w:p>
      <w:pPr>
        <w:adjustRightInd/>
        <w:jc w:val="center"/>
        <w:rPr>
          <w:rFonts w:hint="eastAsia" w:cs="仿宋_GB2312" w:asciiTheme="minorEastAsia" w:hAnsiTheme="minorEastAsia" w:eastAsiaTheme="minorEastAsia"/>
          <w:b/>
          <w:color w:val="auto"/>
          <w:sz w:val="36"/>
          <w:szCs w:val="20"/>
          <w:highlight w:val="none"/>
          <w:lang w:eastAsia="zh-CN"/>
        </w:rPr>
      </w:pPr>
      <w:bookmarkStart w:id="12" w:name="OLE_LINK101"/>
      <w:bookmarkStart w:id="13" w:name="OLE_LINK1"/>
      <w:r>
        <w:rPr>
          <w:rFonts w:hint="eastAsia" w:cs="仿宋_GB2312" w:asciiTheme="minorEastAsia" w:hAnsiTheme="minorEastAsia" w:eastAsiaTheme="minorEastAsia"/>
          <w:b/>
          <w:color w:val="auto"/>
          <w:sz w:val="36"/>
          <w:szCs w:val="20"/>
          <w:highlight w:val="none"/>
        </w:rPr>
        <w:t>北海市政府采购中心关于</w:t>
      </w:r>
      <w:bookmarkStart w:id="14" w:name="OLE_LINK92"/>
      <w:bookmarkStart w:id="15" w:name="OLE_LINK91"/>
      <w:r>
        <w:rPr>
          <w:rFonts w:hint="eastAsia" w:cs="仿宋_GB2312" w:asciiTheme="minorEastAsia" w:hAnsiTheme="minorEastAsia" w:eastAsiaTheme="minorEastAsia"/>
          <w:b/>
          <w:color w:val="auto"/>
          <w:sz w:val="36"/>
          <w:szCs w:val="20"/>
          <w:highlight w:val="none"/>
          <w:lang w:eastAsia="zh-CN"/>
        </w:rPr>
        <w:t>合浦县人民法院科技法庭二期建设项目</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BHZC2025-J1-990370-CGZX</w:t>
      </w:r>
      <w:r>
        <w:rPr>
          <w:rFonts w:hint="eastAsia" w:cs="仿宋_GB2312" w:asciiTheme="minorEastAsia" w:hAnsiTheme="minorEastAsia" w:eastAsiaTheme="minorEastAsia"/>
          <w:b/>
          <w:color w:val="auto"/>
          <w:sz w:val="36"/>
          <w:szCs w:val="20"/>
          <w:highlight w:val="none"/>
        </w:rPr>
        <w:t>)</w:t>
      </w:r>
      <w:bookmarkEnd w:id="14"/>
      <w:bookmarkEnd w:id="15"/>
      <w:r>
        <w:rPr>
          <w:rFonts w:hint="eastAsia" w:cs="仿宋_GB2312" w:asciiTheme="minorEastAsia" w:hAnsiTheme="minorEastAsia" w:eastAsiaTheme="minorEastAsia"/>
          <w:b/>
          <w:color w:val="auto"/>
          <w:sz w:val="36"/>
          <w:szCs w:val="20"/>
          <w:highlight w:val="none"/>
        </w:rPr>
        <w:t>竞争性谈判采购公告</w:t>
      </w:r>
      <w:r>
        <w:rPr>
          <w:rFonts w:hint="eastAsia" w:cs="仿宋_GB2312" w:asciiTheme="minorEastAsia" w:hAnsiTheme="minorEastAsia" w:eastAsiaTheme="minorEastAsia"/>
          <w:b/>
          <w:color w:val="auto"/>
          <w:sz w:val="36"/>
          <w:szCs w:val="20"/>
          <w:highlight w:val="none"/>
          <w:lang w:eastAsia="zh-CN"/>
        </w:rPr>
        <w:t>（二次公告）</w:t>
      </w:r>
    </w:p>
    <w:p>
      <w:pPr>
        <w:spacing w:line="360" w:lineRule="auto"/>
        <w:rPr>
          <w:rFonts w:asciiTheme="minorEastAsia" w:hAnsiTheme="minorEastAsia" w:eastAsiaTheme="minorEastAsia"/>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科技法庭二期建设项目</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"http://www.gcy.zfcg.gxzf.gov.cn）获取采购文件，并于2025年" </w:instrText>
      </w:r>
      <w:r>
        <w:rPr>
          <w:rFonts w:ascii="宋体" w:hAnsi="宋体" w:cs="宋体"/>
          <w:color w:val="auto"/>
          <w:sz w:val="24"/>
          <w:highlight w:val="none"/>
        </w:rPr>
        <w:fldChar w:fldCharType="separate"/>
      </w:r>
      <w:r>
        <w:rPr>
          <w:rStyle w:val="68"/>
          <w:rFonts w:ascii="宋体" w:hAnsi="宋体" w:cs="宋体"/>
          <w:color w:val="auto"/>
          <w:sz w:val="24"/>
          <w:highlight w:val="none"/>
        </w:rPr>
        <w:t>http://www.gcy.zfcg.gxzf.gov.cn</w:t>
      </w:r>
      <w:r>
        <w:rPr>
          <w:rFonts w:hint="eastAsia" w:ascii="宋体" w:hAnsi="宋体" w:cs="宋体"/>
          <w:color w:val="auto"/>
          <w:sz w:val="24"/>
          <w:highlight w:val="none"/>
          <w:lang w:eastAsia="zh-CN"/>
        </w:rPr>
        <w:t>）获取采购文件，并于</w:t>
      </w:r>
      <w:r>
        <w:rPr>
          <w:rStyle w:val="68"/>
          <w:rFonts w:hint="eastAsia" w:ascii="宋体" w:hAnsi="宋体" w:cs="宋体"/>
          <w:color w:val="auto"/>
          <w:sz w:val="24"/>
          <w:highlight w:val="none"/>
        </w:rPr>
        <w:t>2025年</w:t>
      </w:r>
      <w:r>
        <w:rPr>
          <w:rFonts w:ascii="宋体" w:hAnsi="宋体" w:cs="宋体"/>
          <w:color w:val="auto"/>
          <w:sz w:val="24"/>
          <w:highlight w:val="none"/>
        </w:rPr>
        <w:fldChar w:fldCharType="end"/>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BHZC2025-J1-990370-CGZX</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6" w:name="OLE_LINK19"/>
      <w:bookmarkStart w:id="17" w:name="OLE_LINK47"/>
      <w:bookmarkStart w:id="18" w:name="OLE_LINK20"/>
      <w:bookmarkStart w:id="19" w:name="OLE_LINK18"/>
      <w:r>
        <w:rPr>
          <w:rFonts w:hint="eastAsia" w:ascii="宋体" w:hAnsi="宋体" w:cs="宋体"/>
          <w:color w:val="auto"/>
          <w:kern w:val="0"/>
          <w:sz w:val="24"/>
          <w:highlight w:val="none"/>
          <w:lang w:eastAsia="zh-CN"/>
        </w:rPr>
        <w:t>科技法庭二期建设项目</w:t>
      </w:r>
    </w:p>
    <w:bookmarkEnd w:id="16"/>
    <w:bookmarkEnd w:id="17"/>
    <w:bookmarkEnd w:id="18"/>
    <w:bookmarkEnd w:id="19"/>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bookmarkStart w:id="20" w:name="OLE_LINK3"/>
      <w:r>
        <w:rPr>
          <w:rFonts w:hint="eastAsia" w:ascii="宋体" w:hAnsi="宋体" w:cs="宋体"/>
          <w:color w:val="auto"/>
          <w:kern w:val="0"/>
          <w:sz w:val="24"/>
          <w:highlight w:val="none"/>
          <w:lang w:eastAsia="zh-CN"/>
        </w:rPr>
        <w:t>899,400.00</w:t>
      </w:r>
      <w:bookmarkEnd w:id="20"/>
    </w:p>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pPr>
        <w:spacing w:line="360" w:lineRule="auto"/>
        <w:ind w:firstLine="482" w:firstLineChars="200"/>
        <w:jc w:val="left"/>
        <w:rPr>
          <w:rFonts w:ascii="宋体" w:hAnsi="宋体" w:cs="宋体"/>
          <w:b/>
          <w:color w:val="auto"/>
          <w:sz w:val="24"/>
          <w:highlight w:val="none"/>
        </w:rPr>
      </w:pPr>
    </w:p>
    <w:p>
      <w:pPr>
        <w:spacing w:line="360" w:lineRule="auto"/>
        <w:ind w:firstLine="480" w:firstLineChars="200"/>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标项名称:</w:t>
      </w:r>
      <w:r>
        <w:rPr>
          <w:rFonts w:hint="eastAsia" w:ascii="宋体" w:hAnsi="宋体" w:cs="宋体"/>
          <w:color w:val="auto"/>
          <w:kern w:val="0"/>
          <w:sz w:val="24"/>
          <w:highlight w:val="none"/>
          <w:lang w:eastAsia="zh-CN"/>
        </w:rPr>
        <w:t>科技法庭二期建设项目</w:t>
      </w:r>
    </w:p>
    <w:p>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899,400.00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21" w:name="OLE_LINK108"/>
      <w:bookmarkStart w:id="22" w:name="OLE_LINK109"/>
      <w:bookmarkStart w:id="23" w:name="OLE_LINK107"/>
      <w:bookmarkStart w:id="24" w:name="OLE_LINK30"/>
      <w:r>
        <w:rPr>
          <w:rFonts w:hint="eastAsia" w:ascii="宋体" w:hAnsi="宋体" w:cs="宋体"/>
          <w:color w:val="auto"/>
          <w:sz w:val="24"/>
          <w:highlight w:val="none"/>
          <w:lang w:eastAsia="zh-CN"/>
        </w:rPr>
        <w:t>采购</w:t>
      </w:r>
      <w:r>
        <w:rPr>
          <w:rFonts w:hint="eastAsia" w:ascii="宋体" w:hAnsi="宋体" w:cs="宋体"/>
          <w:color w:val="auto"/>
          <w:sz w:val="24"/>
          <w:highlight w:val="none"/>
          <w:lang w:val="en-US" w:eastAsia="zh-CN"/>
        </w:rPr>
        <w:t>高清流媒体庭审主机、</w:t>
      </w:r>
      <w:bookmarkEnd w:id="21"/>
      <w:bookmarkEnd w:id="22"/>
      <w:bookmarkEnd w:id="23"/>
      <w:r>
        <w:rPr>
          <w:rFonts w:hint="eastAsia" w:ascii="宋体" w:hAnsi="宋体" w:cs="宋体"/>
          <w:color w:val="auto"/>
          <w:sz w:val="24"/>
          <w:highlight w:val="none"/>
          <w:lang w:val="en-US" w:eastAsia="zh-CN"/>
        </w:rPr>
        <w:t>高清摄像机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全景摄像机音频处理器、调音台、功率放大器、均衡器等</w:t>
      </w:r>
      <w:r>
        <w:rPr>
          <w:rFonts w:hint="eastAsia" w:ascii="宋体" w:hAnsi="宋体" w:cs="宋体"/>
          <w:color w:val="auto"/>
          <w:sz w:val="24"/>
          <w:highlight w:val="none"/>
        </w:rPr>
        <w:t>，如需进一步了解，详见谈判文件。</w:t>
      </w:r>
    </w:p>
    <w:bookmarkEnd w:id="24"/>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5" w:name="OLE_LINK41"/>
      <w:bookmarkStart w:id="26" w:name="OLE_LINK42"/>
      <w:bookmarkStart w:id="27" w:name="OLE_LINK53"/>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899,400.00</w:t>
      </w:r>
    </w:p>
    <w:bookmarkEnd w:id="25"/>
    <w:bookmarkEnd w:id="26"/>
    <w:bookmarkEnd w:id="27"/>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8" w:name="OLE_LINK54"/>
      <w:bookmarkStart w:id="29" w:name="OLE_LINK61"/>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个日历日。</w:t>
      </w:r>
      <w:bookmarkEnd w:id="28"/>
      <w:bookmarkEnd w:id="29"/>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szCs w:val="24"/>
          <w:highlight w:val="none"/>
        </w:rPr>
        <w:t>：</w:t>
      </w:r>
      <w:bookmarkStart w:id="30" w:name="OLE_LINK80"/>
      <w:bookmarkStart w:id="31" w:name="OLE_LINK79"/>
      <w:r>
        <w:rPr>
          <w:rFonts w:hint="eastAsia" w:ascii="宋体" w:hAnsi="宋体" w:cs="宋体"/>
          <w:color w:val="auto"/>
          <w:sz w:val="24"/>
          <w:szCs w:val="24"/>
          <w:highlight w:val="none"/>
        </w:rPr>
        <w:t>无</w:t>
      </w:r>
      <w:r>
        <w:rPr>
          <w:rFonts w:ascii="宋体" w:hAnsi="宋体" w:cs="宋体"/>
          <w:color w:val="auto"/>
          <w:sz w:val="24"/>
          <w:highlight w:val="none"/>
        </w:rPr>
        <w:t>；</w:t>
      </w:r>
      <w:bookmarkEnd w:id="30"/>
      <w:bookmarkEnd w:id="31"/>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ascii="宋体" w:hAnsi="宋体" w:cs="宋体"/>
          <w:color w:val="auto"/>
          <w:sz w:val="24"/>
          <w:highlight w:val="none"/>
        </w:rPr>
        <w:t>分标1：</w:t>
      </w:r>
      <w:r>
        <w:rPr>
          <w:rFonts w:hint="eastAsia" w:ascii="宋体" w:hAnsi="宋体" w:cs="宋体"/>
          <w:color w:val="auto"/>
          <w:sz w:val="24"/>
          <w:highlight w:val="none"/>
        </w:rPr>
        <w:t>无。</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日，每天上午00:00至12:00，下午12:00至23:59（北京时间，法定节假日除外）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32" w:name="OLE_LINK81"/>
      <w:bookmarkStart w:id="33" w:name="OLE_LINK82"/>
      <w:r>
        <w:rPr>
          <w:rFonts w:hint="eastAsia" w:ascii="宋体" w:hAnsi="宋体" w:cs="宋体"/>
          <w:color w:val="auto"/>
          <w:sz w:val="24"/>
          <w:highlight w:val="none"/>
        </w:rPr>
        <w:t>广西政府采购云平台（网址：http://www.gcy.zfcg.gxzf.gov.cn）</w:t>
      </w:r>
      <w:bookmarkEnd w:id="32"/>
      <w:bookmarkEnd w:id="33"/>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34" w:name="OLE_LINK83"/>
      <w:bookmarkStart w:id="35" w:name="OLE_LINK84"/>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4"/>
      <w:bookmarkEnd w:id="35"/>
      <w:r>
        <w:rPr>
          <w:rFonts w:hint="eastAsia" w:ascii="宋体" w:hAnsi="宋体" w:cs="宋体"/>
          <w:color w:val="auto"/>
          <w:sz w:val="24"/>
          <w:highlight w:val="none"/>
        </w:rPr>
        <w:t>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日09:00（北京时间）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6" w:name="OLE_LINK85"/>
      <w:bookmarkStart w:id="37" w:name="OLE_LINK67"/>
      <w:bookmarkStart w:id="38" w:name="OLE_LINK68"/>
      <w:r>
        <w:rPr>
          <w:rFonts w:hint="eastAsia" w:ascii="宋体" w:hAnsi="宋体" w:cs="宋体"/>
          <w:color w:val="auto"/>
          <w:sz w:val="24"/>
          <w:highlight w:val="none"/>
        </w:rPr>
        <w:t>通过广西政府采购云平台实行在线谈判响应。</w:t>
      </w:r>
      <w:bookmarkEnd w:id="36"/>
      <w:bookmarkEnd w:id="37"/>
      <w:bookmarkEnd w:id="38"/>
    </w:p>
    <w:p>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日09:00（北京时间）</w:t>
      </w:r>
      <w:r>
        <w:rPr>
          <w:rFonts w:hint="eastAsia" w:ascii="宋体" w:hAnsi="宋体" w:cs="宋体"/>
          <w:color w:val="auto"/>
          <w:kern w:val="0"/>
          <w:sz w:val="24"/>
          <w:highlight w:val="none"/>
          <w:lang w:bidi="ar"/>
        </w:rPr>
        <w:t>。</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9" w:name="OLE_LINK66"/>
      <w:bookmarkStart w:id="40" w:name="OLE_LINK65"/>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9"/>
      <w:bookmarkEnd w:id="40"/>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bookmarkStart w:id="41" w:name="OLE_LINK158"/>
      <w:bookmarkStart w:id="42" w:name="OLE_LINK134"/>
      <w:bookmarkStart w:id="43" w:name="OLE_LINK133"/>
      <w:bookmarkStart w:id="44" w:name="OLE_LINK59"/>
      <w:bookmarkStart w:id="45" w:name="OLE_LINK135"/>
      <w:bookmarkStart w:id="46" w:name="OLE_LINK58"/>
      <w:r>
        <w:rPr>
          <w:rFonts w:hint="eastAsia" w:ascii="宋体" w:hAnsi="宋体" w:cs="宋体"/>
          <w:color w:val="auto"/>
          <w:sz w:val="24"/>
          <w:highlight w:val="none"/>
        </w:rPr>
        <w:t>1.本项目不收取谈判保证金。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7" w:name="OLE_LINK97"/>
      <w:bookmarkStart w:id="48" w:name="OLE_LINK98"/>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7"/>
      <w:bookmarkEnd w:id="48"/>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9" w:name="OLE_LINK96"/>
      <w:bookmarkStart w:id="50" w:name="OLE_LINK95"/>
      <w:r>
        <w:rPr>
          <w:rFonts w:hint="eastAsia" w:ascii="宋体" w:hAnsi="宋体" w:cs="宋体"/>
          <w:color w:val="auto"/>
          <w:sz w:val="24"/>
          <w:highlight w:val="none"/>
        </w:rPr>
        <w:t>（6）平等对待内外资企业和符合条件的破产重整企业。</w:t>
      </w:r>
      <w:bookmarkEnd w:id="49"/>
      <w:bookmarkEnd w:id="50"/>
    </w:p>
    <w:p>
      <w:pPr>
        <w:spacing w:line="360" w:lineRule="auto"/>
        <w:ind w:firstLine="480" w:firstLineChars="200"/>
        <w:rPr>
          <w:color w:val="auto"/>
          <w:highlight w:val="none"/>
        </w:rPr>
      </w:pPr>
      <w:bookmarkStart w:id="51"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51"/>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52" w:name="OLE_LINK33"/>
      <w:bookmarkStart w:id="53" w:name="OLE_LINK123"/>
      <w:bookmarkStart w:id="54" w:name="OLE_LINK32"/>
      <w:bookmarkStart w:id="55" w:name="OLE_LINK124"/>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52"/>
      <w:bookmarkEnd w:id="53"/>
      <w:bookmarkEnd w:id="54"/>
      <w:bookmarkEnd w:id="55"/>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6" w:name="OLE_LINK110"/>
      <w:bookmarkStart w:id="57" w:name="OLE_LINK111"/>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6"/>
      <w:bookmarkEnd w:id="57"/>
      <w:r>
        <w:rPr>
          <w:rFonts w:hint="eastAsia" w:ascii="宋体" w:hAnsi="宋体" w:cs="宋体"/>
          <w:color w:val="auto"/>
          <w:sz w:val="24"/>
          <w:highlight w:val="none"/>
        </w:rPr>
        <w:t>）（广西政府采购网）或（现场办理：</w:t>
      </w:r>
      <w:bookmarkStart w:id="58" w:name="OLE_LINK113"/>
      <w:bookmarkStart w:id="59" w:name="OLE_LINK112"/>
      <w:r>
        <w:rPr>
          <w:rFonts w:hint="eastAsia" w:ascii="宋体" w:hAnsi="宋体" w:cs="宋体"/>
          <w:color w:val="auto"/>
          <w:sz w:val="24"/>
          <w:highlight w:val="none"/>
        </w:rPr>
        <w:t>https://www.gxca.com.cn/detail/detail?articleId=1546808615271264258&amp;classifyId=1546335737551556610&amp;pid=1546335679795990530</w:t>
      </w:r>
      <w:bookmarkEnd w:id="58"/>
      <w:bookmarkEnd w:id="59"/>
      <w:r>
        <w:rPr>
          <w:rFonts w:hint="eastAsia" w:ascii="宋体" w:hAnsi="宋体" w:cs="宋体"/>
          <w:color w:val="auto"/>
          <w:sz w:val="24"/>
          <w:highlight w:val="none"/>
        </w:rPr>
        <w:t>（广西壮族自治区数字证书认证中心）。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7.本项目为北海市推动解决政府采购异常低价试点项目。</w:t>
      </w:r>
      <w:bookmarkEnd w:id="41"/>
      <w:bookmarkEnd w:id="42"/>
      <w:bookmarkEnd w:id="43"/>
      <w:bookmarkEnd w:id="44"/>
      <w:bookmarkEnd w:id="45"/>
      <w:bookmarkEnd w:id="46"/>
    </w:p>
    <w:p>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合浦县人民法院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广西北海市合浦县廉州镇迎宾大道138号</w:t>
      </w:r>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温小明</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项目联系方式：0779-7216602</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60" w:name="OLE_LINK62"/>
      <w:bookmarkStart w:id="61" w:name="OLE_LINK63"/>
      <w:r>
        <w:rPr>
          <w:rFonts w:hint="eastAsia" w:ascii="宋体" w:hAnsi="宋体" w:cs="宋体"/>
          <w:color w:val="auto"/>
          <w:sz w:val="24"/>
          <w:highlight w:val="none"/>
        </w:rPr>
        <w:t>北海市海城区陈文村北路7号市直机关第三办公区2号楼一层</w:t>
      </w:r>
      <w:bookmarkEnd w:id="60"/>
      <w:bookmarkEnd w:id="61"/>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项目联系方式(询问)：0779-3071101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pPr>
        <w:pStyle w:val="31"/>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2" w:name="_Toc181265282"/>
      <w:r>
        <w:rPr>
          <w:rFonts w:hint="eastAsia" w:cs="仿宋_GB2312" w:asciiTheme="minorEastAsia" w:hAnsiTheme="minorEastAsia" w:eastAsiaTheme="minorEastAsia"/>
          <w:b/>
          <w:color w:val="auto"/>
          <w:sz w:val="36"/>
          <w:szCs w:val="20"/>
          <w:highlight w:val="none"/>
        </w:rPr>
        <w:t>第二部分  竞争性谈判流程</w:t>
      </w:r>
      <w:bookmarkEnd w:id="62"/>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pPr>
        <w:pStyle w:val="392"/>
        <w:spacing w:before="0"/>
        <w:ind w:firstLine="0" w:firstLineChars="0"/>
        <w:rPr>
          <w:rFonts w:asciiTheme="minorEastAsia" w:hAnsiTheme="minorEastAsia" w:eastAsiaTheme="minorEastAsia"/>
          <w:b/>
          <w:color w:val="auto"/>
          <w:highlight w:val="none"/>
        </w:rPr>
      </w:pPr>
    </w:p>
    <w:p>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63" w:name="_Toc181265283"/>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63"/>
    </w:p>
    <w:p>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高清流媒体庭审主机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bookmarkStart w:id="64" w:name="OLE_LINK77"/>
            <w:r>
              <w:rPr>
                <w:rFonts w:hint="eastAsia" w:ascii="宋体" w:hAnsi="宋体" w:cs="宋体"/>
                <w:color w:val="auto"/>
                <w:kern w:val="0"/>
                <w:sz w:val="24"/>
                <w:highlight w:val="none"/>
                <w:u w:val="single"/>
              </w:rPr>
              <w:t>采购需求所列的各项货物</w:t>
            </w:r>
            <w:bookmarkEnd w:id="64"/>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lang w:eastAsia="en-US"/>
              </w:rPr>
            </w:pPr>
            <w:r>
              <w:rPr>
                <w:rFonts w:hint="eastAsia" w:ascii="宋体" w:hAnsi="宋体" w:cs="宋体" w:eastAsiaTheme="maj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7101"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pPr>
              <w:widowControl/>
              <w:adjustRightInd/>
              <w:jc w:val="left"/>
              <w:rPr>
                <w:rFonts w:ascii="宋体" w:hAnsi="宋体" w:cs="宋体"/>
                <w:b/>
                <w:color w:val="auto"/>
                <w:sz w:val="24"/>
                <w:highlight w:val="none"/>
              </w:rPr>
            </w:pPr>
          </w:p>
        </w:tc>
        <w:tc>
          <w:tcPr>
            <w:tcW w:w="7101"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提醒：验收时检测费用由采购人承担，不包含在最后报价中。</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pPr>
              <w:snapToGrid w:val="0"/>
              <w:spacing w:line="360" w:lineRule="auto"/>
              <w:ind w:firstLine="482" w:firstLineChars="200"/>
              <w:jc w:val="left"/>
              <w:rPr>
                <w:rFonts w:ascii="宋体" w:hAnsi="宋体" w:cs="宋体"/>
                <w:b/>
                <w:color w:val="auto"/>
                <w:kern w:val="0"/>
                <w:sz w:val="24"/>
                <w:highlight w:val="none"/>
                <w:lang w:val="zh-CN"/>
              </w:rPr>
            </w:pPr>
            <w:bookmarkStart w:id="65" w:name="OLE_LINK48"/>
            <w:bookmarkStart w:id="66" w:name="OLE_LINK50"/>
            <w:r>
              <w:rPr>
                <w:rFonts w:hint="eastAsia" w:ascii="宋体" w:hAnsi="宋体" w:cs="宋体"/>
                <w:b/>
                <w:color w:val="auto"/>
                <w:kern w:val="0"/>
                <w:sz w:val="24"/>
                <w:highlight w:val="none"/>
                <w:lang w:val="zh-CN"/>
              </w:rPr>
              <w:t>报价属于采购文件规定的异常低价情形之一，且</w:t>
            </w:r>
            <w:bookmarkEnd w:id="65"/>
            <w:bookmarkEnd w:id="66"/>
            <w:r>
              <w:rPr>
                <w:rFonts w:hint="eastAsia" w:ascii="宋体" w:hAnsi="宋体" w:cs="宋体"/>
                <w:b/>
                <w:color w:val="auto"/>
                <w:kern w:val="0"/>
                <w:sz w:val="24"/>
                <w:highlight w:val="none"/>
                <w:lang w:val="zh-CN"/>
              </w:rPr>
              <w:t>未能按要求提供书面说明或者提交相关证明材料证明其报价合理性的;</w:t>
            </w:r>
          </w:p>
          <w:p>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101" w:type="dxa"/>
            <w:tcBorders>
              <w:top w:val="single" w:color="000000" w:sz="8" w:space="0"/>
              <w:left w:val="single" w:color="000000" w:sz="2" w:space="0"/>
              <w:bottom w:val="nil"/>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pPr>
              <w:widowControl/>
              <w:adjustRightInd/>
              <w:jc w:val="left"/>
              <w:rPr>
                <w:rFonts w:ascii="宋体" w:hAnsi="宋体" w:cs="宋体"/>
                <w:b/>
                <w:color w:val="auto"/>
                <w:sz w:val="24"/>
                <w:highlight w:val="none"/>
              </w:rPr>
            </w:pPr>
          </w:p>
        </w:tc>
        <w:tc>
          <w:tcPr>
            <w:tcW w:w="7101"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7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pPr>
        <w:snapToGrid w:val="0"/>
        <w:jc w:val="center"/>
        <w:rPr>
          <w:rFonts w:ascii="宋体" w:hAnsi="宋体" w:cs="仿宋_GB2312"/>
          <w:b/>
          <w:color w:val="auto"/>
          <w:sz w:val="32"/>
          <w:szCs w:val="20"/>
          <w:highlight w:val="none"/>
        </w:rPr>
      </w:pPr>
    </w:p>
    <w:p>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pPr>
        <w:pStyle w:val="631"/>
        <w:rPr>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1"/>
        <w:ind w:left="420" w:leftChars="200" w:firstLine="0"/>
        <w:rPr>
          <w:color w:val="auto"/>
          <w:highlight w:val="none"/>
        </w:rPr>
      </w:pPr>
      <w:r>
        <w:rPr>
          <w:rFonts w:hint="eastAsia"/>
          <w:color w:val="auto"/>
          <w:highlight w:val="none"/>
        </w:rPr>
        <w:t>询问联系部门：北海市政府采购中心采购一科        联系电话：0779-3071101      地址：北海市海城区陈文村北路7号市直机关第三办公区</w:t>
      </w:r>
    </w:p>
    <w:p>
      <w:pPr>
        <w:pStyle w:val="631"/>
        <w:ind w:left="420" w:leftChars="200" w:firstLine="0"/>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pPr>
        <w:pStyle w:val="631"/>
        <w:rPr>
          <w:color w:val="auto"/>
          <w:highlight w:val="none"/>
        </w:rPr>
      </w:pPr>
      <w:r>
        <w:rPr>
          <w:rFonts w:hint="eastAsia"/>
          <w:color w:val="auto"/>
          <w:highlight w:val="none"/>
        </w:rPr>
        <w:t>投诉联系部门：</w:t>
      </w:r>
      <w:r>
        <w:rPr>
          <w:rFonts w:hint="eastAsia"/>
          <w:color w:val="auto"/>
          <w:highlight w:val="none"/>
          <w:lang w:val="zh-CN"/>
        </w:rPr>
        <w:t>北海市财政局</w:t>
      </w:r>
      <w:r>
        <w:rPr>
          <w:rFonts w:hint="eastAsia"/>
          <w:color w:val="auto"/>
          <w:highlight w:val="none"/>
          <w:lang w:val="en-US" w:eastAsia="zh-CN"/>
        </w:rPr>
        <w:t xml:space="preserve">             </w:t>
      </w:r>
      <w:r>
        <w:rPr>
          <w:rFonts w:hint="eastAsia"/>
          <w:color w:val="auto"/>
          <w:highlight w:val="none"/>
          <w:lang w:val="zh-CN"/>
        </w:rPr>
        <w:t>联系电话：0779-306397</w:t>
      </w:r>
      <w:r>
        <w:rPr>
          <w:rFonts w:hint="eastAsia"/>
          <w:color w:val="auto"/>
          <w:highlight w:val="none"/>
          <w:lang w:val="en-US" w:eastAsia="zh-CN"/>
        </w:rPr>
        <w:t xml:space="preserve">5              </w:t>
      </w:r>
      <w:r>
        <w:rPr>
          <w:rFonts w:hint="eastAsia"/>
          <w:color w:val="auto"/>
          <w:highlight w:val="none"/>
          <w:lang w:val="zh-CN"/>
        </w:rPr>
        <w:t>地址：北海市海城区北部湾西路19号</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1"/>
        <w:spacing w:line="360" w:lineRule="auto"/>
        <w:ind w:firstLine="482" w:firstLineChars="200"/>
        <w:rPr>
          <w:rFonts w:asciiTheme="minorEastAsia" w:hAnsiTheme="minorEastAsia" w:eastAsiaTheme="minorEastAsia"/>
          <w:b/>
          <w:color w:val="auto"/>
          <w:sz w:val="24"/>
          <w:highlight w:val="none"/>
        </w:rPr>
      </w:pPr>
    </w:p>
    <w:p>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1"/>
        <w:spacing w:line="360" w:lineRule="auto"/>
        <w:ind w:firstLine="482" w:firstLineChars="200"/>
        <w:rPr>
          <w:rFonts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pPr>
        <w:pStyle w:val="31"/>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bookmarkStart w:id="67" w:name="OLE_LINK4"/>
      <w:r>
        <w:rPr>
          <w:rFonts w:hint="eastAsia" w:cs="宋体" w:asciiTheme="minorEastAsia" w:hAnsiTheme="minorEastAsia" w:eastAsiaTheme="minorEastAsia"/>
          <w:color w:val="auto"/>
          <w:sz w:val="24"/>
          <w:highlight w:val="none"/>
        </w:rPr>
        <w:t>符合参加政府采购活动应当具备的一般条件的承诺函</w:t>
      </w:r>
      <w:bookmarkEnd w:id="67"/>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1"/>
        <w:spacing w:line="360" w:lineRule="auto"/>
        <w:ind w:firstLine="422" w:firstLineChars="200"/>
        <w:rPr>
          <w:rFonts w:asciiTheme="minorEastAsia" w:hAnsiTheme="minorEastAsia" w:eastAsiaTheme="minorEastAsia"/>
          <w:color w:val="auto"/>
          <w:sz w:val="24"/>
          <w:highlight w:val="none"/>
        </w:rPr>
      </w:pPr>
      <w:bookmarkStart w:id="68" w:name="OLE_LINK2"/>
      <w:r>
        <w:rPr>
          <w:rFonts w:hint="eastAsia" w:asciiTheme="minorEastAsia" w:hAnsiTheme="minorEastAsia" w:eastAsiaTheme="minorEastAsia"/>
          <w:b/>
          <w:color w:val="auto"/>
          <w:highlight w:val="none"/>
        </w:rPr>
        <w:t>▲</w:t>
      </w:r>
      <w:bookmarkEnd w:id="68"/>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w:t>
      </w:r>
      <w:r>
        <w:rPr>
          <w:rFonts w:hint="eastAsia" w:asciiTheme="minorEastAsia" w:hAnsiTheme="minorEastAsia" w:eastAsiaTheme="minorEastAsia"/>
          <w:color w:val="auto"/>
          <w:kern w:val="0"/>
          <w:sz w:val="24"/>
          <w:highlight w:val="none"/>
          <w:lang w:val="zh-CN"/>
        </w:rPr>
        <w:t>可以是</w:t>
      </w:r>
      <w:r>
        <w:rPr>
          <w:rFonts w:hint="eastAsia" w:asciiTheme="minorEastAsia" w:hAnsiTheme="minorEastAsia" w:eastAsiaTheme="minorEastAsia"/>
          <w:color w:val="auto"/>
          <w:sz w:val="24"/>
          <w:highlight w:val="none"/>
          <w:lang w:val="zh-CN"/>
        </w:rPr>
        <w:t>针对本项目的完整技术解决方案和实施方案；详细阐述项目方案的实现思路及关键技术；符合本项目对当前和未来发展的要求；以及对功能设计和实施计划的建议；</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（10）组织实施方案。可以是本项目详细工作实施组织方案，包括(但不限于)以下内容：组织机构、工作时间进度表、工作程序和步骤、管理和协调方法、关键步骤的思路和要点；</w:t>
      </w:r>
    </w:p>
    <w:p>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可以是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1"/>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69" w:name="OLE_LINK119"/>
      <w:bookmarkStart w:id="70" w:name="OLE_LINK118"/>
      <w:r>
        <w:rPr>
          <w:rFonts w:hint="eastAsia" w:asciiTheme="minorEastAsia" w:hAnsiTheme="minorEastAsia" w:eastAsiaTheme="minorEastAsia"/>
          <w:color w:val="auto"/>
          <w:sz w:val="24"/>
          <w:szCs w:val="24"/>
          <w:highlight w:val="none"/>
        </w:rPr>
        <w:t>商务、服务（技术）响应、偏离情况说明表</w:t>
      </w:r>
      <w:bookmarkEnd w:id="69"/>
      <w:bookmarkEnd w:id="70"/>
      <w:r>
        <w:rPr>
          <w:rFonts w:hint="eastAsia" w:asciiTheme="minorEastAsia" w:hAnsiTheme="minorEastAsia" w:eastAsiaTheme="minorEastAsia"/>
          <w:color w:val="auto"/>
          <w:sz w:val="24"/>
          <w:szCs w:val="24"/>
          <w:highlight w:val="none"/>
        </w:rPr>
        <w:t>；</w:t>
      </w:r>
    </w:p>
    <w:p>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pPr>
        <w:pStyle w:val="31"/>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2"/>
        <w:spacing w:before="0"/>
        <w:ind w:firstLine="0" w:firstLineChars="0"/>
        <w:rPr>
          <w:rFonts w:cs="仿宋_GB2312" w:asciiTheme="minorEastAsia" w:hAnsiTheme="minorEastAsia" w:eastAsiaTheme="minorEastAsia"/>
          <w:b/>
          <w:color w:val="auto"/>
          <w:szCs w:val="24"/>
          <w:highlight w:val="none"/>
        </w:rPr>
      </w:pP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1"/>
        <w:spacing w:line="360" w:lineRule="auto"/>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（本项目不接收）</w:t>
      </w:r>
    </w:p>
    <w:p>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1"/>
        <w:spacing w:line="360" w:lineRule="auto"/>
        <w:rPr>
          <w:rFonts w:cs="仿宋_GB2312" w:asciiTheme="minorEastAsia" w:hAnsiTheme="minorEastAsia" w:eastAsiaTheme="minorEastAsia"/>
          <w:b/>
          <w:color w:val="auto"/>
          <w:sz w:val="24"/>
          <w:szCs w:val="24"/>
          <w:highlight w:val="none"/>
        </w:rPr>
      </w:pPr>
    </w:p>
    <w:p>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1"/>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pPr>
        <w:adjustRightInd/>
        <w:spacing w:line="360" w:lineRule="auto"/>
        <w:jc w:val="center"/>
        <w:rPr>
          <w:rFonts w:cs="仿宋_GB2312"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71" w:name="_Hlk101184471"/>
      <w:r>
        <w:rPr>
          <w:rFonts w:hint="eastAsia" w:cs="宋体" w:asciiTheme="minorEastAsia" w:hAnsiTheme="minorEastAsia" w:eastAsiaTheme="minorEastAsia"/>
          <w:color w:val="auto"/>
          <w:sz w:val="24"/>
          <w:highlight w:val="none"/>
        </w:rPr>
        <w:t>评审专家抽取规则、</w:t>
      </w:r>
      <w:bookmarkEnd w:id="71"/>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ascii="宋体" w:hAnsi="宋体"/>
                <w:color w:val="auto"/>
                <w:kern w:val="0"/>
                <w:sz w:val="24"/>
                <w:szCs w:val="20"/>
                <w:highlight w:val="none"/>
              </w:rPr>
            </w:pPr>
          </w:p>
        </w:tc>
        <w:tc>
          <w:tcPr>
            <w:tcW w:w="993" w:type="dxa"/>
            <w:vAlign w:val="center"/>
          </w:tcPr>
          <w:p>
            <w:pPr>
              <w:snapToGrid w:val="0"/>
              <w:spacing w:line="360" w:lineRule="auto"/>
              <w:jc w:val="center"/>
              <w:rPr>
                <w:rFonts w:ascii="宋体" w:hAnsi="宋体"/>
                <w:color w:val="auto"/>
                <w:kern w:val="0"/>
                <w:sz w:val="24"/>
                <w:szCs w:val="20"/>
                <w:highlight w:val="none"/>
              </w:rPr>
            </w:pPr>
          </w:p>
        </w:tc>
        <w:tc>
          <w:tcPr>
            <w:tcW w:w="850" w:type="dxa"/>
            <w:vAlign w:val="center"/>
          </w:tcPr>
          <w:p>
            <w:pPr>
              <w:snapToGrid w:val="0"/>
              <w:spacing w:line="360" w:lineRule="auto"/>
              <w:jc w:val="center"/>
              <w:rPr>
                <w:rFonts w:ascii="宋体" w:hAnsi="宋体"/>
                <w:color w:val="auto"/>
                <w:kern w:val="0"/>
                <w:sz w:val="24"/>
                <w:szCs w:val="20"/>
                <w:highlight w:val="none"/>
              </w:rPr>
            </w:pP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pPr>
        <w:pStyle w:val="631"/>
        <w:keepNext w:val="0"/>
        <w:keepLines w:val="0"/>
        <w:pageBreakBefore w:val="0"/>
        <w:widowControl w:val="0"/>
        <w:kinsoku/>
        <w:wordWrap/>
        <w:overflowPunct/>
        <w:topLinePunct w:val="0"/>
        <w:autoSpaceDE/>
        <w:autoSpaceDN/>
        <w:bidi w:val="0"/>
        <w:spacing w:line="360" w:lineRule="auto"/>
        <w:textAlignment w:val="auto"/>
        <w:rPr>
          <w:rFonts w:hint="eastAsia" w:eastAsia="宋体"/>
          <w:color w:val="auto"/>
          <w:highlight w:val="none"/>
          <w:lang w:eastAsia="zh-CN"/>
        </w:rPr>
      </w:pPr>
      <w:r>
        <w:rPr>
          <w:b/>
          <w:bCs/>
          <w:color w:val="auto"/>
          <w:highlight w:val="none"/>
        </w:rPr>
        <w:t>4.</w:t>
      </w:r>
      <w:r>
        <w:rPr>
          <w:rFonts w:hint="eastAsia"/>
          <w:b/>
          <w:bCs/>
          <w:color w:val="auto"/>
          <w:highlight w:val="none"/>
        </w:rPr>
        <w:t>预付款</w:t>
      </w:r>
      <w:r>
        <w:rPr>
          <w:rFonts w:hint="eastAsia"/>
          <w:b/>
          <w:bCs/>
          <w:color w:val="auto"/>
          <w:highlight w:val="none"/>
          <w:lang w:eastAsia="zh-CN"/>
        </w:rPr>
        <w:t>（本项目无预付款）</w:t>
      </w:r>
    </w:p>
    <w:p>
      <w:pPr>
        <w:pStyle w:val="71"/>
        <w:rPr>
          <w:color w:val="auto"/>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72" w:name="_Hlt74707468"/>
      <w:bookmarkEnd w:id="72"/>
      <w:bookmarkStart w:id="73" w:name="_Hlt74729768"/>
      <w:bookmarkEnd w:id="73"/>
      <w:bookmarkStart w:id="74" w:name="_Hlt68057669"/>
      <w:bookmarkEnd w:id="74"/>
      <w:bookmarkStart w:id="75" w:name="_Hlt68072990"/>
      <w:bookmarkEnd w:id="75"/>
      <w:bookmarkStart w:id="76" w:name="_Hlt75236011"/>
      <w:bookmarkEnd w:id="76"/>
      <w:bookmarkStart w:id="77" w:name="_Hlt74730295"/>
      <w:bookmarkEnd w:id="77"/>
      <w:bookmarkStart w:id="78" w:name="_Hlt74714665"/>
      <w:bookmarkEnd w:id="78"/>
      <w:bookmarkStart w:id="79" w:name="_Hlt75236101"/>
      <w:bookmarkEnd w:id="79"/>
      <w:bookmarkStart w:id="80" w:name="_Hlt75236290"/>
      <w:bookmarkEnd w:id="80"/>
      <w:bookmarkStart w:id="81" w:name="第三部分"/>
      <w:bookmarkStart w:id="82" w:name="_Toc164416483"/>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3"/>
        <w:spacing w:line="360" w:lineRule="auto"/>
        <w:ind w:firstLine="0" w:firstLineChars="0"/>
        <w:rPr>
          <w:rFonts w:cs="宋体"/>
          <w:b/>
          <w:color w:val="auto"/>
          <w:highlight w:val="none"/>
        </w:rPr>
      </w:pPr>
      <w:r>
        <w:rPr>
          <w:rFonts w:hint="eastAsia" w:cs="宋体"/>
          <w:b/>
          <w:color w:val="auto"/>
          <w:highlight w:val="none"/>
          <w:lang w:eastAsia="zh-CN"/>
        </w:rPr>
        <w:t>本项目</w:t>
      </w:r>
      <w:r>
        <w:rPr>
          <w:rFonts w:hint="eastAsia" w:cs="宋体"/>
          <w:b/>
          <w:color w:val="auto"/>
          <w:highlight w:val="none"/>
        </w:rPr>
        <w:t>不收取</w:t>
      </w:r>
      <w:r>
        <w:rPr>
          <w:rFonts w:hint="eastAsia" w:cs="宋体"/>
          <w:b/>
          <w:color w:val="auto"/>
          <w:highlight w:val="none"/>
          <w:lang w:eastAsia="zh-CN"/>
        </w:rPr>
        <w:t>招标代理服务费</w:t>
      </w:r>
      <w:r>
        <w:rPr>
          <w:rFonts w:hint="eastAsia" w:cs="宋体"/>
          <w:b/>
          <w:color w:val="auto"/>
          <w:highlight w:val="none"/>
        </w:rPr>
        <w:t>。</w:t>
      </w:r>
    </w:p>
    <w:p>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83" w:name="_Toc181265284"/>
      <w:r>
        <w:rPr>
          <w:rFonts w:hint="eastAsia" w:cs="仿宋_GB2312" w:asciiTheme="minorEastAsia" w:hAnsiTheme="minorEastAsia" w:eastAsiaTheme="minorEastAsia"/>
          <w:b/>
          <w:color w:val="auto"/>
          <w:sz w:val="36"/>
          <w:szCs w:val="36"/>
          <w:highlight w:val="none"/>
        </w:rPr>
        <w:t>第四部分  采购需求</w:t>
      </w:r>
      <w:bookmarkEnd w:id="83"/>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说明：</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供应商应提供该产品相关的强制性产品认证证书，不提供视为无效投标处理。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供应商应提供该产品相关的工业产品生产许可证证书，不提供视为无效投标处理。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84" w:name="OLE_LINK60"/>
      <w:r>
        <w:rPr>
          <w:rFonts w:hint="eastAsia" w:ascii="宋体" w:hAnsi="宋体" w:cs="宋体"/>
          <w:bCs/>
          <w:color w:val="auto"/>
          <w:sz w:val="24"/>
          <w:highlight w:val="none"/>
        </w:rPr>
        <w:t>本项目的</w:t>
      </w:r>
      <w:bookmarkStart w:id="85" w:name="OLE_LINK115"/>
      <w:bookmarkStart w:id="86" w:name="OLE_LINK114"/>
      <w:r>
        <w:rPr>
          <w:rFonts w:hint="eastAsia" w:ascii="宋体" w:hAnsi="宋体" w:cs="宋体"/>
          <w:bCs/>
          <w:color w:val="auto"/>
          <w:sz w:val="24"/>
          <w:highlight w:val="none"/>
        </w:rPr>
        <w:t>预算金额</w:t>
      </w:r>
      <w:bookmarkEnd w:id="85"/>
      <w:bookmarkEnd w:id="86"/>
      <w:r>
        <w:rPr>
          <w:rFonts w:hint="eastAsia" w:ascii="宋体" w:hAnsi="宋体" w:cs="宋体"/>
          <w:bCs/>
          <w:color w:val="auto"/>
          <w:sz w:val="24"/>
          <w:highlight w:val="none"/>
        </w:rPr>
        <w:t>为（人民币）：</w:t>
      </w:r>
      <w:r>
        <w:rPr>
          <w:rFonts w:hint="eastAsia" w:ascii="宋体" w:hAnsi="宋体" w:cs="宋体"/>
          <w:bCs/>
          <w:color w:val="auto"/>
          <w:sz w:val="24"/>
          <w:highlight w:val="none"/>
          <w:u w:val="single"/>
          <w:lang w:eastAsia="zh-CN"/>
        </w:rPr>
        <w:t>899,400.00</w:t>
      </w:r>
      <w:r>
        <w:rPr>
          <w:rFonts w:hint="eastAsia" w:ascii="宋体" w:hAnsi="宋体" w:cs="宋体"/>
          <w:bCs/>
          <w:color w:val="auto"/>
          <w:sz w:val="24"/>
          <w:highlight w:val="none"/>
        </w:rPr>
        <w:t>元，报价超过预算金额的谈判无效。</w:t>
      </w:r>
      <w:bookmarkEnd w:id="84"/>
      <w:r>
        <w:rPr>
          <w:rFonts w:hint="eastAsia" w:ascii="宋体" w:hAnsi="宋体" w:cs="宋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87" w:name="OLE_LINK22"/>
      <w:bookmarkStart w:id="88" w:name="OLE_LINK21"/>
      <w:r>
        <w:rPr>
          <w:rFonts w:hint="eastAsia" w:ascii="宋体" w:hAnsi="宋体" w:cs="宋体"/>
          <w:bCs/>
          <w:color w:val="auto"/>
          <w:sz w:val="24"/>
          <w:highlight w:val="none"/>
          <w:lang w:eastAsia="zh-CN"/>
        </w:rPr>
        <w:t>高清流媒体庭审主机</w:t>
      </w:r>
      <w:r>
        <w:rPr>
          <w:rFonts w:hint="eastAsia" w:ascii="宋体" w:hAnsi="宋体" w:cs="宋体"/>
          <w:bCs/>
          <w:color w:val="auto"/>
          <w:sz w:val="24"/>
          <w:highlight w:val="none"/>
        </w:rPr>
        <w:t>。</w:t>
      </w:r>
      <w:bookmarkEnd w:id="87"/>
      <w:bookmarkEnd w:id="88"/>
      <w:r>
        <w:rPr>
          <w:rFonts w:hint="eastAsia" w:ascii="宋体" w:hAnsi="宋体" w:cs="宋体"/>
          <w:bCs/>
          <w:color w:val="auto"/>
          <w:sz w:val="24"/>
          <w:highlight w:val="none"/>
        </w:rPr>
        <w:t>非单一产品采购项目中，多家谈判供应商提供的核心产品品牌相同的，视为提供相同品牌产品。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9. “</w:t>
      </w:r>
      <w:bookmarkStart w:id="89" w:name="OLE_LINK8"/>
      <w:r>
        <w:rPr>
          <w:rFonts w:hint="eastAsia" w:ascii="宋体" w:hAnsi="宋体" w:cs="宋体"/>
          <w:bCs/>
          <w:color w:val="auto"/>
          <w:sz w:val="24"/>
          <w:highlight w:val="none"/>
        </w:rPr>
        <w:t>▲</w:t>
      </w:r>
      <w:bookmarkEnd w:id="89"/>
      <w:r>
        <w:rPr>
          <w:rFonts w:hint="eastAsia" w:ascii="宋体" w:hAnsi="宋体" w:cs="宋体"/>
          <w:bCs/>
          <w:color w:val="auto"/>
          <w:sz w:val="24"/>
          <w:highlight w:val="none"/>
        </w:rPr>
        <w:t>” 系指实质性要求条款。 采购需求一览表中标注“▲”的详细技术参数及配备要求、商务要求必须响应满足或优于，否则谈判无效。</w:t>
      </w:r>
    </w:p>
    <w:p>
      <w:pPr>
        <w:pStyle w:val="2"/>
        <w:numPr>
          <w:ilvl w:val="0"/>
          <w:numId w:val="0"/>
        </w:numPr>
        <w:ind w:leftChars="0"/>
        <w:rPr>
          <w:rFonts w:hint="eastAsia"/>
        </w:rPr>
      </w:pPr>
    </w:p>
    <w:p>
      <w:pPr>
        <w:pStyle w:val="71"/>
        <w:rPr>
          <w:color w:val="auto"/>
          <w:highlight w:val="none"/>
        </w:rPr>
      </w:pPr>
    </w:p>
    <w:tbl>
      <w:tblPr>
        <w:tblStyle w:val="6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82"/>
        <w:gridCol w:w="511"/>
        <w:gridCol w:w="512"/>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39" w:type="dxa"/>
            <w:gridSpan w:val="5"/>
            <w:shd w:val="clear" w:color="000000" w:fill="FFFFFF"/>
            <w:vAlign w:val="center"/>
          </w:tcPr>
          <w:p>
            <w:pPr>
              <w:widowControl/>
              <w:adjustRightInd/>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475"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序号</w:t>
            </w:r>
          </w:p>
        </w:tc>
        <w:tc>
          <w:tcPr>
            <w:tcW w:w="1282"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名称</w:t>
            </w:r>
          </w:p>
        </w:tc>
        <w:tc>
          <w:tcPr>
            <w:tcW w:w="511"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512"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6859"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高清流媒体庭审主机</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▲1.实时信息采集与传输，可以采集、传输一路或多路独立画面，也可以采集、传输一路合成画面；视频编解码能力：庭审通道支持最大 4K(3840×2160)实时编码；模拟通道（HDMI/VGA）不低于 1080p 实时编码；</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▲2.音视频处理，支持混音处理、多画面合成和画面选择、电子证据信息的选择与切换、法庭画面输出切换等；</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▲3.音视频存储，支持对集中采集的庭审信息自动存储，存储要求应符合 FYB/T51016 的规定；</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▲4.音视频编码格式采用 H.264/H.265 编解码、支持 4K 分辨率，应符合 FYB/T51016 的规定，支持 SDI 内置接口，视频传输延时不高于120ms。；</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▲5.主机应支持音频处理，支持回声消除，反馈消除，环境噪声抑制，自动增益等功能；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▲6.互联网开庭设备接入广西区高院互联网庭审平台。设备主要集音频处理、视频矩阵、互联网实名认证、互联网远程开庭、互联网电子签名等多功能为一体</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▲7.包含满足实际需要数量的显示输出接口，应支持扩展，显示本地法庭画面、远端诉讼参与人画面和证据展示画面。合成画面视频输出分辨率不低于 4K(3840×2160)；</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▲8.支持专网远程庭审，具备 H.323/SIP/RTSP/RTMP 等远程接入。在专网环境下实现远程开庭的音视频交互，满足法院、检察院、看守所（监狱）等远程开庭场景，具体功能要求符合FYB/T52003—2016 中 4.1 的规定。</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▲9.支持互联网庭审，具备音视频跨网安全传输，应用全区法院统建的安全隔离与信息交换平台实现跨网音视频隔离交换和数据、指令信息交换传输，音视频丢包率在 30%以下。符合 FYB/T53001—2020 安全隔离与信息交换平台建设要求和《关于互联网庭审音视频跨网隔离交换要求的补充说明》（法（信）明传（2020)8号）文件要求。支持与广西法院智能庭审系统互联网庭审平台融合对接，满足互联网庭审需求。</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▲10.内置DVD刻录光驱，支持光驱热插拔，支持便捷拆卸光驱，可实现在不拆设备机箱的情况下更换光驱</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▲12.该设备必须支持无缝数字接入北海市合浦县人民法院现有科技法庭平台系统，并支持无缝数字存储到现有科技法庭存储设备中。</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▲13.内置≥ 8寸电容触控屏，支持实时显示通道状态、刻录/录制状态、USB接入状态、视频画面、光盘/硬盘总容量及已使用容量、刻录剩余时长、异常告警信息、CPU内存占用率、网络情况等。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高清摄像机</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24</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▲1、设备为高清一体化枪形摄像机网络摄像机，采用专用芯片系统，嵌入式架构，性能稳定。</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▲2、视频采集设备有效像素不低于800万，分辨率不低于 4K(3840×2160)，输出帧率不低于30帧/秒，支持网络输出或高清视频信号输出；</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设备采用最新的H.265视频编码算法，同时为兼容旧有设备，支持H.264(Baseline/Main/High Profile)及MJPEG。</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、设备支持定时报警抓拍图片、感兴趣区域增强编码（ROI）、区域遮盖、故障告警、日志检索、字符叠加、自动升级记忆功能、镜像、黑白名单、匿名访问功能。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、支持与客户端实现双向语音对讲，对讲声音无回声。</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、含安装支架及电源。</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、设备同时支持TF或者SD卡录像+音频录制，支持1个外置TF卡，单卡最大可支持512GB</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.配套高清视频传输线材，支持 12G-SDI 传输协议，满足 4K视频信号的稳定传输需求。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全景摄像机</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▲1、视频采集设备有效像素不低于800万，分辨率不低于 4K(3840×2160)，输出帧率不低于30帧/秒，支持镜头变焦，支持网络输出或高清视频信号输出；</w:t>
            </w:r>
          </w:p>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2、各码流的视频分辨率、帧率、编码格式可单独设置；</w:t>
            </w:r>
          </w:p>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3、设备红外补光距离约100米；</w:t>
            </w:r>
          </w:p>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4、设备支持移动侦测，遮挡报警，警戒线，虚焦检测，场景变更，区域进入，区域离开，区域入侵，物品遗留，物品拿取，人员聚集，声音异常，起雾检测行为分析智能功能；</w:t>
            </w:r>
          </w:p>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5、设备应能满足在DC12V±30%宽电压环境下正常工作；</w:t>
            </w:r>
          </w:p>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6、支持POE及电源热备份；具备IP67防护等级，工作温度-40°至70°；</w:t>
            </w:r>
          </w:p>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、含安装支架及电源。</w:t>
            </w:r>
          </w:p>
          <w:p>
            <w:pPr>
              <w:keepNext w:val="0"/>
              <w:keepLines w:val="0"/>
              <w:pageBreakBefore w:val="0"/>
              <w:widowControl/>
              <w:suppressLineNumbers w:val="0"/>
              <w:kinsoku/>
              <w:wordWrap/>
              <w:overflowPunct/>
              <w:topLinePunct w:val="0"/>
              <w:autoSpaceDE/>
              <w:autoSpaceDN/>
              <w:bidi w:val="0"/>
              <w:adjustRightInd/>
              <w:snapToGrid w:val="0"/>
              <w:spacing w:afterAutospacing="0"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.配套高清视频传输线材，支持 12G-SDI 传输协议，满足 4K视频信号的稳定传输需求。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音频处理器、调音台、功率放大器、均衡器</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项</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音频处理器、调音台、功率放大器、均衡器各六台，以下是各设备的参数：</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一、音频处理器</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1.支持多路音频输入信号进行放大、混合、分配、音质修饰和音响效果加工；</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2.具有多路输入，每路信号可单独处理，具备模拟音频输入输出功能；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3.支持分组混音输出功能；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4.支持回声消除和啸叫抑制功能；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5.支持网络远程调节功能；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二、调音台</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1.支持≥8路麦克风输入兼容6路线路输入接口，支持≥2路立体声输入接口，≥1路RCA输入，话筒接口幻象电源：约+48V。</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2.具有≥2组立体主输出、≥4路编组输出、≥4路辅助输出、≥1组立体声监听输出、≥1个耳机监听输出、≥2个效果输出、≥1组主混音断点插入、≥6个断点插入。</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3.内置≥24位DSP效果器，提供≥100种预设效果。</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4.具备≥13个60mm行程的高精密碳膜推子。</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5.内置USB声卡模块，支持连接电脑进行音乐播放和声音录音；内置MP3播放器，支持≥1个USB接口接U盘播放音乐。接口接U盘播放音乐。</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三、功率放大器</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1.工业造型钢面板，，面板防尘网可折洗结构设计，可拆卸清洗的散热通风口。</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2.开机软启动，防止开机时向电网吸收大电流，干扰其它用电设备。</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3.智能控制强制散热设计。 </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4.两声道功放有三档输入灵敏度选择，轻松接纳宽幅度范围信号源输入；输入灵敏度：0.775V/1V/1.44V</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5.安全保护措施和工作状态指示（短路、过载、直流和过热保护、变压器过热保护）。</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6.智能削峰限幅器，控制功率模块及扬声器系统在安全范围内工作。 </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7.标准XLR+TRS1/4" 复合输入接口。</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8.变压器和低阻大容量电解滤波，保证大动态工作应付自如。 </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9.支持立体声或桥接工作模式。</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10.输入座接地脚接地和悬浮控制。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11.输出功率（20Hz-20KHz/THD≤1％）：立体声/并联8Ω×2：约200W×2；立体声/并联4Ω×2：约300W×2；桥8Ω：约600W</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四、均衡器</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频率范围：25 Hz至16 kHz（15个2/3倍频程频段，ISO频率）。</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带宽：2/3倍频程。</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控制范围：±6 dB 或 ±12 dB（可切换）。</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音频输入：</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接口：平衡XLR和1/4英寸TRS。</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阻抗：约40 kΩ（平衡和不平衡）。</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最大输入电平：约+21 dBu（平衡和不平衡）。</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接口：平衡XLR和1/4英寸TRS。</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低音炮输出：平衡XLR接口。</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分频频率：可调（30-200 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滤波器：</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低切滤波器：10 Hz至400 Hz（可切换，截止频率为25 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高切滤波器：2.5 kHz至30 kHz。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频率响应：10 Hz至30 kHz，±3 dB。</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信噪比：&gt;94 dB（@ +4 dBu，22 Hz至22 kHz）。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失真度（THD）：典型值0.008%（@ +4 dBu，1 kHz）。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电压：100-240V，50/60 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功率消耗：约18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桌面话筒</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支</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48</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▲1.超指向性、电容式麦克风，收音角度不超过90度。</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2.信噪比：65dB SPL 1KHz at 1Pa</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3.频率响应：20-18KHz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4.输出阻抗：75Ω</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▲5.灵敏度：-26dB。</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▲6.指向性话筒；支持幻象电源；鹅颈的设计，可自由调整角度</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▲7.使用防风罩或泡沫套减少呼吸声和爆破音。</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olor w:val="auto"/>
                <w:kern w:val="0"/>
                <w:sz w:val="21"/>
                <w:szCs w:val="21"/>
                <w:u w:val="none"/>
                <w:lang w:val="en-US" w:eastAsia="zh-CN" w:bidi="ar"/>
              </w:rPr>
              <w:t>▲8.搭配 48V 幻象电源长期稳定供电</w:t>
            </w:r>
            <w:r>
              <w:rPr>
                <w:rFonts w:hint="eastAsia" w:ascii="宋体" w:hAnsi="宋体" w:eastAsia="宋体" w:cs="宋体"/>
                <w:i w:val="0"/>
                <w:iCs w:val="0"/>
                <w:caps w:val="0"/>
                <w:color w:val="auto"/>
                <w:spacing w:val="0"/>
                <w:sz w:val="21"/>
                <w:szCs w:val="21"/>
                <w:shd w:val="clear" w:fill="FFFFFF"/>
                <w:lang w:eastAsia="zh-CN"/>
              </w:rPr>
              <w:t>。</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▲9.连接线采用双屏蔽128编网全铜，有效降低传输干扰与信号损耗。</w:t>
            </w:r>
          </w:p>
          <w:p>
            <w:pPr>
              <w:keepNext w:val="0"/>
              <w:keepLines w:val="0"/>
              <w:pageBreakBefore w:val="0"/>
              <w:widowControl/>
              <w:numPr>
                <w:ilvl w:val="0"/>
                <w:numId w:val="0"/>
              </w:numPr>
              <w:suppressLineNumbers w:val="0"/>
              <w:kinsoku/>
              <w:wordWrap/>
              <w:overflowPunct/>
              <w:topLinePunct w:val="0"/>
              <w:autoSpaceDE/>
              <w:autoSpaceDN/>
              <w:bidi w:val="0"/>
              <w:spacing w:line="400" w:lineRule="exact"/>
              <w:jc w:val="left"/>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olor w:val="auto"/>
                <w:kern w:val="0"/>
                <w:sz w:val="21"/>
                <w:szCs w:val="21"/>
                <w:u w:val="none"/>
                <w:lang w:val="en-US" w:eastAsia="zh-CN" w:bidi="ar"/>
              </w:rPr>
              <w:t>▲10.卡农连接线采用 RVPE 2*0.5mm² 规格屏蔽线材，适配设备的接口传输需求。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壁挂音箱</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1.阻抗：8Ω</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2.频响：70Hz~20KHz</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3.额定功率：约120W</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4.灵敏度：95dB/W/M</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5.覆盖角度：(H)120°(V)60°</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6.高音：3"锥形高音单元×2</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7.低音：6.5"低音×1</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▲8.延迟不超过6MS，壁挂或吸顶（含支架）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9.采用数字音频交换网络组建扩声系统。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液晶电视</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1、外观：全面屏。</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2、屏幕：≥65英寸。</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▲3、分辨率：≥4K（3840×2160）。</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4、功耗：一级能效，待机功率：≤0.5W。</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5、网络：有线/无线。</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6、输入端口：HDMI2.0*2、USB2.0*2、网口*1、音视频输入*1、有线/天线输入*1。</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7、输出端口：数字音频输出（同轴）*1。</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▲8、应支持接入并显示法庭纪律自动播报、权利义务告知、推送案件信息、法律法规条文等信息；</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9、含电源适配器。</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10、含配套可移动挂架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庭审终端</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36</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▲1.CPU：自主信创产品，八核及以上处理器，主频2.3GHz以上，CPU 末级缓存容量≥2MB，CPU 支持的内存最高速率≥2666MT/s</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▲2.内存：运行内存：≥16G，支持DDR4/LPDDR4/LPDDR4X或其它内存类型，内存条配置数量≥1，内存读写速率≥2666MT/s。</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主板：集成集成资源扩展模块、计算处理模块、音频扩展模块等，主板的互联拓扑可通过处理器或交换电路实现模块，提供支持的CPU和内存型号及数量，内置PCIe插槽≥2个，预留USB3.0接口及多功能板卡安装孔位，提供SATA、M.2等接口信息。单内存插槽最大可支持容量≥8GB，内存插槽满配时提供的最高内存总容量≥16GB</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4.存储设备：固态盘≥1个、容量≥512GB；机械硬盘≥1个、容量≥1T、转速≥5400rpm、机械硬盘形态2.5英寸或3.5英寸等、固态存储形态采用插卡或板载等形态可选用符合M.2或 2.5 寸 SATA 或 mSATA 等标准的插卡形态、固态盘应符合 SJ/T 11654 相关规定;机械硬盘准备时间应不大于 30s;侧面固定螺丝孔数量可为4孔或6孔;工作状态环境温度应满足5℃~55℃:其它参数应符合 GB/T 12628 相关规定。</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5.显卡：独立或集成显卡，独立显卡显存类型应为DDR3/DDR4/GDDR5/GDDR6/LPDDR4，独立显卡显存位宽≥16位、独立显卡容量≥2GB，支持 PCle协议版本大于等于2.0或 HT(HyperTransport)协议版本≥3.0的独立显卡接口协议，显示分辨率≥1920x1080，显卡显示芯片核心频率≥300MHz，显存等效频率≥1000MT/s，支持 2块屏幕同时显示，分辨率应不低于 1920x1080。</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▲6.显示设备：屏占比≥80%，比例21:9，尺寸≥29英寸，分辨率≥1920x1080，刷新率≥100HZ，位深≥8位，显示屏色域≥99% SRGB，色准△E ≤ 4，响应时间≤8ms，亮度≥250尼特，亮度一致性≥70%， 对比度≥500：1，支持防蓝光模式，蓝光加权辐射亮度北应≤0.0012W/(·cd·sr)(瓦每坎待拉每球面度)，显示屏应支持低频闪≤-35dB，显示屏镜面反射率≤10%，参数应符合 SJ/T 11292 的相关规定外观颜色为黑色/白色/银色等商务色系。</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7.外设：有线鼠标和有线键盘各≥1个，有线鼠标、键盘连接线≥1.5米，键盘按键数目104键，键盘键程2.3mm-4.0mm，键盘按键压力按键压力应在 0.54 N±0.14N，鼠标DPI分辨率为800-1600，参数应符合 GB/T 26245 的相关规定，内置光驱1个，颜色为商务色系。</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8.网络与接口：有线网卡≥1个，机箱前面板USB接口≥3个（含2个USB3.0及以上），视频、音频接口各≥1个。</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整机基础：产品表面不应有凹痕、划伤、裂缝变形和污染等。表面涂层均匀，不应起泡、龟裂、脱落和磨损，金属零部件无锈蚀及其它机械损伤;产品表面说明功能的文字、符号标志，应清晰、端正、牢固，在产品显著位置提供状态指示功能，如运行状态，并由供应商提供详细参教，机箱应符合 GB/T 4208、GB/T 26246的相关规定;产品内部结构应符合通用部件的安装需求;所有输入输出接口应符合相关国家或行业标准;产品零部件应紧固无松动，可插拔部件应可靠连接，开关、按钮和其它控制部件应灵活可靠，布局应方便使用:所有1/0 连接器及需插接线缆的部位应预留采购人操作空间，方便插拔解锁与插拔线缆;f)可插拔板卡插槽部位应预留安装拆卸或更换板卡空间;拆装可能接触到的金属剪口或金属尖角部位应做防划伤处理，以保证安全;整机内部走线应规整，固线结构和位置要合理可靠并做防割线处理，需便于理线和插拔操作，走线应不影响系统各主要部件组装和拆卸;如需通过孔走线，过线孔应做防割线处理;各插头位置和插拔方向应合理，应做到插拔无障碍设计，具备防呆设计有效避免误操作;k)各主要部件拆装无障碍，使用常规工具拆装，无特殊拆装工具需求;各主要部件拆装步骤要少，各自拆装需避免相互干扰;对于整机或零部件外表面为高亮面的，应粘贴保护膜，保护膜需粘贴牢固，运输、组装等过程不易脱落，撕下无残留;其它要求应符合 GB/T 9813.1 的相关规定，机箱应符合 GB/T 4208 中 IP20 防护要求，整机噪音产品工作在空闲状态下，产品的声功率级应不超过 4.5 Bel，整机散热在环境温度 25℃及处理器满载情况下，产品表面温度应符合如下要求:出风口在机箱后面板情况下，出风口温度不高于 55℃;可触及面温度不高于 45℃;显示器表面温度:显示屏不高于38℃，显示屏上下灯带位置温度(如涉及)不高于 40℃，出风口温度不高于 45℃，产品能效限定值应达到 GB 28380-2012标准中能效等级2级及以上，机身材质为塑料或金属等，机身颜色为灰色/黑色等商务色系，机箱体积应不大于 30L。</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10.网络设备性能：有线网卡速率最高速率应不低于 1000Mbps，应支持10Mbps、100Mbps、1000Mbps 速率自适应。</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11.主板功能：内存扩展接口≥2个，支持有瞬间过流保护功能，1/0 接口功能提供基于标准 USB 接口外设连接功能基于音频输入输出接口的音频扩展功能、基于 PCle 接口板卡扩展功能、基于HDMI或 VGA或Type-C或 DVI 或 DP等接口外接显示器扩展功能、基于存储接口对产品进行增容功能等。产品1/0 接口，应具备外接标准 USB 设备、显示器、音频设备等内外部设备能力</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▲12.显卡功能：显卡至少支持 VGA、HDMI、DVI、DP、Type-C 中1种显示接口，并与显示器接口相匹配</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▲13.显示设备功能：显示器应与显卡外接显示接口匹配，提供 0SD 选单按钮用于调节色彩、模式等;支持色温、亮度、对比度调节，支架需配套提供，应支持360°角度调节功能，具备俯仰可调、可升降、多角度自由倾斜及折叠翻转等特性，以满足科技审判庭使用需求。</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14.存储功能：通过 SATA 固态存储/PCle 固态存储/UFS 固态存储/SATA 硬磁盘等存储部件提供存储功能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15.网络设备功能：支持网络连接、网络开启/关闭功能;支持访问网络和数据交换功能，支持数据传输能力，并提供数据流量和异常日志记录功能，支持 RJ45 接口，网络设备支持物理拆装，包括无线网卡和蓝牙模块等。</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16.外部接口功能：支持 3.5m 孔径 3段式或 4段式接口，至少支持 VGA、HDMI、DVI、DP、Type-C中1种显示接口，若提供 HDMI或 DP 或 Type-c 作为显示接口，应支持音频和视频同步输出。</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17.电源功能：电源适配器电线组件应符合 GB/T15934 的要求。</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18.操作系统及软件功能：符合 GB 18030 的相关规定，支持操作系统备份及还原功能，支持备份及还原固件的功能，支持通过网络、闪存盘等方式对操作系统、驱动、固件进行升级，支持 BI0S 关闭以太网及 USB 接口，支持查看固件版本、内存信息、主板信息、处理器信息和系统时间信息等功能，支持设置口令、修改口令、验证口令功能，支持网络引导启动和关闭功能。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19.存储设备可靠性：固态存储寿命TBW≥80TB，机械硬盘寿命通电时间≥5万小时。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20.显示设备可靠性：屏幕失效点符合 GB/T 9813.2 的要求</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21.外设可靠性：键盘按键寿命≥1000万次，鼠标按键寿命≥500万次，键盘鼠标所用线材经士60°弯折不低于 3000次，功能、外观完好，风扇寿命≥4万小时。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22.整机可靠性要求：电磁兼容性要求的抗扰度符合 GB/T 9254.2 的规定，环境条件要求的气候环境适应性符合 GB/T 9813.1 中规定，环境条件要求的振动适应性符合 GB/T 9813.1 中规定，环境条件要求的冲击适应性符合 GB/T 9813.1 中规定，环境条件要求的碰撞适应性符合 GB/T 9813.1 中规定，环境条件要求的运输包装件跌落适应性符合 GB/T 9813.1 中规定，MTBF (m1)≥3 万小时。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23.兼容要求：支持流式软件、版式软件、浏览器邮件采购人端、解压软件、多媒体图形图像处理等常用软件，兼容 3个及以上厂商的数据库产品，兼容3个及以上厂商中间件产品，兼容3个及以上厂商云计算及大数据平台。</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24.包装及运输要求：符合 GB/T 9813.1 和商品包装政府采购需求标准的相关规定。</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25.服务要求：服务响应供应商提供电话、电子邮件、远程连接等多种形式服务;供应商提供同城 4h、异地 12h 技术响应服务，2个工作日解决问题，对于未能解决的问题和故障应提供可行的升级方案，并提供周转设备或更换设备;建立全国技术服务体系和服务团体，符合专业服务体系标准要求，提供原厂中文服务;服务周期内提供产品的维修、换件和升级服务。服务周期内设备停产后应继续提供质量保障服务(含备品备件)，服务终止时间与最后一批设备交付时间间隔不低于6年;产品停止服务时间应提前1年告知;应明确产品发布日期。</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26.预装符合广西区法院统一庭审系统及法院内部系统的银河麒麟 v10 、统信 UOS或以上版本等操作系统，随机器永久使用，供应商提供培训材料、产品手册、培训视频等培训相关内容，供应商提供典型问题解决说明文档或视频，供应商提供上门升级部件/软件与扩容的增值服务，免费服务周期(含换件和维修)应不小于 3年，供应商提供产品合格证，供应商提供驱动光盘或下载方式，供应商提供兼容适配软件下载渠道(光盘、网站)。</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27.供应链合规性：供应商保障产品主要部件，提供6年的备件服务能力(自购买之日起)，或提供可兼容原设备的升级换代产品。</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28.供应链质量：当产品部件出现供应风险时，供应商应通知采购人并提供风险应对方案确保产品的服务保障供应商提供供应链稳定承诺书，确保产品的部件在产品服务周期内稳定供货。</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29.CPU 和操作系统等关键部件应当符合安全可靠测评要求</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30.CPU 芯片应符合 GM/T 0008 的相关规定,或芯片密码模块应符合 GB/T 37092或 GW/T 0028 的相关规定。</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31.产品应符合 GB/T 39276 的 5.2 的规定;生产厂商应建立漏洞跟踪表，保证产品版本涉及到的漏洞(如驱动程序等)可查看;产品不得包含已知的恶意代码或漏洞，不存在未声明的指令、功能、接口。</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32.支持固件安全启动功能，固件启动过程中只有通过启动校验才能正常启动。</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33.限用物要求质的限量符合 GB/T 26572 中规定。</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▲34.含正版适配国产操作系统的办公软件，随机器设备永久使用（含一年升级服务），签订合同后提供正版软件授权书（例如操作系统、办公软件）。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▲35.操作系统及办公软件等正版需提供正版软件授权书，签订合同后提供操作系统原厂商针对本项目授权使用单位（合浦县人民法院）出具的正版软件产品授权许可证明。</w:t>
            </w:r>
          </w:p>
          <w:p>
            <w:pPr>
              <w:keepNext w:val="0"/>
              <w:keepLines w:val="0"/>
              <w:pageBreakBefore w:val="0"/>
              <w:widowControl/>
              <w:suppressLineNumbers w:val="0"/>
              <w:kinsoku/>
              <w:wordWrap w:val="0"/>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▲36.关键部分CPU和操作系统在中国信息安全测评中心网站（https://www.itsec.gov.cn/）有测评报告，不需要在</w:t>
            </w:r>
            <w:r>
              <w:rPr>
                <w:rFonts w:hint="eastAsia" w:ascii="宋体" w:hAnsi="宋体" w:cs="宋体"/>
                <w:i w:val="0"/>
                <w:iCs w:val="0"/>
                <w:color w:val="auto"/>
                <w:kern w:val="0"/>
                <w:sz w:val="21"/>
                <w:szCs w:val="21"/>
                <w:u w:val="none"/>
                <w:lang w:val="en-US" w:eastAsia="zh-CN" w:bidi="ar"/>
              </w:rPr>
              <w:t>谈判</w:t>
            </w:r>
            <w:r>
              <w:rPr>
                <w:rFonts w:hint="eastAsia" w:ascii="宋体" w:hAnsi="宋体" w:eastAsia="宋体" w:cs="宋体"/>
                <w:i w:val="0"/>
                <w:iCs w:val="0"/>
                <w:color w:val="auto"/>
                <w:kern w:val="0"/>
                <w:sz w:val="21"/>
                <w:szCs w:val="21"/>
                <w:u w:val="none"/>
                <w:lang w:val="en-US" w:eastAsia="zh-CN" w:bidi="ar"/>
              </w:rPr>
              <w:t>时提供。</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▲37.含三年保修服务+三年上门服务</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38.根据广西区法院统一庭审系统适配工作要求，信创化电脑系统及硬件兼容名单如下：统信UOS20专业版1050[内核版本4.19.71-arm64-desktop，CPU为Kirin990(麒麟)]；统信UOS20专业版1022[内核版本4.19.0-arm64-desktop，CPU为Kunpeng920(鲲鹏)]；统信UOS20专业版1032[内核版本4.19.0-arm64-desktop，CPU为D2000/8(飞腾）]；统信UOS20专业版1050[内核版本4.19.0-arm64-desktop，CPU为D2000/8(飞腾)]；麒麟V10SP1专业版2203[内核版本4.19.71-23-kr990,CPU为Kirin990(麒麟)]；麒麟V10SP1 专业版V10SP1[内核版本Linux 5.4.18-35-generic,CPU为Phytium/D2000(飞腾)];麒麟V10SP1 专业版V10SP1[内核版本Linux 5.4.18-35-generic,CPU为Zhaoxin Kaixian Kx-U6780A(兆芯开先)];统信UOSV20 专业版1070 [内核版本4.19.0-amd64-desktop,CPU为海光];麒麟V10-SP1 专业版2303 [内核版本Linux 5 4.18-35-generic,CPU为海光];麒麟V10 V1000 [内核版本linux-4.4.131-20210817-kylin.desktop,CPU为Phytium/FT-2000(飞腾)]、麒麟V10 2020-12-02A [内核版本Linux-4.4.131-20200930-kylin.desktop,CPU为loongson-3A4000(龙芯)]。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网络交换机、网络机柜</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项</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网络交换机、网络机柜各六台，以下是参数：</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一、网络交换机</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16个千兆网口，支持802.1Q VLAN、MTU VLAN、端口VLAN，支持QoS、带宽控制、风暴抑制，支持端口汇聚、端口镜像、端口监控，支持线缆检测、环回保护，支持通过Web、PC端软件进行管理，支持Web管理、VLAN隔离、标准交换三种模式；MAC地址容量8K</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二、网络机柜</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规格高宽深约1000*600*600，参数前门钢化玻璃门 ，前门旋把大锁，后门高密度网孔门，后门小锁，拆装式结构，整体黑色，内配风扇 电源 层板 各一件，两侧门可开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庭外平板</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▲1.显示分辨率不低于1920x1080</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2.内置RJ45网络传输接口，标配国产操作系统，支持读取接口获取数据并显示庭审状态、案件详情等。</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▲3.需把当庭信息同步到对应法庭门口的电子门牌</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4.壁挂式，含安装支架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5.含电源适配器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电源控制器</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1、8路电源控制器，可远程控制8路强电输出。</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2、通过高灵敏传感器获取各通道电流、电压、温度等数据，当短路、 漏电等危险发生，能瞬时关闭故障电路通道。</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3、单路最大输出电流10A,单路最大输出功率2000W,整机最大输出功率7500W，电压输入AC220V。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打印机</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A4激光彩色打印一体机（含复印扫描功能），接口：高速USB、RJ45接口。输稿器+平板彩色图像扫描仪,扫描分辨率≥1200x2400dpi</w:t>
            </w:r>
            <w:r>
              <w:rPr>
                <w:rFonts w:hint="eastAsia" w:ascii="宋体" w:hAnsi="宋体" w:eastAsia="宋体" w:cs="宋体"/>
                <w:color w:val="auto"/>
                <w:sz w:val="21"/>
                <w:szCs w:val="21"/>
                <w:lang w:eastAsia="zh-CN"/>
              </w:rPr>
              <w:t>。</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操作系统：支持</w:t>
            </w:r>
            <w:r>
              <w:rPr>
                <w:rFonts w:hint="eastAsia" w:ascii="宋体" w:hAnsi="宋体" w:eastAsia="宋体" w:cs="宋体"/>
                <w:i w:val="0"/>
                <w:iCs w:val="0"/>
                <w:color w:val="auto"/>
                <w:kern w:val="0"/>
                <w:sz w:val="21"/>
                <w:szCs w:val="21"/>
                <w:u w:val="none"/>
                <w:lang w:val="en-US" w:eastAsia="zh-CN" w:bidi="ar"/>
              </w:rPr>
              <w:t>微软操作系统</w:t>
            </w:r>
            <w:r>
              <w:rPr>
                <w:rFonts w:hint="eastAsia" w:ascii="宋体" w:hAnsi="宋体" w:eastAsia="宋体" w:cs="宋体"/>
                <w:color w:val="auto"/>
                <w:sz w:val="21"/>
                <w:szCs w:val="21"/>
                <w:lang w:val="en-US" w:eastAsia="zh-CN"/>
              </w:rPr>
              <w:t>和信创操作系统。</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rPr>
              <w:t>备注：厂家标准保修一年，可延保两年，合计保修三年</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实物展台、高拍仪</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项</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实物展台、高拍仪各六台，以下是参数:</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一、实物展台</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1.清晰度≥1200TV线</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2.变焦： 整机220倍放大</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3.对焦/白平衡： 自动/手动(对焦)</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4.镜头输出像素：≥800万</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5.输入输出：HDMI接口1进1出，VGA接口2进2出，RCA视频接口1进1出</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6.输出分辨率： (SXGA  XGA  720P 1080P)自由切换</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7.音频输入： 3.5mm插口4组</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8.音频输出： 3.5mm插口</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9.麦克风输入：标准麦克风6.3mm插座</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10、操作系统：支持微软操作系统</w:t>
            </w:r>
            <w:r>
              <w:rPr>
                <w:rFonts w:hint="eastAsia" w:ascii="宋体" w:hAnsi="宋体" w:eastAsia="宋体" w:cs="宋体"/>
                <w:color w:val="auto"/>
                <w:sz w:val="21"/>
                <w:szCs w:val="21"/>
                <w:lang w:val="en-US" w:eastAsia="zh-CN"/>
              </w:rPr>
              <w:t>和信创操作系统。</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二、高拍仪</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1.不低于1000万像素。</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2.功能：支付分辨率设置、图形处理、自动裁切、图像预览、图形旋转等功能</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3.最大拍摄幅面A3</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4、操作系统：支持微软操作系统</w:t>
            </w:r>
            <w:r>
              <w:rPr>
                <w:rFonts w:hint="eastAsia" w:ascii="宋体" w:hAnsi="宋体" w:eastAsia="宋体" w:cs="宋体"/>
                <w:color w:val="auto"/>
                <w:sz w:val="21"/>
                <w:szCs w:val="21"/>
                <w:lang w:val="en-US" w:eastAsia="zh-CN"/>
              </w:rPr>
              <w:t>和信创操作系统。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电子签名板</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6859" w:type="dxa"/>
            <w:shd w:val="clear" w:color="000000" w:fill="FFFFFF"/>
            <w:vAlign w:val="center"/>
          </w:tcPr>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1、无线无源电磁书写笔。</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2、电容式按压指纹采集。</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3、支持手写触摸双控屏，支持安卓、统信UOS或者其它国产化操作系统，包含嵌入式智能庭审终端软件</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4、中央处理器四核以上，内存容量不低于8GB，摄像头分辨率不低于 200 万像素，响应速度＜15ms。操作系统 Android4.2以上或其它国产化操作系统。</w:t>
            </w:r>
          </w:p>
          <w:p>
            <w:pPr>
              <w:keepNext w:val="0"/>
              <w:keepLines w:val="0"/>
              <w:pageBreakBefore w:val="0"/>
              <w:widowControl/>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▲5、支持与广西法院智能庭审系统互联网庭审平台融合对接，满足庭审需求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75"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w:t>
            </w:r>
          </w:p>
        </w:tc>
        <w:tc>
          <w:tcPr>
            <w:tcW w:w="128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其它辅助线材及材料</w:t>
            </w:r>
          </w:p>
        </w:tc>
        <w:tc>
          <w:tcPr>
            <w:tcW w:w="511"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项</w:t>
            </w:r>
          </w:p>
        </w:tc>
        <w:tc>
          <w:tcPr>
            <w:tcW w:w="512" w:type="dxa"/>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859" w:type="dxa"/>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一、</w:t>
            </w:r>
            <w:r>
              <w:rPr>
                <w:rFonts w:hint="eastAsia" w:ascii="宋体" w:hAnsi="宋体" w:eastAsia="宋体" w:cs="宋体"/>
                <w:i w:val="0"/>
                <w:iCs w:val="0"/>
                <w:color w:val="auto"/>
                <w:kern w:val="0"/>
                <w:sz w:val="21"/>
                <w:szCs w:val="21"/>
                <w:u w:val="none"/>
                <w:lang w:val="en-US" w:eastAsia="zh-CN" w:bidi="ar"/>
              </w:rPr>
              <w:t>六套融合法庭安装施工调试所需要的支架、电源、网线、电源线、音频线、面板、接头等材料，</w:t>
            </w:r>
          </w:p>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2"/>
                <w:sz w:val="21"/>
                <w:szCs w:val="21"/>
                <w:lang w:val="en-US" w:eastAsia="zh-CN" w:bidi="ar-SA"/>
              </w:rPr>
              <w:t>二、</w:t>
            </w:r>
            <w:r>
              <w:rPr>
                <w:rFonts w:hint="eastAsia" w:ascii="宋体" w:hAnsi="宋体" w:eastAsia="宋体" w:cs="宋体"/>
                <w:i w:val="0"/>
                <w:iCs w:val="0"/>
                <w:color w:val="auto"/>
                <w:kern w:val="0"/>
                <w:sz w:val="21"/>
                <w:szCs w:val="21"/>
                <w:u w:val="none"/>
                <w:lang w:val="en-US" w:eastAsia="zh-CN" w:bidi="ar"/>
              </w:rPr>
              <w:t>网线需要采用六类及以上无氧铜，线缆规格为 4*2*0.57，支持千兆及以上以太网传输速率。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9639" w:type="dxa"/>
            <w:gridSpan w:val="5"/>
            <w:shd w:val="clear" w:color="auto" w:fill="FFFFFF"/>
            <w:tcMar>
              <w:top w:w="15" w:type="dxa"/>
              <w:left w:w="15" w:type="dxa"/>
              <w:right w:w="15" w:type="dxa"/>
            </w:tcMar>
            <w:vAlign w:val="center"/>
          </w:tcPr>
          <w:p>
            <w:pPr>
              <w:adjustRightInd/>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639" w:type="dxa"/>
            <w:gridSpan w:val="5"/>
            <w:shd w:val="clear" w:color="auto" w:fill="FFFFFF"/>
            <w:tcMar>
              <w:top w:w="15" w:type="dxa"/>
              <w:left w:w="15" w:type="dxa"/>
              <w:right w:w="15" w:type="dxa"/>
            </w:tcMar>
            <w:vAlign w:val="center"/>
          </w:tcPr>
          <w:p>
            <w:pPr>
              <w:pStyle w:val="22"/>
              <w:keepNext w:val="0"/>
              <w:keepLines w:val="0"/>
              <w:pageBreakBefore w:val="0"/>
              <w:widowControl/>
              <w:numPr>
                <w:ilvl w:val="0"/>
                <w:numId w:val="8"/>
              </w:numPr>
              <w:kinsoku/>
              <w:wordWrap/>
              <w:overflowPunct/>
              <w:topLinePunct w:val="0"/>
              <w:bidi w:val="0"/>
              <w:adjustRightInd w:val="0"/>
              <w:ind w:left="0" w:leftChars="0" w:firstLine="420" w:firstLineChars="200"/>
              <w:textAlignment w:val="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交货（交付）时间：签订合同后</w:t>
            </w:r>
            <w:r>
              <w:rPr>
                <w:rFonts w:hint="eastAsia" w:asciiTheme="minorEastAsia" w:hAnsiTheme="minorEastAsia" w:eastAsia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rPr>
              <w:t>个日历日。</w:t>
            </w:r>
          </w:p>
          <w:p>
            <w:pPr>
              <w:pStyle w:val="22"/>
              <w:keepNext w:val="0"/>
              <w:keepLines w:val="0"/>
              <w:pageBreakBefore w:val="0"/>
              <w:widowControl/>
              <w:numPr>
                <w:ilvl w:val="0"/>
                <w:numId w:val="8"/>
              </w:numPr>
              <w:kinsoku/>
              <w:wordWrap/>
              <w:overflowPunct/>
              <w:topLinePunct w:val="0"/>
              <w:bidi w:val="0"/>
              <w:adjustRightInd w:val="0"/>
              <w:ind w:left="0" w:leftChars="0" w:firstLine="420" w:firstLineChars="200"/>
              <w:textAlignment w:val="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交货地点：</w:t>
            </w:r>
            <w:r>
              <w:rPr>
                <w:rFonts w:hint="eastAsia" w:asciiTheme="minorEastAsia" w:hAnsiTheme="minorEastAsia" w:eastAsiaTheme="minorEastAsia" w:cstheme="minorEastAsia"/>
                <w:color w:val="auto"/>
                <w:sz w:val="21"/>
                <w:szCs w:val="21"/>
                <w:lang w:val="en-US" w:eastAsia="zh-CN"/>
              </w:rPr>
              <w:t>广西北海市合浦县迎宾大道138号</w:t>
            </w:r>
            <w:r>
              <w:rPr>
                <w:rFonts w:hint="eastAsia" w:asciiTheme="minorEastAsia" w:hAnsiTheme="minorEastAsia" w:eastAsiaTheme="minorEastAsia" w:cstheme="minorEastAsia"/>
                <w:color w:val="auto"/>
                <w:sz w:val="21"/>
                <w:szCs w:val="21"/>
              </w:rPr>
              <w:t>。</w:t>
            </w:r>
          </w:p>
          <w:p>
            <w:pPr>
              <w:pStyle w:val="22"/>
              <w:keepNext w:val="0"/>
              <w:keepLines w:val="0"/>
              <w:pageBreakBefore w:val="0"/>
              <w:widowControl/>
              <w:numPr>
                <w:ilvl w:val="0"/>
                <w:numId w:val="8"/>
              </w:numPr>
              <w:kinsoku/>
              <w:wordWrap/>
              <w:overflowPunct/>
              <w:topLinePunct w:val="0"/>
              <w:bidi w:val="0"/>
              <w:adjustRightInd w:val="0"/>
              <w:ind w:left="0" w:leftChars="0" w:firstLine="420" w:firstLineChars="200"/>
              <w:textAlignment w:val="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付款时间和方式：</w:t>
            </w:r>
            <w:r>
              <w:rPr>
                <w:rFonts w:hint="eastAsia" w:asciiTheme="minorEastAsia" w:hAnsiTheme="minorEastAsia" w:eastAsiaTheme="minorEastAsia" w:cstheme="minorEastAsia"/>
                <w:color w:val="auto"/>
                <w:sz w:val="21"/>
                <w:szCs w:val="21"/>
                <w:lang w:val="en-US" w:eastAsia="zh-CN"/>
              </w:rPr>
              <w:t>验收合格后报市财政局审核，财政资金下达后 60 个工作日支付。</w:t>
            </w:r>
          </w:p>
          <w:p>
            <w:pPr>
              <w:pStyle w:val="22"/>
              <w:keepNext w:val="0"/>
              <w:keepLines w:val="0"/>
              <w:pageBreakBefore w:val="0"/>
              <w:widowControl/>
              <w:numPr>
                <w:ilvl w:val="0"/>
                <w:numId w:val="8"/>
              </w:numPr>
              <w:kinsoku/>
              <w:wordWrap/>
              <w:overflowPunct/>
              <w:topLinePunct w:val="0"/>
              <w:bidi w:val="0"/>
              <w:adjustRightInd w:val="0"/>
              <w:ind w:left="0" w:leftChars="0" w:firstLine="420" w:firstLineChars="200"/>
              <w:textAlignment w:val="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 xml:space="preserve">本次采购不需要收取质量（履约）保证金。                      </w:t>
            </w:r>
          </w:p>
          <w:p>
            <w:pPr>
              <w:pStyle w:val="22"/>
              <w:keepNext w:val="0"/>
              <w:keepLines w:val="0"/>
              <w:pageBreakBefore w:val="0"/>
              <w:widowControl/>
              <w:numPr>
                <w:ilvl w:val="0"/>
                <w:numId w:val="8"/>
              </w:numPr>
              <w:kinsoku/>
              <w:wordWrap/>
              <w:overflowPunct/>
              <w:topLinePunct w:val="0"/>
              <w:bidi w:val="0"/>
              <w:adjustRightInd w:val="0"/>
              <w:ind w:left="0" w:leftChars="0" w:firstLine="420" w:firstLineChars="200"/>
              <w:textAlignment w:val="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质量要求：</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提供的货物应符合《政府采购项目清单》约定的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（2）采用中华人民共和国法定计量单位。 </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（3）乙方所提供的货物应符合国家有关安全、环保、卫生的规定。</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（4）乙方应向甲方提交所提供货物的技术文件，包括相应的中文技术文件，如：产品目录、图纸、操作手册、使用说明、维护手册或服务指南等。</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b w:val="0"/>
                <w:bCs/>
                <w:color w:val="auto"/>
                <w:sz w:val="21"/>
                <w:szCs w:val="21"/>
              </w:rPr>
              <w:t>质量保证，</w:t>
            </w:r>
            <w:r>
              <w:rPr>
                <w:rFonts w:hint="eastAsia" w:asciiTheme="minorEastAsia" w:hAnsiTheme="minorEastAsia" w:eastAsiaTheme="minorEastAsia" w:cstheme="minorEastAsia"/>
                <w:color w:val="auto"/>
                <w:sz w:val="21"/>
                <w:szCs w:val="21"/>
              </w:rPr>
              <w:t>乙方应建立和完善履行合同的内部质量保证体系，并提供相关具体实施方案给甲方，以便甲方进行监督检查；乙方应保证履行合同的人员数量和素质、软件和硬件设备的配置、场地、环境和设施等满足全面履行合同的要求，并应接受甲方的监督检查。因乙方原因造成甲方其他系统不能正常运行，酿成重大事故（工作日系统中断一天以上）的，乙方应承担全部法律责任，并赔偿经济损失，赔偿金额为项目总价的30%。</w:t>
            </w:r>
          </w:p>
          <w:p>
            <w:pPr>
              <w:pStyle w:val="22"/>
              <w:keepNext w:val="0"/>
              <w:keepLines w:val="0"/>
              <w:pageBreakBefore w:val="0"/>
              <w:widowControl/>
              <w:numPr>
                <w:ilvl w:val="0"/>
                <w:numId w:val="8"/>
              </w:numPr>
              <w:kinsoku/>
              <w:wordWrap/>
              <w:overflowPunct/>
              <w:topLinePunct w:val="0"/>
              <w:bidi w:val="0"/>
              <w:adjustRightInd w:val="0"/>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保修和服务要求：</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在质保期内设备运行发生故障，成交供应商必须免费提供维修服务，提供不少于1年的质量“三包”，7*24小时服务响应，接到紧急问题处理请求到达现场时间不超过4</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小时。其余按厂家承诺执行。供应商必须在响应文件中提供售后服务方案。免费保修期自项目验收合格之日算起，质保期内免费维修、免费更换零部件</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（2）信创计算机产品</w:t>
            </w:r>
            <w:r>
              <w:rPr>
                <w:rFonts w:hint="eastAsia" w:asciiTheme="minorEastAsia" w:hAnsiTheme="minorEastAsia" w:eastAsiaTheme="minorEastAsia" w:cstheme="minorEastAsia"/>
                <w:color w:val="auto"/>
                <w:sz w:val="21"/>
                <w:szCs w:val="21"/>
                <w:lang w:val="en-US" w:eastAsia="zh-CN"/>
              </w:rPr>
              <w:t>签订合同后</w:t>
            </w:r>
            <w:r>
              <w:rPr>
                <w:rFonts w:hint="eastAsia" w:asciiTheme="minorEastAsia" w:hAnsiTheme="minorEastAsia" w:eastAsiaTheme="minorEastAsia" w:cstheme="minorEastAsia"/>
                <w:color w:val="auto"/>
                <w:sz w:val="21"/>
                <w:szCs w:val="21"/>
              </w:rPr>
              <w:t>提供正版软件授权书（操作系统、办公软件），关键部位应提供中国信息安全测评报告，并打印盖章后附于其后。</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（3）服务是指包含但不限于供应商须承担的备品备件、包装、运输、装卸、保险、货到就位以及免费安装、调试、培训、保修和其他类似的义务。</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（4）免费送货上门、安装调试，免费培训，安装完成后成交人负责清理产生的木箱等垃圾。</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（5）供应商应就产品的安装、调试、维护、管理等对采购人技术人员和维护人员进行现场免费培训，并提供相应的管理方法和手段，直至指定相应人员完全掌握操作、基本维护技术为止，并提供培训教材。</w:t>
            </w:r>
          </w:p>
          <w:p>
            <w:pPr>
              <w:pStyle w:val="22"/>
              <w:keepNext w:val="0"/>
              <w:keepLines w:val="0"/>
              <w:pageBreakBefore w:val="0"/>
              <w:widowControl/>
              <w:numPr>
                <w:ilvl w:val="0"/>
                <w:numId w:val="0"/>
              </w:numPr>
              <w:kinsoku/>
              <w:wordWrap/>
              <w:overflowPunct/>
              <w:topLinePunct w:val="0"/>
              <w:bidi w:val="0"/>
              <w:adjustRightInd w:val="0"/>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工程师在收到用户的维修服务要求后2小时内做出回应，48小时到达用户现场进行维修，发生故障</w:t>
            </w:r>
            <w:r>
              <w:rPr>
                <w:rFonts w:hint="eastAsia" w:asciiTheme="minorEastAsia" w:hAnsiTheme="minorEastAsia" w:eastAsiaTheme="minorEastAsia" w:cstheme="minorEastAsia"/>
                <w:color w:val="auto"/>
                <w:sz w:val="21"/>
                <w:szCs w:val="21"/>
                <w:lang w:val="en-US" w:eastAsia="zh-CN"/>
              </w:rPr>
              <w:t>72</w:t>
            </w:r>
            <w:r>
              <w:rPr>
                <w:rFonts w:hint="eastAsia" w:asciiTheme="minorEastAsia" w:hAnsiTheme="minorEastAsia" w:eastAsiaTheme="minorEastAsia" w:cstheme="minorEastAsia"/>
                <w:color w:val="auto"/>
                <w:sz w:val="21"/>
                <w:szCs w:val="21"/>
              </w:rPr>
              <w:t>小时内未能修复的，应提供备用机供采购人使用。质保期内</w:t>
            </w: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为采购人提供的所有技术支持和服务费用以及上门维修、更换零部件费用均包含在</w:t>
            </w:r>
            <w:r>
              <w:rPr>
                <w:rFonts w:hint="eastAsia" w:asciiTheme="minorEastAsia" w:hAnsiTheme="minorEastAsia" w:eastAsiaTheme="minorEastAsia" w:cstheme="minorEastAsia"/>
                <w:color w:val="auto"/>
                <w:sz w:val="21"/>
                <w:szCs w:val="21"/>
                <w:lang w:val="en-US" w:eastAsia="zh-CN"/>
              </w:rPr>
              <w:t>谈判</w:t>
            </w:r>
            <w:r>
              <w:rPr>
                <w:rFonts w:hint="eastAsia" w:asciiTheme="minorEastAsia" w:hAnsiTheme="minorEastAsia" w:eastAsiaTheme="minorEastAsia" w:cstheme="minorEastAsia"/>
                <w:color w:val="auto"/>
                <w:sz w:val="21"/>
                <w:szCs w:val="21"/>
              </w:rPr>
              <w:t>报价中，采购人不再另行支付。定期回访，</w:t>
            </w: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负责设备终身维护。免费软件升级，其余按厂家承诺进行。每半年至少进行一次定期回访以及对设备保养</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numPr>
                <w:ilvl w:val="0"/>
                <w:numId w:val="0"/>
              </w:numPr>
              <w:kinsoku/>
              <w:wordWrap/>
              <w:overflowPunct/>
              <w:topLinePunct w:val="0"/>
              <w:bidi w:val="0"/>
              <w:adjustRightInd w:val="0"/>
              <w:snapToGrid w:val="0"/>
              <w:spacing w:line="360" w:lineRule="auto"/>
              <w:ind w:lef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其他要求：</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完成单点登录对接开发，实现在广西法院门户入口统一登录庭审系统前台和后台系统。完成与全区法院统一智能庭审系统对接，实现硬件设备控制和庭审相关应用数据互联互通。配合完成与广西法院音视频管理系统的接入开发，实现庭审实况调度管理。</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（2）根据用户对系统的实际使用需求，供应商应做好关于本项目的调研工作</w:t>
            </w:r>
            <w:r>
              <w:rPr>
                <w:rFonts w:hint="eastAsia" w:asciiTheme="minorEastAsia" w:hAnsiTheme="minorEastAsia" w:eastAsiaTheme="minorEastAsia" w:cstheme="minorEastAsia"/>
                <w:b/>
                <w:bCs/>
                <w:color w:val="auto"/>
                <w:sz w:val="21"/>
                <w:szCs w:val="21"/>
                <w:lang w:eastAsia="zh-CN"/>
              </w:rPr>
              <w:t>，谈判</w:t>
            </w:r>
            <w:r>
              <w:rPr>
                <w:rFonts w:hint="eastAsia" w:asciiTheme="minorEastAsia" w:hAnsiTheme="minorEastAsia" w:eastAsiaTheme="minorEastAsia" w:cstheme="minorEastAsia"/>
                <w:b/>
                <w:bCs/>
                <w:color w:val="auto"/>
                <w:sz w:val="21"/>
                <w:szCs w:val="21"/>
              </w:rPr>
              <w:t>供应商在</w:t>
            </w:r>
            <w:r>
              <w:rPr>
                <w:rFonts w:hint="eastAsia" w:asciiTheme="minorEastAsia" w:hAnsiTheme="minorEastAsia" w:eastAsiaTheme="minorEastAsia" w:cstheme="minorEastAsia"/>
                <w:b/>
                <w:bCs/>
                <w:color w:val="auto"/>
                <w:sz w:val="21"/>
                <w:szCs w:val="21"/>
                <w:lang w:eastAsia="zh-CN"/>
              </w:rPr>
              <w:t>谈判</w:t>
            </w:r>
            <w:r>
              <w:rPr>
                <w:rFonts w:hint="eastAsia" w:asciiTheme="minorEastAsia" w:hAnsiTheme="minorEastAsia" w:eastAsiaTheme="minorEastAsia" w:cstheme="minorEastAsia"/>
                <w:b/>
                <w:bCs/>
                <w:color w:val="auto"/>
                <w:sz w:val="21"/>
                <w:szCs w:val="21"/>
              </w:rPr>
              <w:t>时提供可以实现上述对接功能的互联互通承诺函（格式自拟），并加盖供应商公章。如采购人对成交供应商所提供“高清庭审主机”产品的对接效果有疑问的，采购人有权要求成交供应商提供该产品进行对接测试，若成交供应商所提供“高清庭审主机”产品的对接测试结果不能满足上述要求或者成交供应商不能够在规定时间内提供产品进行测试的，采购人将报上级监管部门核实处理，由此造成的一切损失由成交供应商承担，且采购人拒绝支付该笔款项并保留进一步追究其法律责任的权利。</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为防止虚假应标，采购人有权要求成交供应商提供成交的货物送双方认可的第三方测试机构按照响应文件的性能参数指标进行测试，测试费用由成交供应商支付。不能提供或不能通过技术测试或测试结果与响应文件不符的视为虚假承诺，并报政府采购监督管理部门进行处理，导致整批 货物被拒收和索赔，由此引发的所有损失由成交供应商负责。</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报价为采购人指定地点的现场交货价，包括： 货物及标准附件、备品备件、专用工具的价格；运输、装卸、调试、培训、技术支持、售后服务等费用；必要的保险费用和各项税费；全部采购设备的安装费用。</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（5）本项目无预付款，在甲方向财政部门递交请款材料至款项实际发放期限不计入上述期限。</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（6）交货时，所有产品均严格按签订的政府采购合同、</w:t>
            </w:r>
            <w:r>
              <w:rPr>
                <w:rFonts w:hint="eastAsia" w:asciiTheme="minorEastAsia" w:hAnsiTheme="minorEastAsia" w:eastAsiaTheme="minorEastAsia" w:cstheme="minorEastAsia"/>
                <w:color w:val="auto"/>
                <w:sz w:val="21"/>
                <w:szCs w:val="21"/>
                <w:lang w:eastAsia="zh-CN"/>
              </w:rPr>
              <w:t>谈判响应文件</w:t>
            </w:r>
            <w:bookmarkStart w:id="109" w:name="_GoBack"/>
            <w:bookmarkEnd w:id="109"/>
            <w:r>
              <w:rPr>
                <w:rFonts w:hint="eastAsia" w:asciiTheme="minorEastAsia" w:hAnsiTheme="minorEastAsia" w:eastAsiaTheme="minorEastAsia" w:cstheme="minorEastAsia"/>
                <w:color w:val="auto"/>
                <w:sz w:val="21"/>
                <w:szCs w:val="21"/>
              </w:rPr>
              <w:t>和承诺的技术参数及性能和国家有关标准进行验收，达不到要求或与响应和承诺的技术参数不一致的，视为产品验收不合格，采购单位可解除双方的供货合同。</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成交供应商应提供货物的有效检验文件，经采购人认可后，与合同的性能、技术指标一起作为货物验收标准。采购人对货物验收合格后，签署验收合格证书，验收标准应符合中国有关的国家、地方、行业标准。</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（8）保密义务，乙方有权依据合同约定和项目需要，向甲方了解有关情况，调阅有关资 料等，甲方应予积极配合；乙方有义务妥善保管和保护由甲方提供的前款信息和资料等；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keepNext w:val="0"/>
              <w:keepLines w:val="0"/>
              <w:pageBreakBefore w:val="0"/>
              <w:widowControl/>
              <w:numPr>
                <w:ilvl w:val="0"/>
                <w:numId w:val="0"/>
              </w:numPr>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本标的货物所涉及的货物不接受进口产品（即通过中国海关报关验放进入中国境内且产自关境外的产品）参与竞标，如有进口产品参与竞标的作无效标处理。供货前必须提供所竞标产品生产厂家或国内代理商出具的授权书、供货证明、售后服务承诺复印件（原件备查）。</w:t>
            </w:r>
          </w:p>
        </w:tc>
      </w:tr>
    </w:tbl>
    <w:p>
      <w:pPr>
        <w:pStyle w:val="2"/>
        <w:numPr>
          <w:ilvl w:val="0"/>
          <w:numId w:val="0"/>
        </w:numPr>
        <w:ind w:left="432"/>
        <w:rPr>
          <w:color w:val="auto"/>
          <w:highlight w:val="none"/>
          <w:lang w:val="en-US"/>
        </w:rPr>
      </w:pPr>
    </w:p>
    <w:p>
      <w:pPr>
        <w:spacing w:line="300" w:lineRule="exact"/>
        <w:ind w:firstLine="480" w:firstLineChars="200"/>
        <w:rPr>
          <w:rFonts w:ascii="宋体" w:hAnsi="宋体" w:cs="宋体"/>
          <w:bCs/>
          <w:color w:val="auto"/>
          <w:sz w:val="24"/>
          <w:highlight w:val="none"/>
        </w:rPr>
      </w:pPr>
    </w:p>
    <w:p>
      <w:pPr>
        <w:rPr>
          <w:color w:val="auto"/>
          <w:highlight w:val="none"/>
        </w:rPr>
      </w:pPr>
    </w:p>
    <w:p>
      <w:pPr>
        <w:pStyle w:val="2"/>
        <w:numPr>
          <w:ilvl w:val="0"/>
          <w:numId w:val="0"/>
        </w:numPr>
        <w:ind w:left="432"/>
        <w:rPr>
          <w:color w:val="auto"/>
          <w:highlight w:val="none"/>
          <w:lang w:val="en-US"/>
        </w:rPr>
      </w:pPr>
    </w:p>
    <w:p>
      <w:pPr>
        <w:rPr>
          <w:color w:val="auto"/>
          <w:highlight w:val="none"/>
        </w:rPr>
      </w:pPr>
    </w:p>
    <w:p>
      <w:pPr>
        <w:widowControl/>
        <w:adjustRightInd/>
        <w:jc w:val="left"/>
        <w:rPr>
          <w:rFonts w:cs="仿宋_GB2312" w:asciiTheme="minorEastAsia" w:hAnsiTheme="minorEastAsia" w:eastAsiaTheme="minorEastAsia"/>
          <w:b/>
          <w:color w:val="auto"/>
          <w:sz w:val="36"/>
          <w:szCs w:val="36"/>
          <w:highlight w:val="none"/>
        </w:rPr>
      </w:pPr>
      <w:bookmarkStart w:id="90" w:name="_Toc181265285"/>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81"/>
      <w:bookmarkEnd w:id="82"/>
      <w:bookmarkStart w:id="91" w:name="第四部分"/>
      <w:r>
        <w:rPr>
          <w:rFonts w:hint="eastAsia" w:cs="仿宋_GB2312" w:asciiTheme="minorEastAsia" w:hAnsiTheme="minorEastAsia" w:eastAsiaTheme="minorEastAsia"/>
          <w:b/>
          <w:color w:val="auto"/>
          <w:sz w:val="36"/>
          <w:szCs w:val="36"/>
          <w:highlight w:val="none"/>
        </w:rPr>
        <w:t>评定标准</w:t>
      </w:r>
      <w:bookmarkEnd w:id="90"/>
    </w:p>
    <w:p>
      <w:pPr>
        <w:adjustRightInd/>
        <w:spacing w:line="360" w:lineRule="auto"/>
        <w:ind w:firstLine="482" w:firstLineChars="200"/>
        <w:rPr>
          <w:rFonts w:cs="Arial" w:asciiTheme="minorEastAsia" w:hAnsiTheme="minorEastAsia" w:eastAsiaTheme="minorEastAsia"/>
          <w:b/>
          <w:color w:val="auto"/>
          <w:kern w:val="0"/>
          <w:sz w:val="24"/>
          <w:highlight w:val="none"/>
        </w:rPr>
      </w:pPr>
    </w:p>
    <w:p>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pPr>
        <w:adjustRightInd/>
        <w:spacing w:line="360" w:lineRule="auto"/>
        <w:rPr>
          <w:rFonts w:cs="Arial" w:asciiTheme="minorEastAsia" w:hAnsiTheme="minorEastAsia" w:eastAsiaTheme="minorEastAsia"/>
          <w:color w:val="auto"/>
          <w:kern w:val="0"/>
          <w:sz w:val="24"/>
          <w:highlight w:val="none"/>
        </w:rPr>
      </w:pPr>
    </w:p>
    <w:p>
      <w:pPr>
        <w:pStyle w:val="631"/>
        <w:rPr>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pPr>
        <w:pStyle w:val="392"/>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pPr>
        <w:snapToGrid w:val="0"/>
        <w:spacing w:line="360" w:lineRule="auto"/>
        <w:ind w:firstLine="480" w:firstLineChars="200"/>
        <w:jc w:val="left"/>
        <w:rPr>
          <w:rFonts w:ascii="宋体" w:hAnsi="宋体" w:cs="宋体"/>
          <w:color w:val="auto"/>
          <w:kern w:val="0"/>
          <w:sz w:val="24"/>
          <w:highlight w:val="none"/>
        </w:rPr>
      </w:pPr>
      <w:bookmarkStart w:id="92" w:name="OLE_LINK126"/>
      <w:bookmarkStart w:id="93" w:name="OLE_LINK127"/>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92"/>
    <w:bookmarkEnd w:id="93"/>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cs="仿宋_GB2312" w:asciiTheme="minorEastAsia" w:hAnsiTheme="minorEastAsia" w:eastAsiaTheme="minorEastAsia"/>
          <w:b/>
          <w:color w:val="auto"/>
          <w:sz w:val="36"/>
          <w:szCs w:val="36"/>
          <w:highlight w:val="none"/>
        </w:rPr>
      </w:pPr>
      <w:bookmarkStart w:id="94" w:name="_Toc181265286"/>
      <w:r>
        <w:rPr>
          <w:rFonts w:hint="eastAsia" w:cs="仿宋_GB2312" w:asciiTheme="minorEastAsia" w:hAnsiTheme="minorEastAsia" w:eastAsiaTheme="minorEastAsia"/>
          <w:b/>
          <w:color w:val="auto"/>
          <w:sz w:val="36"/>
          <w:szCs w:val="36"/>
          <w:highlight w:val="none"/>
        </w:rPr>
        <w:t>第六部分</w:t>
      </w:r>
      <w:bookmarkEnd w:id="91"/>
      <w:r>
        <w:rPr>
          <w:rFonts w:hint="eastAsia" w:cs="仿宋_GB2312" w:asciiTheme="minorEastAsia" w:hAnsiTheme="minorEastAsia" w:eastAsiaTheme="minorEastAsia"/>
          <w:b/>
          <w:color w:val="auto"/>
          <w:sz w:val="36"/>
          <w:szCs w:val="36"/>
          <w:highlight w:val="none"/>
        </w:rPr>
        <w:t xml:space="preserve">  拟签订的合同文本</w:t>
      </w:r>
      <w:bookmarkEnd w:id="94"/>
    </w:p>
    <w:p>
      <w:pPr>
        <w:spacing w:line="480" w:lineRule="auto"/>
        <w:jc w:val="center"/>
        <w:rPr>
          <w:rFonts w:ascii="宋体" w:hAnsi="宋体" w:cs="宋体"/>
          <w:b/>
          <w:color w:val="auto"/>
          <w:sz w:val="24"/>
          <w:highlight w:val="none"/>
        </w:rPr>
      </w:pPr>
      <w:bookmarkStart w:id="95" w:name="第五部分"/>
      <w:bookmarkStart w:id="96" w:name="_Toc86217003"/>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97"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97"/>
      <w:r>
        <w:rPr>
          <w:rFonts w:hint="eastAsia" w:ascii="黑体" w:hAnsi="黑体" w:eastAsia="黑体"/>
          <w:color w:val="auto"/>
          <w:sz w:val="28"/>
          <w:szCs w:val="28"/>
          <w:highlight w:val="none"/>
        </w:rPr>
        <w:t>第一节 政府采购合同协议书</w:t>
      </w:r>
    </w:p>
    <w:p>
      <w:pPr>
        <w:pStyle w:val="631"/>
        <w:rPr>
          <w:color w:val="auto"/>
          <w:highlight w:val="none"/>
        </w:rPr>
      </w:pPr>
    </w:p>
    <w:p>
      <w:pPr>
        <w:pStyle w:val="631"/>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631"/>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631"/>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631"/>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631"/>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631"/>
        <w:ind w:firstLine="0"/>
        <w:rPr>
          <w:b/>
          <w:color w:val="auto"/>
          <w:highlight w:val="none"/>
        </w:rPr>
      </w:pPr>
      <w:r>
        <w:rPr>
          <w:rFonts w:hint="eastAsia"/>
          <w:b/>
          <w:color w:val="auto"/>
          <w:highlight w:val="none"/>
        </w:rPr>
        <w:t>1.项目信息</w:t>
      </w:r>
    </w:p>
    <w:p>
      <w:pPr>
        <w:pStyle w:val="631"/>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631"/>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rFonts w:hint="eastAsia"/>
          <w:color w:val="auto"/>
          <w:highlight w:val="none"/>
        </w:rPr>
        <w:t>（3）项目内容：</w:t>
      </w:r>
    </w:p>
    <w:p>
      <w:pPr>
        <w:pStyle w:val="631"/>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631"/>
        <w:ind w:firstLine="480" w:firstLineChars="200"/>
        <w:rPr>
          <w:color w:val="auto"/>
          <w:highlight w:val="none"/>
          <w:u w:val="single"/>
        </w:rPr>
      </w:pPr>
      <w:r>
        <w:rPr>
          <w:rFonts w:hint="eastAsia"/>
          <w:color w:val="auto"/>
          <w:highlight w:val="none"/>
        </w:rPr>
        <w:t>采购标的的技术要求、商务要求具体见附件。</w:t>
      </w:r>
    </w:p>
    <w:p>
      <w:pPr>
        <w:pStyle w:val="631"/>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631"/>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631"/>
        <w:ind w:firstLine="480" w:firstLineChars="200"/>
        <w:rPr>
          <w:rFonts w:cs="宋体"/>
          <w:color w:val="auto"/>
          <w:highlight w:val="none"/>
        </w:rPr>
      </w:pPr>
      <w:r>
        <w:rPr>
          <w:rFonts w:hint="eastAsia" w:cs="宋体"/>
          <w:color w:val="auto"/>
          <w:highlight w:val="none"/>
        </w:rPr>
        <w:t>②涉及车辆采购，请填写是否属于新能源汽车：</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631"/>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631"/>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631"/>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分包供应商/制造商名称（如供应商和制造商不同，请分别填写）：</w:t>
      </w:r>
    </w:p>
    <w:p>
      <w:pPr>
        <w:pStyle w:val="631"/>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分包供应商/制造商类型（如果供应商和制造商不同，只填写制造商类型）：</w:t>
      </w:r>
    </w:p>
    <w:p>
      <w:pPr>
        <w:pStyle w:val="631"/>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631"/>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631"/>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631"/>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631"/>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631"/>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631"/>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是否涉及环境标志产品：</w:t>
      </w:r>
    </w:p>
    <w:p>
      <w:pPr>
        <w:pStyle w:val="631"/>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 xml:space="preserve">是否涉及绿色产品： </w:t>
      </w:r>
    </w:p>
    <w:p>
      <w:pPr>
        <w:pStyle w:val="631"/>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631"/>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631"/>
        <w:ind w:firstLineChars="200"/>
        <w:rPr>
          <w:b/>
          <w:color w:val="auto"/>
          <w:highlight w:val="none"/>
        </w:rPr>
      </w:pPr>
      <w:r>
        <w:rPr>
          <w:rFonts w:hint="eastAsia"/>
          <w:b/>
          <w:color w:val="auto"/>
          <w:highlight w:val="none"/>
        </w:rPr>
        <w:t>2.合同金额</w:t>
      </w:r>
    </w:p>
    <w:p>
      <w:pPr>
        <w:pStyle w:val="631"/>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（注：固定单价合同应填写单价和最高限价）</w:t>
      </w:r>
    </w:p>
    <w:p>
      <w:pPr>
        <w:pStyle w:val="631"/>
        <w:ind w:firstLine="480" w:firstLineChars="200"/>
        <w:rPr>
          <w:color w:val="auto"/>
          <w:highlight w:val="none"/>
        </w:rPr>
      </w:pPr>
      <w:r>
        <w:rPr>
          <w:rFonts w:hint="eastAsia"/>
          <w:color w:val="auto"/>
          <w:highlight w:val="none"/>
        </w:rPr>
        <w:t>（2）合同定价方式（采用组合定价方式的，可以勾选多项）：</w:t>
      </w:r>
    </w:p>
    <w:p>
      <w:pPr>
        <w:pStyle w:val="631"/>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（3）付款方式（按项目实际勾选填写）：</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631"/>
        <w:ind w:firstLineChars="200"/>
        <w:rPr>
          <w:b/>
          <w:color w:val="auto"/>
          <w:highlight w:val="none"/>
          <w:u w:val="single"/>
        </w:rPr>
      </w:pPr>
      <w:r>
        <w:rPr>
          <w:rFonts w:hint="eastAsia"/>
          <w:b/>
          <w:color w:val="auto"/>
          <w:highlight w:val="none"/>
        </w:rPr>
        <w:t>3.合同履行</w:t>
      </w:r>
    </w:p>
    <w:p>
      <w:pPr>
        <w:pStyle w:val="631"/>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631"/>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631"/>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631"/>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631"/>
        <w:ind w:firstLineChars="200"/>
        <w:rPr>
          <w:b/>
          <w:color w:val="auto"/>
          <w:highlight w:val="none"/>
        </w:rPr>
      </w:pPr>
      <w:r>
        <w:rPr>
          <w:rFonts w:hint="eastAsia"/>
          <w:b/>
          <w:color w:val="auto"/>
          <w:highlight w:val="none"/>
        </w:rPr>
        <w:t>4.合同验收</w:t>
      </w:r>
    </w:p>
    <w:p>
      <w:pPr>
        <w:pStyle w:val="631"/>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631"/>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631"/>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631"/>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631"/>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631"/>
        <w:ind w:firstLineChars="200"/>
        <w:rPr>
          <w:b/>
          <w:color w:val="auto"/>
          <w:highlight w:val="none"/>
        </w:rPr>
      </w:pPr>
      <w:r>
        <w:rPr>
          <w:rFonts w:hint="eastAsia"/>
          <w:b/>
          <w:color w:val="auto"/>
          <w:highlight w:val="none"/>
        </w:rPr>
        <w:t>5.组成合同的文件</w:t>
      </w:r>
    </w:p>
    <w:p>
      <w:pPr>
        <w:pStyle w:val="631"/>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631"/>
        <w:ind w:firstLine="480" w:firstLineChars="200"/>
        <w:rPr>
          <w:color w:val="auto"/>
          <w:highlight w:val="none"/>
        </w:rPr>
      </w:pPr>
      <w:r>
        <w:rPr>
          <w:rFonts w:hint="eastAsia"/>
          <w:color w:val="auto"/>
          <w:highlight w:val="none"/>
        </w:rPr>
        <w:t>（1）政府采购合同协议书及其变更、补充协议</w:t>
      </w:r>
    </w:p>
    <w:p>
      <w:pPr>
        <w:pStyle w:val="631"/>
        <w:ind w:firstLine="480" w:firstLineChars="200"/>
        <w:rPr>
          <w:color w:val="auto"/>
          <w:highlight w:val="none"/>
        </w:rPr>
      </w:pPr>
      <w:r>
        <w:rPr>
          <w:rFonts w:hint="eastAsia"/>
          <w:color w:val="auto"/>
          <w:highlight w:val="none"/>
        </w:rPr>
        <w:t>（2）政府采购合同专用条款</w:t>
      </w:r>
    </w:p>
    <w:p>
      <w:pPr>
        <w:pStyle w:val="631"/>
        <w:ind w:firstLine="480" w:firstLineChars="200"/>
        <w:rPr>
          <w:color w:val="auto"/>
          <w:highlight w:val="none"/>
        </w:rPr>
      </w:pPr>
      <w:r>
        <w:rPr>
          <w:rFonts w:hint="eastAsia"/>
          <w:color w:val="auto"/>
          <w:highlight w:val="none"/>
        </w:rPr>
        <w:t>（3）政府采购合同通用条款</w:t>
      </w:r>
    </w:p>
    <w:p>
      <w:pPr>
        <w:pStyle w:val="631"/>
        <w:ind w:firstLine="480" w:firstLineChars="200"/>
        <w:rPr>
          <w:color w:val="auto"/>
          <w:highlight w:val="none"/>
        </w:rPr>
      </w:pPr>
      <w:r>
        <w:rPr>
          <w:rFonts w:hint="eastAsia"/>
          <w:color w:val="auto"/>
          <w:highlight w:val="none"/>
        </w:rPr>
        <w:t>（4）中标（成交）通知书</w:t>
      </w:r>
    </w:p>
    <w:p>
      <w:pPr>
        <w:pStyle w:val="631"/>
        <w:ind w:firstLine="480" w:firstLineChars="200"/>
        <w:rPr>
          <w:color w:val="auto"/>
          <w:highlight w:val="none"/>
        </w:rPr>
      </w:pPr>
      <w:r>
        <w:rPr>
          <w:rFonts w:hint="eastAsia"/>
          <w:color w:val="auto"/>
          <w:highlight w:val="none"/>
        </w:rPr>
        <w:t>（5）投标（响应）文件</w:t>
      </w:r>
    </w:p>
    <w:p>
      <w:pPr>
        <w:pStyle w:val="631"/>
        <w:ind w:firstLine="480" w:firstLineChars="200"/>
        <w:rPr>
          <w:color w:val="auto"/>
          <w:highlight w:val="none"/>
        </w:rPr>
      </w:pPr>
      <w:r>
        <w:rPr>
          <w:rFonts w:hint="eastAsia"/>
          <w:color w:val="auto"/>
          <w:highlight w:val="none"/>
        </w:rPr>
        <w:t>（6）采购文件</w:t>
      </w:r>
    </w:p>
    <w:p>
      <w:pPr>
        <w:pStyle w:val="631"/>
        <w:ind w:firstLine="480" w:firstLineChars="200"/>
        <w:rPr>
          <w:color w:val="auto"/>
          <w:highlight w:val="none"/>
        </w:rPr>
      </w:pPr>
      <w:r>
        <w:rPr>
          <w:rFonts w:hint="eastAsia"/>
          <w:color w:val="auto"/>
          <w:highlight w:val="none"/>
        </w:rPr>
        <w:t>（7）有关技术文件，图纸</w:t>
      </w:r>
    </w:p>
    <w:p>
      <w:pPr>
        <w:pStyle w:val="631"/>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631"/>
        <w:ind w:firstLineChars="200"/>
        <w:rPr>
          <w:b/>
          <w:color w:val="auto"/>
          <w:highlight w:val="none"/>
        </w:rPr>
      </w:pPr>
      <w:r>
        <w:rPr>
          <w:rFonts w:hint="eastAsia"/>
          <w:b/>
          <w:color w:val="auto"/>
          <w:highlight w:val="none"/>
        </w:rPr>
        <w:t>6.合同生效</w:t>
      </w:r>
    </w:p>
    <w:p>
      <w:pPr>
        <w:pStyle w:val="631"/>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631"/>
        <w:ind w:firstLineChars="200"/>
        <w:rPr>
          <w:b/>
          <w:color w:val="auto"/>
          <w:highlight w:val="none"/>
        </w:rPr>
      </w:pPr>
      <w:r>
        <w:rPr>
          <w:rFonts w:hint="eastAsia"/>
          <w:b/>
          <w:color w:val="auto"/>
          <w:highlight w:val="none"/>
        </w:rPr>
        <w:t>7.合同份数</w:t>
      </w:r>
    </w:p>
    <w:p>
      <w:pPr>
        <w:pStyle w:val="631"/>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631"/>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631"/>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附件：具体标的及其技术要求和商务要求、联合协议、分包意向协议等。</w:t>
      </w:r>
    </w:p>
    <w:p>
      <w:pPr>
        <w:pStyle w:val="631"/>
        <w:rPr>
          <w:color w:val="auto"/>
          <w:highlight w:val="none"/>
        </w:rPr>
      </w:pPr>
    </w:p>
    <w:p>
      <w:pPr>
        <w:pStyle w:val="631"/>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98" w:name="_Toc27624"/>
      <w:r>
        <w:rPr>
          <w:rFonts w:hint="eastAsia" w:ascii="黑体" w:hAnsi="黑体" w:eastAsia="黑体"/>
          <w:color w:val="auto"/>
          <w:sz w:val="28"/>
          <w:szCs w:val="28"/>
          <w:highlight w:val="none"/>
        </w:rPr>
        <w:t>第二节 政府采购合同通用条款</w:t>
      </w:r>
      <w:bookmarkEnd w:id="98"/>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99"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9"/>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100"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100"/>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pStyle w:val="631"/>
        <w:rPr>
          <w:color w:val="auto"/>
          <w:highlight w:val="none"/>
        </w:rPr>
      </w:pPr>
    </w:p>
    <w:p>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pPr>
        <w:spacing w:line="360" w:lineRule="auto"/>
        <w:ind w:firstLine="562" w:firstLineChars="200"/>
        <w:jc w:val="center"/>
        <w:rPr>
          <w:rFonts w:asciiTheme="minorEastAsia" w:hAnsiTheme="minorEastAsia" w:eastAsiaTheme="minorEastAsia"/>
          <w:b/>
          <w:color w:val="auto"/>
          <w:sz w:val="28"/>
          <w:szCs w:val="28"/>
          <w:highlight w:val="none"/>
        </w:rPr>
      </w:pPr>
    </w:p>
    <w:p>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1" w:name="_Toc181265287"/>
      <w:r>
        <w:rPr>
          <w:rFonts w:hint="eastAsia" w:cs="仿宋_GB2312" w:asciiTheme="minorEastAsia" w:hAnsiTheme="minorEastAsia" w:eastAsiaTheme="minorEastAsia"/>
          <w:b/>
          <w:color w:val="auto"/>
          <w:sz w:val="36"/>
          <w:szCs w:val="20"/>
          <w:highlight w:val="none"/>
        </w:rPr>
        <w:t>第七部分</w:t>
      </w:r>
      <w:bookmarkEnd w:id="95"/>
      <w:r>
        <w:rPr>
          <w:rFonts w:hint="eastAsia" w:cs="仿宋_GB2312" w:asciiTheme="minorEastAsia" w:hAnsiTheme="minorEastAsia" w:eastAsiaTheme="minorEastAsia"/>
          <w:b/>
          <w:color w:val="auto"/>
          <w:sz w:val="36"/>
          <w:szCs w:val="20"/>
          <w:highlight w:val="none"/>
        </w:rPr>
        <w:t xml:space="preserve">  </w:t>
      </w:r>
      <w:bookmarkEnd w:id="96"/>
      <w:r>
        <w:rPr>
          <w:rFonts w:hint="eastAsia" w:cs="仿宋_GB2312" w:asciiTheme="minorEastAsia" w:hAnsiTheme="minorEastAsia" w:eastAsiaTheme="minorEastAsia"/>
          <w:b/>
          <w:color w:val="auto"/>
          <w:sz w:val="36"/>
          <w:szCs w:val="20"/>
          <w:highlight w:val="none"/>
        </w:rPr>
        <w:t>应提交的有关格式范例</w:t>
      </w:r>
      <w:bookmarkEnd w:id="101"/>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1"/>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pPr>
        <w:pStyle w:val="631"/>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pPr>
        <w:pStyle w:val="631"/>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4"/>
        <w:numPr>
          <w:ilvl w:val="0"/>
          <w:numId w:val="9"/>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9"/>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cs="仿宋_GB2312" w:asciiTheme="minorEastAsia" w:hAnsiTheme="minorEastAsia" w:eastAsiaTheme="minorEastAsia"/>
          <w:color w:val="auto"/>
          <w:kern w:val="0"/>
          <w:sz w:val="24"/>
          <w:highlight w:val="none"/>
        </w:rPr>
      </w:pPr>
    </w:p>
    <w:p>
      <w:pPr>
        <w:pStyle w:val="114"/>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pPr>
        <w:spacing w:line="360" w:lineRule="auto"/>
        <w:rPr>
          <w:rFonts w:cs="仿宋_GB2312" w:asciiTheme="minorEastAsia" w:hAnsiTheme="minorEastAsia" w:eastAsiaTheme="minorEastAsia"/>
          <w:color w:val="auto"/>
          <w:sz w:val="18"/>
          <w:szCs w:val="18"/>
          <w:highlight w:val="none"/>
        </w:rPr>
      </w:pPr>
    </w:p>
    <w:p>
      <w:pPr>
        <w:spacing w:line="360" w:lineRule="auto"/>
        <w:rPr>
          <w:rFonts w:cs="仿宋_GB2312" w:asciiTheme="minorEastAsia" w:hAnsiTheme="minorEastAsia" w:eastAsiaTheme="minorEastAsia"/>
          <w:color w:val="auto"/>
          <w:sz w:val="18"/>
          <w:szCs w:val="18"/>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cs="宋体" w:asciiTheme="minorEastAsia" w:hAnsiTheme="minorEastAsia" w:eastAsiaTheme="minorEastAsia"/>
          <w:color w:val="auto"/>
          <w:sz w:val="24"/>
          <w:highlight w:val="none"/>
        </w:rPr>
      </w:pPr>
    </w:p>
    <w:p>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4" w:type="first"/>
          <w:footerReference r:id="rId7" w:type="first"/>
          <w:headerReference r:id="rId3" w:type="default"/>
          <w:footerReference r:id="rId5" w:type="default"/>
          <w:footerReference r:id="rId6" w:type="even"/>
          <w:pgSz w:w="11906" w:h="16838"/>
          <w:pgMar w:top="1134" w:right="1134" w:bottom="1134" w:left="1134" w:header="850" w:footer="850" w:gutter="0"/>
          <w:cols w:space="720" w:num="1"/>
          <w:titlePg/>
          <w:docGrid w:linePitch="312" w:charSpace="0"/>
        </w:sectPr>
      </w:pPr>
    </w:p>
    <w:p>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1"/>
        <w:rPr>
          <w:color w:val="auto"/>
          <w:highlight w:val="none"/>
        </w:rPr>
      </w:pPr>
      <w:r>
        <w:rPr>
          <w:rFonts w:hint="eastAsia"/>
          <w:color w:val="auto"/>
          <w:highlight w:val="none"/>
        </w:rPr>
        <w:t>……</w:t>
      </w:r>
    </w:p>
    <w:p>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10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2"/>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pPr>
        <w:wordWrap w:val="0"/>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cs="仿宋_GB2312" w:asciiTheme="minorEastAsia" w:hAnsiTheme="minorEastAsia" w:eastAsiaTheme="minorEastAsia"/>
          <w:b/>
          <w:color w:val="auto"/>
          <w:kern w:val="0"/>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rPr>
          <w:rFonts w:cs="仿宋_GB2312" w:asciiTheme="minorEastAsia" w:hAnsiTheme="minorEastAsia" w:eastAsiaTheme="minorEastAsia"/>
          <w:b/>
          <w:bCs/>
          <w:color w:val="auto"/>
          <w:kern w:val="0"/>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pPr>
              <w:pStyle w:val="31"/>
              <w:spacing w:line="360" w:lineRule="auto"/>
              <w:jc w:val="center"/>
              <w:rPr>
                <w:rFonts w:cs="仿宋_GB2312" w:asciiTheme="minorEastAsia" w:hAnsiTheme="minorEastAsia" w:eastAsiaTheme="minorEastAsia"/>
                <w:color w:val="auto"/>
                <w:sz w:val="24"/>
                <w:highlight w:val="none"/>
              </w:rPr>
            </w:pPr>
          </w:p>
        </w:tc>
      </w:tr>
    </w:tbl>
    <w:p>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color w:val="auto"/>
          <w:sz w:val="36"/>
          <w:szCs w:val="36"/>
          <w:highlight w:val="none"/>
        </w:rPr>
      </w:pP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ascii="宋体" w:hAnsi="宋体" w:cs="宋体"/>
          <w:b/>
          <w:bCs/>
          <w:color w:val="auto"/>
          <w:sz w:val="32"/>
          <w:szCs w:val="32"/>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pPr>
        <w:snapToGrid w:val="0"/>
        <w:spacing w:line="400" w:lineRule="exact"/>
        <w:ind w:firstLine="420" w:firstLineChars="200"/>
        <w:rPr>
          <w:rFonts w:asciiTheme="minorEastAsia" w:hAnsiTheme="minorEastAsia" w:eastAsiaTheme="minorEastAsia"/>
          <w:color w:val="auto"/>
          <w:szCs w:val="21"/>
          <w:highlight w:val="none"/>
        </w:rPr>
      </w:pPr>
    </w:p>
    <w:p>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pPr>
        <w:pStyle w:val="71"/>
        <w:snapToGrid w:val="0"/>
        <w:spacing w:after="120"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bl>
    <w:p>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color w:val="auto"/>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snapToGrid w:val="0"/>
        <w:spacing w:line="400" w:lineRule="exact"/>
        <w:ind w:firstLine="420" w:firstLineChars="200"/>
        <w:rPr>
          <w:rFonts w:asciiTheme="minorEastAsia" w:hAnsiTheme="minorEastAsia" w:eastAsiaTheme="minorEastAsia"/>
          <w:color w:val="auto"/>
          <w:szCs w:val="21"/>
          <w:highlight w:val="none"/>
        </w:rPr>
      </w:pP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7" w:type="first"/>
          <w:footerReference r:id="rId20" w:type="first"/>
          <w:headerReference r:id="rId16" w:type="default"/>
          <w:footerReference r:id="rId18" w:type="default"/>
          <w:footerReference r:id="rId19" w:type="even"/>
          <w:pgSz w:w="11906" w:h="16838"/>
          <w:pgMar w:top="779" w:right="1418" w:bottom="567"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03" w:name="_Toc181265288"/>
      <w:r>
        <w:rPr>
          <w:rFonts w:hint="eastAsia" w:cs="仿宋_GB2312" w:asciiTheme="minorEastAsia" w:hAnsiTheme="minorEastAsia" w:eastAsiaTheme="minorEastAsia"/>
          <w:b/>
          <w:color w:val="auto"/>
          <w:sz w:val="36"/>
          <w:szCs w:val="36"/>
          <w:highlight w:val="none"/>
        </w:rPr>
        <w:t>第八部分  最后报价格式</w:t>
      </w:r>
      <w:bookmarkEnd w:id="103"/>
    </w:p>
    <w:p>
      <w:pPr>
        <w:pStyle w:val="631"/>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pStyle w:val="631"/>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pStyle w:val="2"/>
        <w:numPr>
          <w:ilvl w:val="0"/>
          <w:numId w:val="0"/>
        </w:numPr>
        <w:ind w:left="432"/>
        <w:rPr>
          <w:color w:val="auto"/>
          <w:highlight w:val="none"/>
        </w:rPr>
      </w:pPr>
    </w:p>
    <w:p>
      <w:pPr>
        <w:snapToGrid w:val="0"/>
        <w:spacing w:line="360" w:lineRule="auto"/>
        <w:ind w:firstLine="480" w:firstLineChars="200"/>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firstLine="482" w:firstLineChars="200"/>
        <w:rPr>
          <w:rFonts w:ascii="宋体" w:hAnsi="宋体" w:cs="宋体"/>
          <w:b/>
          <w:color w:val="auto"/>
          <w:kern w:val="0"/>
          <w:sz w:val="24"/>
          <w:highlight w:val="none"/>
        </w:rPr>
      </w:pPr>
    </w:p>
    <w:p>
      <w:pPr>
        <w:pStyle w:val="2"/>
        <w:rPr>
          <w:color w:val="auto"/>
          <w:highlight w:val="none"/>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04" w:name="_Toc465665161"/>
      <w:r>
        <w:rPr>
          <w:rFonts w:hint="eastAsia" w:asciiTheme="minorEastAsia" w:hAnsiTheme="minorEastAsia" w:eastAsiaTheme="minorEastAsia"/>
          <w:b/>
          <w:color w:val="auto"/>
          <w:sz w:val="32"/>
          <w:szCs w:val="32"/>
          <w:highlight w:val="none"/>
        </w:rPr>
        <w:t>（如果有）</w:t>
      </w:r>
    </w:p>
    <w:p>
      <w:pPr>
        <w:widowControl/>
        <w:spacing w:line="360" w:lineRule="auto"/>
        <w:ind w:firstLine="120" w:firstLineChars="50"/>
        <w:jc w:val="left"/>
        <w:rPr>
          <w:rFonts w:cs="宋体" w:asciiTheme="minorEastAsia" w:hAnsiTheme="minorEastAsia" w:eastAsiaTheme="minorEastAsia"/>
          <w:b/>
          <w:color w:val="auto"/>
          <w:sz w:val="24"/>
          <w:highlight w:val="none"/>
        </w:rPr>
      </w:pPr>
    </w:p>
    <w:p>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cs="仿宋_GB2312" w:asciiTheme="minorEastAsia" w:hAnsiTheme="minorEastAsia" w:eastAsiaTheme="minorEastAsia"/>
          <w:color w:val="auto"/>
          <w:sz w:val="24"/>
          <w:highlight w:val="none"/>
        </w:rPr>
      </w:pPr>
    </w:p>
    <w:p>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1"/>
        <w:rPr>
          <w:color w:val="auto"/>
          <w:highlight w:val="none"/>
        </w:rPr>
      </w:pPr>
      <w:r>
        <w:rPr>
          <w:rFonts w:hint="eastAsia"/>
          <w:color w:val="auto"/>
          <w:highlight w:val="none"/>
        </w:rPr>
        <w:t>附件</w:t>
      </w:r>
      <w:bookmarkEnd w:id="104"/>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asciiTheme="minorEastAsia" w:hAnsiTheme="minorEastAsia" w:eastAsiaTheme="minorEastAsia"/>
          <w:b/>
          <w:color w:val="auto"/>
          <w:spacing w:val="6"/>
          <w:sz w:val="30"/>
          <w:szCs w:val="30"/>
          <w:highlight w:val="none"/>
        </w:rPr>
      </w:pP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ind w:firstLine="480" w:firstLineChars="200"/>
        <w:rPr>
          <w:rFonts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cs="仿宋_GB2312" w:asciiTheme="minorEastAsia" w:hAnsiTheme="minorEastAsia" w:eastAsiaTheme="minorEastAsia"/>
          <w:color w:val="auto"/>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cs="仿宋_GB2312" w:asciiTheme="minorEastAsia" w:hAnsiTheme="minorEastAsia" w:eastAsiaTheme="minorEastAsia"/>
          <w:b/>
          <w:color w:val="auto"/>
          <w:sz w:val="24"/>
          <w:highlight w:val="none"/>
        </w:rPr>
      </w:pPr>
    </w:p>
    <w:p>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asciiTheme="minorEastAsia" w:hAnsiTheme="minorEastAsia" w:eastAsiaTheme="minorEastAsia"/>
          <w:b/>
          <w:bCs/>
          <w:color w:val="auto"/>
          <w:sz w:val="32"/>
          <w:szCs w:val="32"/>
          <w:highlight w:val="none"/>
        </w:rPr>
      </w:pPr>
    </w:p>
    <w:p>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snapToGrid w:val="0"/>
        <w:spacing w:line="360" w:lineRule="auto"/>
        <w:jc w:val="cente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highlight w:val="none"/>
        </w:rPr>
      </w:pPr>
    </w:p>
    <w:p>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567" w:left="1418" w:header="624"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仿宋" w:hAnsi="仿宋" w:eastAsia="仿宋" w:cs="仿宋"/>
        <w:b w:val="0"/>
        <w:bCs w:val="0"/>
      </w:rPr>
    </w:pPr>
    <w:r>
      <w:rPr>
        <w:rFonts w:hint="eastAsia" w:ascii="仿宋" w:hAnsi="仿宋" w:eastAsia="仿宋" w:cs="仿宋"/>
        <w:b w:val="0"/>
        <w:bCs w:val="0"/>
        <w:kern w:val="0"/>
      </w:rPr>
      <w:t xml:space="preserve">第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PAGE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38</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 共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NUMPAGES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91</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5" w:name="_Toc36110187"/>
    <w:bookmarkStart w:id="106" w:name="_Toc164085800"/>
    <w:bookmarkStart w:id="107" w:name="_Toc131845147"/>
    <w:bookmarkStart w:id="108" w:name="_Toc91899912"/>
    <w:r>
      <w:rPr>
        <w:rFonts w:hint="eastAsia" w:ascii="仿宋_GB2312" w:eastAsia="仿宋_GB2312"/>
        <w:kern w:val="0"/>
        <w:szCs w:val="21"/>
      </w:rPr>
      <w:t xml:space="preserve"> 页</w:t>
    </w:r>
    <w:bookmarkEnd w:id="105"/>
    <w:bookmarkEnd w:id="106"/>
    <w:bookmarkEnd w:id="107"/>
    <w:bookmarkEnd w:id="1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eastAsia="宋体" w:cs="宋体"/>
      </w:rPr>
    </w:pPr>
    <w:r>
      <w:rPr>
        <w:rFonts w:hint="eastAsia" w:ascii="宋体" w:hAnsi="宋体" w:eastAsia="宋体" w:cs="宋体"/>
        <w:kern w:val="0"/>
      </w:rPr>
      <w:t xml:space="preserve">第 </w:t>
    </w:r>
    <w:r>
      <w:rPr>
        <w:rFonts w:hint="eastAsia" w:ascii="宋体" w:hAnsi="宋体" w:eastAsia="宋体" w:cs="宋体"/>
        <w:kern w:val="0"/>
      </w:rPr>
      <w:fldChar w:fldCharType="begin"/>
    </w:r>
    <w:r>
      <w:rPr>
        <w:rFonts w:hint="eastAsia" w:ascii="宋体" w:hAnsi="宋体" w:eastAsia="宋体" w:cs="宋体"/>
        <w:kern w:val="0"/>
      </w:rPr>
      <w:instrText xml:space="preserve"> PAGE </w:instrText>
    </w:r>
    <w:r>
      <w:rPr>
        <w:rFonts w:hint="eastAsia" w:ascii="宋体" w:hAnsi="宋体" w:eastAsia="宋体" w:cs="宋体"/>
        <w:kern w:val="0"/>
      </w:rPr>
      <w:fldChar w:fldCharType="separate"/>
    </w:r>
    <w:r>
      <w:rPr>
        <w:rFonts w:hint="eastAsia" w:ascii="宋体" w:hAnsi="宋体" w:eastAsia="宋体" w:cs="宋体"/>
        <w:kern w:val="0"/>
      </w:rPr>
      <w:t>1</w:t>
    </w:r>
    <w:r>
      <w:rPr>
        <w:rFonts w:hint="eastAsia" w:ascii="宋体" w:hAnsi="宋体" w:eastAsia="宋体" w:cs="宋体"/>
        <w:kern w:val="0"/>
      </w:rPr>
      <w:fldChar w:fldCharType="end"/>
    </w:r>
    <w:r>
      <w:rPr>
        <w:rFonts w:hint="eastAsia" w:ascii="宋体" w:hAnsi="宋体" w:eastAsia="宋体" w:cs="宋体"/>
        <w:kern w:val="0"/>
      </w:rPr>
      <w:t xml:space="preserve"> 页 共 </w:t>
    </w:r>
    <w:r>
      <w:rPr>
        <w:rFonts w:hint="eastAsia" w:ascii="宋体" w:hAnsi="宋体" w:eastAsia="宋体" w:cs="宋体"/>
        <w:kern w:val="0"/>
      </w:rPr>
      <w:fldChar w:fldCharType="begin"/>
    </w:r>
    <w:r>
      <w:rPr>
        <w:rFonts w:hint="eastAsia" w:ascii="宋体" w:hAnsi="宋体" w:eastAsia="宋体" w:cs="宋体"/>
        <w:kern w:val="0"/>
      </w:rPr>
      <w:instrText xml:space="preserve"> NUMPAGES </w:instrText>
    </w:r>
    <w:r>
      <w:rPr>
        <w:rFonts w:hint="eastAsia" w:ascii="宋体" w:hAnsi="宋体" w:eastAsia="宋体" w:cs="宋体"/>
        <w:kern w:val="0"/>
      </w:rPr>
      <w:fldChar w:fldCharType="separate"/>
    </w:r>
    <w:r>
      <w:rPr>
        <w:rFonts w:hint="eastAsia" w:ascii="宋体" w:hAnsi="宋体" w:eastAsia="宋体" w:cs="宋体"/>
        <w:kern w:val="0"/>
      </w:rPr>
      <w:t>4</w:t>
    </w:r>
    <w:r>
      <w:rPr>
        <w:rFonts w:hint="eastAsia" w:ascii="宋体" w:hAnsi="宋体" w:eastAsia="宋体" w:cs="宋体"/>
        <w:kern w:val="0"/>
      </w:rPr>
      <w:fldChar w:fldCharType="end"/>
    </w:r>
    <w:r>
      <w:rPr>
        <w:rFonts w:hint="eastAsia" w:ascii="宋体" w:hAnsi="宋体" w:eastAsia="宋体" w:cs="宋体"/>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eastAsia="宋体" w:cs="宋体"/>
        <w:szCs w:val="24"/>
      </w:rPr>
    </w:pPr>
    <w:r>
      <w:rPr>
        <w:rFonts w:hint="eastAsia" w:ascii="宋体" w:hAnsi="宋体" w:eastAsia="宋体" w:cs="宋体"/>
        <w:kern w:val="0"/>
        <w:szCs w:val="21"/>
      </w:rPr>
      <w:t xml:space="preserve">第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PAGE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 共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NUMPAGES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hint="eastAsia" w:ascii="宋体" w:hAnsi="宋体" w:eastAsia="宋体" w:cs="宋体"/>
        <w:b w:val="0"/>
        <w:sz w:val="18"/>
        <w:u w:val="single"/>
      </w:rPr>
    </w:pPr>
    <w:r>
      <w:rPr>
        <w:rFonts w:hint="eastAsia" w:ascii="宋体" w:hAnsi="宋体" w:eastAsia="宋体" w:cs="宋体"/>
        <w:b w:val="0"/>
        <w:i/>
        <w:sz w:val="18"/>
        <w:u w:val="single"/>
      </w:rPr>
      <w:t xml:space="preserve">                                                               </w:t>
    </w:r>
    <w:r>
      <w:rPr>
        <w:rFonts w:hint="eastAsia" w:ascii="宋体" w:hAnsi="宋体" w:eastAsia="宋体" w:cs="宋体"/>
        <w:b w:val="0"/>
        <w:i/>
        <w:sz w:val="18"/>
        <w:u w:val="single"/>
        <w:lang w:val="en-US" w:eastAsia="zh-CN"/>
      </w:rPr>
      <w:t xml:space="preserve">      </w:t>
    </w:r>
    <w:r>
      <w:rPr>
        <w:rFonts w:hint="eastAsia" w:ascii="宋体" w:hAnsi="宋体" w:eastAsia="宋体" w:cs="宋体"/>
        <w:b w:val="0"/>
        <w:i/>
        <w:sz w:val="18"/>
        <w:u w:val="single"/>
      </w:rPr>
      <w:t xml:space="preserve">      </w:t>
    </w:r>
    <w:r>
      <w:rPr>
        <w:rFonts w:hint="eastAsia" w:ascii="仿宋" w:hAnsi="仿宋" w:eastAsia="仿宋" w:cs="仿宋"/>
        <w:b w:val="0"/>
        <w:sz w:val="18"/>
        <w:u w:val="single"/>
      </w:rPr>
      <w:t xml:space="preserve"> </w:t>
    </w:r>
    <w:r>
      <w:rPr>
        <w:rFonts w:hint="eastAsia" w:ascii="宋体" w:hAnsi="宋体" w:eastAsia="宋体" w:cs="宋体"/>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w:t>
    </w:r>
    <w:r>
      <w:rPr>
        <w:rFonts w:hint="eastAsia"/>
      </w:rPr>
      <w:t xml:space="preserve">         </w:t>
    </w:r>
  </w:p>
  <w:p>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pPr>
    <w:r>
      <w:t></w:t>
    </w:r>
    <w:r>
      <w:rPr>
        <w:rFonts w:hint="eastAsia"/>
      </w:rPr>
      <w:t xml:space="preserve">         </w:t>
    </w:r>
  </w:p>
  <w:p>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hint="eastAsia" w:ascii="宋体" w:hAnsi="宋体" w:eastAsia="宋体" w:cs="宋体"/>
      </w:rPr>
    </w:pPr>
    <w:r>
      <w:rPr>
        <w:rFonts w:hint="eastAsia" w:ascii="宋体" w:hAnsi="宋体" w:eastAsia="宋体" w:cs="宋体"/>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231FF53A"/>
    <w:multiLevelType w:val="singleLevel"/>
    <w:tmpl w:val="231FF53A"/>
    <w:lvl w:ilvl="0" w:tentative="0">
      <w:start w:val="1"/>
      <w:numFmt w:val="decimal"/>
      <w:suff w:val="nothing"/>
      <w:lvlText w:val="%1．"/>
      <w:lvlJc w:val="left"/>
      <w:pPr>
        <w:ind w:left="0" w:firstLine="480"/>
      </w:pPr>
      <w:rPr>
        <w:rFonts w:hint="default"/>
      </w:rPr>
    </w:lvl>
  </w:abstractNum>
  <w:abstractNum w:abstractNumId="6">
    <w:nsid w:val="453E54C8"/>
    <w:multiLevelType w:val="singleLevel"/>
    <w:tmpl w:val="453E54C8"/>
    <w:lvl w:ilvl="0" w:tentative="0">
      <w:start w:val="2"/>
      <w:numFmt w:val="chineseCounting"/>
      <w:suff w:val="nothing"/>
      <w:lvlText w:val="%1、"/>
      <w:lvlJc w:val="left"/>
      <w:rPr>
        <w:rFonts w:hint="eastAsia"/>
      </w:r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8"/>
  </w:num>
  <w:num w:numId="6">
    <w:abstractNumId w:val="9"/>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2A1"/>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FF3216"/>
    <w:rsid w:val="02312723"/>
    <w:rsid w:val="02DA0C0E"/>
    <w:rsid w:val="03DD35E4"/>
    <w:rsid w:val="065A6178"/>
    <w:rsid w:val="075562B7"/>
    <w:rsid w:val="07F6164B"/>
    <w:rsid w:val="082545DF"/>
    <w:rsid w:val="087A1B7A"/>
    <w:rsid w:val="096B2097"/>
    <w:rsid w:val="0A5B7E63"/>
    <w:rsid w:val="0B71550E"/>
    <w:rsid w:val="0C87121B"/>
    <w:rsid w:val="0DF702FE"/>
    <w:rsid w:val="0E1305CD"/>
    <w:rsid w:val="0E3F698B"/>
    <w:rsid w:val="0F21508F"/>
    <w:rsid w:val="0F625A1A"/>
    <w:rsid w:val="0F816ACD"/>
    <w:rsid w:val="0FB94501"/>
    <w:rsid w:val="109441D8"/>
    <w:rsid w:val="10B047CF"/>
    <w:rsid w:val="10BB5902"/>
    <w:rsid w:val="10FC16EA"/>
    <w:rsid w:val="118963A1"/>
    <w:rsid w:val="118E18A2"/>
    <w:rsid w:val="127723A9"/>
    <w:rsid w:val="13072A44"/>
    <w:rsid w:val="145044FA"/>
    <w:rsid w:val="17DF74BD"/>
    <w:rsid w:val="186742B0"/>
    <w:rsid w:val="1A410A80"/>
    <w:rsid w:val="1B2A271F"/>
    <w:rsid w:val="1B890139"/>
    <w:rsid w:val="1D266CE1"/>
    <w:rsid w:val="1D3963AF"/>
    <w:rsid w:val="1E714A66"/>
    <w:rsid w:val="1FE868A9"/>
    <w:rsid w:val="211E26D6"/>
    <w:rsid w:val="21283D08"/>
    <w:rsid w:val="24E862B3"/>
    <w:rsid w:val="25B440B3"/>
    <w:rsid w:val="2A4B3FAB"/>
    <w:rsid w:val="2AA1365A"/>
    <w:rsid w:val="2ABC1D4D"/>
    <w:rsid w:val="2D677483"/>
    <w:rsid w:val="2DD15014"/>
    <w:rsid w:val="2F673055"/>
    <w:rsid w:val="2FD25781"/>
    <w:rsid w:val="319C6071"/>
    <w:rsid w:val="321D6829"/>
    <w:rsid w:val="32DB72BE"/>
    <w:rsid w:val="342E63AB"/>
    <w:rsid w:val="345D260B"/>
    <w:rsid w:val="365302AE"/>
    <w:rsid w:val="37786CCC"/>
    <w:rsid w:val="37F142D2"/>
    <w:rsid w:val="39A13F14"/>
    <w:rsid w:val="3A185EE5"/>
    <w:rsid w:val="3A867DF3"/>
    <w:rsid w:val="3C5F759A"/>
    <w:rsid w:val="3D5C78D4"/>
    <w:rsid w:val="3DC35577"/>
    <w:rsid w:val="3FFF72A6"/>
    <w:rsid w:val="42865B6B"/>
    <w:rsid w:val="42E1381E"/>
    <w:rsid w:val="43FB717C"/>
    <w:rsid w:val="45125AA6"/>
    <w:rsid w:val="451E447A"/>
    <w:rsid w:val="45345B76"/>
    <w:rsid w:val="47307808"/>
    <w:rsid w:val="4776450D"/>
    <w:rsid w:val="47D32937"/>
    <w:rsid w:val="486F747C"/>
    <w:rsid w:val="4923504F"/>
    <w:rsid w:val="4B6B4804"/>
    <w:rsid w:val="4D861CF6"/>
    <w:rsid w:val="51A0432A"/>
    <w:rsid w:val="527140E5"/>
    <w:rsid w:val="5292508F"/>
    <w:rsid w:val="52A96B6F"/>
    <w:rsid w:val="550764A4"/>
    <w:rsid w:val="551926E0"/>
    <w:rsid w:val="561279B9"/>
    <w:rsid w:val="56515F3B"/>
    <w:rsid w:val="572B71CA"/>
    <w:rsid w:val="57B02994"/>
    <w:rsid w:val="57E958DA"/>
    <w:rsid w:val="58AE4F0C"/>
    <w:rsid w:val="5A2A7C7B"/>
    <w:rsid w:val="5BBE44B0"/>
    <w:rsid w:val="5C80234E"/>
    <w:rsid w:val="5DE44F4A"/>
    <w:rsid w:val="5E261785"/>
    <w:rsid w:val="5F2F659F"/>
    <w:rsid w:val="5FA01CA8"/>
    <w:rsid w:val="5FCC5339"/>
    <w:rsid w:val="5FE70807"/>
    <w:rsid w:val="60E53485"/>
    <w:rsid w:val="61054A27"/>
    <w:rsid w:val="611D2366"/>
    <w:rsid w:val="62885958"/>
    <w:rsid w:val="64CE2EAA"/>
    <w:rsid w:val="662E75B1"/>
    <w:rsid w:val="66342C2E"/>
    <w:rsid w:val="663E784C"/>
    <w:rsid w:val="67F2062E"/>
    <w:rsid w:val="685867EC"/>
    <w:rsid w:val="6B9A5199"/>
    <w:rsid w:val="6E8E12EF"/>
    <w:rsid w:val="6F347925"/>
    <w:rsid w:val="6FE41DF2"/>
    <w:rsid w:val="71D43752"/>
    <w:rsid w:val="72BB2CAB"/>
    <w:rsid w:val="73C80007"/>
    <w:rsid w:val="73DD6243"/>
    <w:rsid w:val="749C4185"/>
    <w:rsid w:val="75DA2C18"/>
    <w:rsid w:val="75E97D87"/>
    <w:rsid w:val="775319EF"/>
    <w:rsid w:val="7767426C"/>
    <w:rsid w:val="790F1C77"/>
    <w:rsid w:val="795E608C"/>
    <w:rsid w:val="79D862C7"/>
    <w:rsid w:val="7A5B61DC"/>
    <w:rsid w:val="7A67303B"/>
    <w:rsid w:val="7AAB1D04"/>
    <w:rsid w:val="7ABA4368"/>
    <w:rsid w:val="7B257FFD"/>
    <w:rsid w:val="7C2B1DA5"/>
    <w:rsid w:val="7C76157D"/>
    <w:rsid w:val="7DF4317E"/>
    <w:rsid w:val="7E64308B"/>
    <w:rsid w:val="7F6A47DC"/>
    <w:rsid w:val="7FDD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71"/>
    <w:next w:val="71"/>
    <w:qFormat/>
    <w:uiPriority w:val="0"/>
    <w:pPr>
      <w:spacing w:after="68"/>
    </w:pPr>
    <w:rPr>
      <w:rFonts w:ascii="FHLHE E+ Futura Bk" w:eastAsia="FHLHE E+ Futura Bk" w:cs="Times New Roman"/>
      <w:color w:val="auto"/>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71"/>
    <w:next w:val="71"/>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71"/>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8695</Words>
  <Characters>49563</Characters>
  <Lines>413</Lines>
  <Paragraphs>116</Paragraphs>
  <TotalTime>72</TotalTime>
  <ScaleCrop>false</ScaleCrop>
  <LinksUpToDate>false</LinksUpToDate>
  <CharactersWithSpaces>58142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wwwww</cp:lastModifiedBy>
  <cp:lastPrinted>2025-12-25T01:43:39Z</cp:lastPrinted>
  <dcterms:modified xsi:type="dcterms:W3CDTF">2025-12-25T02:19:20Z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D1AD6BE9DD8C4E74B1422D179BEB696F</vt:lpwstr>
  </property>
</Properties>
</file>