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  </w:t>
      </w:r>
    </w:p>
    <w:p>
      <w:pPr>
        <w:spacing w:line="400" w:lineRule="exact"/>
        <w:jc w:val="center"/>
        <w:rPr>
          <w:rFonts w:ascii="仿宋_GB2312" w:hAnsi="仿宋_GB2312" w:eastAsia="仿宋_GB2312"/>
          <w:color w:val="auto"/>
          <w:sz w:val="72"/>
          <w:szCs w:val="72"/>
          <w:highlight w:val="none"/>
        </w:rPr>
      </w:pPr>
    </w:p>
    <w:p>
      <w:pPr>
        <w:spacing w:line="400" w:lineRule="exact"/>
        <w:jc w:val="center"/>
        <w:rPr>
          <w:rFonts w:ascii="仿宋_GB2312" w:hAnsi="仿宋_GB2312" w:eastAsia="仿宋_GB2312"/>
          <w:color w:val="auto"/>
          <w:sz w:val="72"/>
          <w:szCs w:val="72"/>
          <w:highlight w:val="none"/>
        </w:rPr>
      </w:pPr>
    </w:p>
    <w:p>
      <w:pPr>
        <w:spacing w:line="400" w:lineRule="exact"/>
        <w:jc w:val="center"/>
        <w:rPr>
          <w:rFonts w:ascii="仿宋_GB2312" w:hAnsi="仿宋_GB2312" w:eastAsia="仿宋_GB2312"/>
          <w:color w:val="auto"/>
          <w:sz w:val="72"/>
          <w:szCs w:val="72"/>
          <w:highlight w:val="none"/>
        </w:rPr>
      </w:pPr>
    </w:p>
    <w:p>
      <w:pPr>
        <w:jc w:val="center"/>
        <w:rPr>
          <w:rFonts w:ascii="仿宋_GB2312" w:hAnsi="仿宋_GB2312" w:eastAsia="仿宋_GB2312"/>
          <w:color w:val="auto"/>
          <w:sz w:val="72"/>
          <w:szCs w:val="72"/>
          <w:highlight w:val="none"/>
        </w:rPr>
      </w:pPr>
      <w:r>
        <w:rPr>
          <w:rFonts w:hint="eastAsia" w:ascii="仿宋_GB2312" w:hAnsi="仿宋_GB2312" w:eastAsia="仿宋_GB2312"/>
          <w:color w:val="auto"/>
          <w:sz w:val="72"/>
          <w:szCs w:val="72"/>
          <w:highlight w:val="none"/>
        </w:rPr>
        <w:t>竞争性谈判文件</w:t>
      </w:r>
    </w:p>
    <w:p>
      <w:pPr>
        <w:pStyle w:val="22"/>
        <w:spacing w:before="120" w:after="120" w:line="360" w:lineRule="auto"/>
        <w:ind w:firstLine="151"/>
        <w:rPr>
          <w:rFonts w:ascii="仿宋_GB2312" w:hAnsi="仿宋_GB2312" w:eastAsia="仿宋_GB2312"/>
          <w:b/>
          <w:color w:val="auto"/>
          <w:sz w:val="30"/>
          <w:szCs w:val="30"/>
          <w:highlight w:val="none"/>
        </w:rPr>
      </w:pPr>
    </w:p>
    <w:p>
      <w:pPr>
        <w:pStyle w:val="22"/>
        <w:spacing w:before="120" w:after="120" w:line="360" w:lineRule="auto"/>
        <w:ind w:firstLine="151"/>
        <w:rPr>
          <w:rFonts w:ascii="仿宋_GB2312" w:hAnsi="仿宋_GB2312" w:eastAsia="仿宋_GB2312"/>
          <w:b/>
          <w:color w:val="auto"/>
          <w:sz w:val="30"/>
          <w:szCs w:val="30"/>
          <w:highlight w:val="none"/>
        </w:rPr>
      </w:pPr>
    </w:p>
    <w:p>
      <w:pPr>
        <w:pStyle w:val="22"/>
        <w:spacing w:before="120" w:after="120" w:line="360" w:lineRule="auto"/>
        <w:ind w:firstLine="151"/>
        <w:rPr>
          <w:rFonts w:hint="eastAsia"/>
          <w:b/>
          <w:color w:val="auto"/>
          <w:sz w:val="30"/>
          <w:szCs w:val="30"/>
          <w:highlight w:val="none"/>
        </w:rPr>
      </w:pPr>
    </w:p>
    <w:p>
      <w:pPr>
        <w:pStyle w:val="22"/>
        <w:spacing w:before="120" w:after="120" w:line="360" w:lineRule="auto"/>
        <w:ind w:firstLine="151"/>
        <w:rPr>
          <w:rFonts w:hint="eastAsia"/>
          <w:b/>
          <w:color w:val="auto"/>
          <w:sz w:val="30"/>
          <w:szCs w:val="30"/>
          <w:highlight w:val="none"/>
        </w:rPr>
      </w:pPr>
    </w:p>
    <w:p>
      <w:pPr>
        <w:pStyle w:val="22"/>
        <w:spacing w:before="120" w:after="120" w:line="360" w:lineRule="auto"/>
        <w:ind w:firstLine="2127"/>
        <w:rPr>
          <w:rFonts w:hint="eastAsia"/>
          <w:b/>
          <w:color w:val="auto"/>
          <w:sz w:val="30"/>
          <w:szCs w:val="30"/>
          <w:highlight w:val="none"/>
        </w:rPr>
      </w:pPr>
      <w:r>
        <w:rPr>
          <w:rFonts w:hint="eastAsia"/>
          <w:b/>
          <w:color w:val="auto"/>
          <w:sz w:val="30"/>
          <w:szCs w:val="30"/>
          <w:highlight w:val="none"/>
        </w:rPr>
        <w:t>项目编号：GXZC2025-J1-003931-CGZX</w:t>
      </w:r>
    </w:p>
    <w:p>
      <w:pPr>
        <w:pStyle w:val="22"/>
        <w:spacing w:before="120" w:after="120" w:line="360" w:lineRule="auto"/>
        <w:rPr>
          <w:rFonts w:hint="eastAsia" w:eastAsia="仿宋_GB2312"/>
          <w:b/>
          <w:color w:val="auto"/>
          <w:sz w:val="30"/>
          <w:szCs w:val="72"/>
          <w:highlight w:val="none"/>
          <w:lang w:eastAsia="zh-CN"/>
        </w:rPr>
      </w:pPr>
      <w:r>
        <w:rPr>
          <w:rFonts w:hint="eastAsia"/>
          <w:b/>
          <w:color w:val="auto"/>
          <w:sz w:val="30"/>
          <w:szCs w:val="72"/>
          <w:highlight w:val="none"/>
        </w:rPr>
        <w:t xml:space="preserve">              项目名称： </w:t>
      </w:r>
      <w:r>
        <w:rPr>
          <w:rFonts w:ascii="仿宋_GB2312" w:eastAsia="仿宋_GB2312"/>
          <w:b/>
          <w:color w:val="auto"/>
          <w:sz w:val="30"/>
          <w:szCs w:val="72"/>
          <w:highlight w:val="none"/>
          <w:lang w:val="en"/>
        </w:rPr>
        <w:t>广西艺术学院</w:t>
      </w:r>
      <w:r>
        <w:rPr>
          <w:rFonts w:hint="eastAsia" w:ascii="仿宋_GB2312" w:eastAsia="仿宋_GB2312"/>
          <w:b/>
          <w:color w:val="auto"/>
          <w:sz w:val="30"/>
          <w:szCs w:val="72"/>
          <w:highlight w:val="none"/>
          <w:lang w:val="en" w:eastAsia="zh-CN"/>
        </w:rPr>
        <w:t>教学设备采购（</w:t>
      </w:r>
      <w:r>
        <w:rPr>
          <w:rFonts w:hint="eastAsia" w:ascii="仿宋_GB2312" w:eastAsia="仿宋_GB2312"/>
          <w:b/>
          <w:color w:val="auto"/>
          <w:sz w:val="30"/>
          <w:szCs w:val="72"/>
          <w:highlight w:val="none"/>
          <w:lang w:val="en-US" w:eastAsia="zh-CN"/>
        </w:rPr>
        <w:t>二</w:t>
      </w:r>
      <w:r>
        <w:rPr>
          <w:rFonts w:hint="eastAsia" w:ascii="仿宋_GB2312" w:eastAsia="仿宋_GB2312"/>
          <w:b/>
          <w:color w:val="auto"/>
          <w:sz w:val="30"/>
          <w:szCs w:val="72"/>
          <w:highlight w:val="none"/>
          <w:lang w:val="en" w:eastAsia="zh-CN"/>
        </w:rPr>
        <w:t>）</w:t>
      </w:r>
    </w:p>
    <w:p>
      <w:pPr>
        <w:pStyle w:val="22"/>
        <w:spacing w:before="120" w:after="120" w:line="360" w:lineRule="auto"/>
        <w:ind w:firstLine="752" w:firstLineChars="250"/>
        <w:rPr>
          <w:rFonts w:hint="eastAsia"/>
          <w:b/>
          <w:color w:val="auto"/>
          <w:sz w:val="30"/>
          <w:szCs w:val="72"/>
          <w:highlight w:val="none"/>
        </w:rPr>
      </w:pPr>
    </w:p>
    <w:p>
      <w:pPr>
        <w:pStyle w:val="22"/>
        <w:spacing w:before="120" w:after="120" w:line="360" w:lineRule="auto"/>
        <w:ind w:firstLine="2108" w:firstLineChars="700"/>
        <w:rPr>
          <w:rFonts w:hint="eastAsia"/>
          <w:b/>
          <w:color w:val="auto"/>
          <w:sz w:val="30"/>
          <w:szCs w:val="72"/>
          <w:highlight w:val="none"/>
        </w:rPr>
      </w:pPr>
      <w:r>
        <w:rPr>
          <w:rFonts w:hint="eastAsia"/>
          <w:b/>
          <w:color w:val="auto"/>
          <w:sz w:val="30"/>
          <w:szCs w:val="72"/>
          <w:highlight w:val="none"/>
        </w:rPr>
        <w:t>采 购 人：</w:t>
      </w:r>
      <w:r>
        <w:rPr>
          <w:rFonts w:ascii="仿宋_GB2312" w:eastAsia="仿宋_GB2312"/>
          <w:b/>
          <w:color w:val="auto"/>
          <w:sz w:val="30"/>
          <w:szCs w:val="72"/>
          <w:highlight w:val="none"/>
          <w:lang w:val="en"/>
        </w:rPr>
        <w:t>广西艺术学院</w:t>
      </w:r>
    </w:p>
    <w:p>
      <w:pPr>
        <w:pStyle w:val="22"/>
        <w:spacing w:before="120" w:after="120" w:line="360" w:lineRule="auto"/>
        <w:ind w:firstLine="2127"/>
        <w:rPr>
          <w:b/>
          <w:color w:val="auto"/>
          <w:sz w:val="30"/>
          <w:szCs w:val="72"/>
          <w:highlight w:val="none"/>
        </w:rPr>
      </w:pPr>
      <w:r>
        <w:rPr>
          <w:b/>
          <w:color w:val="auto"/>
          <w:sz w:val="30"/>
          <w:szCs w:val="72"/>
          <w:highlight w:val="none"/>
        </w:rPr>
        <w:t xml:space="preserve"> </w:t>
      </w:r>
    </w:p>
    <w:p>
      <w:pPr>
        <w:spacing w:line="360" w:lineRule="auto"/>
        <w:ind w:firstLine="450"/>
        <w:rPr>
          <w:rFonts w:ascii="仿宋_GB2312" w:hAnsi="仿宋_GB2312" w:eastAsia="仿宋_GB2312"/>
          <w:b/>
          <w:color w:val="auto"/>
          <w:sz w:val="30"/>
          <w:szCs w:val="72"/>
          <w:highlight w:val="none"/>
        </w:rPr>
      </w:pPr>
    </w:p>
    <w:p>
      <w:pPr>
        <w:spacing w:line="360" w:lineRule="auto"/>
        <w:ind w:firstLine="450"/>
        <w:rPr>
          <w:rFonts w:ascii="仿宋_GB2312" w:hAnsi="仿宋_GB2312" w:eastAsia="仿宋_GB2312"/>
          <w:b/>
          <w:color w:val="auto"/>
          <w:sz w:val="30"/>
          <w:szCs w:val="72"/>
          <w:highlight w:val="none"/>
        </w:rPr>
      </w:pPr>
    </w:p>
    <w:p>
      <w:pPr>
        <w:spacing w:line="360" w:lineRule="auto"/>
        <w:ind w:firstLine="450"/>
        <w:rPr>
          <w:rFonts w:ascii="仿宋_GB2312" w:hAnsi="仿宋_GB2312" w:eastAsia="仿宋_GB2312"/>
          <w:b/>
          <w:color w:val="auto"/>
          <w:sz w:val="30"/>
          <w:szCs w:val="72"/>
          <w:highlight w:val="none"/>
        </w:rPr>
      </w:pPr>
    </w:p>
    <w:p>
      <w:pPr>
        <w:spacing w:line="360" w:lineRule="auto"/>
        <w:ind w:firstLine="450"/>
        <w:rPr>
          <w:rFonts w:ascii="仿宋_GB2312" w:hAnsi="仿宋_GB2312" w:eastAsia="仿宋_GB2312"/>
          <w:b/>
          <w:color w:val="auto"/>
          <w:sz w:val="30"/>
          <w:szCs w:val="72"/>
          <w:highlight w:val="none"/>
        </w:rPr>
      </w:pPr>
    </w:p>
    <w:p>
      <w:pPr>
        <w:pStyle w:val="2"/>
        <w:rPr>
          <w:rFonts w:ascii="仿宋_GB2312" w:hAnsi="仿宋_GB2312" w:eastAsia="仿宋_GB2312"/>
          <w:b/>
          <w:color w:val="auto"/>
          <w:sz w:val="30"/>
          <w:szCs w:val="72"/>
          <w:highlight w:val="none"/>
        </w:rPr>
      </w:pPr>
    </w:p>
    <w:p>
      <w:pPr>
        <w:rPr>
          <w:b/>
          <w:color w:val="auto"/>
          <w:highlight w:val="none"/>
        </w:rPr>
      </w:pPr>
    </w:p>
    <w:p>
      <w:pPr>
        <w:pStyle w:val="2"/>
        <w:rPr>
          <w:b/>
          <w:color w:val="auto"/>
          <w:highlight w:val="none"/>
        </w:rPr>
      </w:pPr>
    </w:p>
    <w:p>
      <w:pPr>
        <w:spacing w:line="360" w:lineRule="auto"/>
        <w:ind w:firstLine="1807" w:firstLineChars="600"/>
        <w:jc w:val="both"/>
        <w:rPr>
          <w:rFonts w:hint="eastAsia" w:ascii="宋体" w:hAnsi="宋体"/>
          <w:b/>
          <w:color w:val="auto"/>
          <w:sz w:val="30"/>
          <w:szCs w:val="72"/>
          <w:highlight w:val="none"/>
        </w:rPr>
      </w:pPr>
      <w:r>
        <w:rPr>
          <w:rFonts w:hint="eastAsia" w:ascii="宋体" w:hAnsi="宋体"/>
          <w:b/>
          <w:color w:val="auto"/>
          <w:sz w:val="30"/>
          <w:szCs w:val="72"/>
          <w:highlight w:val="none"/>
        </w:rPr>
        <w:t>采购代理机构：广西壮族自治区政府采购中心</w:t>
      </w:r>
    </w:p>
    <w:p>
      <w:pPr>
        <w:spacing w:line="360" w:lineRule="auto"/>
        <w:jc w:val="center"/>
        <w:rPr>
          <w:rFonts w:hint="eastAsia" w:ascii="宋体" w:hAnsi="宋体"/>
          <w:b/>
          <w:color w:val="auto"/>
          <w:sz w:val="30"/>
          <w:szCs w:val="72"/>
          <w:highlight w:val="none"/>
        </w:rPr>
      </w:pPr>
      <w:r>
        <w:rPr>
          <w:rFonts w:ascii="宋体" w:hAnsi="宋体"/>
          <w:b/>
          <w:color w:val="auto"/>
          <w:sz w:val="30"/>
          <w:szCs w:val="72"/>
          <w:highlight w:val="none"/>
          <w:lang w:val="en"/>
        </w:rPr>
        <w:t>202</w:t>
      </w:r>
      <w:r>
        <w:rPr>
          <w:rFonts w:hint="eastAsia" w:ascii="宋体" w:hAnsi="宋体"/>
          <w:b/>
          <w:color w:val="auto"/>
          <w:sz w:val="30"/>
          <w:szCs w:val="72"/>
          <w:highlight w:val="none"/>
        </w:rPr>
        <w:t>5年</w:t>
      </w:r>
      <w:r>
        <w:rPr>
          <w:rFonts w:hint="default" w:ascii="宋体" w:hAnsi="宋体"/>
          <w:b/>
          <w:color w:val="auto"/>
          <w:sz w:val="30"/>
          <w:szCs w:val="72"/>
          <w:highlight w:val="none"/>
          <w:lang w:val="en"/>
        </w:rPr>
        <w:t>12</w:t>
      </w:r>
      <w:r>
        <w:rPr>
          <w:rFonts w:hint="eastAsia" w:ascii="宋体" w:hAnsi="宋体"/>
          <w:b/>
          <w:color w:val="auto"/>
          <w:sz w:val="30"/>
          <w:szCs w:val="72"/>
          <w:highlight w:val="none"/>
        </w:rPr>
        <w:t>月</w:t>
      </w:r>
    </w:p>
    <w:p>
      <w:pPr>
        <w:pageBreakBefore/>
        <w:spacing w:line="400" w:lineRule="exact"/>
        <w:jc w:val="center"/>
        <w:rPr>
          <w:rFonts w:ascii="仿宋_GB2312" w:hAnsi="仿宋_GB2312" w:eastAsia="仿宋_GB2312"/>
          <w:b/>
          <w:color w:val="auto"/>
          <w:sz w:val="32"/>
          <w:szCs w:val="32"/>
          <w:highlight w:val="none"/>
        </w:rPr>
      </w:pPr>
    </w:p>
    <w:p>
      <w:pPr>
        <w:spacing w:line="600" w:lineRule="exact"/>
        <w:jc w:val="center"/>
        <w:rPr>
          <w:rFonts w:ascii="宋体" w:hAnsi="宋体"/>
          <w:b/>
          <w:color w:val="auto"/>
          <w:sz w:val="44"/>
          <w:szCs w:val="44"/>
          <w:highlight w:val="none"/>
        </w:rPr>
      </w:pPr>
      <w:r>
        <w:rPr>
          <w:rFonts w:hint="eastAsia" w:ascii="宋体" w:hAnsi="宋体"/>
          <w:b/>
          <w:color w:val="auto"/>
          <w:sz w:val="44"/>
          <w:szCs w:val="44"/>
          <w:highlight w:val="none"/>
        </w:rPr>
        <w:t>目 录</w:t>
      </w:r>
    </w:p>
    <w:p>
      <w:pPr>
        <w:pStyle w:val="2"/>
        <w:tabs>
          <w:tab w:val="right" w:leader="dot" w:pos="10456"/>
        </w:tabs>
        <w:spacing w:line="480" w:lineRule="exact"/>
        <w:rPr>
          <w:rFonts w:ascii="宋体" w:hAnsi="宋体"/>
          <w:b/>
          <w:color w:val="auto"/>
          <w:sz w:val="28"/>
          <w:szCs w:val="28"/>
          <w:highlight w:val="none"/>
        </w:rPr>
      </w:pPr>
    </w:p>
    <w:p>
      <w:pPr>
        <w:pStyle w:val="2"/>
        <w:tabs>
          <w:tab w:val="right" w:leader="dot" w:pos="10456"/>
        </w:tabs>
        <w:spacing w:line="480" w:lineRule="exact"/>
        <w:rPr>
          <w:b/>
          <w:color w:val="auto"/>
          <w:kern w:val="2"/>
          <w:sz w:val="28"/>
          <w:szCs w:val="28"/>
          <w:highlight w:val="none"/>
        </w:rPr>
      </w:pP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TOC \o "1-3" \h \z \u </w:instrText>
      </w:r>
      <w:r>
        <w:rPr>
          <w:rFonts w:ascii="宋体" w:hAnsi="宋体"/>
          <w:b/>
          <w:color w:val="auto"/>
          <w:sz w:val="28"/>
          <w:szCs w:val="28"/>
          <w:highlight w:val="none"/>
        </w:rPr>
        <w:fldChar w:fldCharType="separate"/>
      </w:r>
      <w:r>
        <w:rPr>
          <w:b/>
          <w:color w:val="auto"/>
          <w:sz w:val="28"/>
          <w:szCs w:val="28"/>
          <w:highlight w:val="none"/>
        </w:rPr>
        <w:fldChar w:fldCharType="begin"/>
      </w:r>
      <w:r>
        <w:rPr>
          <w:rStyle w:val="48"/>
          <w:b/>
          <w:color w:val="auto"/>
          <w:sz w:val="28"/>
          <w:szCs w:val="28"/>
          <w:highlight w:val="none"/>
        </w:rPr>
        <w:instrText xml:space="preserve"> </w:instrText>
      </w:r>
      <w:r>
        <w:rPr>
          <w:b/>
          <w:color w:val="auto"/>
          <w:sz w:val="28"/>
          <w:szCs w:val="28"/>
          <w:highlight w:val="none"/>
        </w:rPr>
        <w:instrText xml:space="preserve">HYPERLINK \l "_Toc46136756"</w:instrText>
      </w:r>
      <w:r>
        <w:rPr>
          <w:rStyle w:val="48"/>
          <w:b/>
          <w:color w:val="auto"/>
          <w:sz w:val="28"/>
          <w:szCs w:val="28"/>
          <w:highlight w:val="none"/>
        </w:rPr>
        <w:instrText xml:space="preserve"> </w:instrText>
      </w:r>
      <w:r>
        <w:rPr>
          <w:b/>
          <w:color w:val="auto"/>
          <w:sz w:val="28"/>
          <w:szCs w:val="28"/>
          <w:highlight w:val="none"/>
        </w:rPr>
        <w:fldChar w:fldCharType="separate"/>
      </w:r>
      <w:r>
        <w:rPr>
          <w:rStyle w:val="48"/>
          <w:rFonts w:hint="eastAsia"/>
          <w:b/>
          <w:color w:val="auto"/>
          <w:sz w:val="28"/>
          <w:szCs w:val="28"/>
          <w:highlight w:val="none"/>
        </w:rPr>
        <w:t>第一章</w:t>
      </w:r>
      <w:r>
        <w:rPr>
          <w:rStyle w:val="48"/>
          <w:b/>
          <w:color w:val="auto"/>
          <w:sz w:val="28"/>
          <w:szCs w:val="28"/>
          <w:highlight w:val="none"/>
        </w:rPr>
        <w:t xml:space="preserve">  </w:t>
      </w:r>
      <w:r>
        <w:rPr>
          <w:rStyle w:val="48"/>
          <w:rFonts w:hint="eastAsia"/>
          <w:b/>
          <w:color w:val="auto"/>
          <w:sz w:val="28"/>
          <w:szCs w:val="28"/>
          <w:highlight w:val="none"/>
        </w:rPr>
        <w:t>竞争性谈判公告</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_Toc46136756 \h </w:instrText>
      </w:r>
      <w:r>
        <w:rPr>
          <w:b/>
          <w:color w:val="auto"/>
          <w:sz w:val="28"/>
          <w:szCs w:val="28"/>
          <w:highlight w:val="none"/>
        </w:rPr>
        <w:fldChar w:fldCharType="separate"/>
      </w:r>
      <w:r>
        <w:rPr>
          <w:b/>
          <w:color w:val="auto"/>
          <w:sz w:val="28"/>
          <w:szCs w:val="28"/>
          <w:highlight w:val="none"/>
        </w:rPr>
        <w:t>2</w:t>
      </w:r>
      <w:r>
        <w:rPr>
          <w:b/>
          <w:color w:val="auto"/>
          <w:sz w:val="28"/>
          <w:szCs w:val="28"/>
          <w:highlight w:val="none"/>
        </w:rPr>
        <w:fldChar w:fldCharType="end"/>
      </w:r>
      <w:r>
        <w:rPr>
          <w:b/>
          <w:color w:val="auto"/>
          <w:sz w:val="28"/>
          <w:szCs w:val="28"/>
          <w:highlight w:val="none"/>
        </w:rPr>
        <w:fldChar w:fldCharType="end"/>
      </w:r>
    </w:p>
    <w:p>
      <w:pPr>
        <w:pStyle w:val="2"/>
        <w:tabs>
          <w:tab w:val="right" w:leader="dot" w:pos="10456"/>
        </w:tabs>
        <w:spacing w:line="480" w:lineRule="exact"/>
        <w:rPr>
          <w:b/>
          <w:color w:val="auto"/>
          <w:sz w:val="28"/>
          <w:szCs w:val="28"/>
          <w:highlight w:val="none"/>
        </w:rPr>
      </w:pPr>
    </w:p>
    <w:p>
      <w:pPr>
        <w:pStyle w:val="2"/>
        <w:tabs>
          <w:tab w:val="right" w:leader="dot" w:pos="10456"/>
        </w:tabs>
        <w:spacing w:line="480" w:lineRule="exact"/>
        <w:rPr>
          <w:b/>
          <w:color w:val="auto"/>
          <w:kern w:val="2"/>
          <w:sz w:val="28"/>
          <w:szCs w:val="28"/>
          <w:highlight w:val="none"/>
        </w:rPr>
      </w:pPr>
      <w:r>
        <w:rPr>
          <w:b/>
          <w:color w:val="auto"/>
          <w:sz w:val="28"/>
          <w:szCs w:val="28"/>
          <w:highlight w:val="none"/>
        </w:rPr>
        <w:fldChar w:fldCharType="begin"/>
      </w:r>
      <w:r>
        <w:rPr>
          <w:rStyle w:val="48"/>
          <w:b/>
          <w:color w:val="auto"/>
          <w:sz w:val="28"/>
          <w:szCs w:val="28"/>
          <w:highlight w:val="none"/>
        </w:rPr>
        <w:instrText xml:space="preserve"> </w:instrText>
      </w:r>
      <w:r>
        <w:rPr>
          <w:b/>
          <w:color w:val="auto"/>
          <w:sz w:val="28"/>
          <w:szCs w:val="28"/>
          <w:highlight w:val="none"/>
        </w:rPr>
        <w:instrText xml:space="preserve">HYPERLINK \l "_Toc46136757"</w:instrText>
      </w:r>
      <w:r>
        <w:rPr>
          <w:rStyle w:val="48"/>
          <w:b/>
          <w:color w:val="auto"/>
          <w:sz w:val="28"/>
          <w:szCs w:val="28"/>
          <w:highlight w:val="none"/>
        </w:rPr>
        <w:instrText xml:space="preserve"> </w:instrText>
      </w:r>
      <w:r>
        <w:rPr>
          <w:b/>
          <w:color w:val="auto"/>
          <w:sz w:val="28"/>
          <w:szCs w:val="28"/>
          <w:highlight w:val="none"/>
        </w:rPr>
        <w:fldChar w:fldCharType="separate"/>
      </w:r>
      <w:r>
        <w:rPr>
          <w:rStyle w:val="48"/>
          <w:rFonts w:hint="eastAsia"/>
          <w:b/>
          <w:color w:val="auto"/>
          <w:sz w:val="28"/>
          <w:szCs w:val="28"/>
          <w:highlight w:val="none"/>
        </w:rPr>
        <w:t>第二章</w:t>
      </w:r>
      <w:r>
        <w:rPr>
          <w:rStyle w:val="48"/>
          <w:b/>
          <w:color w:val="auto"/>
          <w:sz w:val="28"/>
          <w:szCs w:val="28"/>
          <w:highlight w:val="none"/>
        </w:rPr>
        <w:t xml:space="preserve">  </w:t>
      </w:r>
      <w:r>
        <w:rPr>
          <w:rStyle w:val="48"/>
          <w:rFonts w:hint="eastAsia"/>
          <w:b/>
          <w:color w:val="auto"/>
          <w:sz w:val="28"/>
          <w:szCs w:val="28"/>
          <w:highlight w:val="none"/>
        </w:rPr>
        <w:t>谈判供应商须知</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_Toc46136757 \h </w:instrText>
      </w:r>
      <w:r>
        <w:rPr>
          <w:b/>
          <w:color w:val="auto"/>
          <w:sz w:val="28"/>
          <w:szCs w:val="28"/>
          <w:highlight w:val="none"/>
        </w:rPr>
        <w:fldChar w:fldCharType="separate"/>
      </w:r>
      <w:r>
        <w:rPr>
          <w:b/>
          <w:color w:val="auto"/>
          <w:sz w:val="28"/>
          <w:szCs w:val="28"/>
          <w:highlight w:val="none"/>
        </w:rPr>
        <w:t>6</w:t>
      </w:r>
      <w:r>
        <w:rPr>
          <w:b/>
          <w:color w:val="auto"/>
          <w:sz w:val="28"/>
          <w:szCs w:val="28"/>
          <w:highlight w:val="none"/>
        </w:rPr>
        <w:fldChar w:fldCharType="end"/>
      </w:r>
      <w:r>
        <w:rPr>
          <w:b/>
          <w:color w:val="auto"/>
          <w:sz w:val="28"/>
          <w:szCs w:val="28"/>
          <w:highlight w:val="none"/>
        </w:rPr>
        <w:fldChar w:fldCharType="end"/>
      </w:r>
    </w:p>
    <w:p>
      <w:pPr>
        <w:pStyle w:val="2"/>
        <w:tabs>
          <w:tab w:val="right" w:leader="dot" w:pos="10456"/>
        </w:tabs>
        <w:spacing w:line="480" w:lineRule="exact"/>
        <w:rPr>
          <w:b/>
          <w:color w:val="auto"/>
          <w:sz w:val="28"/>
          <w:szCs w:val="28"/>
          <w:highlight w:val="none"/>
        </w:rPr>
      </w:pPr>
    </w:p>
    <w:p>
      <w:pPr>
        <w:pStyle w:val="2"/>
        <w:tabs>
          <w:tab w:val="right" w:leader="dot" w:pos="10456"/>
        </w:tabs>
        <w:spacing w:line="480" w:lineRule="exact"/>
        <w:rPr>
          <w:rFonts w:hint="eastAsia"/>
          <w:b/>
          <w:color w:val="auto"/>
          <w:kern w:val="2"/>
          <w:sz w:val="28"/>
          <w:szCs w:val="28"/>
          <w:highlight w:val="none"/>
        </w:rPr>
      </w:pPr>
      <w:r>
        <w:rPr>
          <w:b/>
          <w:color w:val="auto"/>
          <w:sz w:val="28"/>
          <w:szCs w:val="28"/>
          <w:highlight w:val="none"/>
        </w:rPr>
        <w:fldChar w:fldCharType="begin"/>
      </w:r>
      <w:r>
        <w:rPr>
          <w:rStyle w:val="48"/>
          <w:b/>
          <w:color w:val="auto"/>
          <w:sz w:val="28"/>
          <w:szCs w:val="28"/>
          <w:highlight w:val="none"/>
        </w:rPr>
        <w:instrText xml:space="preserve"> </w:instrText>
      </w:r>
      <w:r>
        <w:rPr>
          <w:b/>
          <w:color w:val="auto"/>
          <w:sz w:val="28"/>
          <w:szCs w:val="28"/>
          <w:highlight w:val="none"/>
        </w:rPr>
        <w:instrText xml:space="preserve">HYPERLINK \l "_Toc46136758"</w:instrText>
      </w:r>
      <w:r>
        <w:rPr>
          <w:rStyle w:val="48"/>
          <w:b/>
          <w:color w:val="auto"/>
          <w:sz w:val="28"/>
          <w:szCs w:val="28"/>
          <w:highlight w:val="none"/>
        </w:rPr>
        <w:instrText xml:space="preserve"> </w:instrText>
      </w:r>
      <w:r>
        <w:rPr>
          <w:b/>
          <w:color w:val="auto"/>
          <w:sz w:val="28"/>
          <w:szCs w:val="28"/>
          <w:highlight w:val="none"/>
        </w:rPr>
        <w:fldChar w:fldCharType="separate"/>
      </w:r>
      <w:r>
        <w:rPr>
          <w:rStyle w:val="48"/>
          <w:rFonts w:hint="eastAsia"/>
          <w:b/>
          <w:color w:val="auto"/>
          <w:sz w:val="28"/>
          <w:szCs w:val="28"/>
          <w:highlight w:val="none"/>
        </w:rPr>
        <w:t>第三章</w:t>
      </w:r>
      <w:r>
        <w:rPr>
          <w:rStyle w:val="48"/>
          <w:b/>
          <w:color w:val="auto"/>
          <w:sz w:val="28"/>
          <w:szCs w:val="28"/>
          <w:highlight w:val="none"/>
        </w:rPr>
        <w:t xml:space="preserve">  </w:t>
      </w:r>
      <w:r>
        <w:rPr>
          <w:rStyle w:val="48"/>
          <w:rFonts w:hint="eastAsia"/>
          <w:b/>
          <w:color w:val="auto"/>
          <w:sz w:val="28"/>
          <w:szCs w:val="28"/>
          <w:highlight w:val="none"/>
        </w:rPr>
        <w:t>采购需求</w:t>
      </w:r>
      <w:bookmarkStart w:id="0" w:name="_Hlt49957164"/>
      <w:bookmarkStart w:id="1" w:name="_Hlt49957165"/>
      <w:r>
        <w:rPr>
          <w:b/>
          <w:color w:val="auto"/>
          <w:sz w:val="28"/>
          <w:szCs w:val="28"/>
          <w:highlight w:val="none"/>
        </w:rPr>
        <w:tab/>
      </w:r>
      <w:bookmarkEnd w:id="0"/>
      <w:bookmarkEnd w:id="1"/>
      <w:r>
        <w:rPr>
          <w:b/>
          <w:color w:val="auto"/>
          <w:sz w:val="28"/>
          <w:szCs w:val="28"/>
          <w:highlight w:val="none"/>
        </w:rPr>
        <w:fldChar w:fldCharType="begin"/>
      </w:r>
      <w:r>
        <w:rPr>
          <w:b/>
          <w:color w:val="auto"/>
          <w:sz w:val="28"/>
          <w:szCs w:val="28"/>
          <w:highlight w:val="none"/>
        </w:rPr>
        <w:instrText xml:space="preserve"> PAGEREF _Toc46136758 \h </w:instrText>
      </w:r>
      <w:r>
        <w:rPr>
          <w:b/>
          <w:color w:val="auto"/>
          <w:sz w:val="28"/>
          <w:szCs w:val="28"/>
          <w:highlight w:val="none"/>
        </w:rPr>
        <w:fldChar w:fldCharType="separate"/>
      </w:r>
      <w:r>
        <w:rPr>
          <w:b/>
          <w:color w:val="auto"/>
          <w:sz w:val="28"/>
          <w:szCs w:val="28"/>
          <w:highlight w:val="none"/>
        </w:rPr>
        <w:t>16</w:t>
      </w:r>
      <w:r>
        <w:rPr>
          <w:b/>
          <w:color w:val="auto"/>
          <w:sz w:val="28"/>
          <w:szCs w:val="28"/>
          <w:highlight w:val="none"/>
        </w:rPr>
        <w:fldChar w:fldCharType="end"/>
      </w:r>
      <w:r>
        <w:rPr>
          <w:b/>
          <w:color w:val="auto"/>
          <w:sz w:val="28"/>
          <w:szCs w:val="28"/>
          <w:highlight w:val="none"/>
        </w:rPr>
        <w:fldChar w:fldCharType="end"/>
      </w:r>
    </w:p>
    <w:p>
      <w:pPr>
        <w:pStyle w:val="2"/>
        <w:tabs>
          <w:tab w:val="right" w:leader="dot" w:pos="10456"/>
        </w:tabs>
        <w:spacing w:line="480" w:lineRule="exact"/>
        <w:rPr>
          <w:b/>
          <w:color w:val="auto"/>
          <w:sz w:val="28"/>
          <w:szCs w:val="28"/>
          <w:highlight w:val="none"/>
        </w:rPr>
      </w:pPr>
    </w:p>
    <w:p>
      <w:pPr>
        <w:pStyle w:val="2"/>
        <w:tabs>
          <w:tab w:val="right" w:leader="dot" w:pos="10456"/>
        </w:tabs>
        <w:spacing w:line="480" w:lineRule="exact"/>
        <w:rPr>
          <w:rFonts w:hint="eastAsia" w:eastAsia="宋体"/>
          <w:b/>
          <w:color w:val="auto"/>
          <w:kern w:val="2"/>
          <w:sz w:val="28"/>
          <w:szCs w:val="28"/>
          <w:highlight w:val="none"/>
          <w:lang w:eastAsia="zh-CN"/>
        </w:rPr>
      </w:pPr>
      <w:r>
        <w:rPr>
          <w:b/>
          <w:color w:val="auto"/>
          <w:sz w:val="28"/>
          <w:szCs w:val="28"/>
          <w:highlight w:val="none"/>
        </w:rPr>
        <w:fldChar w:fldCharType="begin"/>
      </w:r>
      <w:r>
        <w:rPr>
          <w:rStyle w:val="48"/>
          <w:b/>
          <w:color w:val="auto"/>
          <w:sz w:val="28"/>
          <w:szCs w:val="28"/>
          <w:highlight w:val="none"/>
        </w:rPr>
        <w:instrText xml:space="preserve"> </w:instrText>
      </w:r>
      <w:r>
        <w:rPr>
          <w:b/>
          <w:color w:val="auto"/>
          <w:sz w:val="28"/>
          <w:szCs w:val="28"/>
          <w:highlight w:val="none"/>
        </w:rPr>
        <w:instrText xml:space="preserve">HYPERLINK \l "_Toc46136759"</w:instrText>
      </w:r>
      <w:r>
        <w:rPr>
          <w:rStyle w:val="48"/>
          <w:b/>
          <w:color w:val="auto"/>
          <w:sz w:val="28"/>
          <w:szCs w:val="28"/>
          <w:highlight w:val="none"/>
        </w:rPr>
        <w:instrText xml:space="preserve"> </w:instrText>
      </w:r>
      <w:r>
        <w:rPr>
          <w:b/>
          <w:color w:val="auto"/>
          <w:sz w:val="28"/>
          <w:szCs w:val="28"/>
          <w:highlight w:val="none"/>
        </w:rPr>
        <w:fldChar w:fldCharType="separate"/>
      </w:r>
      <w:r>
        <w:rPr>
          <w:rStyle w:val="48"/>
          <w:rFonts w:hint="eastAsia"/>
          <w:b/>
          <w:color w:val="auto"/>
          <w:sz w:val="28"/>
          <w:szCs w:val="28"/>
          <w:highlight w:val="none"/>
        </w:rPr>
        <w:t>第四章</w:t>
      </w:r>
      <w:r>
        <w:rPr>
          <w:rStyle w:val="48"/>
          <w:b/>
          <w:color w:val="auto"/>
          <w:sz w:val="28"/>
          <w:szCs w:val="28"/>
          <w:highlight w:val="none"/>
        </w:rPr>
        <w:t xml:space="preserve">  </w:t>
      </w:r>
      <w:r>
        <w:rPr>
          <w:rStyle w:val="48"/>
          <w:rFonts w:hint="eastAsia"/>
          <w:b/>
          <w:color w:val="auto"/>
          <w:sz w:val="28"/>
          <w:szCs w:val="28"/>
          <w:highlight w:val="none"/>
        </w:rPr>
        <w:t>竞争性谈判响应文件格式</w:t>
      </w:r>
      <w:r>
        <w:rPr>
          <w:b/>
          <w:color w:val="auto"/>
          <w:sz w:val="28"/>
          <w:szCs w:val="28"/>
          <w:highlight w:val="none"/>
        </w:rPr>
        <w:tab/>
      </w:r>
      <w:r>
        <w:rPr>
          <w:b/>
          <w:color w:val="auto"/>
          <w:sz w:val="28"/>
          <w:szCs w:val="28"/>
          <w:highlight w:val="none"/>
        </w:rPr>
        <w:fldChar w:fldCharType="end"/>
      </w:r>
      <w:r>
        <w:rPr>
          <w:rFonts w:hint="eastAsia"/>
          <w:b/>
          <w:color w:val="auto"/>
          <w:sz w:val="28"/>
          <w:szCs w:val="28"/>
          <w:highlight w:val="none"/>
        </w:rPr>
        <w:t>2</w:t>
      </w:r>
      <w:r>
        <w:rPr>
          <w:rFonts w:hint="eastAsia"/>
          <w:b/>
          <w:color w:val="auto"/>
          <w:sz w:val="28"/>
          <w:szCs w:val="28"/>
          <w:highlight w:val="none"/>
          <w:lang w:val="en-US" w:eastAsia="zh-CN"/>
        </w:rPr>
        <w:t>5</w:t>
      </w:r>
    </w:p>
    <w:p>
      <w:pPr>
        <w:pStyle w:val="2"/>
        <w:tabs>
          <w:tab w:val="right" w:leader="dot" w:pos="10456"/>
        </w:tabs>
        <w:spacing w:line="480" w:lineRule="exact"/>
        <w:rPr>
          <w:b/>
          <w:color w:val="auto"/>
          <w:sz w:val="28"/>
          <w:szCs w:val="28"/>
          <w:highlight w:val="none"/>
        </w:rPr>
      </w:pPr>
    </w:p>
    <w:p>
      <w:pPr>
        <w:pStyle w:val="2"/>
        <w:tabs>
          <w:tab w:val="right" w:leader="dot" w:pos="10456"/>
        </w:tabs>
        <w:spacing w:line="480" w:lineRule="exact"/>
        <w:rPr>
          <w:rFonts w:hint="default" w:eastAsia="宋体"/>
          <w:b/>
          <w:color w:val="auto"/>
          <w:kern w:val="2"/>
          <w:sz w:val="28"/>
          <w:szCs w:val="28"/>
          <w:highlight w:val="none"/>
          <w:lang w:val="en-US" w:eastAsia="zh-CN"/>
        </w:rPr>
      </w:pPr>
      <w:r>
        <w:rPr>
          <w:b/>
          <w:color w:val="auto"/>
          <w:sz w:val="28"/>
          <w:szCs w:val="28"/>
          <w:highlight w:val="none"/>
        </w:rPr>
        <w:fldChar w:fldCharType="begin"/>
      </w:r>
      <w:r>
        <w:rPr>
          <w:rStyle w:val="48"/>
          <w:b/>
          <w:color w:val="auto"/>
          <w:sz w:val="28"/>
          <w:szCs w:val="28"/>
          <w:highlight w:val="none"/>
        </w:rPr>
        <w:instrText xml:space="preserve"> </w:instrText>
      </w:r>
      <w:r>
        <w:rPr>
          <w:b/>
          <w:color w:val="auto"/>
          <w:sz w:val="28"/>
          <w:szCs w:val="28"/>
          <w:highlight w:val="none"/>
        </w:rPr>
        <w:instrText xml:space="preserve">HYPERLINK \l "_Toc46136760"</w:instrText>
      </w:r>
      <w:r>
        <w:rPr>
          <w:rStyle w:val="48"/>
          <w:b/>
          <w:color w:val="auto"/>
          <w:sz w:val="28"/>
          <w:szCs w:val="28"/>
          <w:highlight w:val="none"/>
        </w:rPr>
        <w:instrText xml:space="preserve"> </w:instrText>
      </w:r>
      <w:r>
        <w:rPr>
          <w:b/>
          <w:color w:val="auto"/>
          <w:sz w:val="28"/>
          <w:szCs w:val="28"/>
          <w:highlight w:val="none"/>
        </w:rPr>
        <w:fldChar w:fldCharType="separate"/>
      </w:r>
      <w:r>
        <w:rPr>
          <w:rStyle w:val="48"/>
          <w:rFonts w:hint="eastAsia"/>
          <w:b/>
          <w:color w:val="auto"/>
          <w:sz w:val="28"/>
          <w:szCs w:val="28"/>
          <w:highlight w:val="none"/>
        </w:rPr>
        <w:t>第五章</w:t>
      </w:r>
      <w:r>
        <w:rPr>
          <w:rStyle w:val="48"/>
          <w:b/>
          <w:color w:val="auto"/>
          <w:sz w:val="28"/>
          <w:szCs w:val="28"/>
          <w:highlight w:val="none"/>
        </w:rPr>
        <w:t xml:space="preserve">  </w:t>
      </w:r>
      <w:r>
        <w:rPr>
          <w:rStyle w:val="48"/>
          <w:rFonts w:hint="eastAsia"/>
          <w:b/>
          <w:color w:val="auto"/>
          <w:sz w:val="28"/>
          <w:szCs w:val="28"/>
          <w:highlight w:val="none"/>
        </w:rPr>
        <w:t>合同主要条款</w:t>
      </w:r>
      <w:r>
        <w:rPr>
          <w:b/>
          <w:color w:val="auto"/>
          <w:sz w:val="28"/>
          <w:szCs w:val="28"/>
          <w:highlight w:val="none"/>
        </w:rPr>
        <w:tab/>
      </w:r>
      <w:r>
        <w:rPr>
          <w:b/>
          <w:color w:val="auto"/>
          <w:sz w:val="28"/>
          <w:szCs w:val="28"/>
          <w:highlight w:val="none"/>
        </w:rPr>
        <w:fldChar w:fldCharType="end"/>
      </w:r>
      <w:r>
        <w:rPr>
          <w:rFonts w:hint="eastAsia"/>
          <w:b/>
          <w:color w:val="auto"/>
          <w:sz w:val="28"/>
          <w:szCs w:val="28"/>
          <w:highlight w:val="none"/>
          <w:lang w:val="en-US" w:eastAsia="zh-CN"/>
        </w:rPr>
        <w:t>33</w:t>
      </w:r>
    </w:p>
    <w:p>
      <w:pPr>
        <w:pStyle w:val="2"/>
        <w:tabs>
          <w:tab w:val="right" w:leader="dot" w:pos="10456"/>
        </w:tabs>
        <w:spacing w:line="480" w:lineRule="exact"/>
        <w:rPr>
          <w:b/>
          <w:color w:val="auto"/>
          <w:sz w:val="28"/>
          <w:szCs w:val="28"/>
          <w:highlight w:val="none"/>
        </w:rPr>
      </w:pPr>
    </w:p>
    <w:p>
      <w:pPr>
        <w:pStyle w:val="2"/>
        <w:tabs>
          <w:tab w:val="right" w:leader="dot" w:pos="10456"/>
        </w:tabs>
        <w:rPr>
          <w:rFonts w:hint="default" w:ascii="宋体" w:hAnsi="宋体" w:eastAsia="宋体"/>
          <w:b/>
          <w:color w:val="auto"/>
          <w:sz w:val="28"/>
          <w:szCs w:val="28"/>
          <w:highlight w:val="none"/>
          <w:lang w:val="en-US" w:eastAsia="zh-CN"/>
        </w:rPr>
      </w:pPr>
      <w:r>
        <w:rPr>
          <w:b/>
          <w:color w:val="auto"/>
          <w:sz w:val="28"/>
          <w:szCs w:val="28"/>
          <w:highlight w:val="none"/>
        </w:rPr>
        <w:fldChar w:fldCharType="begin"/>
      </w:r>
      <w:r>
        <w:rPr>
          <w:rStyle w:val="48"/>
          <w:b/>
          <w:color w:val="auto"/>
          <w:sz w:val="28"/>
          <w:szCs w:val="28"/>
          <w:highlight w:val="none"/>
        </w:rPr>
        <w:instrText xml:space="preserve"> </w:instrText>
      </w:r>
      <w:r>
        <w:rPr>
          <w:b/>
          <w:color w:val="auto"/>
          <w:sz w:val="28"/>
          <w:szCs w:val="28"/>
          <w:highlight w:val="none"/>
        </w:rPr>
        <w:instrText xml:space="preserve">HYPERLINK \l "_Toc46136761"</w:instrText>
      </w:r>
      <w:r>
        <w:rPr>
          <w:rStyle w:val="48"/>
          <w:b/>
          <w:color w:val="auto"/>
          <w:sz w:val="28"/>
          <w:szCs w:val="28"/>
          <w:highlight w:val="none"/>
        </w:rPr>
        <w:instrText xml:space="preserve"> </w:instrText>
      </w:r>
      <w:r>
        <w:rPr>
          <w:b/>
          <w:color w:val="auto"/>
          <w:sz w:val="28"/>
          <w:szCs w:val="28"/>
          <w:highlight w:val="none"/>
        </w:rPr>
        <w:fldChar w:fldCharType="separate"/>
      </w:r>
      <w:r>
        <w:rPr>
          <w:rStyle w:val="48"/>
          <w:rFonts w:hint="eastAsia"/>
          <w:b/>
          <w:color w:val="auto"/>
          <w:sz w:val="28"/>
          <w:szCs w:val="28"/>
          <w:highlight w:val="none"/>
        </w:rPr>
        <w:t>第六章</w:t>
      </w:r>
      <w:r>
        <w:rPr>
          <w:rStyle w:val="48"/>
          <w:b/>
          <w:color w:val="auto"/>
          <w:sz w:val="28"/>
          <w:szCs w:val="28"/>
          <w:highlight w:val="none"/>
        </w:rPr>
        <w:t xml:space="preserve">  </w:t>
      </w:r>
      <w:r>
        <w:rPr>
          <w:rStyle w:val="48"/>
          <w:rFonts w:hint="eastAsia"/>
          <w:b/>
          <w:color w:val="auto"/>
          <w:sz w:val="28"/>
          <w:szCs w:val="28"/>
          <w:highlight w:val="none"/>
        </w:rPr>
        <w:t>评审方法与评定标准</w:t>
      </w:r>
      <w:r>
        <w:rPr>
          <w:b/>
          <w:color w:val="auto"/>
          <w:sz w:val="28"/>
          <w:szCs w:val="28"/>
          <w:highlight w:val="none"/>
        </w:rPr>
        <w:tab/>
      </w:r>
      <w:r>
        <w:rPr>
          <w:b/>
          <w:color w:val="auto"/>
          <w:sz w:val="28"/>
          <w:szCs w:val="28"/>
          <w:highlight w:val="none"/>
        </w:rPr>
        <w:fldChar w:fldCharType="end"/>
      </w:r>
      <w:r>
        <w:rPr>
          <w:rFonts w:ascii="宋体" w:hAnsi="宋体"/>
          <w:b/>
          <w:color w:val="auto"/>
          <w:sz w:val="28"/>
          <w:szCs w:val="28"/>
          <w:highlight w:val="none"/>
        </w:rPr>
        <w:fldChar w:fldCharType="end"/>
      </w:r>
      <w:r>
        <w:rPr>
          <w:rFonts w:hint="eastAsia"/>
          <w:b/>
          <w:color w:val="auto"/>
          <w:sz w:val="28"/>
          <w:szCs w:val="28"/>
          <w:highlight w:val="none"/>
          <w:lang w:val="en-US" w:eastAsia="zh-CN"/>
        </w:rPr>
        <w:t>41</w:t>
      </w:r>
    </w:p>
    <w:p>
      <w:pPr>
        <w:spacing w:line="400" w:lineRule="exact"/>
        <w:jc w:val="center"/>
        <w:rPr>
          <w:rFonts w:ascii="仿宋_GB2312" w:hAnsi="仿宋_GB2312" w:eastAsia="仿宋_GB2312"/>
          <w:b/>
          <w:color w:val="auto"/>
          <w:sz w:val="32"/>
          <w:szCs w:val="32"/>
          <w:highlight w:val="none"/>
        </w:rPr>
      </w:pPr>
    </w:p>
    <w:p>
      <w:pPr>
        <w:pageBreakBefore/>
        <w:spacing w:line="400" w:lineRule="exact"/>
        <w:jc w:val="center"/>
        <w:rPr>
          <w:rFonts w:ascii="仿宋_GB2312" w:hAnsi="仿宋_GB2312" w:eastAsia="仿宋_GB2312"/>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600" w:lineRule="exact"/>
        <w:jc w:val="center"/>
        <w:rPr>
          <w:rFonts w:ascii="仿宋_GB2312" w:hAnsi="仿宋_GB2312" w:eastAsia="仿宋_GB2312"/>
          <w:b/>
          <w:color w:val="auto"/>
          <w:sz w:val="44"/>
          <w:szCs w:val="44"/>
          <w:highlight w:val="none"/>
        </w:rPr>
      </w:pPr>
    </w:p>
    <w:p>
      <w:pPr>
        <w:spacing w:line="600" w:lineRule="exact"/>
        <w:jc w:val="center"/>
        <w:rPr>
          <w:rFonts w:ascii="仿宋_GB2312" w:hAnsi="仿宋_GB2312" w:eastAsia="仿宋_GB2312"/>
          <w:b/>
          <w:color w:val="auto"/>
          <w:sz w:val="44"/>
          <w:szCs w:val="44"/>
          <w:highlight w:val="none"/>
        </w:rPr>
      </w:pPr>
    </w:p>
    <w:p>
      <w:pPr>
        <w:pStyle w:val="3"/>
        <w:jc w:val="center"/>
        <w:rPr>
          <w:color w:val="auto"/>
          <w:highlight w:val="none"/>
        </w:rPr>
      </w:pPr>
      <w:bookmarkStart w:id="2" w:name="_Toc46136756"/>
      <w:r>
        <w:rPr>
          <w:rFonts w:hint="eastAsia"/>
          <w:color w:val="auto"/>
          <w:highlight w:val="none"/>
        </w:rPr>
        <w:t>第一章  竞争性谈判公告</w:t>
      </w:r>
      <w:bookmarkEnd w:id="2"/>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spacing w:line="400" w:lineRule="exact"/>
        <w:jc w:val="center"/>
        <w:rPr>
          <w:rFonts w:ascii="黑体" w:hAnsi="黑体" w:eastAsia="黑体"/>
          <w:b/>
          <w:color w:val="auto"/>
          <w:sz w:val="32"/>
          <w:szCs w:val="32"/>
          <w:highlight w:val="none"/>
        </w:rPr>
      </w:pPr>
    </w:p>
    <w:p>
      <w:pPr>
        <w:rPr>
          <w:rFonts w:ascii="仿宋" w:hAnsi="仿宋" w:eastAsia="仿宋"/>
          <w:color w:val="auto"/>
          <w:sz w:val="28"/>
          <w:szCs w:val="28"/>
          <w:highlight w:val="none"/>
        </w:rPr>
      </w:pPr>
    </w:p>
    <w:p>
      <w:pPr>
        <w:pageBreakBefore/>
        <w:jc w:val="center"/>
        <w:rPr>
          <w:b/>
          <w:color w:val="auto"/>
          <w:sz w:val="44"/>
          <w:szCs w:val="44"/>
          <w:highlight w:val="none"/>
        </w:rPr>
      </w:pPr>
      <w:bookmarkStart w:id="3" w:name="_Toc35393797"/>
      <w:bookmarkEnd w:id="3"/>
      <w:bookmarkStart w:id="4" w:name="_Toc28359011"/>
      <w:bookmarkEnd w:id="4"/>
      <w:r>
        <w:rPr>
          <w:rFonts w:hint="eastAsia"/>
          <w:b/>
          <w:color w:val="auto"/>
          <w:sz w:val="44"/>
          <w:szCs w:val="44"/>
          <w:highlight w:val="none"/>
        </w:rPr>
        <w:t xml:space="preserve">  </w:t>
      </w:r>
      <w:r>
        <w:rPr>
          <w:rFonts w:hint="eastAsia"/>
          <w:b/>
          <w:color w:val="auto"/>
          <w:sz w:val="32"/>
          <w:szCs w:val="32"/>
          <w:highlight w:val="none"/>
        </w:rPr>
        <w:t>竞争性谈判公告</w:t>
      </w:r>
    </w:p>
    <w:p>
      <w:pPr>
        <w:spacing w:line="320" w:lineRule="exact"/>
        <w:rPr>
          <w:color w:val="auto"/>
          <w:highlight w:val="none"/>
        </w:rPr>
      </w:pPr>
    </w:p>
    <w:p>
      <w:pPr>
        <w:pBdr>
          <w:top w:val="single" w:color="000000" w:sz="4" w:space="1"/>
          <w:left w:val="single" w:color="000000" w:sz="4" w:space="4"/>
          <w:bottom w:val="single" w:color="000000" w:sz="4" w:space="1"/>
          <w:right w:val="single" w:color="000000" w:sz="4" w:space="4"/>
        </w:pBdr>
        <w:spacing w:line="360" w:lineRule="exact"/>
        <w:ind w:firstLine="422"/>
        <w:rPr>
          <w:rFonts w:hint="eastAsia" w:ascii="Calibri Light" w:hAnsi="Calibri Light"/>
          <w:b/>
          <w:color w:val="auto"/>
          <w:szCs w:val="21"/>
          <w:highlight w:val="none"/>
        </w:rPr>
      </w:pPr>
      <w:r>
        <w:rPr>
          <w:rFonts w:hint="eastAsia" w:ascii="Calibri Light" w:hAnsi="Calibri Light" w:eastAsia="Calibri Light"/>
          <w:b/>
          <w:color w:val="auto"/>
          <w:szCs w:val="21"/>
          <w:highlight w:val="none"/>
        </w:rPr>
        <w:t>项目概况</w:t>
      </w:r>
    </w:p>
    <w:p>
      <w:pPr>
        <w:pBdr>
          <w:top w:val="single" w:color="000000" w:sz="4" w:space="1"/>
          <w:left w:val="single" w:color="000000" w:sz="4" w:space="4"/>
          <w:bottom w:val="single" w:color="000000" w:sz="4" w:space="1"/>
          <w:right w:val="single" w:color="000000" w:sz="4" w:space="4"/>
        </w:pBdr>
        <w:spacing w:line="360" w:lineRule="exact"/>
        <w:rPr>
          <w:rFonts w:ascii="Calibri Light" w:hAnsi="Calibri Light"/>
          <w:b/>
          <w:color w:val="auto"/>
          <w:szCs w:val="21"/>
          <w:highlight w:val="none"/>
        </w:rPr>
      </w:pPr>
      <w:r>
        <w:rPr>
          <w:rFonts w:hint="eastAsia" w:ascii="仿宋" w:hAnsi="仿宋" w:cs="Arial"/>
          <w:color w:val="auto"/>
          <w:kern w:val="0"/>
          <w:szCs w:val="21"/>
          <w:highlight w:val="none"/>
        </w:rPr>
        <w:t xml:space="preserve">   </w:t>
      </w:r>
      <w:r>
        <w:rPr>
          <w:rFonts w:hint="eastAsia" w:ascii="仿宋" w:hAnsi="仿宋" w:cs="Arial"/>
          <w:color w:val="auto"/>
          <w:kern w:val="0"/>
          <w:szCs w:val="21"/>
          <w:highlight w:val="none"/>
          <w:u w:val="single"/>
        </w:rPr>
        <w:t>广西艺术学院教学设备采购（二）</w:t>
      </w:r>
      <w:r>
        <w:rPr>
          <w:rFonts w:ascii="仿宋" w:hAnsi="仿宋" w:cs="Arial"/>
          <w:color w:val="auto"/>
          <w:kern w:val="0"/>
          <w:szCs w:val="21"/>
          <w:highlight w:val="none"/>
        </w:rPr>
        <w:t>项目的潜在供应商应在</w:t>
      </w:r>
      <w:r>
        <w:rPr>
          <w:rFonts w:hint="eastAsia" w:ascii="仿宋" w:hAnsi="仿宋" w:cs="Arial"/>
          <w:color w:val="auto"/>
          <w:kern w:val="0"/>
          <w:szCs w:val="21"/>
          <w:highlight w:val="none"/>
        </w:rPr>
        <w:t>广西政府采购云平台线上获取采购文件</w:t>
      </w:r>
      <w:r>
        <w:rPr>
          <w:rFonts w:hint="eastAsia" w:ascii="宋体" w:hAnsi="宋体" w:cs="宋体"/>
          <w:color w:val="auto"/>
          <w:highlight w:val="none"/>
        </w:rPr>
        <w:t>，并于</w:t>
      </w:r>
      <w:r>
        <w:rPr>
          <w:rFonts w:hint="eastAsia" w:ascii="宋体" w:hAnsi="宋体" w:cs="宋体"/>
          <w:color w:val="auto"/>
          <w:highlight w:val="none"/>
          <w:u w:val="single"/>
        </w:rPr>
        <w:t>2025年</w:t>
      </w:r>
      <w:r>
        <w:rPr>
          <w:rFonts w:hint="default" w:ascii="宋体" w:hAnsi="宋体" w:cs="宋体"/>
          <w:color w:val="auto"/>
          <w:highlight w:val="none"/>
          <w:u w:val="single"/>
          <w:lang w:val="en" w:eastAsia="zh-CN"/>
        </w:rPr>
        <w:t>12</w:t>
      </w:r>
      <w:r>
        <w:rPr>
          <w:rFonts w:ascii="仿宋" w:hAnsi="仿宋" w:cs="Arial"/>
          <w:color w:val="auto"/>
          <w:kern w:val="0"/>
          <w:szCs w:val="21"/>
          <w:highlight w:val="none"/>
          <w:u w:val="single"/>
        </w:rPr>
        <w:t>月</w:t>
      </w:r>
      <w:r>
        <w:rPr>
          <w:rFonts w:hint="default" w:ascii="仿宋" w:hAnsi="仿宋" w:cs="Arial"/>
          <w:color w:val="auto"/>
          <w:kern w:val="0"/>
          <w:szCs w:val="21"/>
          <w:highlight w:val="none"/>
          <w:u w:val="single"/>
          <w:lang w:val="en" w:eastAsia="zh-CN"/>
        </w:rPr>
        <w:t xml:space="preserve">24 </w:t>
      </w:r>
      <w:r>
        <w:rPr>
          <w:rFonts w:ascii="仿宋" w:hAnsi="仿宋" w:cs="Arial"/>
          <w:color w:val="auto"/>
          <w:kern w:val="0"/>
          <w:szCs w:val="21"/>
          <w:highlight w:val="none"/>
          <w:u w:val="single"/>
        </w:rPr>
        <w:t>日</w:t>
      </w:r>
      <w:r>
        <w:rPr>
          <w:rFonts w:ascii="仿宋" w:hAnsi="仿宋" w:cs="Arial"/>
          <w:color w:val="auto"/>
          <w:kern w:val="0"/>
          <w:szCs w:val="21"/>
          <w:highlight w:val="none"/>
        </w:rPr>
        <w:t xml:space="preserve"> 10:00（北京时间）前提交响应文件。</w:t>
      </w:r>
    </w:p>
    <w:p>
      <w:pPr>
        <w:widowControl/>
        <w:spacing w:before="60" w:after="60" w:line="360" w:lineRule="exact"/>
        <w:ind w:firstLine="324"/>
        <w:jc w:val="left"/>
        <w:rPr>
          <w:rFonts w:hint="eastAsia" w:ascii="仿宋" w:hAnsi="仿宋" w:cs="宋体"/>
          <w:b/>
          <w:bCs/>
          <w:color w:val="auto"/>
          <w:kern w:val="0"/>
          <w:szCs w:val="21"/>
          <w:highlight w:val="none"/>
        </w:rPr>
      </w:pPr>
      <w:bookmarkStart w:id="5" w:name="_Toc35393629"/>
      <w:bookmarkEnd w:id="5"/>
      <w:bookmarkStart w:id="6" w:name="_Toc35393798"/>
      <w:bookmarkEnd w:id="6"/>
      <w:bookmarkStart w:id="7" w:name="_Toc28359089"/>
      <w:bookmarkEnd w:id="7"/>
      <w:bookmarkStart w:id="8" w:name="_Toc28359012"/>
      <w:bookmarkEnd w:id="8"/>
      <w:r>
        <w:rPr>
          <w:rFonts w:hint="eastAsia" w:ascii="仿宋" w:hAnsi="仿宋" w:cs="宋体"/>
          <w:b/>
          <w:bCs/>
          <w:color w:val="auto"/>
          <w:kern w:val="0"/>
          <w:szCs w:val="21"/>
          <w:highlight w:val="none"/>
        </w:rPr>
        <w:t xml:space="preserve">一、项目基本情况                                            </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项目编号：GXZC2025-J1-003931-CGZX</w:t>
      </w:r>
      <w:r>
        <w:rPr>
          <w:rFonts w:hint="default" w:ascii="仿宋"/>
          <w:color w:val="auto"/>
          <w:highlight w:val="none"/>
          <w:lang w:val="en"/>
        </w:rPr>
        <w:t xml:space="preserve"> </w:t>
      </w:r>
      <w:r>
        <w:rPr>
          <w:rFonts w:hint="eastAsia" w:ascii="仿宋" w:hAnsi="仿宋" w:cs="宋体"/>
          <w:color w:val="auto"/>
          <w:kern w:val="0"/>
          <w:szCs w:val="21"/>
          <w:highlight w:val="none"/>
        </w:rPr>
        <w:t xml:space="preserve">  </w:t>
      </w:r>
    </w:p>
    <w:p>
      <w:pPr>
        <w:widowControl/>
        <w:spacing w:before="60" w:after="60" w:line="360" w:lineRule="exact"/>
        <w:ind w:firstLine="324"/>
        <w:jc w:val="left"/>
        <w:rPr>
          <w:rFonts w:hint="default" w:ascii="仿宋" w:hAnsi="仿宋" w:cs="宋体"/>
          <w:color w:val="auto"/>
          <w:kern w:val="0"/>
          <w:szCs w:val="21"/>
          <w:highlight w:val="none"/>
          <w:lang w:val="en"/>
        </w:rPr>
      </w:pPr>
      <w:r>
        <w:rPr>
          <w:rFonts w:hint="eastAsia" w:ascii="仿宋" w:hAnsi="仿宋" w:cs="宋体"/>
          <w:color w:val="auto"/>
          <w:kern w:val="0"/>
          <w:szCs w:val="21"/>
          <w:highlight w:val="none"/>
        </w:rPr>
        <w:t xml:space="preserve">    项目名称：广西艺术学院教学设备采购</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lang w:val="en-US" w:eastAsia="zh-CN"/>
        </w:rPr>
        <w:t>二</w:t>
      </w:r>
      <w:r>
        <w:rPr>
          <w:rFonts w:hint="eastAsia" w:ascii="仿宋" w:hAnsi="仿宋" w:cs="宋体"/>
          <w:color w:val="auto"/>
          <w:kern w:val="0"/>
          <w:szCs w:val="21"/>
          <w:highlight w:val="none"/>
          <w:lang w:eastAsia="zh-CN"/>
        </w:rPr>
        <w:t>）</w:t>
      </w:r>
      <w:r>
        <w:rPr>
          <w:rFonts w:hint="default" w:ascii="仿宋" w:hAnsi="仿宋" w:cs="宋体"/>
          <w:color w:val="auto"/>
          <w:kern w:val="0"/>
          <w:szCs w:val="21"/>
          <w:highlight w:val="none"/>
          <w:lang w:val="en"/>
        </w:rPr>
        <w:t xml:space="preserve"> </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采购方式：竞争性谈判 </w:t>
      </w:r>
    </w:p>
    <w:p>
      <w:pPr>
        <w:widowControl/>
        <w:spacing w:before="60" w:after="60" w:line="360" w:lineRule="exact"/>
        <w:ind w:firstLine="324"/>
        <w:jc w:val="left"/>
        <w:rPr>
          <w:rFonts w:hint="default" w:ascii="仿宋" w:hAnsi="仿宋" w:cs="宋体"/>
          <w:color w:val="auto"/>
          <w:kern w:val="0"/>
          <w:szCs w:val="21"/>
          <w:highlight w:val="none"/>
          <w:lang w:val="en-US"/>
        </w:rPr>
      </w:pPr>
      <w:r>
        <w:rPr>
          <w:rFonts w:hint="eastAsia" w:ascii="仿宋" w:hAnsi="仿宋" w:cs="宋体"/>
          <w:color w:val="auto"/>
          <w:kern w:val="0"/>
          <w:szCs w:val="21"/>
          <w:highlight w:val="none"/>
        </w:rPr>
        <w:t xml:space="preserve">    预算总金额（元）：</w:t>
      </w:r>
      <w:r>
        <w:rPr>
          <w:rFonts w:hint="eastAsia"/>
          <w:color w:val="auto"/>
          <w:highlight w:val="none"/>
          <w:lang w:val="en-US" w:eastAsia="zh-CN"/>
        </w:rPr>
        <w:t>449444.56</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采购需求：</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标项名称：广西艺术学院教学设备采购</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lang w:val="en-US" w:eastAsia="zh-CN"/>
        </w:rPr>
        <w:t>二</w:t>
      </w:r>
      <w:r>
        <w:rPr>
          <w:rFonts w:hint="eastAsia" w:ascii="仿宋" w:hAnsi="仿宋" w:cs="宋体"/>
          <w:color w:val="auto"/>
          <w:kern w:val="0"/>
          <w:szCs w:val="21"/>
          <w:highlight w:val="none"/>
          <w:lang w:eastAsia="zh-CN"/>
        </w:rPr>
        <w:t>）</w:t>
      </w:r>
      <w:r>
        <w:rPr>
          <w:rFonts w:hint="default" w:ascii="仿宋" w:hAnsi="仿宋" w:cs="宋体"/>
          <w:color w:val="auto"/>
          <w:kern w:val="0"/>
          <w:szCs w:val="21"/>
          <w:highlight w:val="none"/>
          <w:lang w:val="en"/>
        </w:rPr>
        <w:t xml:space="preserve">  </w:t>
      </w:r>
      <w:r>
        <w:rPr>
          <w:rFonts w:hint="eastAsia" w:ascii="仿宋" w:hAnsi="仿宋" w:cs="宋体"/>
          <w:color w:val="auto"/>
          <w:kern w:val="0"/>
          <w:szCs w:val="21"/>
          <w:highlight w:val="none"/>
        </w:rPr>
        <w:t xml:space="preserve"> </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数量:1</w:t>
      </w:r>
    </w:p>
    <w:p>
      <w:pPr>
        <w:widowControl/>
        <w:spacing w:before="60" w:after="60" w:line="360" w:lineRule="exact"/>
        <w:ind w:firstLine="324"/>
        <w:jc w:val="left"/>
        <w:rPr>
          <w:rFonts w:hint="default" w:ascii="仿宋" w:hAnsi="仿宋" w:cs="宋体"/>
          <w:color w:val="auto"/>
          <w:kern w:val="0"/>
          <w:szCs w:val="21"/>
          <w:highlight w:val="none"/>
          <w:lang w:val="en-US"/>
        </w:rPr>
      </w:pPr>
      <w:r>
        <w:rPr>
          <w:rFonts w:hint="eastAsia" w:ascii="仿宋" w:hAnsi="仿宋" w:cs="宋体"/>
          <w:color w:val="auto"/>
          <w:kern w:val="0"/>
          <w:szCs w:val="21"/>
          <w:highlight w:val="none"/>
        </w:rPr>
        <w:t xml:space="preserve">    预算金额（元）：</w:t>
      </w:r>
      <w:r>
        <w:rPr>
          <w:rFonts w:hint="eastAsia"/>
          <w:color w:val="auto"/>
          <w:highlight w:val="none"/>
          <w:lang w:val="en-US" w:eastAsia="zh-CN"/>
        </w:rPr>
        <w:t>449444.56</w:t>
      </w:r>
    </w:p>
    <w:p>
      <w:pPr>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简要规格描述或项目基本概况介绍、用途：</w:t>
      </w:r>
      <w:r>
        <w:rPr>
          <w:rFonts w:hint="default"/>
          <w:color w:val="auto"/>
          <w:highlight w:val="none"/>
          <w:lang w:val="en-US" w:eastAsia="zh-CN"/>
        </w:rPr>
        <w:t>LED屏1台</w:t>
      </w:r>
      <w:r>
        <w:rPr>
          <w:rFonts w:hint="eastAsia"/>
          <w:color w:val="auto"/>
          <w:highlight w:val="none"/>
          <w:lang w:val="en-US" w:eastAsia="zh-CN"/>
        </w:rPr>
        <w:t>；</w:t>
      </w:r>
      <w:r>
        <w:rPr>
          <w:rFonts w:hint="default"/>
          <w:color w:val="auto"/>
          <w:highlight w:val="none"/>
          <w:lang w:val="en-US" w:eastAsia="zh-CN"/>
        </w:rPr>
        <w:t>LED屏1台</w:t>
      </w:r>
      <w:r>
        <w:rPr>
          <w:rFonts w:hint="eastAsia"/>
          <w:color w:val="auto"/>
          <w:highlight w:val="none"/>
          <w:lang w:val="en-US" w:eastAsia="zh-CN"/>
        </w:rPr>
        <w:t>；</w:t>
      </w:r>
      <w:r>
        <w:rPr>
          <w:rFonts w:hint="default"/>
          <w:color w:val="auto"/>
          <w:highlight w:val="none"/>
          <w:lang w:val="en-US" w:eastAsia="zh-CN"/>
        </w:rPr>
        <w:t>工作站显示器9台</w:t>
      </w:r>
      <w:r>
        <w:rPr>
          <w:rFonts w:hint="eastAsia"/>
          <w:color w:val="auto"/>
          <w:highlight w:val="none"/>
          <w:lang w:val="en-US" w:eastAsia="zh-CN"/>
        </w:rPr>
        <w:t>；</w:t>
      </w:r>
      <w:r>
        <w:rPr>
          <w:rFonts w:hint="default"/>
          <w:color w:val="auto"/>
          <w:highlight w:val="none"/>
          <w:lang w:val="en-US" w:eastAsia="zh-CN"/>
        </w:rPr>
        <w:t>电子显示屏1台</w:t>
      </w:r>
      <w:r>
        <w:rPr>
          <w:rFonts w:hint="eastAsia"/>
          <w:color w:val="auto"/>
          <w:highlight w:val="none"/>
          <w:lang w:val="en-US" w:eastAsia="zh-CN"/>
        </w:rPr>
        <w:t>；</w:t>
      </w:r>
      <w:r>
        <w:rPr>
          <w:rFonts w:hint="default"/>
          <w:color w:val="auto"/>
          <w:highlight w:val="none"/>
          <w:lang w:val="en-US" w:eastAsia="zh-CN"/>
        </w:rPr>
        <w:t>显示器36台</w:t>
      </w:r>
      <w:r>
        <w:rPr>
          <w:rFonts w:hint="eastAsia"/>
          <w:color w:val="auto"/>
          <w:highlight w:val="none"/>
          <w:lang w:val="en-US" w:eastAsia="zh-CN"/>
        </w:rPr>
        <w:t>；</w:t>
      </w:r>
      <w:r>
        <w:rPr>
          <w:rFonts w:hint="default"/>
          <w:color w:val="auto"/>
          <w:highlight w:val="none"/>
          <w:lang w:val="en-US" w:eastAsia="zh-CN"/>
        </w:rPr>
        <w:t>3D打印机3套</w:t>
      </w:r>
      <w:r>
        <w:rPr>
          <w:rFonts w:hint="eastAsia"/>
          <w:color w:val="auto"/>
          <w:highlight w:val="none"/>
          <w:lang w:val="en-US" w:eastAsia="zh-CN"/>
        </w:rPr>
        <w:t>；</w:t>
      </w:r>
      <w:r>
        <w:rPr>
          <w:rFonts w:hint="default"/>
          <w:color w:val="auto"/>
          <w:highlight w:val="none"/>
          <w:lang w:val="en-US" w:eastAsia="zh-CN"/>
        </w:rPr>
        <w:t>4k投影仪1台</w:t>
      </w:r>
      <w:r>
        <w:rPr>
          <w:rFonts w:hint="eastAsia"/>
          <w:color w:val="auto"/>
          <w:highlight w:val="none"/>
          <w:lang w:val="en-US" w:eastAsia="zh-CN"/>
        </w:rPr>
        <w:t>；</w:t>
      </w:r>
      <w:r>
        <w:rPr>
          <w:rFonts w:hint="default"/>
          <w:color w:val="auto"/>
          <w:highlight w:val="none"/>
          <w:lang w:val="en-US" w:eastAsia="zh-CN"/>
        </w:rPr>
        <w:t>学生桌、椅30套</w:t>
      </w:r>
      <w:r>
        <w:rPr>
          <w:rFonts w:hint="eastAsia"/>
          <w:color w:val="auto"/>
          <w:highlight w:val="none"/>
          <w:lang w:val="en-US" w:eastAsia="zh-CN"/>
        </w:rPr>
        <w:t>；</w:t>
      </w:r>
      <w:r>
        <w:rPr>
          <w:rFonts w:hint="default"/>
          <w:color w:val="auto"/>
          <w:highlight w:val="none"/>
          <w:lang w:val="en-US" w:eastAsia="zh-CN"/>
        </w:rPr>
        <w:t>司仪台2台</w:t>
      </w:r>
      <w:r>
        <w:rPr>
          <w:rFonts w:hint="eastAsia"/>
          <w:color w:val="auto"/>
          <w:highlight w:val="none"/>
          <w:lang w:val="en-US" w:eastAsia="zh-CN"/>
        </w:rPr>
        <w:t>；</w:t>
      </w:r>
      <w:r>
        <w:rPr>
          <w:rFonts w:hint="default"/>
          <w:color w:val="auto"/>
          <w:highlight w:val="none"/>
          <w:lang w:val="en-US" w:eastAsia="zh-CN"/>
        </w:rPr>
        <w:t>笔记本电脑1台</w:t>
      </w:r>
      <w:r>
        <w:rPr>
          <w:rFonts w:hint="eastAsia"/>
          <w:color w:val="auto"/>
          <w:highlight w:val="none"/>
          <w:lang w:val="en-US" w:eastAsia="zh-CN"/>
        </w:rPr>
        <w:t>；</w:t>
      </w:r>
      <w:r>
        <w:rPr>
          <w:rFonts w:hint="default"/>
          <w:color w:val="auto"/>
          <w:highlight w:val="none"/>
          <w:lang w:val="en-US" w:eastAsia="zh-CN"/>
        </w:rPr>
        <w:t>显示器3台</w:t>
      </w:r>
      <w:r>
        <w:rPr>
          <w:rFonts w:hint="eastAsia"/>
          <w:color w:val="auto"/>
          <w:highlight w:val="none"/>
          <w:lang w:val="en-US" w:eastAsia="zh-CN"/>
        </w:rPr>
        <w:t>；</w:t>
      </w:r>
      <w:r>
        <w:rPr>
          <w:rFonts w:hint="default"/>
          <w:color w:val="auto"/>
          <w:highlight w:val="none"/>
          <w:lang w:val="en-US" w:eastAsia="zh-CN"/>
        </w:rPr>
        <w:t>多功能打印一体机3台</w:t>
      </w:r>
      <w:r>
        <w:rPr>
          <w:rFonts w:hint="eastAsia"/>
          <w:color w:val="auto"/>
          <w:highlight w:val="none"/>
          <w:lang w:val="en-US" w:eastAsia="zh-CN"/>
        </w:rPr>
        <w:t>；</w:t>
      </w:r>
      <w:r>
        <w:rPr>
          <w:rFonts w:hint="default"/>
          <w:color w:val="auto"/>
          <w:highlight w:val="none"/>
          <w:lang w:val="en-US" w:eastAsia="zh-CN"/>
        </w:rPr>
        <w:t>台式电脑3台</w:t>
      </w:r>
      <w:r>
        <w:rPr>
          <w:rFonts w:hint="default" w:ascii="仿宋"/>
          <w:b/>
          <w:bCs/>
          <w:color w:val="auto"/>
          <w:highlight w:val="none"/>
          <w:lang w:val="en"/>
        </w:rPr>
        <w:t xml:space="preserve"> </w:t>
      </w:r>
      <w:r>
        <w:rPr>
          <w:rFonts w:hint="eastAsia"/>
          <w:color w:val="auto"/>
          <w:highlight w:val="none"/>
        </w:rPr>
        <w:t>。</w:t>
      </w:r>
      <w:r>
        <w:rPr>
          <w:rFonts w:hint="eastAsia" w:ascii="仿宋" w:hAnsi="仿宋" w:cs="宋体"/>
          <w:color w:val="auto"/>
          <w:kern w:val="0"/>
          <w:szCs w:val="21"/>
          <w:highlight w:val="none"/>
        </w:rPr>
        <w:t>（详见</w:t>
      </w:r>
      <w:r>
        <w:rPr>
          <w:rFonts w:hint="eastAsia" w:ascii="仿宋" w:hAnsi="仿宋" w:cs="宋体"/>
          <w:color w:val="auto"/>
          <w:kern w:val="0"/>
          <w:szCs w:val="21"/>
          <w:highlight w:val="none"/>
          <w:lang w:eastAsia="zh-CN"/>
        </w:rPr>
        <w:t>“</w:t>
      </w:r>
      <w:r>
        <w:rPr>
          <w:rFonts w:hint="default" w:ascii="仿宋" w:hAnsi="仿宋" w:cs="宋体"/>
          <w:color w:val="auto"/>
          <w:kern w:val="0"/>
          <w:szCs w:val="21"/>
          <w:highlight w:val="none"/>
          <w:lang w:val="en"/>
        </w:rPr>
        <w:t>采购文件</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pPr>
        <w:widowControl/>
        <w:spacing w:before="60" w:after="60" w:line="360" w:lineRule="exact"/>
        <w:ind w:firstLine="324"/>
        <w:jc w:val="left"/>
        <w:rPr>
          <w:rFonts w:hint="eastAsia" w:ascii="仿宋" w:hAnsi="仿宋" w:eastAsia="宋体" w:cs="宋体"/>
          <w:color w:val="auto"/>
          <w:kern w:val="0"/>
          <w:szCs w:val="21"/>
          <w:highlight w:val="none"/>
          <w:lang w:val="en-US" w:eastAsia="zh-CN"/>
        </w:rPr>
      </w:pPr>
      <w:r>
        <w:rPr>
          <w:rFonts w:hint="eastAsia" w:ascii="仿宋" w:hAnsi="仿宋" w:cs="宋体"/>
          <w:color w:val="auto"/>
          <w:kern w:val="0"/>
          <w:szCs w:val="21"/>
          <w:highlight w:val="none"/>
        </w:rPr>
        <w:t xml:space="preserve">    最高限价（如有）：</w:t>
      </w:r>
      <w:r>
        <w:rPr>
          <w:rFonts w:hint="eastAsia" w:ascii="仿宋" w:hAnsi="仿宋" w:cs="宋体"/>
          <w:color w:val="auto"/>
          <w:kern w:val="0"/>
          <w:szCs w:val="21"/>
          <w:highlight w:val="none"/>
          <w:lang w:val="en-US" w:eastAsia="zh-CN"/>
        </w:rPr>
        <w:t>/</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合同履约期限：自合同签订之日起至项目</w:t>
      </w:r>
      <w:r>
        <w:rPr>
          <w:rFonts w:hint="eastAsia" w:ascii="仿宋" w:hAnsi="仿宋" w:cs="宋体"/>
          <w:color w:val="auto"/>
          <w:kern w:val="0"/>
          <w:szCs w:val="21"/>
          <w:highlight w:val="none"/>
          <w:lang w:eastAsia="zh-CN"/>
        </w:rPr>
        <w:t>合同</w:t>
      </w:r>
      <w:r>
        <w:rPr>
          <w:rFonts w:hint="eastAsia" w:ascii="仿宋" w:hAnsi="仿宋" w:cs="宋体"/>
          <w:color w:val="auto"/>
          <w:kern w:val="0"/>
          <w:szCs w:val="21"/>
          <w:highlight w:val="none"/>
        </w:rPr>
        <w:t>履约完毕。</w:t>
      </w:r>
    </w:p>
    <w:p>
      <w:pPr>
        <w:widowControl/>
        <w:spacing w:before="60" w:after="60" w:line="360" w:lineRule="exact"/>
        <w:ind w:firstLine="324"/>
        <w:jc w:val="left"/>
        <w:rPr>
          <w:rFonts w:hint="eastAsia" w:ascii="仿宋" w:hAnsi="仿宋" w:eastAsia="宋体" w:cs="宋体"/>
          <w:color w:val="auto"/>
          <w:kern w:val="0"/>
          <w:szCs w:val="21"/>
          <w:highlight w:val="none"/>
          <w:lang w:eastAsia="zh-CN"/>
        </w:rPr>
      </w:pPr>
      <w:r>
        <w:rPr>
          <w:rFonts w:hint="eastAsia" w:ascii="仿宋" w:hAnsi="仿宋" w:cs="宋体"/>
          <w:color w:val="auto"/>
          <w:kern w:val="0"/>
          <w:szCs w:val="21"/>
          <w:highlight w:val="none"/>
        </w:rPr>
        <w:t xml:space="preserve">    本项目（否）接受联合体</w:t>
      </w:r>
      <w:r>
        <w:rPr>
          <w:rFonts w:hint="eastAsia" w:ascii="仿宋" w:hAnsi="仿宋" w:cs="宋体"/>
          <w:color w:val="auto"/>
          <w:kern w:val="0"/>
          <w:szCs w:val="21"/>
          <w:highlight w:val="none"/>
          <w:lang w:eastAsia="zh-CN"/>
        </w:rPr>
        <w:t>竞标</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备注：本项目为线上电子招标项目，有意向参与本项目的供应商应当做好参与全流程电子招投标交易的充</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分准备。</w:t>
      </w:r>
    </w:p>
    <w:p>
      <w:pPr>
        <w:widowControl/>
        <w:spacing w:before="60" w:after="60" w:line="360" w:lineRule="exact"/>
        <w:ind w:firstLine="324"/>
        <w:jc w:val="left"/>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二、申请人的资格要求：</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1.满足《中华人民共和国政府采购法》第二十二条规定；</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2.落实政府采购政策需满足的资格要求：分标1：无； </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3.本项目的特定资格要求：无</w:t>
      </w:r>
      <w:r>
        <w:rPr>
          <w:rFonts w:hint="eastAsia" w:ascii="宋体" w:hAnsi="宋体"/>
          <w:color w:val="auto"/>
          <w:szCs w:val="21"/>
          <w:highlight w:val="none"/>
        </w:rPr>
        <w:t>。</w:t>
      </w:r>
      <w:r>
        <w:rPr>
          <w:rFonts w:hint="eastAsia" w:ascii="仿宋" w:hAnsi="仿宋" w:cs="宋体"/>
          <w:color w:val="auto"/>
          <w:kern w:val="0"/>
          <w:szCs w:val="21"/>
          <w:highlight w:val="none"/>
        </w:rPr>
        <w:t xml:space="preserve"> </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三、获取采购文件</w:t>
      </w:r>
    </w:p>
    <w:p>
      <w:pPr>
        <w:widowControl/>
        <w:spacing w:before="60" w:after="60" w:line="360" w:lineRule="exact"/>
        <w:ind w:firstLine="324"/>
        <w:jc w:val="left"/>
        <w:rPr>
          <w:rFonts w:hint="eastAsia" w:ascii="仿宋" w:hAnsi="仿宋" w:cs="宋体"/>
          <w:b/>
          <w:bCs/>
          <w:color w:val="auto"/>
          <w:kern w:val="0"/>
          <w:szCs w:val="21"/>
          <w:highlight w:val="none"/>
        </w:rPr>
      </w:pPr>
      <w:r>
        <w:rPr>
          <w:rFonts w:hint="eastAsia" w:ascii="仿宋" w:hAnsi="仿宋" w:cs="宋体"/>
          <w:color w:val="auto"/>
          <w:kern w:val="0"/>
          <w:szCs w:val="21"/>
          <w:highlight w:val="none"/>
        </w:rPr>
        <w:t xml:space="preserve">   </w:t>
      </w:r>
      <w:r>
        <w:rPr>
          <w:rFonts w:hint="eastAsia" w:ascii="仿宋" w:hAnsi="仿宋" w:cs="宋体"/>
          <w:b/>
          <w:bCs/>
          <w:color w:val="auto"/>
          <w:kern w:val="0"/>
          <w:szCs w:val="21"/>
          <w:highlight w:val="none"/>
        </w:rPr>
        <w:t xml:space="preserve"> 时间：2025年</w:t>
      </w:r>
      <w:r>
        <w:rPr>
          <w:rFonts w:hint="default" w:ascii="仿宋" w:hAnsi="仿宋" w:cs="宋体"/>
          <w:b/>
          <w:bCs/>
          <w:color w:val="auto"/>
          <w:kern w:val="0"/>
          <w:szCs w:val="21"/>
          <w:highlight w:val="none"/>
          <w:lang w:val="en" w:eastAsia="zh-CN"/>
        </w:rPr>
        <w:t>12</w:t>
      </w:r>
      <w:r>
        <w:rPr>
          <w:rFonts w:hint="eastAsia" w:ascii="仿宋" w:hAnsi="仿宋" w:cs="宋体"/>
          <w:b/>
          <w:bCs/>
          <w:color w:val="auto"/>
          <w:kern w:val="0"/>
          <w:szCs w:val="21"/>
          <w:highlight w:val="none"/>
        </w:rPr>
        <w:t>月</w:t>
      </w:r>
      <w:r>
        <w:rPr>
          <w:rFonts w:hint="default" w:ascii="仿宋" w:hAnsi="仿宋" w:cs="宋体"/>
          <w:b/>
          <w:bCs/>
          <w:color w:val="auto"/>
          <w:kern w:val="0"/>
          <w:szCs w:val="21"/>
          <w:highlight w:val="none"/>
          <w:lang w:val="en" w:eastAsia="zh-CN"/>
        </w:rPr>
        <w:t>18</w:t>
      </w:r>
      <w:r>
        <w:rPr>
          <w:rFonts w:hint="eastAsia" w:ascii="仿宋" w:hAnsi="仿宋" w:cs="宋体"/>
          <w:b/>
          <w:bCs/>
          <w:color w:val="auto"/>
          <w:kern w:val="0"/>
          <w:szCs w:val="21"/>
          <w:highlight w:val="none"/>
        </w:rPr>
        <w:t>日至2025年</w:t>
      </w:r>
      <w:r>
        <w:rPr>
          <w:rFonts w:hint="default" w:ascii="仿宋" w:hAnsi="仿宋" w:cs="宋体"/>
          <w:b/>
          <w:bCs/>
          <w:color w:val="auto"/>
          <w:kern w:val="0"/>
          <w:szCs w:val="21"/>
          <w:highlight w:val="none"/>
          <w:lang w:val="en" w:eastAsia="zh-CN"/>
        </w:rPr>
        <w:t>12</w:t>
      </w:r>
      <w:r>
        <w:rPr>
          <w:rFonts w:hint="eastAsia" w:ascii="仿宋" w:hAnsi="仿宋" w:cs="宋体"/>
          <w:b/>
          <w:bCs/>
          <w:color w:val="auto"/>
          <w:kern w:val="0"/>
          <w:szCs w:val="21"/>
          <w:highlight w:val="none"/>
        </w:rPr>
        <w:t>月</w:t>
      </w:r>
      <w:r>
        <w:rPr>
          <w:rFonts w:hint="default" w:ascii="仿宋" w:hAnsi="仿宋" w:cs="宋体"/>
          <w:b/>
          <w:bCs/>
          <w:color w:val="auto"/>
          <w:kern w:val="0"/>
          <w:szCs w:val="21"/>
          <w:highlight w:val="none"/>
          <w:lang w:val="en" w:eastAsia="zh-CN"/>
        </w:rPr>
        <w:t>23</w:t>
      </w:r>
      <w:r>
        <w:rPr>
          <w:rFonts w:hint="eastAsia" w:ascii="仿宋" w:hAnsi="仿宋" w:cs="宋体"/>
          <w:b/>
          <w:bCs/>
          <w:color w:val="auto"/>
          <w:kern w:val="0"/>
          <w:szCs w:val="21"/>
          <w:highlight w:val="none"/>
        </w:rPr>
        <w:t>日，每天上午00:00至12:00，下午12:00至23:59（北京时</w:t>
      </w:r>
    </w:p>
    <w:p>
      <w:pPr>
        <w:widowControl/>
        <w:spacing w:before="60" w:after="60" w:line="360" w:lineRule="exact"/>
        <w:ind w:firstLine="324"/>
        <w:jc w:val="left"/>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间，法定节假日除外）</w:t>
      </w:r>
    </w:p>
    <w:p>
      <w:pPr>
        <w:pStyle w:val="37"/>
        <w:ind w:firstLine="422"/>
        <w:rPr>
          <w:rFonts w:cs="宋体"/>
          <w:b w:val="0"/>
          <w:bCs/>
          <w:color w:val="auto"/>
          <w:kern w:val="0"/>
          <w:szCs w:val="21"/>
          <w:highlight w:val="none"/>
        </w:rPr>
      </w:pPr>
      <w:r>
        <w:rPr>
          <w:rFonts w:hint="eastAsia" w:ascii="仿宋" w:hAnsi="仿宋" w:cs="宋体"/>
          <w:color w:val="auto"/>
          <w:kern w:val="0"/>
          <w:szCs w:val="21"/>
          <w:highlight w:val="none"/>
        </w:rPr>
        <w:t xml:space="preserve">   </w:t>
      </w:r>
      <w:r>
        <w:rPr>
          <w:rFonts w:hint="eastAsia" w:cs="宋体"/>
          <w:b w:val="0"/>
          <w:color w:val="auto"/>
          <w:kern w:val="0"/>
          <w:szCs w:val="21"/>
          <w:highlight w:val="none"/>
        </w:rPr>
        <w:t>地点（网址）：广西政府采购云平台（网址：http://www.gcy.zfcg.gxzf.gov.cn）</w:t>
      </w:r>
      <w:r>
        <w:rPr>
          <w:rFonts w:hint="eastAsia" w:cs="宋体"/>
          <w:b w:val="0"/>
          <w:bCs/>
          <w:color w:val="auto"/>
          <w:kern w:val="0"/>
          <w:szCs w:val="21"/>
          <w:highlight w:val="none"/>
        </w:rPr>
        <w:t> </w:t>
      </w:r>
    </w:p>
    <w:p>
      <w:pPr>
        <w:pStyle w:val="37"/>
        <w:ind w:firstLine="0" w:firstLineChars="0"/>
        <w:rPr>
          <w:rFonts w:hAnsi="宋体" w:cs="宋体"/>
          <w:b w:val="0"/>
          <w:color w:val="auto"/>
          <w:kern w:val="0"/>
          <w:szCs w:val="21"/>
          <w:highlight w:val="none"/>
        </w:rPr>
      </w:pPr>
      <w:r>
        <w:rPr>
          <w:rFonts w:hint="eastAsia" w:cs="宋体"/>
          <w:b w:val="0"/>
          <w:color w:val="auto"/>
          <w:kern w:val="0"/>
          <w:szCs w:val="21"/>
          <w:highlight w:val="none"/>
        </w:rPr>
        <w:t xml:space="preserve">       方式：</w:t>
      </w:r>
      <w:r>
        <w:rPr>
          <w:rFonts w:hAnsi="宋体" w:cs="宋体"/>
          <w:b w:val="0"/>
          <w:color w:val="auto"/>
          <w:kern w:val="0"/>
          <w:szCs w:val="21"/>
          <w:highlight w:val="none"/>
        </w:rPr>
        <w:t>登录</w:t>
      </w:r>
      <w:r>
        <w:rPr>
          <w:rStyle w:val="76"/>
          <w:rFonts w:hint="eastAsia" w:cs="宋体"/>
          <w:b w:val="0"/>
          <w:color w:val="auto"/>
          <w:szCs w:val="21"/>
          <w:highlight w:val="none"/>
        </w:rPr>
        <w:t>广西政府采购云平台（网址：</w:t>
      </w:r>
      <w:r>
        <w:rPr>
          <w:rStyle w:val="76"/>
          <w:rFonts w:hint="eastAsia" w:cs="宋体"/>
          <w:b w:val="0"/>
          <w:color w:val="auto"/>
          <w:szCs w:val="21"/>
          <w:highlight w:val="none"/>
        </w:rPr>
        <w:fldChar w:fldCharType="begin"/>
      </w:r>
      <w:r>
        <w:rPr>
          <w:rStyle w:val="76"/>
          <w:rFonts w:hint="eastAsia" w:cs="宋体"/>
          <w:b w:val="0"/>
          <w:color w:val="auto"/>
          <w:szCs w:val="21"/>
          <w:highlight w:val="none"/>
        </w:rPr>
        <w:instrText xml:space="preserve"> HYPERLINK "https://www.gcy.zfcg.gxzf.gov.cn）进行报名并获取采购文" </w:instrText>
      </w:r>
      <w:r>
        <w:rPr>
          <w:rStyle w:val="76"/>
          <w:rFonts w:hint="eastAsia" w:cs="宋体"/>
          <w:b w:val="0"/>
          <w:color w:val="auto"/>
          <w:szCs w:val="21"/>
          <w:highlight w:val="none"/>
        </w:rPr>
        <w:fldChar w:fldCharType="separate"/>
      </w:r>
      <w:r>
        <w:rPr>
          <w:rStyle w:val="48"/>
          <w:rFonts w:hint="eastAsia"/>
          <w:b w:val="0"/>
          <w:color w:val="auto"/>
          <w:szCs w:val="21"/>
          <w:highlight w:val="none"/>
        </w:rPr>
        <w:t>https://www.gcy.zfcg.gxzf.gov.cn</w:t>
      </w:r>
      <w:r>
        <w:rPr>
          <w:rStyle w:val="48"/>
          <w:rFonts w:hint="eastAsia"/>
          <w:b w:val="0"/>
          <w:color w:val="auto"/>
          <w:szCs w:val="21"/>
          <w:highlight w:val="none"/>
          <w:u w:val="none"/>
        </w:rPr>
        <w:t>）进行报名并获取采购文</w:t>
      </w:r>
      <w:r>
        <w:rPr>
          <w:rStyle w:val="76"/>
          <w:rFonts w:hint="eastAsia" w:cs="宋体"/>
          <w:b w:val="0"/>
          <w:color w:val="auto"/>
          <w:szCs w:val="21"/>
          <w:highlight w:val="none"/>
        </w:rPr>
        <w:fldChar w:fldCharType="end"/>
      </w:r>
      <w:r>
        <w:rPr>
          <w:rStyle w:val="76"/>
          <w:rFonts w:hint="eastAsia" w:cs="宋体"/>
          <w:b w:val="0"/>
          <w:color w:val="auto"/>
          <w:szCs w:val="21"/>
          <w:highlight w:val="none"/>
        </w:rPr>
        <w:t>件</w:t>
      </w:r>
      <w:r>
        <w:rPr>
          <w:rFonts w:hAnsi="宋体" w:cs="宋体"/>
          <w:b w:val="0"/>
          <w:color w:val="auto"/>
          <w:kern w:val="0"/>
          <w:szCs w:val="21"/>
          <w:highlight w:val="none"/>
        </w:rPr>
        <w:t>；</w:t>
      </w:r>
    </w:p>
    <w:p>
      <w:pPr>
        <w:pStyle w:val="37"/>
        <w:ind w:firstLine="0" w:firstLineChars="0"/>
        <w:rPr>
          <w:rFonts w:hAnsi="宋体" w:cs="宋体"/>
          <w:b w:val="0"/>
          <w:color w:val="auto"/>
          <w:kern w:val="0"/>
          <w:szCs w:val="21"/>
          <w:highlight w:val="none"/>
        </w:rPr>
      </w:pPr>
      <w:r>
        <w:rPr>
          <w:rFonts w:hint="eastAsia" w:hAnsi="宋体" w:cs="宋体"/>
          <w:b w:val="0"/>
          <w:color w:val="auto"/>
          <w:kern w:val="0"/>
          <w:szCs w:val="21"/>
          <w:highlight w:val="none"/>
        </w:rPr>
        <w:t xml:space="preserve">   </w:t>
      </w:r>
      <w:r>
        <w:rPr>
          <w:rFonts w:hAnsi="宋体" w:cs="宋体"/>
          <w:b w:val="0"/>
          <w:color w:val="auto"/>
          <w:kern w:val="0"/>
          <w:szCs w:val="21"/>
          <w:highlight w:val="none"/>
        </w:rPr>
        <w:t>未注册的供应商可在</w:t>
      </w:r>
      <w:r>
        <w:rPr>
          <w:rFonts w:hAnsi="宋体" w:cs="宋体"/>
          <w:b w:val="0"/>
          <w:color w:val="auto"/>
          <w:kern w:val="0"/>
          <w:szCs w:val="21"/>
          <w:highlight w:val="none"/>
          <w:lang w:val="en"/>
        </w:rPr>
        <w:t>广西政府采购云平台</w:t>
      </w:r>
      <w:r>
        <w:rPr>
          <w:rFonts w:hAnsi="宋体" w:cs="宋体"/>
          <w:b w:val="0"/>
          <w:color w:val="auto"/>
          <w:kern w:val="0"/>
          <w:szCs w:val="21"/>
          <w:highlight w:val="none"/>
        </w:rPr>
        <w:t>完成注册后再行报名。如在操作过程中遇到问题或需技术支持，请致</w:t>
      </w:r>
    </w:p>
    <w:p>
      <w:pPr>
        <w:pStyle w:val="37"/>
        <w:ind w:firstLine="0" w:firstLineChars="0"/>
        <w:rPr>
          <w:rFonts w:hint="eastAsia" w:hAnsi="宋体" w:cs="宋体"/>
          <w:b w:val="0"/>
          <w:color w:val="auto"/>
          <w:kern w:val="0"/>
          <w:szCs w:val="21"/>
          <w:highlight w:val="none"/>
        </w:rPr>
      </w:pPr>
      <w:r>
        <w:rPr>
          <w:rFonts w:hint="eastAsia" w:hAnsi="宋体" w:cs="宋体"/>
          <w:b w:val="0"/>
          <w:color w:val="auto"/>
          <w:kern w:val="0"/>
          <w:szCs w:val="21"/>
          <w:highlight w:val="none"/>
        </w:rPr>
        <w:t xml:space="preserve">   </w:t>
      </w:r>
      <w:r>
        <w:rPr>
          <w:rFonts w:hAnsi="宋体" w:cs="宋体"/>
          <w:b w:val="0"/>
          <w:color w:val="auto"/>
          <w:kern w:val="0"/>
          <w:szCs w:val="21"/>
          <w:highlight w:val="none"/>
        </w:rPr>
        <w:t>电政采云客服热线：</w:t>
      </w:r>
      <w:r>
        <w:rPr>
          <w:rFonts w:hAnsi="宋体" w:cs="宋体"/>
          <w:b w:val="0"/>
          <w:color w:val="auto"/>
          <w:kern w:val="0"/>
          <w:szCs w:val="21"/>
          <w:highlight w:val="none"/>
          <w:lang w:val="en"/>
        </w:rPr>
        <w:t>95763</w:t>
      </w:r>
      <w:r>
        <w:rPr>
          <w:rFonts w:hAnsi="宋体" w:cs="宋体"/>
          <w:b w:val="0"/>
          <w:color w:val="auto"/>
          <w:kern w:val="0"/>
          <w:szCs w:val="21"/>
          <w:highlight w:val="none"/>
        </w:rPr>
        <w:t>。</w:t>
      </w:r>
    </w:p>
    <w:p>
      <w:pPr>
        <w:widowControl/>
        <w:spacing w:before="60" w:after="60" w:line="360" w:lineRule="exact"/>
        <w:ind w:firstLine="324"/>
        <w:jc w:val="left"/>
        <w:rPr>
          <w:rFonts w:hint="eastAsia" w:hAnsi="宋体" w:cs="宋体"/>
          <w:color w:val="auto"/>
          <w:kern w:val="0"/>
          <w:szCs w:val="21"/>
          <w:highlight w:val="none"/>
        </w:rPr>
      </w:pPr>
      <w:r>
        <w:rPr>
          <w:rFonts w:hint="eastAsia" w:hAnsi="宋体" w:cs="宋体"/>
          <w:color w:val="auto"/>
          <w:kern w:val="0"/>
          <w:szCs w:val="21"/>
          <w:highlight w:val="none"/>
        </w:rPr>
        <w:t xml:space="preserve">    </w:t>
      </w:r>
      <w:r>
        <w:rPr>
          <w:rFonts w:hAnsi="宋体" w:cs="宋体"/>
          <w:color w:val="auto"/>
          <w:kern w:val="0"/>
          <w:szCs w:val="21"/>
          <w:highlight w:val="none"/>
        </w:rPr>
        <w:t>提示：</w:t>
      </w:r>
      <w:r>
        <w:rPr>
          <w:rFonts w:hint="eastAsia" w:hAnsi="宋体" w:cs="宋体"/>
          <w:color w:val="auto"/>
          <w:kern w:val="0"/>
          <w:szCs w:val="21"/>
          <w:highlight w:val="none"/>
        </w:rPr>
        <w:t>采购</w:t>
      </w:r>
      <w:r>
        <w:rPr>
          <w:rFonts w:hAnsi="宋体" w:cs="宋体"/>
          <w:color w:val="auto"/>
          <w:kern w:val="0"/>
          <w:szCs w:val="21"/>
          <w:highlight w:val="none"/>
        </w:rPr>
        <w:t>公告附件内的</w:t>
      </w:r>
      <w:r>
        <w:rPr>
          <w:rFonts w:hint="eastAsia" w:hAnsi="宋体" w:cs="宋体"/>
          <w:color w:val="auto"/>
          <w:kern w:val="0"/>
          <w:szCs w:val="21"/>
          <w:highlight w:val="none"/>
        </w:rPr>
        <w:t>采购文件</w:t>
      </w:r>
      <w:r>
        <w:rPr>
          <w:rFonts w:hAnsi="宋体" w:cs="宋体"/>
          <w:color w:val="auto"/>
          <w:kern w:val="0"/>
          <w:szCs w:val="21"/>
          <w:highlight w:val="none"/>
        </w:rPr>
        <w:t>仅供阅览使用</w:t>
      </w:r>
      <w:r>
        <w:rPr>
          <w:rFonts w:hint="eastAsia" w:hAnsi="宋体" w:cs="宋体"/>
          <w:color w:val="auto"/>
          <w:kern w:val="0"/>
          <w:szCs w:val="21"/>
          <w:highlight w:val="none"/>
        </w:rPr>
        <w:t>；</w:t>
      </w:r>
      <w:r>
        <w:rPr>
          <w:rFonts w:hAnsi="宋体" w:cs="宋体"/>
          <w:color w:val="auto"/>
          <w:kern w:val="0"/>
          <w:szCs w:val="21"/>
          <w:highlight w:val="none"/>
        </w:rPr>
        <w:t>供应商只有在“</w:t>
      </w:r>
      <w:r>
        <w:rPr>
          <w:rFonts w:hAnsi="宋体" w:cs="宋体"/>
          <w:color w:val="auto"/>
          <w:kern w:val="0"/>
          <w:szCs w:val="21"/>
          <w:highlight w:val="none"/>
          <w:lang w:val="en"/>
        </w:rPr>
        <w:t>广西政府采购云平台</w:t>
      </w:r>
      <w:r>
        <w:rPr>
          <w:rFonts w:hAnsi="宋体" w:cs="宋体"/>
          <w:color w:val="auto"/>
          <w:kern w:val="0"/>
          <w:szCs w:val="21"/>
          <w:highlight w:val="none"/>
        </w:rPr>
        <w:t>”完成获取</w:t>
      </w:r>
      <w:r>
        <w:rPr>
          <w:rFonts w:hint="eastAsia" w:hAnsi="宋体" w:cs="宋体"/>
          <w:color w:val="auto"/>
          <w:kern w:val="0"/>
          <w:szCs w:val="21"/>
          <w:highlight w:val="none"/>
        </w:rPr>
        <w:t>采购文</w:t>
      </w:r>
    </w:p>
    <w:p>
      <w:pPr>
        <w:widowControl/>
        <w:spacing w:before="60" w:after="60" w:line="360" w:lineRule="exact"/>
        <w:ind w:firstLine="324"/>
        <w:jc w:val="left"/>
        <w:rPr>
          <w:rFonts w:hAnsi="宋体" w:cs="宋体"/>
          <w:color w:val="auto"/>
          <w:kern w:val="0"/>
          <w:szCs w:val="21"/>
          <w:highlight w:val="none"/>
        </w:rPr>
      </w:pPr>
      <w:r>
        <w:rPr>
          <w:rFonts w:hint="eastAsia" w:hAnsi="宋体" w:cs="宋体"/>
          <w:color w:val="auto"/>
          <w:kern w:val="0"/>
          <w:szCs w:val="21"/>
          <w:highlight w:val="none"/>
        </w:rPr>
        <w:t>件</w:t>
      </w:r>
      <w:r>
        <w:rPr>
          <w:rFonts w:hAnsi="宋体" w:cs="宋体"/>
          <w:color w:val="auto"/>
          <w:kern w:val="0"/>
          <w:szCs w:val="21"/>
          <w:highlight w:val="none"/>
        </w:rPr>
        <w:t>申请并下载了</w:t>
      </w:r>
      <w:r>
        <w:rPr>
          <w:rFonts w:hint="eastAsia" w:hAnsi="宋体" w:cs="宋体"/>
          <w:color w:val="auto"/>
          <w:kern w:val="0"/>
          <w:szCs w:val="21"/>
          <w:highlight w:val="none"/>
        </w:rPr>
        <w:t>采购文件</w:t>
      </w:r>
      <w:r>
        <w:rPr>
          <w:rFonts w:hAnsi="宋体" w:cs="宋体"/>
          <w:color w:val="auto"/>
          <w:kern w:val="0"/>
          <w:szCs w:val="21"/>
          <w:highlight w:val="none"/>
        </w:rPr>
        <w:t>后才视作依法获取</w:t>
      </w:r>
      <w:r>
        <w:rPr>
          <w:rFonts w:hint="eastAsia" w:hAnsi="宋体" w:cs="宋体"/>
          <w:color w:val="auto"/>
          <w:kern w:val="0"/>
          <w:szCs w:val="21"/>
          <w:highlight w:val="none"/>
        </w:rPr>
        <w:t>采购文件</w:t>
      </w:r>
      <w:r>
        <w:rPr>
          <w:rFonts w:hAnsi="宋体" w:cs="宋体"/>
          <w:color w:val="auto"/>
          <w:kern w:val="0"/>
          <w:szCs w:val="21"/>
          <w:highlight w:val="none"/>
        </w:rPr>
        <w:t>（法律法规所指的供应商获取</w:t>
      </w:r>
      <w:r>
        <w:rPr>
          <w:rFonts w:hint="eastAsia" w:hAnsi="宋体" w:cs="宋体"/>
          <w:color w:val="auto"/>
          <w:kern w:val="0"/>
          <w:szCs w:val="21"/>
          <w:highlight w:val="none"/>
        </w:rPr>
        <w:t>采购文件</w:t>
      </w:r>
      <w:r>
        <w:rPr>
          <w:rFonts w:hAnsi="宋体" w:cs="宋体"/>
          <w:color w:val="auto"/>
          <w:kern w:val="0"/>
          <w:szCs w:val="21"/>
          <w:highlight w:val="none"/>
        </w:rPr>
        <w:t>时间以供应商完成</w:t>
      </w:r>
    </w:p>
    <w:p>
      <w:pPr>
        <w:widowControl/>
        <w:spacing w:before="60" w:after="60" w:line="360" w:lineRule="exact"/>
        <w:ind w:firstLine="324"/>
        <w:jc w:val="left"/>
        <w:rPr>
          <w:rFonts w:hint="eastAsia" w:ascii="仿宋" w:hAnsi="仿宋" w:cs="宋体"/>
          <w:color w:val="auto"/>
          <w:kern w:val="0"/>
          <w:szCs w:val="21"/>
          <w:highlight w:val="none"/>
        </w:rPr>
      </w:pPr>
      <w:r>
        <w:rPr>
          <w:rFonts w:hAnsi="宋体" w:cs="宋体"/>
          <w:color w:val="auto"/>
          <w:kern w:val="0"/>
          <w:szCs w:val="21"/>
          <w:highlight w:val="none"/>
        </w:rPr>
        <w:t>获取</w:t>
      </w:r>
      <w:r>
        <w:rPr>
          <w:rFonts w:hint="eastAsia" w:hAnsi="宋体" w:cs="宋体"/>
          <w:color w:val="auto"/>
          <w:kern w:val="0"/>
          <w:szCs w:val="21"/>
          <w:highlight w:val="none"/>
        </w:rPr>
        <w:t>采购文件</w:t>
      </w:r>
      <w:r>
        <w:rPr>
          <w:rFonts w:hAnsi="宋体" w:cs="宋体"/>
          <w:color w:val="auto"/>
          <w:kern w:val="0"/>
          <w:szCs w:val="21"/>
          <w:highlight w:val="none"/>
        </w:rPr>
        <w:t>申请后下载</w:t>
      </w:r>
      <w:r>
        <w:rPr>
          <w:rFonts w:hint="eastAsia" w:hAnsi="宋体" w:cs="宋体"/>
          <w:color w:val="auto"/>
          <w:kern w:val="0"/>
          <w:szCs w:val="21"/>
          <w:highlight w:val="none"/>
        </w:rPr>
        <w:t>采购文件</w:t>
      </w:r>
      <w:r>
        <w:rPr>
          <w:rFonts w:hAnsi="宋体" w:cs="宋体"/>
          <w:color w:val="auto"/>
          <w:kern w:val="0"/>
          <w:szCs w:val="21"/>
          <w:highlight w:val="none"/>
        </w:rPr>
        <w:t>的时间为准）。</w:t>
      </w:r>
      <w:r>
        <w:rPr>
          <w:rFonts w:hint="eastAsia" w:ascii="仿宋" w:hAnsi="仿宋" w:cs="宋体"/>
          <w:color w:val="auto"/>
          <w:kern w:val="0"/>
          <w:szCs w:val="21"/>
          <w:highlight w:val="none"/>
        </w:rPr>
        <w:t xml:space="preserve"> </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售价（元）：0 </w:t>
      </w:r>
    </w:p>
    <w:p>
      <w:pPr>
        <w:widowControl/>
        <w:spacing w:before="60" w:after="60" w:line="360" w:lineRule="exact"/>
        <w:ind w:firstLine="324"/>
        <w:jc w:val="left"/>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四、响应文件提交</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截止时间：</w:t>
      </w:r>
      <w:r>
        <w:rPr>
          <w:rFonts w:hint="eastAsia" w:ascii="仿宋" w:hAnsi="仿宋" w:cs="宋体"/>
          <w:b/>
          <w:bCs/>
          <w:color w:val="auto"/>
          <w:kern w:val="0"/>
          <w:szCs w:val="21"/>
          <w:highlight w:val="none"/>
        </w:rPr>
        <w:t xml:space="preserve">2025年 </w:t>
      </w:r>
      <w:r>
        <w:rPr>
          <w:rFonts w:hint="eastAsia" w:ascii="仿宋" w:hAnsi="仿宋" w:cs="宋体"/>
          <w:b/>
          <w:bCs/>
          <w:color w:val="auto"/>
          <w:kern w:val="0"/>
          <w:szCs w:val="21"/>
          <w:highlight w:val="none"/>
          <w:lang w:val="en-US" w:eastAsia="zh-CN"/>
        </w:rPr>
        <w:t>12</w:t>
      </w:r>
      <w:r>
        <w:rPr>
          <w:rFonts w:hint="eastAsia" w:ascii="仿宋" w:hAnsi="仿宋" w:cs="宋体"/>
          <w:b/>
          <w:bCs/>
          <w:color w:val="auto"/>
          <w:kern w:val="0"/>
          <w:szCs w:val="21"/>
          <w:highlight w:val="none"/>
        </w:rPr>
        <w:t>月</w:t>
      </w:r>
      <w:r>
        <w:rPr>
          <w:rFonts w:hint="default" w:ascii="仿宋" w:hAnsi="仿宋" w:cs="宋体"/>
          <w:b/>
          <w:bCs/>
          <w:color w:val="auto"/>
          <w:kern w:val="0"/>
          <w:szCs w:val="21"/>
          <w:highlight w:val="none"/>
          <w:lang w:val="en" w:eastAsia="zh-CN"/>
        </w:rPr>
        <w:t>24</w:t>
      </w:r>
      <w:r>
        <w:rPr>
          <w:rFonts w:hint="eastAsia" w:ascii="仿宋" w:hAnsi="仿宋" w:cs="宋体"/>
          <w:b/>
          <w:bCs/>
          <w:color w:val="auto"/>
          <w:kern w:val="0"/>
          <w:szCs w:val="21"/>
          <w:highlight w:val="none"/>
        </w:rPr>
        <w:t>日 10:00（北京时间）</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w:t>
      </w:r>
      <w:r>
        <w:rPr>
          <w:rFonts w:hint="eastAsia" w:cs="宋体"/>
          <w:color w:val="auto"/>
          <w:kern w:val="0"/>
          <w:szCs w:val="21"/>
          <w:highlight w:val="none"/>
        </w:rPr>
        <w:t>地点（网址）：请登录广西政府采购云平台投标客户端投标</w:t>
      </w:r>
    </w:p>
    <w:p>
      <w:pPr>
        <w:widowControl/>
        <w:spacing w:before="60" w:after="60" w:line="360" w:lineRule="exact"/>
        <w:ind w:firstLine="324"/>
        <w:jc w:val="left"/>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 xml:space="preserve">五、响应文件开启 </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开启时间：</w:t>
      </w:r>
      <w:r>
        <w:rPr>
          <w:rFonts w:hint="eastAsia" w:ascii="仿宋" w:hAnsi="仿宋" w:cs="宋体"/>
          <w:b/>
          <w:bCs/>
          <w:color w:val="auto"/>
          <w:kern w:val="0"/>
          <w:szCs w:val="21"/>
          <w:highlight w:val="none"/>
        </w:rPr>
        <w:t>2025年</w:t>
      </w:r>
      <w:r>
        <w:rPr>
          <w:rFonts w:hint="eastAsia" w:ascii="仿宋" w:hAnsi="仿宋" w:cs="宋体"/>
          <w:b/>
          <w:bCs/>
          <w:color w:val="auto"/>
          <w:kern w:val="0"/>
          <w:szCs w:val="21"/>
          <w:highlight w:val="none"/>
          <w:lang w:val="en-US" w:eastAsia="zh-CN"/>
        </w:rPr>
        <w:t>12</w:t>
      </w:r>
      <w:r>
        <w:rPr>
          <w:rFonts w:hint="eastAsia" w:ascii="仿宋" w:hAnsi="仿宋" w:cs="宋体"/>
          <w:b/>
          <w:bCs/>
          <w:color w:val="auto"/>
          <w:kern w:val="0"/>
          <w:szCs w:val="21"/>
          <w:highlight w:val="none"/>
        </w:rPr>
        <w:t>月</w:t>
      </w:r>
      <w:r>
        <w:rPr>
          <w:rFonts w:hint="default" w:ascii="仿宋" w:hAnsi="仿宋" w:cs="宋体"/>
          <w:b/>
          <w:bCs/>
          <w:color w:val="auto"/>
          <w:kern w:val="0"/>
          <w:szCs w:val="21"/>
          <w:highlight w:val="none"/>
          <w:lang w:val="en"/>
        </w:rPr>
        <w:t>24</w:t>
      </w:r>
      <w:r>
        <w:rPr>
          <w:rFonts w:hint="default" w:ascii="仿宋" w:hAnsi="仿宋" w:cs="宋体"/>
          <w:b/>
          <w:bCs/>
          <w:color w:val="auto"/>
          <w:kern w:val="0"/>
          <w:szCs w:val="21"/>
          <w:highlight w:val="none"/>
          <w:lang w:val="en" w:eastAsia="zh-CN"/>
        </w:rPr>
        <w:t xml:space="preserve"> </w:t>
      </w:r>
      <w:r>
        <w:rPr>
          <w:rFonts w:hint="eastAsia" w:ascii="仿宋" w:hAnsi="仿宋" w:cs="宋体"/>
          <w:b/>
          <w:bCs/>
          <w:color w:val="auto"/>
          <w:kern w:val="0"/>
          <w:szCs w:val="21"/>
          <w:highlight w:val="none"/>
        </w:rPr>
        <w:t>日 10:00（北京时间）</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w:t>
      </w:r>
      <w:r>
        <w:rPr>
          <w:rFonts w:hint="eastAsia" w:cs="宋体"/>
          <w:color w:val="auto"/>
          <w:kern w:val="0"/>
          <w:szCs w:val="21"/>
          <w:highlight w:val="none"/>
        </w:rPr>
        <w:t>地点：广西壮族自治区南宁市青秀区广西政府采购云平台开标大厅</w:t>
      </w:r>
      <w:bookmarkStart w:id="56" w:name="_GoBack"/>
      <w:bookmarkEnd w:id="56"/>
      <w:r>
        <w:rPr>
          <w:rFonts w:hint="eastAsia" w:ascii="仿宋" w:hAnsi="仿宋" w:cs="宋体"/>
          <w:color w:val="auto"/>
          <w:kern w:val="0"/>
          <w:szCs w:val="21"/>
          <w:highlight w:val="none"/>
        </w:rPr>
        <w:t xml:space="preserve"> </w:t>
      </w:r>
    </w:p>
    <w:p>
      <w:pPr>
        <w:widowControl/>
        <w:spacing w:before="60" w:after="60" w:line="360" w:lineRule="exact"/>
        <w:ind w:firstLine="324"/>
        <w:jc w:val="left"/>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 xml:space="preserve">六、公告期限 </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自本公告发布之日起3个工作日。</w:t>
      </w:r>
    </w:p>
    <w:p>
      <w:pPr>
        <w:widowControl/>
        <w:spacing w:before="60" w:after="60" w:line="360" w:lineRule="exact"/>
        <w:ind w:firstLine="324"/>
        <w:jc w:val="left"/>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 xml:space="preserve">七、其他补充事宜 </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1.</w:t>
      </w:r>
      <w:r>
        <w:rPr>
          <w:rFonts w:hint="eastAsia" w:ascii="仿宋" w:hAnsi="仿宋" w:cs="宋体"/>
          <w:b/>
          <w:bCs/>
          <w:color w:val="auto"/>
          <w:kern w:val="0"/>
          <w:szCs w:val="21"/>
          <w:highlight w:val="none"/>
        </w:rPr>
        <w:t>竞标保证金（人民币）：</w:t>
      </w:r>
      <w:r>
        <w:rPr>
          <w:rFonts w:hint="default" w:ascii="仿宋" w:hAnsi="仿宋" w:cs="宋体"/>
          <w:b/>
          <w:bCs/>
          <w:color w:val="auto"/>
          <w:kern w:val="0"/>
          <w:szCs w:val="21"/>
          <w:highlight w:val="none"/>
          <w:u w:val="single"/>
          <w:lang w:val="en"/>
        </w:rPr>
        <w:t xml:space="preserve">  </w:t>
      </w:r>
      <w:r>
        <w:rPr>
          <w:rFonts w:hint="eastAsia" w:ascii="仿宋" w:hAnsi="仿宋" w:cs="宋体"/>
          <w:b/>
          <w:bCs/>
          <w:color w:val="auto"/>
          <w:kern w:val="0"/>
          <w:szCs w:val="21"/>
          <w:highlight w:val="none"/>
          <w:u w:val="single"/>
          <w:lang w:val="en-US" w:eastAsia="zh-CN"/>
        </w:rPr>
        <w:t>0.4</w:t>
      </w:r>
      <w:r>
        <w:rPr>
          <w:rFonts w:hint="default" w:ascii="仿宋" w:hAnsi="仿宋" w:cs="宋体"/>
          <w:b/>
          <w:bCs/>
          <w:color w:val="auto"/>
          <w:kern w:val="0"/>
          <w:szCs w:val="21"/>
          <w:highlight w:val="none"/>
          <w:u w:val="single"/>
          <w:lang w:val="en"/>
        </w:rPr>
        <w:t xml:space="preserve"> </w:t>
      </w:r>
      <w:r>
        <w:rPr>
          <w:rFonts w:hint="eastAsia" w:ascii="仿宋" w:hAnsi="仿宋" w:cs="宋体"/>
          <w:b/>
          <w:bCs/>
          <w:color w:val="auto"/>
          <w:kern w:val="0"/>
          <w:szCs w:val="21"/>
          <w:highlight w:val="none"/>
          <w:u w:val="single"/>
        </w:rPr>
        <w:t xml:space="preserve"> </w:t>
      </w:r>
      <w:r>
        <w:rPr>
          <w:rFonts w:hint="eastAsia" w:ascii="仿宋" w:hAnsi="仿宋" w:cs="宋体"/>
          <w:b/>
          <w:bCs/>
          <w:color w:val="auto"/>
          <w:kern w:val="0"/>
          <w:szCs w:val="21"/>
          <w:highlight w:val="none"/>
        </w:rPr>
        <w:t xml:space="preserve">万元。 (必须足额交纳) </w:t>
      </w:r>
    </w:p>
    <w:p>
      <w:pPr>
        <w:widowControl/>
        <w:spacing w:before="60" w:after="60" w:line="360" w:lineRule="exact"/>
        <w:ind w:firstLine="324"/>
        <w:jc w:val="left"/>
        <w:rPr>
          <w:rFonts w:hint="eastAsia" w:ascii="仿宋" w:hAnsi="仿宋" w:cs="宋体"/>
          <w:color w:val="auto"/>
          <w:kern w:val="0"/>
          <w:szCs w:val="21"/>
          <w:highlight w:val="none"/>
        </w:rPr>
      </w:pPr>
      <w:r>
        <w:rPr>
          <w:rFonts w:hint="default" w:ascii="仿宋" w:hAnsi="仿宋" w:cs="宋体"/>
          <w:color w:val="auto"/>
          <w:kern w:val="0"/>
          <w:szCs w:val="21"/>
          <w:highlight w:val="none"/>
          <w:lang w:val="en"/>
        </w:rPr>
        <w:t xml:space="preserve">   </w:t>
      </w:r>
      <w:r>
        <w:rPr>
          <w:rFonts w:hint="eastAsia" w:ascii="仿宋" w:hAnsi="仿宋" w:cs="宋体"/>
          <w:color w:val="auto"/>
          <w:kern w:val="0"/>
          <w:szCs w:val="21"/>
          <w:highlight w:val="none"/>
        </w:rPr>
        <w:t xml:space="preserve">（1）竞标保证金交纳形式：支票、汇票、本票、网上银行或者金融机构、担保机构出具的保函等非现金形 </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式。 </w:t>
      </w:r>
    </w:p>
    <w:p>
      <w:pPr>
        <w:widowControl/>
        <w:spacing w:before="60" w:after="60" w:line="360" w:lineRule="exact"/>
        <w:ind w:firstLine="324"/>
        <w:jc w:val="left"/>
        <w:rPr>
          <w:rFonts w:hint="eastAsia" w:ascii="仿宋" w:hAnsi="仿宋" w:cs="宋体"/>
          <w:color w:val="auto"/>
          <w:kern w:val="0"/>
          <w:szCs w:val="21"/>
          <w:highlight w:val="none"/>
        </w:rPr>
      </w:pPr>
      <w:r>
        <w:rPr>
          <w:rFonts w:hint="default" w:ascii="仿宋" w:hAnsi="仿宋" w:cs="宋体"/>
          <w:color w:val="auto"/>
          <w:kern w:val="0"/>
          <w:szCs w:val="21"/>
          <w:highlight w:val="none"/>
          <w:lang w:val="en"/>
        </w:rPr>
        <w:t xml:space="preserve">   </w:t>
      </w:r>
      <w:r>
        <w:rPr>
          <w:rFonts w:hint="eastAsia" w:ascii="仿宋" w:hAnsi="仿宋" w:cs="宋体"/>
          <w:color w:val="auto"/>
          <w:kern w:val="0"/>
          <w:szCs w:val="21"/>
          <w:highlight w:val="none"/>
        </w:rPr>
        <w:t xml:space="preserve">（2）采用网上银行转账形式的，供应商应于提交响应文件截止时间前将竞标保证金交至以下账户。 </w:t>
      </w:r>
    </w:p>
    <w:p>
      <w:pPr>
        <w:widowControl/>
        <w:spacing w:before="60" w:after="60" w:line="360" w:lineRule="exact"/>
        <w:ind w:firstLine="324"/>
        <w:jc w:val="left"/>
        <w:rPr>
          <w:rFonts w:hint="eastAsia" w:ascii="仿宋" w:hAnsi="仿宋" w:cs="宋体"/>
          <w:color w:val="auto"/>
          <w:kern w:val="0"/>
          <w:szCs w:val="21"/>
          <w:highlight w:val="none"/>
        </w:rPr>
      </w:pPr>
      <w:r>
        <w:rPr>
          <w:rFonts w:hint="default" w:ascii="仿宋" w:hAnsi="仿宋" w:cs="宋体"/>
          <w:color w:val="auto"/>
          <w:kern w:val="0"/>
          <w:szCs w:val="21"/>
          <w:highlight w:val="none"/>
          <w:lang w:val="en"/>
        </w:rPr>
        <w:t xml:space="preserve">     </w:t>
      </w:r>
      <w:r>
        <w:rPr>
          <w:rFonts w:hint="eastAsia" w:ascii="仿宋" w:hAnsi="仿宋" w:cs="宋体"/>
          <w:color w:val="auto"/>
          <w:kern w:val="0"/>
          <w:szCs w:val="21"/>
          <w:highlight w:val="none"/>
        </w:rPr>
        <w:t xml:space="preserve">开户名称：广西壮族自治区政府采购中心 </w:t>
      </w:r>
    </w:p>
    <w:p>
      <w:pPr>
        <w:widowControl/>
        <w:spacing w:before="60" w:after="60" w:line="360" w:lineRule="exact"/>
        <w:ind w:firstLine="324"/>
        <w:jc w:val="left"/>
        <w:rPr>
          <w:rFonts w:hint="eastAsia" w:ascii="仿宋" w:hAnsi="仿宋" w:cs="宋体"/>
          <w:color w:val="auto"/>
          <w:kern w:val="0"/>
          <w:szCs w:val="21"/>
          <w:highlight w:val="none"/>
        </w:rPr>
      </w:pPr>
      <w:r>
        <w:rPr>
          <w:rFonts w:hint="default" w:ascii="仿宋" w:hAnsi="仿宋" w:cs="宋体"/>
          <w:color w:val="auto"/>
          <w:kern w:val="0"/>
          <w:szCs w:val="21"/>
          <w:highlight w:val="none"/>
          <w:lang w:val="en"/>
        </w:rPr>
        <w:t xml:space="preserve">     </w:t>
      </w:r>
      <w:r>
        <w:rPr>
          <w:rFonts w:hint="eastAsia" w:ascii="仿宋" w:hAnsi="仿宋" w:cs="宋体"/>
          <w:color w:val="auto"/>
          <w:kern w:val="0"/>
          <w:szCs w:val="21"/>
          <w:highlight w:val="none"/>
        </w:rPr>
        <w:t xml:space="preserve">开户银行：中国农业银行股份有限公司南宁市古城支行 </w:t>
      </w:r>
    </w:p>
    <w:p>
      <w:pPr>
        <w:widowControl/>
        <w:spacing w:before="60" w:after="60" w:line="360" w:lineRule="exact"/>
        <w:ind w:firstLine="324"/>
        <w:jc w:val="left"/>
        <w:rPr>
          <w:rFonts w:hint="eastAsia" w:ascii="仿宋" w:hAnsi="仿宋" w:cs="宋体"/>
          <w:color w:val="auto"/>
          <w:kern w:val="0"/>
          <w:szCs w:val="21"/>
          <w:highlight w:val="none"/>
        </w:rPr>
      </w:pPr>
      <w:r>
        <w:rPr>
          <w:rFonts w:hint="default" w:ascii="仿宋" w:hAnsi="仿宋" w:cs="宋体"/>
          <w:color w:val="auto"/>
          <w:kern w:val="0"/>
          <w:szCs w:val="21"/>
          <w:highlight w:val="none"/>
          <w:lang w:val="en"/>
        </w:rPr>
        <w:t xml:space="preserve">     </w:t>
      </w:r>
      <w:r>
        <w:rPr>
          <w:rFonts w:hint="eastAsia" w:ascii="仿宋" w:hAnsi="仿宋" w:cs="宋体"/>
          <w:color w:val="auto"/>
          <w:kern w:val="0"/>
          <w:szCs w:val="21"/>
          <w:highlight w:val="none"/>
        </w:rPr>
        <w:t xml:space="preserve">银行账号：20009101040051648  </w:t>
      </w:r>
    </w:p>
    <w:p>
      <w:pPr>
        <w:widowControl/>
        <w:spacing w:before="60" w:after="60" w:line="360" w:lineRule="exact"/>
        <w:ind w:firstLine="324"/>
        <w:jc w:val="left"/>
        <w:rPr>
          <w:rFonts w:hint="eastAsia" w:ascii="仿宋" w:hAnsi="仿宋" w:cs="宋体"/>
          <w:color w:val="auto"/>
          <w:kern w:val="0"/>
          <w:szCs w:val="21"/>
          <w:highlight w:val="none"/>
        </w:rPr>
      </w:pPr>
      <w:r>
        <w:rPr>
          <w:rFonts w:hint="default" w:ascii="仿宋" w:hAnsi="仿宋" w:cs="宋体"/>
          <w:color w:val="auto"/>
          <w:kern w:val="0"/>
          <w:szCs w:val="21"/>
          <w:highlight w:val="none"/>
          <w:lang w:val="en"/>
        </w:rPr>
        <w:t xml:space="preserve">   </w:t>
      </w:r>
      <w:r>
        <w:rPr>
          <w:rFonts w:hint="eastAsia" w:ascii="仿宋" w:hAnsi="仿宋" w:cs="宋体"/>
          <w:color w:val="auto"/>
          <w:kern w:val="0"/>
          <w:szCs w:val="21"/>
          <w:highlight w:val="none"/>
        </w:rPr>
        <w:t>（3）采用支票、汇票、本票或者保函等形式的，</w:t>
      </w:r>
      <w:r>
        <w:rPr>
          <w:rFonts w:hint="eastAsia" w:ascii="仿宋" w:hAnsi="仿宋" w:cs="宋体"/>
          <w:color w:val="auto"/>
          <w:kern w:val="0"/>
          <w:szCs w:val="21"/>
          <w:highlight w:val="none"/>
          <w:lang w:eastAsia="zh-CN"/>
        </w:rPr>
        <w:t>竞标</w:t>
      </w:r>
      <w:r>
        <w:rPr>
          <w:rFonts w:hint="eastAsia" w:ascii="仿宋" w:hAnsi="仿宋" w:cs="宋体"/>
          <w:color w:val="auto"/>
          <w:kern w:val="0"/>
          <w:szCs w:val="21"/>
          <w:highlight w:val="none"/>
        </w:rPr>
        <w:t>人应于提交</w:t>
      </w:r>
      <w:r>
        <w:rPr>
          <w:rFonts w:hint="eastAsia" w:ascii="仿宋" w:hAnsi="仿宋" w:cs="宋体"/>
          <w:color w:val="auto"/>
          <w:kern w:val="0"/>
          <w:szCs w:val="21"/>
          <w:highlight w:val="none"/>
          <w:lang w:eastAsia="zh-CN"/>
        </w:rPr>
        <w:t>竞标</w:t>
      </w:r>
      <w:r>
        <w:rPr>
          <w:rFonts w:hint="eastAsia" w:ascii="仿宋" w:hAnsi="仿宋" w:cs="宋体"/>
          <w:color w:val="auto"/>
          <w:kern w:val="0"/>
          <w:szCs w:val="21"/>
          <w:highlight w:val="none"/>
        </w:rPr>
        <w:t>文件截止时间前递交单独密封的支票、汇票、本票或者保函（电子保函除外）原件至我中心财务处。</w:t>
      </w:r>
    </w:p>
    <w:p>
      <w:pPr>
        <w:widowControl/>
        <w:spacing w:before="60" w:after="60" w:line="360" w:lineRule="exact"/>
        <w:ind w:firstLine="324"/>
        <w:jc w:val="left"/>
        <w:rPr>
          <w:rFonts w:hint="eastAsia" w:ascii="仿宋" w:hAnsi="仿宋" w:cs="宋体"/>
          <w:color w:val="auto"/>
          <w:kern w:val="0"/>
          <w:szCs w:val="21"/>
          <w:highlight w:val="none"/>
        </w:rPr>
      </w:pPr>
      <w:r>
        <w:rPr>
          <w:rFonts w:hint="default" w:ascii="仿宋" w:hAnsi="仿宋" w:cs="宋体"/>
          <w:color w:val="auto"/>
          <w:kern w:val="0"/>
          <w:szCs w:val="21"/>
          <w:highlight w:val="none"/>
          <w:lang w:val="en"/>
        </w:rPr>
        <w:t xml:space="preserve">   </w:t>
      </w:r>
      <w:r>
        <w:rPr>
          <w:rFonts w:hint="eastAsia" w:ascii="仿宋" w:hAnsi="仿宋" w:cs="宋体"/>
          <w:color w:val="auto"/>
          <w:kern w:val="0"/>
          <w:szCs w:val="21"/>
          <w:highlight w:val="none"/>
        </w:rPr>
        <w:t>（4）本中心财务处联系方式：地址：广西南宁市星湖路22号广西壮族自治区政府采购中心综合楼3楼306</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室；电话：0771-8600309。</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2.本项目需要落实的政府采购政策：政府采购促进中小企业发展；政府采购支持采用本国产品的政策；强</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制采购节能产品；优先采购节能产品、环境标志产品；政府采购促进残疾人就业政策；政府采购支持监狱企业</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发展；政府采购扶持不发达地区和少数民族地区等。</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3.网上公告媒体查询：中国政府采购网（www.ccgp.gov.cn）、广西壮族自治区政府采购网</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（zfcg.gxzf.gov.cn）、广西壮族自治区公共资源交易中心网站（gxggzy.gxzf.gov.cn）。</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    4.其他注意事项：</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（1）本项目实行电子投标，供应商应按照本项目招标文件和广西政府采购云平台的要求编制、加密并提交投</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标文件。供应商在使用系统参与投标过程中遇到涉及平台使用的任何问题，可致电广西政府采购云平台技术支</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持热线咨询，联系方式：95763。</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（2）供应商应及时熟悉掌握电子标系统操作指南（见政采云电子卖场首页右上角—服务中心—帮助文档—项</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目采购）：https://helpcenter.zcygov.cn/document/#/document/dashboard?siteCode=gx。</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（3）供应商应及时完成CA申领和绑定（见广西壮族自治区政府采购网—办事服务—下载专区-政采云CA证书</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办理操作指南）。</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（4）供应商通过政采云投标客户端软件制作投标文件，政采云投标客户端软件请供应商自行前往下载并安装</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（见广西壮族自治区政府采购网—办事服务—下载专区-广西壮族自治区全流程电子招投标项目管理系统--供</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应商客户端）。</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（5）因未注册入库、未办理CA数字证书、CA证书故障、操作不当等原因造成无法投标或投标失败等后果由供</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应商自行承担。</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（6）投标文件网上提交截止后，政采云（电子标系统）自动提取所有投标文件，各供应商须在开标开始后30</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分钟内对上传政采云的投标文件进行解密，所有供应商在规定的解密时限内解密完成或解密时限结束后，本中</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心开启投标文件；供应商超过解密时限未完成解密的，系统默认其自动放弃。  </w:t>
      </w:r>
    </w:p>
    <w:p>
      <w:pPr>
        <w:widowControl/>
        <w:spacing w:before="60" w:after="60" w:line="360" w:lineRule="exact"/>
        <w:ind w:firstLine="324"/>
        <w:jc w:val="left"/>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八、凡对本次招标提出询问，请按以下方式联系</w:t>
      </w:r>
    </w:p>
    <w:p>
      <w:pPr>
        <w:pStyle w:val="37"/>
        <w:ind w:firstLine="422"/>
        <w:rPr>
          <w:rFonts w:hint="eastAsia" w:cs="宋体"/>
          <w:b w:val="0"/>
          <w:color w:val="auto"/>
          <w:kern w:val="0"/>
          <w:szCs w:val="21"/>
          <w:highlight w:val="none"/>
        </w:rPr>
      </w:pPr>
      <w:r>
        <w:rPr>
          <w:rFonts w:hint="eastAsia" w:ascii="仿宋" w:hAnsi="仿宋" w:cs="宋体"/>
          <w:color w:val="auto"/>
          <w:kern w:val="0"/>
          <w:szCs w:val="21"/>
          <w:highlight w:val="none"/>
        </w:rPr>
        <w:t xml:space="preserve">    </w:t>
      </w:r>
      <w:r>
        <w:rPr>
          <w:rFonts w:hint="eastAsia" w:cs="宋体"/>
          <w:b w:val="0"/>
          <w:color w:val="auto"/>
          <w:kern w:val="0"/>
          <w:szCs w:val="21"/>
          <w:highlight w:val="none"/>
        </w:rPr>
        <w:t>1.采购人信息</w:t>
      </w:r>
    </w:p>
    <w:p>
      <w:pPr>
        <w:pStyle w:val="37"/>
        <w:rPr>
          <w:rFonts w:hint="default" w:cs="宋体"/>
          <w:b w:val="0"/>
          <w:color w:val="auto"/>
          <w:kern w:val="0"/>
          <w:szCs w:val="21"/>
          <w:highlight w:val="none"/>
          <w:lang w:val="en"/>
        </w:rPr>
      </w:pPr>
      <w:r>
        <w:rPr>
          <w:rFonts w:hint="eastAsia" w:cs="宋体"/>
          <w:b w:val="0"/>
          <w:color w:val="auto"/>
          <w:kern w:val="0"/>
          <w:szCs w:val="21"/>
          <w:highlight w:val="none"/>
        </w:rPr>
        <w:t xml:space="preserve">      名   称：</w:t>
      </w:r>
      <w:r>
        <w:rPr>
          <w:rFonts w:hint="eastAsia" w:cs="宋体"/>
          <w:b w:val="0"/>
          <w:color w:val="auto"/>
          <w:kern w:val="0"/>
          <w:szCs w:val="21"/>
          <w:highlight w:val="none"/>
          <w:lang w:val="en-US" w:eastAsia="zh-CN"/>
        </w:rPr>
        <w:t>广西艺术学院</w:t>
      </w:r>
      <w:r>
        <w:rPr>
          <w:rFonts w:hint="default" w:cs="宋体"/>
          <w:b w:val="0"/>
          <w:color w:val="auto"/>
          <w:kern w:val="0"/>
          <w:szCs w:val="21"/>
          <w:highlight w:val="none"/>
          <w:lang w:val="en"/>
        </w:rPr>
        <w:t xml:space="preserve"> </w:t>
      </w:r>
    </w:p>
    <w:p>
      <w:pPr>
        <w:pStyle w:val="37"/>
        <w:rPr>
          <w:rFonts w:hint="default" w:cs="宋体"/>
          <w:b w:val="0"/>
          <w:color w:val="auto"/>
          <w:kern w:val="0"/>
          <w:szCs w:val="21"/>
          <w:highlight w:val="none"/>
          <w:lang w:val="en"/>
        </w:rPr>
      </w:pPr>
      <w:r>
        <w:rPr>
          <w:rFonts w:hint="eastAsia" w:cs="宋体"/>
          <w:b w:val="0"/>
          <w:color w:val="auto"/>
          <w:kern w:val="0"/>
          <w:szCs w:val="21"/>
          <w:highlight w:val="none"/>
        </w:rPr>
        <w:t xml:space="preserve">      地   址：广西</w:t>
      </w:r>
      <w:r>
        <w:rPr>
          <w:rFonts w:hint="eastAsia" w:cs="宋体"/>
          <w:b w:val="0"/>
          <w:color w:val="auto"/>
          <w:kern w:val="0"/>
          <w:szCs w:val="21"/>
          <w:highlight w:val="none"/>
          <w:lang w:val="en-US" w:eastAsia="zh-CN"/>
        </w:rPr>
        <w:t>南宁市教育路7号</w:t>
      </w:r>
      <w:r>
        <w:rPr>
          <w:rFonts w:hint="default" w:cs="宋体"/>
          <w:b w:val="0"/>
          <w:color w:val="auto"/>
          <w:kern w:val="0"/>
          <w:szCs w:val="21"/>
          <w:highlight w:val="none"/>
          <w:lang w:val="en"/>
        </w:rPr>
        <w:t xml:space="preserve"> </w:t>
      </w:r>
    </w:p>
    <w:p>
      <w:pPr>
        <w:pStyle w:val="37"/>
        <w:rPr>
          <w:rFonts w:hint="default" w:cs="宋体"/>
          <w:b w:val="0"/>
          <w:color w:val="auto"/>
          <w:kern w:val="0"/>
          <w:szCs w:val="21"/>
          <w:highlight w:val="none"/>
          <w:lang w:val="en"/>
        </w:rPr>
      </w:pPr>
      <w:r>
        <w:rPr>
          <w:rFonts w:hint="eastAsia" w:cs="宋体"/>
          <w:b w:val="0"/>
          <w:color w:val="auto"/>
          <w:kern w:val="0"/>
          <w:szCs w:val="21"/>
          <w:highlight w:val="none"/>
        </w:rPr>
        <w:t xml:space="preserve">      项目联系人：</w:t>
      </w:r>
      <w:r>
        <w:rPr>
          <w:rFonts w:hint="eastAsia" w:cs="宋体"/>
          <w:b w:val="0"/>
          <w:color w:val="auto"/>
          <w:kern w:val="0"/>
          <w:szCs w:val="21"/>
          <w:highlight w:val="none"/>
          <w:lang w:val="en-US" w:eastAsia="zh-CN"/>
        </w:rPr>
        <w:t>傅老师</w:t>
      </w:r>
      <w:r>
        <w:rPr>
          <w:rFonts w:hint="default" w:cs="宋体"/>
          <w:b w:val="0"/>
          <w:color w:val="auto"/>
          <w:kern w:val="0"/>
          <w:szCs w:val="21"/>
          <w:highlight w:val="none"/>
          <w:lang w:val="en"/>
        </w:rPr>
        <w:t xml:space="preserve"> </w:t>
      </w:r>
    </w:p>
    <w:p>
      <w:pPr>
        <w:pStyle w:val="37"/>
        <w:ind w:firstLine="0" w:firstLineChars="0"/>
        <w:rPr>
          <w:rFonts w:hint="default" w:cs="宋体"/>
          <w:b w:val="0"/>
          <w:color w:val="auto"/>
          <w:kern w:val="0"/>
          <w:szCs w:val="21"/>
          <w:highlight w:val="none"/>
          <w:lang w:val="en"/>
        </w:rPr>
      </w:pPr>
      <w:r>
        <w:rPr>
          <w:rFonts w:hint="eastAsia" w:cs="宋体"/>
          <w:b w:val="0"/>
          <w:color w:val="auto"/>
          <w:kern w:val="0"/>
          <w:szCs w:val="21"/>
          <w:highlight w:val="none"/>
        </w:rPr>
        <w:t xml:space="preserve">          项目联系方式：</w:t>
      </w:r>
      <w:r>
        <w:rPr>
          <w:rFonts w:hint="eastAsia" w:cs="宋体"/>
          <w:b w:val="0"/>
          <w:color w:val="auto"/>
          <w:kern w:val="0"/>
          <w:szCs w:val="21"/>
          <w:highlight w:val="none"/>
          <w:lang w:val="en-US" w:eastAsia="zh-CN"/>
        </w:rPr>
        <w:t>0771-5317987</w:t>
      </w:r>
      <w:r>
        <w:rPr>
          <w:rFonts w:hint="default" w:cs="宋体"/>
          <w:b w:val="0"/>
          <w:color w:val="auto"/>
          <w:kern w:val="0"/>
          <w:szCs w:val="21"/>
          <w:highlight w:val="none"/>
          <w:lang w:val="en"/>
        </w:rPr>
        <w:t xml:space="preserve"> </w:t>
      </w:r>
    </w:p>
    <w:p>
      <w:pPr>
        <w:pStyle w:val="37"/>
        <w:rPr>
          <w:rFonts w:hint="eastAsia" w:cs="宋体"/>
          <w:b w:val="0"/>
          <w:color w:val="auto"/>
          <w:kern w:val="0"/>
          <w:szCs w:val="21"/>
          <w:highlight w:val="none"/>
        </w:rPr>
      </w:pPr>
      <w:r>
        <w:rPr>
          <w:rFonts w:hint="eastAsia" w:cs="宋体"/>
          <w:b w:val="0"/>
          <w:color w:val="auto"/>
          <w:kern w:val="0"/>
          <w:szCs w:val="21"/>
          <w:highlight w:val="none"/>
        </w:rPr>
        <w:t xml:space="preserve">    2.采购代理机构信息</w:t>
      </w:r>
    </w:p>
    <w:p>
      <w:pPr>
        <w:pStyle w:val="37"/>
        <w:rPr>
          <w:rFonts w:hint="eastAsia" w:cs="宋体"/>
          <w:b w:val="0"/>
          <w:color w:val="auto"/>
          <w:kern w:val="0"/>
          <w:szCs w:val="21"/>
          <w:highlight w:val="none"/>
        </w:rPr>
      </w:pPr>
      <w:r>
        <w:rPr>
          <w:rFonts w:hint="eastAsia" w:cs="宋体"/>
          <w:b w:val="0"/>
          <w:color w:val="auto"/>
          <w:kern w:val="0"/>
          <w:szCs w:val="21"/>
          <w:highlight w:val="none"/>
        </w:rPr>
        <w:t xml:space="preserve">      名   称：广西壮族自治区政府采购中心 </w:t>
      </w:r>
    </w:p>
    <w:p>
      <w:pPr>
        <w:pStyle w:val="37"/>
        <w:rPr>
          <w:rFonts w:hint="eastAsia" w:cs="宋体"/>
          <w:b w:val="0"/>
          <w:color w:val="auto"/>
          <w:kern w:val="0"/>
          <w:szCs w:val="21"/>
          <w:highlight w:val="none"/>
        </w:rPr>
      </w:pPr>
      <w:r>
        <w:rPr>
          <w:rFonts w:hint="eastAsia" w:cs="宋体"/>
          <w:b w:val="0"/>
          <w:color w:val="auto"/>
          <w:kern w:val="0"/>
          <w:szCs w:val="21"/>
          <w:highlight w:val="none"/>
        </w:rPr>
        <w:t>      地   址：广西南宁市星湖路22号 </w:t>
      </w:r>
    </w:p>
    <w:p>
      <w:pPr>
        <w:pStyle w:val="37"/>
        <w:rPr>
          <w:rFonts w:hint="eastAsia" w:cs="宋体"/>
          <w:b w:val="0"/>
          <w:color w:val="auto"/>
          <w:kern w:val="0"/>
          <w:szCs w:val="21"/>
          <w:highlight w:val="none"/>
        </w:rPr>
      </w:pPr>
      <w:r>
        <w:rPr>
          <w:rFonts w:hint="eastAsia" w:cs="宋体"/>
          <w:b w:val="0"/>
          <w:color w:val="auto"/>
          <w:kern w:val="0"/>
          <w:szCs w:val="21"/>
          <w:highlight w:val="none"/>
        </w:rPr>
        <w:t>      项目联系人：张国铨</w:t>
      </w:r>
    </w:p>
    <w:p>
      <w:pPr>
        <w:widowControl/>
        <w:spacing w:before="60" w:after="60" w:line="360" w:lineRule="exact"/>
        <w:ind w:firstLine="324"/>
        <w:jc w:val="left"/>
        <w:rPr>
          <w:rFonts w:hint="eastAsia" w:ascii="仿宋" w:hAnsi="仿宋" w:cs="宋体"/>
          <w:color w:val="auto"/>
          <w:kern w:val="0"/>
          <w:szCs w:val="21"/>
          <w:highlight w:val="none"/>
        </w:rPr>
      </w:pPr>
      <w:r>
        <w:rPr>
          <w:rFonts w:hint="eastAsia" w:cs="宋体"/>
          <w:color w:val="auto"/>
          <w:kern w:val="0"/>
          <w:szCs w:val="21"/>
          <w:highlight w:val="none"/>
        </w:rPr>
        <w:t xml:space="preserve">      </w:t>
      </w:r>
      <w:r>
        <w:rPr>
          <w:rFonts w:hint="eastAsia" w:ascii="宋体" w:hAnsi="宋体" w:cs="宋体"/>
          <w:color w:val="auto"/>
          <w:kern w:val="0"/>
          <w:szCs w:val="21"/>
          <w:highlight w:val="none"/>
        </w:rPr>
        <w:t xml:space="preserve"> 项目联系方式：0771-8600343</w:t>
      </w:r>
      <w:r>
        <w:rPr>
          <w:rFonts w:hint="eastAsia" w:ascii="仿宋" w:hAnsi="仿宋" w:cs="宋体"/>
          <w:color w:val="auto"/>
          <w:kern w:val="0"/>
          <w:szCs w:val="21"/>
          <w:highlight w:val="none"/>
        </w:rPr>
        <w:t xml:space="preserve"> </w:t>
      </w:r>
    </w:p>
    <w:p>
      <w:pPr>
        <w:widowControl/>
        <w:spacing w:before="60" w:after="60" w:line="360" w:lineRule="exact"/>
        <w:ind w:firstLine="324"/>
        <w:jc w:val="left"/>
        <w:rPr>
          <w:rFonts w:hint="eastAsia" w:ascii="仿宋" w:hAnsi="仿宋" w:cs="宋体"/>
          <w:color w:val="auto"/>
          <w:kern w:val="0"/>
          <w:szCs w:val="21"/>
          <w:highlight w:val="none"/>
        </w:rPr>
      </w:pPr>
    </w:p>
    <w:p>
      <w:pPr>
        <w:pStyle w:val="2"/>
        <w:rPr>
          <w:rFonts w:hint="eastAsia" w:ascii="仿宋" w:hAnsi="仿宋" w:cs="宋体"/>
          <w:color w:val="auto"/>
          <w:kern w:val="0"/>
          <w:szCs w:val="21"/>
          <w:highlight w:val="none"/>
        </w:rPr>
      </w:pPr>
    </w:p>
    <w:p>
      <w:pPr>
        <w:rPr>
          <w:rFonts w:hint="eastAsia"/>
          <w:color w:val="auto"/>
          <w:highlight w:val="none"/>
        </w:rPr>
      </w:pPr>
    </w:p>
    <w:p>
      <w:pPr>
        <w:widowControl/>
        <w:spacing w:before="60" w:after="60" w:line="360" w:lineRule="exact"/>
        <w:ind w:firstLine="324"/>
        <w:jc w:val="left"/>
        <w:rPr>
          <w:rFonts w:hint="eastAsia" w:ascii="仿宋" w:hAnsi="仿宋" w:cs="宋体"/>
          <w:color w:val="auto"/>
          <w:kern w:val="0"/>
          <w:szCs w:val="21"/>
          <w:highlight w:val="none"/>
        </w:rPr>
      </w:pPr>
    </w:p>
    <w:p>
      <w:pPr>
        <w:snapToGrid w:val="0"/>
        <w:spacing w:line="360" w:lineRule="exact"/>
        <w:ind w:left="238"/>
        <w:jc w:val="right"/>
        <w:rPr>
          <w:rFonts w:ascii="宋体" w:cs="宋体"/>
          <w:color w:val="auto"/>
          <w:szCs w:val="21"/>
          <w:highlight w:val="none"/>
        </w:rPr>
      </w:pPr>
      <w:r>
        <w:rPr>
          <w:rFonts w:hint="eastAsia" w:ascii="仿宋" w:hAnsi="仿宋" w:cs="宋体"/>
          <w:color w:val="auto"/>
          <w:kern w:val="0"/>
          <w:szCs w:val="21"/>
          <w:highlight w:val="none"/>
        </w:rPr>
        <w:t xml:space="preserve">                                                        </w:t>
      </w:r>
      <w:r>
        <w:rPr>
          <w:rFonts w:hint="eastAsia" w:ascii="宋体" w:hAnsi="宋体" w:cs="宋体"/>
          <w:color w:val="auto"/>
          <w:szCs w:val="21"/>
          <w:highlight w:val="none"/>
        </w:rPr>
        <w:t>广西壮族自治区政府采购中心</w:t>
      </w:r>
    </w:p>
    <w:p>
      <w:pPr>
        <w:widowControl/>
        <w:wordWrap w:val="0"/>
        <w:adjustRightInd w:val="0"/>
        <w:snapToGrid w:val="0"/>
        <w:spacing w:line="360" w:lineRule="exact"/>
        <w:ind w:right="384" w:rightChars="183"/>
        <w:jc w:val="right"/>
        <w:rPr>
          <w:rFonts w:ascii="仿宋" w:hAnsi="仿宋" w:eastAsia="仿宋"/>
          <w:color w:val="auto"/>
          <w:szCs w:val="21"/>
          <w:highlight w:val="none"/>
        </w:rPr>
      </w:pPr>
      <w:r>
        <w:rPr>
          <w:rFonts w:ascii="宋体" w:hAnsi="宋体" w:cs="宋体"/>
          <w:color w:val="auto"/>
          <w:szCs w:val="21"/>
          <w:highlight w:val="none"/>
          <w:lang w:val="en"/>
        </w:rPr>
        <w:t>202</w:t>
      </w:r>
      <w:r>
        <w:rPr>
          <w:rFonts w:hint="eastAsia" w:ascii="宋体" w:hAnsi="宋体" w:cs="宋体"/>
          <w:color w:val="auto"/>
          <w:szCs w:val="21"/>
          <w:highlight w:val="none"/>
        </w:rPr>
        <w:t>5年</w:t>
      </w:r>
      <w:r>
        <w:rPr>
          <w:rFonts w:hint="default" w:ascii="宋体" w:hAnsi="宋体" w:cs="宋体"/>
          <w:color w:val="auto"/>
          <w:szCs w:val="21"/>
          <w:highlight w:val="none"/>
          <w:lang w:val="en"/>
        </w:rPr>
        <w:t>12</w:t>
      </w:r>
      <w:r>
        <w:rPr>
          <w:rFonts w:hint="eastAsia" w:ascii="宋体" w:hAnsi="宋体" w:cs="宋体"/>
          <w:color w:val="auto"/>
          <w:szCs w:val="21"/>
          <w:highlight w:val="none"/>
        </w:rPr>
        <w:t>月</w:t>
      </w:r>
      <w:r>
        <w:rPr>
          <w:rFonts w:hint="default" w:ascii="宋体" w:hAnsi="宋体" w:cs="宋体"/>
          <w:color w:val="auto"/>
          <w:szCs w:val="21"/>
          <w:highlight w:val="none"/>
          <w:lang w:val="en" w:eastAsia="zh-CN"/>
        </w:rPr>
        <w:t>18</w:t>
      </w:r>
      <w:r>
        <w:rPr>
          <w:rFonts w:hint="eastAsia" w:ascii="宋体" w:hAnsi="宋体" w:cs="宋体"/>
          <w:color w:val="auto"/>
          <w:szCs w:val="21"/>
          <w:highlight w:val="none"/>
        </w:rPr>
        <w:t>日</w:t>
      </w:r>
    </w:p>
    <w:p>
      <w:pPr>
        <w:pageBreakBefore/>
        <w:spacing w:line="600" w:lineRule="exact"/>
        <w:jc w:val="center"/>
        <w:rPr>
          <w:rFonts w:ascii="仿宋_GB2312" w:hAnsi="仿宋_GB2312" w:eastAsia="仿宋_GB2312"/>
          <w:b/>
          <w:color w:val="auto"/>
          <w:sz w:val="44"/>
          <w:szCs w:val="44"/>
          <w:highlight w:val="none"/>
        </w:rPr>
      </w:pPr>
    </w:p>
    <w:p>
      <w:pPr>
        <w:spacing w:line="600" w:lineRule="exact"/>
        <w:jc w:val="center"/>
        <w:rPr>
          <w:rFonts w:ascii="仿宋_GB2312" w:hAnsi="仿宋_GB2312" w:eastAsia="仿宋_GB2312"/>
          <w:b/>
          <w:color w:val="auto"/>
          <w:sz w:val="44"/>
          <w:szCs w:val="44"/>
          <w:highlight w:val="none"/>
        </w:rPr>
      </w:pPr>
    </w:p>
    <w:p>
      <w:pPr>
        <w:spacing w:line="600" w:lineRule="exact"/>
        <w:jc w:val="center"/>
        <w:rPr>
          <w:rFonts w:ascii="仿宋_GB2312" w:hAnsi="仿宋_GB2312" w:eastAsia="仿宋_GB2312"/>
          <w:b/>
          <w:color w:val="auto"/>
          <w:sz w:val="44"/>
          <w:szCs w:val="44"/>
          <w:highlight w:val="none"/>
        </w:rPr>
      </w:pPr>
    </w:p>
    <w:p>
      <w:pPr>
        <w:spacing w:line="600" w:lineRule="exact"/>
        <w:jc w:val="center"/>
        <w:rPr>
          <w:rFonts w:ascii="仿宋_GB2312" w:hAnsi="仿宋_GB2312" w:eastAsia="仿宋_GB2312"/>
          <w:b/>
          <w:color w:val="auto"/>
          <w:sz w:val="44"/>
          <w:szCs w:val="44"/>
          <w:highlight w:val="none"/>
        </w:rPr>
      </w:pPr>
    </w:p>
    <w:p>
      <w:pPr>
        <w:spacing w:line="600" w:lineRule="exact"/>
        <w:jc w:val="center"/>
        <w:rPr>
          <w:rFonts w:ascii="仿宋_GB2312" w:hAnsi="仿宋_GB2312" w:eastAsia="仿宋_GB2312"/>
          <w:b/>
          <w:color w:val="auto"/>
          <w:sz w:val="44"/>
          <w:szCs w:val="44"/>
          <w:highlight w:val="none"/>
        </w:rPr>
      </w:pPr>
    </w:p>
    <w:p>
      <w:pPr>
        <w:spacing w:line="600" w:lineRule="exact"/>
        <w:jc w:val="center"/>
        <w:rPr>
          <w:rFonts w:ascii="仿宋_GB2312" w:hAnsi="仿宋_GB2312" w:eastAsia="仿宋_GB2312"/>
          <w:b/>
          <w:color w:val="auto"/>
          <w:sz w:val="44"/>
          <w:szCs w:val="44"/>
          <w:highlight w:val="none"/>
        </w:rPr>
      </w:pPr>
    </w:p>
    <w:p>
      <w:pPr>
        <w:spacing w:line="600" w:lineRule="exact"/>
        <w:jc w:val="center"/>
        <w:rPr>
          <w:rFonts w:ascii="仿宋_GB2312" w:hAnsi="仿宋_GB2312" w:eastAsia="仿宋_GB2312"/>
          <w:b/>
          <w:color w:val="auto"/>
          <w:sz w:val="44"/>
          <w:szCs w:val="44"/>
          <w:highlight w:val="none"/>
        </w:rPr>
      </w:pPr>
    </w:p>
    <w:p>
      <w:pPr>
        <w:spacing w:line="600" w:lineRule="exact"/>
        <w:jc w:val="center"/>
        <w:rPr>
          <w:rFonts w:ascii="仿宋_GB2312" w:hAnsi="仿宋_GB2312" w:eastAsia="仿宋_GB2312"/>
          <w:b/>
          <w:color w:val="auto"/>
          <w:sz w:val="44"/>
          <w:szCs w:val="44"/>
          <w:highlight w:val="none"/>
        </w:rPr>
      </w:pPr>
    </w:p>
    <w:p>
      <w:pPr>
        <w:spacing w:line="600" w:lineRule="exact"/>
        <w:jc w:val="center"/>
        <w:rPr>
          <w:rFonts w:ascii="仿宋_GB2312" w:hAnsi="仿宋_GB2312" w:eastAsia="仿宋_GB2312"/>
          <w:b/>
          <w:color w:val="auto"/>
          <w:sz w:val="44"/>
          <w:szCs w:val="44"/>
          <w:highlight w:val="none"/>
        </w:rPr>
      </w:pPr>
    </w:p>
    <w:p>
      <w:pPr>
        <w:spacing w:line="600" w:lineRule="exact"/>
        <w:jc w:val="center"/>
        <w:rPr>
          <w:rFonts w:ascii="仿宋_GB2312" w:hAnsi="仿宋_GB2312" w:eastAsia="仿宋_GB2312"/>
          <w:b/>
          <w:color w:val="auto"/>
          <w:sz w:val="44"/>
          <w:szCs w:val="44"/>
          <w:highlight w:val="none"/>
        </w:rPr>
      </w:pPr>
    </w:p>
    <w:p>
      <w:pPr>
        <w:pStyle w:val="3"/>
        <w:jc w:val="center"/>
        <w:rPr>
          <w:color w:val="auto"/>
          <w:highlight w:val="none"/>
        </w:rPr>
      </w:pPr>
      <w:bookmarkStart w:id="9" w:name="_Toc46136757"/>
      <w:r>
        <w:rPr>
          <w:rFonts w:hint="eastAsia"/>
          <w:color w:val="auto"/>
          <w:highlight w:val="none"/>
        </w:rPr>
        <w:t>第二章  谈判供应商须知</w:t>
      </w:r>
      <w:bookmarkEnd w:id="9"/>
    </w:p>
    <w:p>
      <w:pPr>
        <w:spacing w:line="400" w:lineRule="exact"/>
        <w:jc w:val="center"/>
        <w:rPr>
          <w:rFonts w:ascii="仿宋_GB2312" w:hAnsi="仿宋_GB2312" w:eastAsia="仿宋_GB2312"/>
          <w:b/>
          <w:color w:val="auto"/>
          <w:sz w:val="32"/>
          <w:szCs w:val="32"/>
          <w:highlight w:val="none"/>
        </w:rPr>
      </w:pPr>
    </w:p>
    <w:p>
      <w:pPr>
        <w:spacing w:line="600" w:lineRule="exact"/>
        <w:rPr>
          <w:rFonts w:hint="eastAsia" w:ascii="仿宋_GB2312" w:hAnsi="仿宋_GB2312" w:eastAsia="仿宋_GB2312"/>
          <w:b/>
          <w:color w:val="auto"/>
          <w:sz w:val="32"/>
          <w:szCs w:val="32"/>
          <w:highlight w:val="none"/>
        </w:rPr>
      </w:pPr>
    </w:p>
    <w:p>
      <w:pPr>
        <w:spacing w:line="600" w:lineRule="exact"/>
        <w:rPr>
          <w:rFonts w:hint="eastAsia" w:ascii="仿宋_GB2312" w:hAnsi="仿宋_GB2312" w:eastAsia="仿宋_GB2312"/>
          <w:b/>
          <w:color w:val="auto"/>
          <w:sz w:val="32"/>
          <w:szCs w:val="32"/>
          <w:highlight w:val="none"/>
        </w:rPr>
      </w:pPr>
    </w:p>
    <w:p>
      <w:pPr>
        <w:spacing w:line="600" w:lineRule="exact"/>
        <w:rPr>
          <w:rFonts w:hint="eastAsia" w:ascii="仿宋_GB2312" w:hAnsi="仿宋_GB2312" w:eastAsia="仿宋_GB2312"/>
          <w:b/>
          <w:color w:val="auto"/>
          <w:sz w:val="32"/>
          <w:szCs w:val="32"/>
          <w:highlight w:val="none"/>
        </w:rPr>
      </w:pPr>
    </w:p>
    <w:p>
      <w:pPr>
        <w:spacing w:line="600" w:lineRule="exact"/>
        <w:rPr>
          <w:rFonts w:hint="eastAsia" w:ascii="仿宋_GB2312" w:hAnsi="仿宋_GB2312" w:eastAsia="仿宋_GB2312"/>
          <w:b/>
          <w:color w:val="auto"/>
          <w:sz w:val="32"/>
          <w:szCs w:val="32"/>
          <w:highlight w:val="none"/>
        </w:rPr>
      </w:pPr>
    </w:p>
    <w:p>
      <w:pPr>
        <w:spacing w:line="600" w:lineRule="exact"/>
        <w:rPr>
          <w:rFonts w:hint="eastAsia" w:ascii="仿宋_GB2312" w:hAnsi="仿宋_GB2312" w:eastAsia="仿宋_GB2312"/>
          <w:b/>
          <w:color w:val="auto"/>
          <w:sz w:val="32"/>
          <w:szCs w:val="32"/>
          <w:highlight w:val="none"/>
        </w:rPr>
      </w:pPr>
    </w:p>
    <w:p>
      <w:pPr>
        <w:spacing w:line="600" w:lineRule="exact"/>
        <w:rPr>
          <w:rFonts w:hint="eastAsia" w:ascii="仿宋_GB2312" w:hAnsi="仿宋_GB2312" w:eastAsia="仿宋_GB2312"/>
          <w:b/>
          <w:color w:val="auto"/>
          <w:sz w:val="32"/>
          <w:szCs w:val="32"/>
          <w:highlight w:val="none"/>
        </w:rPr>
      </w:pPr>
    </w:p>
    <w:p>
      <w:pPr>
        <w:spacing w:line="600" w:lineRule="exact"/>
        <w:rPr>
          <w:rFonts w:hint="eastAsia" w:ascii="仿宋_GB2312" w:hAnsi="仿宋_GB2312" w:eastAsia="仿宋_GB2312"/>
          <w:b/>
          <w:color w:val="auto"/>
          <w:sz w:val="32"/>
          <w:szCs w:val="32"/>
          <w:highlight w:val="none"/>
        </w:rPr>
      </w:pPr>
    </w:p>
    <w:p>
      <w:pPr>
        <w:spacing w:line="600" w:lineRule="exact"/>
        <w:rPr>
          <w:rFonts w:hint="eastAsia" w:ascii="仿宋_GB2312" w:hAnsi="仿宋_GB2312" w:eastAsia="仿宋_GB2312"/>
          <w:b/>
          <w:color w:val="auto"/>
          <w:sz w:val="32"/>
          <w:szCs w:val="32"/>
          <w:highlight w:val="none"/>
        </w:rPr>
      </w:pPr>
    </w:p>
    <w:p>
      <w:pPr>
        <w:spacing w:line="600" w:lineRule="exact"/>
        <w:rPr>
          <w:rFonts w:hint="eastAsia" w:ascii="仿宋_GB2312" w:hAnsi="仿宋_GB2312" w:eastAsia="仿宋_GB2312"/>
          <w:b/>
          <w:color w:val="auto"/>
          <w:sz w:val="32"/>
          <w:szCs w:val="32"/>
          <w:highlight w:val="none"/>
        </w:rPr>
      </w:pPr>
    </w:p>
    <w:p>
      <w:pPr>
        <w:spacing w:line="600" w:lineRule="exact"/>
        <w:rPr>
          <w:rFonts w:hint="eastAsia" w:ascii="仿宋_GB2312" w:hAnsi="仿宋_GB2312" w:eastAsia="仿宋_GB2312"/>
          <w:b/>
          <w:color w:val="auto"/>
          <w:sz w:val="32"/>
          <w:szCs w:val="32"/>
          <w:highlight w:val="none"/>
        </w:rPr>
      </w:pPr>
    </w:p>
    <w:p>
      <w:pPr>
        <w:spacing w:line="600" w:lineRule="exact"/>
        <w:jc w:val="center"/>
        <w:rPr>
          <w:rFonts w:ascii="仿宋_GB2312" w:hAnsi="仿宋_GB2312" w:eastAsia="仿宋_GB2312"/>
          <w:b/>
          <w:color w:val="auto"/>
          <w:sz w:val="32"/>
          <w:szCs w:val="32"/>
          <w:highlight w:val="none"/>
        </w:rPr>
      </w:pPr>
      <w:r>
        <w:rPr>
          <w:rFonts w:hint="eastAsia" w:ascii="仿宋_GB2312" w:hAnsi="仿宋_GB2312" w:eastAsia="仿宋_GB2312"/>
          <w:b/>
          <w:color w:val="auto"/>
          <w:sz w:val="32"/>
          <w:szCs w:val="32"/>
          <w:highlight w:val="none"/>
        </w:rPr>
        <w:t>谈判供应商须知前附表</w:t>
      </w:r>
    </w:p>
    <w:tbl>
      <w:tblPr>
        <w:tblStyle w:val="41"/>
        <w:tblpPr w:leftFromText="180" w:rightFromText="180" w:vertAnchor="text" w:horzAnchor="page" w:tblpX="829" w:tblpY="229"/>
        <w:tblOverlap w:val="never"/>
        <w:tblW w:w="0" w:type="auto"/>
        <w:tblInd w:w="0" w:type="dxa"/>
        <w:tblLayout w:type="fixed"/>
        <w:tblCellMar>
          <w:top w:w="0" w:type="dxa"/>
          <w:left w:w="108" w:type="dxa"/>
          <w:bottom w:w="0" w:type="dxa"/>
          <w:right w:w="108" w:type="dxa"/>
        </w:tblCellMar>
      </w:tblPr>
      <w:tblGrid>
        <w:gridCol w:w="790"/>
        <w:gridCol w:w="8855"/>
      </w:tblGrid>
      <w:tr>
        <w:tblPrEx>
          <w:tblCellMar>
            <w:top w:w="0" w:type="dxa"/>
            <w:left w:w="108" w:type="dxa"/>
            <w:bottom w:w="0" w:type="dxa"/>
            <w:right w:w="108" w:type="dxa"/>
          </w:tblCellMar>
        </w:tblPrEx>
        <w:trPr>
          <w:trHeight w:val="321" w:hRule="atLeast"/>
        </w:trPr>
        <w:tc>
          <w:tcPr>
            <w:tcW w:w="790" w:type="dxa"/>
            <w:tcBorders>
              <w:top w:val="single" w:color="000000" w:sz="4" w:space="0"/>
              <w:left w:val="single" w:color="000000" w:sz="4" w:space="0"/>
              <w:bottom w:val="single" w:color="000000" w:sz="4" w:space="0"/>
              <w:right w:val="single" w:color="000000" w:sz="4" w:space="0"/>
            </w:tcBorders>
            <w:noWrap w:val="0"/>
            <w:vAlign w:val="top"/>
          </w:tcPr>
          <w:p>
            <w:pPr>
              <w:pStyle w:val="127"/>
              <w:keepNext w:val="0"/>
              <w:keepLines w:val="0"/>
              <w:suppressLineNumbers w:val="0"/>
              <w:spacing w:before="0" w:beforeAutospacing="0" w:after="0" w:afterAutospacing="0" w:line="320" w:lineRule="exact"/>
              <w:ind w:left="0" w:right="0"/>
              <w:jc w:val="center"/>
              <w:rPr>
                <w:rFonts w:hint="default" w:cs="Times New Roman"/>
                <w:color w:val="auto"/>
                <w:highlight w:val="none"/>
              </w:rPr>
            </w:pPr>
            <w:r>
              <w:rPr>
                <w:rFonts w:hint="eastAsia" w:cs="Times New Roman"/>
                <w:color w:val="auto"/>
                <w:highlight w:val="none"/>
              </w:rPr>
              <w:t>序号</w:t>
            </w:r>
          </w:p>
        </w:tc>
        <w:tc>
          <w:tcPr>
            <w:tcW w:w="8855" w:type="dxa"/>
            <w:tcBorders>
              <w:top w:val="single" w:color="000000" w:sz="4" w:space="0"/>
              <w:left w:val="single" w:color="000000" w:sz="4" w:space="0"/>
              <w:bottom w:val="single" w:color="000000" w:sz="4" w:space="0"/>
              <w:right w:val="single" w:color="000000" w:sz="4" w:space="0"/>
            </w:tcBorders>
            <w:noWrap w:val="0"/>
            <w:vAlign w:val="top"/>
          </w:tcPr>
          <w:p>
            <w:pPr>
              <w:pStyle w:val="127"/>
              <w:keepNext w:val="0"/>
              <w:keepLines w:val="0"/>
              <w:suppressLineNumbers w:val="0"/>
              <w:spacing w:before="0" w:beforeAutospacing="0" w:after="0" w:afterAutospacing="0" w:line="320" w:lineRule="exact"/>
              <w:ind w:left="0" w:right="0"/>
              <w:jc w:val="center"/>
              <w:rPr>
                <w:rFonts w:hint="default" w:cs="Times New Roman"/>
                <w:color w:val="auto"/>
                <w:highlight w:val="none"/>
              </w:rPr>
            </w:pPr>
            <w:r>
              <w:rPr>
                <w:rFonts w:hint="eastAsia" w:cs="Times New Roman"/>
                <w:color w:val="auto"/>
                <w:highlight w:val="none"/>
              </w:rPr>
              <w:t>内    容</w:t>
            </w:r>
          </w:p>
        </w:tc>
      </w:tr>
      <w:tr>
        <w:tblPrEx>
          <w:tblCellMar>
            <w:top w:w="0" w:type="dxa"/>
            <w:left w:w="108" w:type="dxa"/>
            <w:bottom w:w="0" w:type="dxa"/>
            <w:right w:w="108" w:type="dxa"/>
          </w:tblCellMar>
        </w:tblPrEx>
        <w:trPr>
          <w:trHeight w:val="4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default" w:cs="Times New Roman"/>
                <w:color w:val="auto"/>
                <w:highlight w:val="none"/>
              </w:rPr>
            </w:pPr>
            <w:r>
              <w:rPr>
                <w:rFonts w:hint="eastAsia" w:cs="Times New Roman"/>
                <w:color w:val="auto"/>
                <w:highlight w:val="none"/>
              </w:rPr>
              <w:t>1</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400" w:lineRule="exact"/>
              <w:ind w:left="0" w:right="0"/>
              <w:rPr>
                <w:rFonts w:hint="eastAsia" w:cs="Times New Roman"/>
                <w:color w:val="auto"/>
                <w:highlight w:val="none"/>
              </w:rPr>
            </w:pPr>
            <w:r>
              <w:rPr>
                <w:rFonts w:hint="eastAsia" w:cs="Times New Roman"/>
                <w:color w:val="auto"/>
                <w:highlight w:val="none"/>
              </w:rPr>
              <w:t>项目名称：</w:t>
            </w:r>
            <w:r>
              <w:rPr>
                <w:rFonts w:hint="default" w:cs="Times New Roman"/>
                <w:color w:val="auto"/>
                <w:highlight w:val="none"/>
                <w:lang w:val="en"/>
              </w:rPr>
              <w:t xml:space="preserve"> </w:t>
            </w:r>
            <w:r>
              <w:rPr>
                <w:rFonts w:hint="eastAsia"/>
                <w:color w:val="auto"/>
                <w:highlight w:val="none"/>
              </w:rPr>
              <w:t>广西艺术学院教学设备采购</w:t>
            </w:r>
            <w:r>
              <w:rPr>
                <w:rFonts w:hint="eastAsia"/>
                <w:color w:val="auto"/>
                <w:highlight w:val="none"/>
                <w:lang w:eastAsia="zh-CN"/>
              </w:rPr>
              <w:t>（二）</w:t>
            </w:r>
            <w:r>
              <w:rPr>
                <w:rFonts w:hint="eastAsia" w:cs="Times New Roman"/>
                <w:color w:val="auto"/>
                <w:highlight w:val="none"/>
              </w:rPr>
              <w:t xml:space="preserve"> </w:t>
            </w:r>
          </w:p>
          <w:p>
            <w:pPr>
              <w:pStyle w:val="127"/>
              <w:keepNext w:val="0"/>
              <w:keepLines w:val="0"/>
              <w:suppressLineNumbers w:val="0"/>
              <w:spacing w:before="0" w:beforeAutospacing="0" w:after="0" w:afterAutospacing="0" w:line="400" w:lineRule="exact"/>
              <w:ind w:left="0" w:right="0"/>
              <w:rPr>
                <w:rFonts w:hint="default" w:cs="Times New Roman"/>
                <w:color w:val="auto"/>
                <w:highlight w:val="none"/>
                <w:u w:val="single"/>
                <w:lang w:val="en"/>
              </w:rPr>
            </w:pPr>
            <w:r>
              <w:rPr>
                <w:rFonts w:hint="eastAsia" w:cs="Times New Roman"/>
                <w:color w:val="auto"/>
                <w:highlight w:val="none"/>
              </w:rPr>
              <w:t>项目编号：</w:t>
            </w:r>
            <w:r>
              <w:rPr>
                <w:rFonts w:hint="default" w:cs="Times New Roman"/>
                <w:color w:val="auto"/>
                <w:highlight w:val="none"/>
                <w:lang w:val="en"/>
              </w:rPr>
              <w:t xml:space="preserve"> </w:t>
            </w:r>
            <w:r>
              <w:rPr>
                <w:rFonts w:hint="eastAsia"/>
                <w:color w:val="auto"/>
                <w:highlight w:val="none"/>
              </w:rPr>
              <w:t>GXZC2025-J1-003931-CGZX</w:t>
            </w:r>
          </w:p>
        </w:tc>
      </w:tr>
      <w:tr>
        <w:tblPrEx>
          <w:tblCellMar>
            <w:top w:w="0" w:type="dxa"/>
            <w:left w:w="108" w:type="dxa"/>
            <w:bottom w:w="0" w:type="dxa"/>
            <w:right w:w="108" w:type="dxa"/>
          </w:tblCellMar>
        </w:tblPrEx>
        <w:trPr>
          <w:trHeight w:val="60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default" w:cs="Times New Roman"/>
                <w:color w:val="auto"/>
                <w:highlight w:val="none"/>
              </w:rPr>
            </w:pPr>
            <w:r>
              <w:rPr>
                <w:rFonts w:hint="eastAsia" w:cs="Times New Roman"/>
                <w:color w:val="auto"/>
                <w:highlight w:val="none"/>
              </w:rPr>
              <w:t>2</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36" w:right="0" w:firstLine="36"/>
              <w:rPr>
                <w:rFonts w:hint="default" w:cs="Times New Roman"/>
                <w:color w:val="auto"/>
                <w:highlight w:val="none"/>
              </w:rPr>
            </w:pPr>
            <w:r>
              <w:rPr>
                <w:rFonts w:hint="eastAsia" w:cs="Times New Roman"/>
                <w:color w:val="auto"/>
                <w:highlight w:val="none"/>
              </w:rPr>
              <w:t>谈判供应商资格：</w:t>
            </w:r>
            <w:r>
              <w:rPr>
                <w:rFonts w:hint="eastAsia" w:cs="Times New Roman"/>
                <w:color w:val="auto"/>
                <w:highlight w:val="none"/>
                <w:u w:val="single"/>
              </w:rPr>
              <w:t xml:space="preserve">详见《第一章 </w:t>
            </w:r>
            <w:r>
              <w:rPr>
                <w:rFonts w:hint="eastAsia" w:ascii="Times New Roman" w:hAnsi="Times New Roman" w:cs="Times New Roman"/>
                <w:color w:val="auto"/>
                <w:szCs w:val="24"/>
                <w:highlight w:val="none"/>
                <w:u w:val="single"/>
              </w:rPr>
              <w:t>竞争性谈判公告</w:t>
            </w:r>
            <w:r>
              <w:rPr>
                <w:rFonts w:hint="eastAsia" w:cs="Times New Roman"/>
                <w:color w:val="auto"/>
                <w:highlight w:val="none"/>
                <w:u w:val="single"/>
              </w:rPr>
              <w:t>》</w:t>
            </w:r>
            <w:r>
              <w:rPr>
                <w:rFonts w:hint="eastAsia" w:cs="Times New Roman"/>
                <w:color w:val="auto"/>
                <w:highlight w:val="none"/>
              </w:rPr>
              <w:t>。</w:t>
            </w:r>
          </w:p>
        </w:tc>
      </w:tr>
      <w:tr>
        <w:tblPrEx>
          <w:tblCellMar>
            <w:top w:w="0" w:type="dxa"/>
            <w:left w:w="108" w:type="dxa"/>
            <w:bottom w:w="0" w:type="dxa"/>
            <w:right w:w="108" w:type="dxa"/>
          </w:tblCellMar>
        </w:tblPrEx>
        <w:trPr>
          <w:trHeight w:val="57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default" w:cs="Times New Roman"/>
                <w:color w:val="auto"/>
                <w:highlight w:val="none"/>
              </w:rPr>
            </w:pPr>
            <w:r>
              <w:rPr>
                <w:rFonts w:hint="eastAsia" w:cs="Times New Roman"/>
                <w:color w:val="auto"/>
                <w:highlight w:val="none"/>
              </w:rPr>
              <w:t>3</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20" w:lineRule="exact"/>
              <w:ind w:left="0" w:right="0"/>
              <w:rPr>
                <w:rFonts w:hint="default" w:ascii="宋体" w:hAnsi="宋体" w:cs="Times New Roman"/>
                <w:color w:val="auto"/>
                <w:szCs w:val="21"/>
                <w:highlight w:val="none"/>
              </w:rPr>
            </w:pPr>
            <w:r>
              <w:rPr>
                <w:rFonts w:hint="eastAsia" w:ascii="Times New Roman" w:hAnsi="Times New Roman" w:cs="Times New Roman"/>
                <w:color w:val="auto"/>
                <w:highlight w:val="none"/>
              </w:rPr>
              <w:t>报价：</w:t>
            </w:r>
            <w:r>
              <w:rPr>
                <w:rFonts w:hint="eastAsia" w:ascii="宋体" w:hAnsi="宋体" w:cs="Times New Roman"/>
                <w:color w:val="auto"/>
                <w:highlight w:val="none"/>
              </w:rPr>
              <w:t>竞标人可就《采购需求》中的</w:t>
            </w:r>
            <w:r>
              <w:rPr>
                <w:rFonts w:hint="eastAsia" w:ascii="宋体" w:hAnsi="宋体" w:cs="Times New Roman"/>
                <w:b/>
                <w:bCs/>
                <w:color w:val="auto"/>
                <w:highlight w:val="none"/>
              </w:rPr>
              <w:t>货物和服务内容做完整唯一报价</w:t>
            </w:r>
            <w:r>
              <w:rPr>
                <w:rFonts w:hint="eastAsia" w:ascii="宋体" w:hAnsi="宋体" w:cs="Times New Roman"/>
                <w:color w:val="auto"/>
                <w:highlight w:val="none"/>
              </w:rPr>
              <w:t>。</w:t>
            </w:r>
          </w:p>
        </w:tc>
      </w:tr>
      <w:tr>
        <w:tblPrEx>
          <w:tblCellMar>
            <w:top w:w="0" w:type="dxa"/>
            <w:left w:w="108" w:type="dxa"/>
            <w:bottom w:w="0" w:type="dxa"/>
            <w:right w:w="108" w:type="dxa"/>
          </w:tblCellMar>
        </w:tblPrEx>
        <w:trPr>
          <w:trHeight w:val="678"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default" w:cs="Times New Roman"/>
                <w:color w:val="auto"/>
                <w:highlight w:val="none"/>
              </w:rPr>
            </w:pPr>
            <w:r>
              <w:rPr>
                <w:rFonts w:hint="eastAsia" w:cs="Times New Roman"/>
                <w:color w:val="auto"/>
                <w:highlight w:val="none"/>
              </w:rPr>
              <w:t>4</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line="400" w:lineRule="exact"/>
              <w:ind w:left="0" w:right="0"/>
              <w:rPr>
                <w:rFonts w:hint="default"/>
                <w:color w:val="auto"/>
                <w:highlight w:val="none"/>
              </w:rPr>
            </w:pPr>
            <w:r>
              <w:rPr>
                <w:rFonts w:hint="eastAsia"/>
                <w:color w:val="auto"/>
                <w:highlight w:val="none"/>
              </w:rPr>
              <w:t>响应文件的上传和提交：本项目通过“广西政府采购云平台（http://www.gcy.</w:t>
            </w:r>
            <w:r>
              <w:rPr>
                <w:rFonts w:hint="eastAsia"/>
                <w:color w:val="auto"/>
                <w:highlight w:val="none"/>
                <w:lang w:val="en"/>
              </w:rPr>
              <w:t>zfcg.gxzf.gov.</w:t>
            </w:r>
            <w:r>
              <w:rPr>
                <w:rFonts w:hint="eastAsia"/>
                <w:color w:val="auto"/>
                <w:highlight w:val="none"/>
              </w:rPr>
              <w:t>cn</w:t>
            </w:r>
            <w:r>
              <w:rPr>
                <w:rFonts w:hint="eastAsia"/>
                <w:color w:val="auto"/>
                <w:highlight w:val="none"/>
                <w:lang w:val="en"/>
              </w:rPr>
              <w:t>/</w:t>
            </w:r>
            <w:r>
              <w:rPr>
                <w:rFonts w:hint="default"/>
                <w:color w:val="auto"/>
                <w:highlight w:val="none"/>
              </w:rPr>
              <w:t>）”实行在线</w:t>
            </w:r>
            <w:r>
              <w:rPr>
                <w:rFonts w:hint="eastAsia"/>
                <w:color w:val="auto"/>
                <w:highlight w:val="none"/>
              </w:rPr>
              <w:t>竞标</w:t>
            </w:r>
            <w:r>
              <w:rPr>
                <w:rFonts w:hint="default"/>
                <w:color w:val="auto"/>
                <w:highlight w:val="none"/>
              </w:rPr>
              <w:t>响应（电子标），</w:t>
            </w:r>
            <w:r>
              <w:rPr>
                <w:rFonts w:hint="eastAsia"/>
                <w:color w:val="auto"/>
                <w:highlight w:val="none"/>
              </w:rPr>
              <w:t>竞标</w:t>
            </w:r>
            <w:r>
              <w:rPr>
                <w:rFonts w:hint="default"/>
                <w:color w:val="auto"/>
                <w:highlight w:val="none"/>
              </w:rPr>
              <w:t>供应商应当在</w:t>
            </w:r>
            <w:r>
              <w:rPr>
                <w:rFonts w:hint="eastAsia"/>
                <w:b/>
                <w:color w:val="auto"/>
                <w:highlight w:val="none"/>
              </w:rPr>
              <w:t>上传响应文件截止时间</w:t>
            </w:r>
            <w:r>
              <w:rPr>
                <w:rFonts w:hint="default"/>
                <w:color w:val="auto"/>
                <w:highlight w:val="none"/>
              </w:rPr>
              <w:t>前，将生成的“电子加密</w:t>
            </w:r>
            <w:r>
              <w:rPr>
                <w:rFonts w:hint="eastAsia"/>
                <w:color w:val="auto"/>
                <w:highlight w:val="none"/>
              </w:rPr>
              <w:t>响应</w:t>
            </w:r>
            <w:r>
              <w:rPr>
                <w:rFonts w:hint="default"/>
                <w:color w:val="auto"/>
                <w:highlight w:val="none"/>
              </w:rPr>
              <w:t>文件”上传</w:t>
            </w:r>
            <w:r>
              <w:rPr>
                <w:rFonts w:hint="eastAsia"/>
                <w:color w:val="auto"/>
                <w:highlight w:val="none"/>
              </w:rPr>
              <w:t>提交</w:t>
            </w:r>
            <w:r>
              <w:rPr>
                <w:rFonts w:hint="default"/>
                <w:color w:val="auto"/>
                <w:highlight w:val="none"/>
              </w:rPr>
              <w:t>至“</w:t>
            </w:r>
            <w:r>
              <w:rPr>
                <w:rFonts w:hint="eastAsia"/>
                <w:color w:val="auto"/>
                <w:highlight w:val="none"/>
              </w:rPr>
              <w:t>广西政府采购云平台</w:t>
            </w:r>
            <w:r>
              <w:rPr>
                <w:rFonts w:hint="default"/>
                <w:color w:val="auto"/>
                <w:highlight w:val="none"/>
              </w:rPr>
              <w:t>”。</w:t>
            </w:r>
          </w:p>
          <w:p>
            <w:pPr>
              <w:pStyle w:val="22"/>
              <w:keepNext w:val="0"/>
              <w:keepLines w:val="0"/>
              <w:suppressLineNumbers w:val="0"/>
              <w:spacing w:before="0" w:beforeAutospacing="0" w:after="0" w:afterAutospacing="0" w:line="400" w:lineRule="exact"/>
              <w:ind w:left="0" w:right="0"/>
              <w:rPr>
                <w:rFonts w:hint="default"/>
                <w:color w:val="auto"/>
                <w:highlight w:val="none"/>
              </w:rPr>
            </w:pPr>
            <w:r>
              <w:rPr>
                <w:rFonts w:hint="eastAsia"/>
                <w:color w:val="auto"/>
                <w:highlight w:val="none"/>
              </w:rPr>
              <w:t>“电子加密响应文件”的上传、提交：</w:t>
            </w:r>
          </w:p>
          <w:p>
            <w:pPr>
              <w:pStyle w:val="22"/>
              <w:keepNext w:val="0"/>
              <w:keepLines w:val="0"/>
              <w:suppressLineNumbers w:val="0"/>
              <w:spacing w:before="0" w:beforeAutospacing="0" w:after="0" w:afterAutospacing="0" w:line="400" w:lineRule="exact"/>
              <w:ind w:left="0" w:right="0"/>
              <w:rPr>
                <w:rFonts w:hint="default"/>
                <w:color w:val="auto"/>
                <w:highlight w:val="none"/>
              </w:rPr>
            </w:pPr>
            <w:r>
              <w:rPr>
                <w:rFonts w:hint="eastAsia"/>
                <w:color w:val="auto"/>
                <w:highlight w:val="none"/>
              </w:rPr>
              <w:t>a.谈判供应商应在</w:t>
            </w:r>
            <w:r>
              <w:rPr>
                <w:rFonts w:hint="eastAsia"/>
                <w:b/>
                <w:color w:val="auto"/>
                <w:highlight w:val="none"/>
              </w:rPr>
              <w:t>上传响应文件截止时间</w:t>
            </w:r>
            <w:r>
              <w:rPr>
                <w:rFonts w:hint="eastAsia"/>
                <w:color w:val="auto"/>
                <w:highlight w:val="none"/>
              </w:rPr>
              <w:t>前将“电子加密响应文件”成功上传提交至“广西政府采购云平台”，否则谈判无效。</w:t>
            </w:r>
          </w:p>
          <w:p>
            <w:pPr>
              <w:pStyle w:val="22"/>
              <w:keepNext w:val="0"/>
              <w:keepLines w:val="0"/>
              <w:suppressLineNumbers w:val="0"/>
              <w:spacing w:before="0" w:beforeAutospacing="0" w:after="0" w:afterAutospacing="0" w:line="400" w:lineRule="exact"/>
              <w:ind w:left="0" w:right="0"/>
              <w:rPr>
                <w:rFonts w:hint="default"/>
                <w:color w:val="auto"/>
                <w:highlight w:val="none"/>
              </w:rPr>
            </w:pPr>
            <w:r>
              <w:rPr>
                <w:rFonts w:hint="eastAsia"/>
                <w:color w:val="auto"/>
                <w:highlight w:val="none"/>
              </w:rPr>
              <w:t>b.“电子加密谈判响应文件”成功上传提交后，供应商可自行打印响应文件接收回执。</w:t>
            </w:r>
          </w:p>
        </w:tc>
      </w:tr>
      <w:tr>
        <w:tblPrEx>
          <w:tblCellMar>
            <w:top w:w="0" w:type="dxa"/>
            <w:left w:w="108" w:type="dxa"/>
            <w:bottom w:w="0" w:type="dxa"/>
            <w:right w:w="108" w:type="dxa"/>
          </w:tblCellMar>
        </w:tblPrEx>
        <w:trPr>
          <w:trHeight w:val="511"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default" w:cs="Times New Roman"/>
                <w:color w:val="auto"/>
                <w:highlight w:val="none"/>
              </w:rPr>
            </w:pPr>
            <w:r>
              <w:rPr>
                <w:rFonts w:hint="eastAsia" w:cs="Times New Roman"/>
                <w:color w:val="auto"/>
                <w:highlight w:val="none"/>
              </w:rPr>
              <w:t>5</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提交响应文件截止时间：见竞争性谈判公告。</w:t>
            </w:r>
          </w:p>
        </w:tc>
      </w:tr>
      <w:tr>
        <w:tblPrEx>
          <w:tblCellMar>
            <w:top w:w="0" w:type="dxa"/>
            <w:left w:w="108" w:type="dxa"/>
            <w:bottom w:w="0" w:type="dxa"/>
            <w:right w:w="108" w:type="dxa"/>
          </w:tblCellMar>
        </w:tblPrEx>
        <w:trPr>
          <w:trHeight w:val="492"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default" w:cs="Times New Roman"/>
                <w:color w:val="auto"/>
                <w:highlight w:val="none"/>
              </w:rPr>
            </w:pPr>
            <w:r>
              <w:rPr>
                <w:rFonts w:hint="eastAsia" w:cs="Times New Roman"/>
                <w:color w:val="auto"/>
                <w:highlight w:val="none"/>
              </w:rPr>
              <w:t>6</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rPr>
                <w:rFonts w:hint="default" w:cs="Times New Roman"/>
                <w:color w:val="auto"/>
                <w:highlight w:val="none"/>
              </w:rPr>
            </w:pPr>
            <w:r>
              <w:rPr>
                <w:rFonts w:hint="eastAsia" w:cs="Times New Roman"/>
                <w:color w:val="auto"/>
                <w:highlight w:val="none"/>
              </w:rPr>
              <w:t>响应文件有效期：响应文件提交截止日期后六十日。</w:t>
            </w:r>
          </w:p>
        </w:tc>
      </w:tr>
      <w:tr>
        <w:tblPrEx>
          <w:tblCellMar>
            <w:top w:w="0" w:type="dxa"/>
            <w:left w:w="108" w:type="dxa"/>
            <w:bottom w:w="0" w:type="dxa"/>
            <w:right w:w="108" w:type="dxa"/>
          </w:tblCellMar>
        </w:tblPrEx>
        <w:trPr>
          <w:trHeight w:val="452"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default" w:cs="Times New Roman"/>
                <w:color w:val="auto"/>
                <w:highlight w:val="none"/>
              </w:rPr>
            </w:pPr>
            <w:r>
              <w:rPr>
                <w:rFonts w:hint="eastAsia" w:cs="Times New Roman"/>
                <w:color w:val="auto"/>
                <w:highlight w:val="none"/>
              </w:rPr>
              <w:t>7</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保证金（人民币）：</w:t>
            </w:r>
            <w:r>
              <w:rPr>
                <w:rFonts w:hint="eastAsia"/>
                <w:color w:val="auto"/>
                <w:highlight w:val="none"/>
                <w:u w:val="single"/>
              </w:rPr>
              <w:t xml:space="preserve">    详见《第一章 竞争性谈判公告》  </w:t>
            </w:r>
          </w:p>
        </w:tc>
      </w:tr>
      <w:tr>
        <w:tblPrEx>
          <w:tblCellMar>
            <w:top w:w="0" w:type="dxa"/>
            <w:left w:w="108" w:type="dxa"/>
            <w:bottom w:w="0" w:type="dxa"/>
            <w:right w:w="108" w:type="dxa"/>
          </w:tblCellMar>
        </w:tblPrEx>
        <w:trPr>
          <w:trHeight w:val="57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default" w:cs="Times New Roman"/>
                <w:color w:val="auto"/>
                <w:highlight w:val="none"/>
              </w:rPr>
            </w:pPr>
            <w:r>
              <w:rPr>
                <w:rFonts w:hint="eastAsia" w:cs="Times New Roman"/>
                <w:color w:val="auto"/>
                <w:highlight w:val="none"/>
              </w:rPr>
              <w:t>8</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400" w:lineRule="exact"/>
              <w:ind w:left="0" w:right="0"/>
              <w:rPr>
                <w:rFonts w:hint="default" w:cs="Times New Roman"/>
                <w:b/>
                <w:color w:val="auto"/>
                <w:highlight w:val="none"/>
              </w:rPr>
            </w:pPr>
            <w:r>
              <w:rPr>
                <w:rFonts w:hint="eastAsia" w:cs="Times New Roman"/>
                <w:b/>
                <w:color w:val="auto"/>
                <w:highlight w:val="none"/>
              </w:rPr>
              <w:t>谈判时间：</w:t>
            </w:r>
            <w:r>
              <w:rPr>
                <w:rFonts w:hint="default" w:ascii="仿宋" w:hAnsi="仿宋" w:cs="宋体"/>
                <w:b/>
                <w:bCs/>
                <w:color w:val="auto"/>
                <w:kern w:val="0"/>
                <w:szCs w:val="21"/>
                <w:highlight w:val="none"/>
                <w:lang w:val="en"/>
              </w:rPr>
              <w:t>202</w:t>
            </w:r>
            <w:r>
              <w:rPr>
                <w:rFonts w:hint="eastAsia" w:ascii="仿宋" w:hAnsi="仿宋" w:cs="宋体"/>
                <w:b/>
                <w:bCs/>
                <w:color w:val="auto"/>
                <w:kern w:val="0"/>
                <w:szCs w:val="21"/>
                <w:highlight w:val="none"/>
              </w:rPr>
              <w:t>5</w:t>
            </w:r>
            <w:r>
              <w:rPr>
                <w:rFonts w:hint="default" w:ascii="仿宋" w:hAnsi="仿宋" w:cs="宋体"/>
                <w:b/>
                <w:bCs/>
                <w:color w:val="auto"/>
                <w:kern w:val="0"/>
                <w:szCs w:val="21"/>
                <w:highlight w:val="none"/>
              </w:rPr>
              <w:t>年</w:t>
            </w:r>
            <w:r>
              <w:rPr>
                <w:rFonts w:hint="eastAsia" w:ascii="仿宋" w:hAnsi="仿宋" w:cs="宋体"/>
                <w:b/>
                <w:bCs/>
                <w:color w:val="auto"/>
                <w:kern w:val="0"/>
                <w:szCs w:val="21"/>
                <w:highlight w:val="none"/>
                <w:lang w:val="en-US" w:eastAsia="zh-CN"/>
              </w:rPr>
              <w:t>12</w:t>
            </w:r>
            <w:r>
              <w:rPr>
                <w:rFonts w:hint="default" w:ascii="仿宋" w:hAnsi="仿宋" w:cs="宋体"/>
                <w:b/>
                <w:bCs/>
                <w:color w:val="auto"/>
                <w:kern w:val="0"/>
                <w:szCs w:val="21"/>
                <w:highlight w:val="none"/>
              </w:rPr>
              <w:t>月</w:t>
            </w:r>
            <w:r>
              <w:rPr>
                <w:rFonts w:hint="default" w:ascii="仿宋" w:hAnsi="仿宋" w:cs="宋体"/>
                <w:b/>
                <w:bCs/>
                <w:color w:val="auto"/>
                <w:kern w:val="0"/>
                <w:szCs w:val="21"/>
                <w:highlight w:val="none"/>
                <w:lang w:val="en" w:eastAsia="zh-CN"/>
              </w:rPr>
              <w:t>24</w:t>
            </w:r>
            <w:r>
              <w:rPr>
                <w:rFonts w:hint="default" w:ascii="仿宋" w:hAnsi="仿宋" w:cs="宋体"/>
                <w:b/>
                <w:bCs/>
                <w:color w:val="auto"/>
                <w:kern w:val="0"/>
                <w:szCs w:val="21"/>
                <w:highlight w:val="none"/>
              </w:rPr>
              <w:t>日</w:t>
            </w:r>
            <w:r>
              <w:rPr>
                <w:rFonts w:hint="eastAsia" w:cs="Times New Roman"/>
                <w:b/>
                <w:color w:val="auto"/>
                <w:highlight w:val="none"/>
              </w:rPr>
              <w:t>10时截标后（如有变更，具体变更时间由广西壮族自治区政府采购中心另行通知）</w:t>
            </w:r>
          </w:p>
          <w:p>
            <w:pPr>
              <w:pStyle w:val="127"/>
              <w:keepNext w:val="0"/>
              <w:keepLines w:val="0"/>
              <w:suppressLineNumbers w:val="0"/>
              <w:spacing w:before="0" w:beforeAutospacing="0" w:after="0" w:afterAutospacing="0" w:line="400" w:lineRule="exact"/>
              <w:ind w:left="0" w:right="0"/>
              <w:rPr>
                <w:rFonts w:hint="eastAsia" w:cs="Times New Roman"/>
                <w:color w:val="auto"/>
                <w:highlight w:val="none"/>
              </w:rPr>
            </w:pPr>
            <w:r>
              <w:rPr>
                <w:rFonts w:hint="eastAsia" w:cs="Times New Roman"/>
                <w:b/>
                <w:bCs/>
                <w:color w:val="auto"/>
                <w:highlight w:val="none"/>
              </w:rPr>
              <w:t>谈判地点：南宁市星湖路22号广西壮族自治区政府采购中心开标室</w:t>
            </w:r>
            <w:r>
              <w:rPr>
                <w:rFonts w:hint="eastAsia" w:cs="宋体"/>
                <w:color w:val="auto"/>
                <w:szCs w:val="21"/>
                <w:highlight w:val="none"/>
              </w:rPr>
              <w:t>，广西壮族自治区政府采购中心</w:t>
            </w:r>
            <w:r>
              <w:rPr>
                <w:rFonts w:hint="eastAsia" w:ascii="Calibri Light" w:hAnsi="Calibri Light" w:cs="Times New Roman"/>
                <w:color w:val="auto"/>
                <w:szCs w:val="21"/>
                <w:highlight w:val="none"/>
              </w:rPr>
              <w:t>评标室。</w:t>
            </w:r>
            <w:r>
              <w:rPr>
                <w:rFonts w:hint="eastAsia" w:cs="Times New Roman"/>
                <w:color w:val="auto"/>
                <w:highlight w:val="none"/>
              </w:rPr>
              <w:t>（</w:t>
            </w:r>
            <w:r>
              <w:rPr>
                <w:rFonts w:hint="eastAsia" w:cs="Times New Roman"/>
                <w:color w:val="auto"/>
                <w:sz w:val="22"/>
                <w:highlight w:val="none"/>
              </w:rPr>
              <w:t>本项目采用全流程电子标方式，供应商无须前往谈判地点</w:t>
            </w:r>
            <w:r>
              <w:rPr>
                <w:rFonts w:hint="eastAsia" w:cs="Times New Roman"/>
                <w:color w:val="auto"/>
                <w:highlight w:val="none"/>
              </w:rPr>
              <w:t>）</w:t>
            </w:r>
          </w:p>
        </w:tc>
      </w:tr>
      <w:tr>
        <w:tblPrEx>
          <w:tblCellMar>
            <w:top w:w="0" w:type="dxa"/>
            <w:left w:w="108" w:type="dxa"/>
            <w:bottom w:w="0" w:type="dxa"/>
            <w:right w:w="108" w:type="dxa"/>
          </w:tblCellMar>
        </w:tblPrEx>
        <w:trPr>
          <w:trHeight w:val="57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default" w:cs="Times New Roman"/>
                <w:color w:val="auto"/>
                <w:highlight w:val="none"/>
              </w:rPr>
            </w:pPr>
            <w:r>
              <w:rPr>
                <w:rFonts w:hint="eastAsia" w:cs="Times New Roman"/>
                <w:color w:val="auto"/>
                <w:highlight w:val="none"/>
              </w:rPr>
              <w:t>9</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rPr>
                <w:rFonts w:hint="default" w:cs="Times New Roman"/>
                <w:color w:val="auto"/>
                <w:highlight w:val="none"/>
              </w:rPr>
            </w:pPr>
            <w:r>
              <w:rPr>
                <w:rFonts w:hint="eastAsia" w:cs="Times New Roman"/>
                <w:b/>
                <w:bCs/>
                <w:color w:val="auto"/>
                <w:highlight w:val="none"/>
              </w:rPr>
              <w:t>评审方法：最低评标价法（详细见第六章）</w:t>
            </w:r>
          </w:p>
        </w:tc>
      </w:tr>
      <w:tr>
        <w:tblPrEx>
          <w:tblCellMar>
            <w:top w:w="0" w:type="dxa"/>
            <w:left w:w="108" w:type="dxa"/>
            <w:bottom w:w="0" w:type="dxa"/>
            <w:right w:w="108" w:type="dxa"/>
          </w:tblCellMar>
        </w:tblPrEx>
        <w:trPr>
          <w:trHeight w:val="57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eastAsia" w:cs="Times New Roman"/>
                <w:color w:val="auto"/>
                <w:highlight w:val="none"/>
              </w:rPr>
            </w:pPr>
            <w:r>
              <w:rPr>
                <w:rFonts w:hint="eastAsia" w:cs="Times New Roman"/>
                <w:color w:val="auto"/>
                <w:highlight w:val="none"/>
              </w:rPr>
              <w:t>10</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400" w:lineRule="exact"/>
              <w:ind w:left="0" w:right="0"/>
              <w:rPr>
                <w:rFonts w:hint="default" w:ascii="宋体" w:hAnsi="Times New Roman" w:cs="Times New Roman"/>
                <w:snapToGrid w:val="0"/>
                <w:color w:val="auto"/>
                <w:sz w:val="22"/>
                <w:highlight w:val="none"/>
              </w:rPr>
            </w:pPr>
            <w:r>
              <w:rPr>
                <w:rFonts w:hint="eastAsia" w:ascii="宋体" w:hAnsi="宋体" w:cs="Times New Roman"/>
                <w:color w:val="auto"/>
                <w:highlight w:val="none"/>
              </w:rPr>
              <w:t>响应文件形式：</w:t>
            </w:r>
            <w:r>
              <w:rPr>
                <w:rFonts w:hint="eastAsia" w:ascii="宋体" w:hAnsi="Times New Roman" w:cs="Times New Roman"/>
                <w:snapToGrid w:val="0"/>
                <w:color w:val="auto"/>
                <w:sz w:val="22"/>
                <w:highlight w:val="none"/>
              </w:rPr>
              <w:t>谈判供应商应准备电子响应文件。</w:t>
            </w:r>
          </w:p>
          <w:p>
            <w:pPr>
              <w:pStyle w:val="127"/>
              <w:keepNext w:val="0"/>
              <w:keepLines w:val="0"/>
              <w:suppressLineNumbers w:val="0"/>
              <w:spacing w:before="0" w:beforeAutospacing="0" w:after="0" w:afterAutospacing="0" w:line="400" w:lineRule="exact"/>
              <w:ind w:left="0" w:right="0"/>
              <w:rPr>
                <w:rFonts w:hint="eastAsia" w:cs="Times New Roman"/>
                <w:color w:val="auto"/>
                <w:highlight w:val="none"/>
              </w:rPr>
            </w:pPr>
            <w:r>
              <w:rPr>
                <w:rFonts w:hint="eastAsia" w:cs="Times New Roman"/>
                <w:snapToGrid w:val="0"/>
                <w:color w:val="auto"/>
                <w:sz w:val="22"/>
                <w:highlight w:val="none"/>
              </w:rPr>
              <w:t>电子响应文件是指通过“政采云电子</w:t>
            </w:r>
            <w:r>
              <w:rPr>
                <w:rFonts w:hint="default" w:cs="Times New Roman"/>
                <w:snapToGrid w:val="0"/>
                <w:color w:val="auto"/>
                <w:sz w:val="22"/>
                <w:highlight w:val="none"/>
                <w:lang w:val="en"/>
              </w:rPr>
              <w:t>竞标</w:t>
            </w:r>
            <w:r>
              <w:rPr>
                <w:rFonts w:hint="eastAsia" w:cs="Times New Roman"/>
                <w:snapToGrid w:val="0"/>
                <w:color w:val="auto"/>
                <w:sz w:val="22"/>
                <w:highlight w:val="none"/>
              </w:rPr>
              <w:t>客户端”完成响应文件编制后生成并加密的数据电文形式的电子加密响应文件。</w:t>
            </w:r>
          </w:p>
        </w:tc>
      </w:tr>
      <w:tr>
        <w:tblPrEx>
          <w:tblCellMar>
            <w:top w:w="0" w:type="dxa"/>
            <w:left w:w="108" w:type="dxa"/>
            <w:bottom w:w="0" w:type="dxa"/>
            <w:right w:w="108" w:type="dxa"/>
          </w:tblCellMar>
        </w:tblPrEx>
        <w:trPr>
          <w:trHeight w:val="57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eastAsia" w:cs="Times New Roman"/>
                <w:color w:val="auto"/>
                <w:highlight w:val="none"/>
              </w:rPr>
            </w:pPr>
            <w:r>
              <w:rPr>
                <w:rFonts w:hint="eastAsia" w:cs="Times New Roman"/>
                <w:color w:val="auto"/>
                <w:highlight w:val="none"/>
              </w:rPr>
              <w:t>11</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400" w:lineRule="exact"/>
              <w:ind w:left="0" w:right="0"/>
              <w:rPr>
                <w:rFonts w:hint="eastAsia" w:cs="Times New Roman"/>
                <w:color w:val="auto"/>
                <w:highlight w:val="none"/>
              </w:rPr>
            </w:pPr>
            <w:r>
              <w:rPr>
                <w:rFonts w:hint="eastAsia" w:cs="Times New Roman"/>
                <w:snapToGrid w:val="0"/>
                <w:color w:val="auto"/>
                <w:sz w:val="22"/>
                <w:highlight w:val="none"/>
              </w:rPr>
              <w:t>响应文件的编制：供应商应先安装“政采云电子</w:t>
            </w:r>
            <w:r>
              <w:rPr>
                <w:rFonts w:hint="default" w:cs="Times New Roman"/>
                <w:snapToGrid w:val="0"/>
                <w:color w:val="auto"/>
                <w:sz w:val="22"/>
                <w:highlight w:val="none"/>
                <w:lang w:val="en"/>
              </w:rPr>
              <w:t>竞标</w:t>
            </w:r>
            <w:r>
              <w:rPr>
                <w:rFonts w:hint="eastAsia" w:cs="Times New Roman"/>
                <w:snapToGrid w:val="0"/>
                <w:color w:val="auto"/>
                <w:sz w:val="22"/>
                <w:highlight w:val="none"/>
              </w:rPr>
              <w:t>客户端”，并按照本竞争性谈判文件和“广西政府采购云平台”的要求，通过“政采云电子</w:t>
            </w:r>
            <w:r>
              <w:rPr>
                <w:rFonts w:hint="default" w:cs="Times New Roman"/>
                <w:snapToGrid w:val="0"/>
                <w:color w:val="auto"/>
                <w:sz w:val="22"/>
                <w:highlight w:val="none"/>
                <w:lang w:val="en"/>
              </w:rPr>
              <w:t>竞标</w:t>
            </w:r>
            <w:r>
              <w:rPr>
                <w:rFonts w:hint="eastAsia" w:cs="Times New Roman"/>
                <w:snapToGrid w:val="0"/>
                <w:color w:val="auto"/>
                <w:sz w:val="22"/>
                <w:highlight w:val="none"/>
              </w:rPr>
              <w:t>客户端”编制并加密响应文件。</w:t>
            </w:r>
          </w:p>
        </w:tc>
      </w:tr>
      <w:tr>
        <w:tblPrEx>
          <w:tblCellMar>
            <w:top w:w="0" w:type="dxa"/>
            <w:left w:w="108" w:type="dxa"/>
            <w:bottom w:w="0" w:type="dxa"/>
            <w:right w:w="108" w:type="dxa"/>
          </w:tblCellMar>
        </w:tblPrEx>
        <w:trPr>
          <w:trHeight w:val="57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eastAsia" w:cs="Times New Roman"/>
                <w:color w:val="auto"/>
                <w:highlight w:val="none"/>
              </w:rPr>
            </w:pPr>
            <w:r>
              <w:rPr>
                <w:rFonts w:hint="eastAsia" w:cs="Times New Roman"/>
                <w:color w:val="auto"/>
                <w:highlight w:val="none"/>
              </w:rPr>
              <w:t>12</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rPr>
                <w:rFonts w:hint="eastAsia" w:cs="Times New Roman"/>
                <w:color w:val="auto"/>
                <w:highlight w:val="none"/>
              </w:rPr>
            </w:pPr>
            <w:r>
              <w:rPr>
                <w:rFonts w:hint="eastAsia" w:cs="Times New Roman"/>
                <w:snapToGrid w:val="0"/>
                <w:color w:val="auto"/>
                <w:sz w:val="22"/>
                <w:highlight w:val="none"/>
              </w:rPr>
              <w:t>响应文件的盖章：响应文件中所涉及的加盖公章均采用CA电子签章。</w:t>
            </w:r>
          </w:p>
        </w:tc>
      </w:tr>
      <w:tr>
        <w:tblPrEx>
          <w:tblCellMar>
            <w:top w:w="0" w:type="dxa"/>
            <w:left w:w="108" w:type="dxa"/>
            <w:bottom w:w="0" w:type="dxa"/>
            <w:right w:w="108" w:type="dxa"/>
          </w:tblCellMar>
        </w:tblPrEx>
        <w:trPr>
          <w:trHeight w:val="57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eastAsia" w:cs="Times New Roman"/>
                <w:color w:val="auto"/>
                <w:highlight w:val="none"/>
              </w:rPr>
            </w:pPr>
            <w:r>
              <w:rPr>
                <w:rFonts w:hint="eastAsia" w:cs="Times New Roman"/>
                <w:color w:val="auto"/>
                <w:highlight w:val="none"/>
              </w:rPr>
              <w:t>13</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400" w:lineRule="exact"/>
              <w:ind w:left="0" w:right="0"/>
              <w:rPr>
                <w:rFonts w:hint="eastAsia" w:cs="Times New Roman"/>
                <w:color w:val="auto"/>
                <w:highlight w:val="none"/>
              </w:rPr>
            </w:pPr>
            <w:r>
              <w:rPr>
                <w:rFonts w:hint="eastAsia" w:cs="Times New Roman"/>
                <w:snapToGrid w:val="0"/>
                <w:color w:val="auto"/>
                <w:sz w:val="22"/>
                <w:highlight w:val="none"/>
              </w:rPr>
              <w:t>法定代表人或其授权代表</w:t>
            </w:r>
            <w:r>
              <w:rPr>
                <w:rFonts w:hint="eastAsia" w:cs="Times New Roman"/>
                <w:snapToGrid w:val="0"/>
                <w:color w:val="auto"/>
                <w:sz w:val="22"/>
                <w:highlight w:val="none"/>
                <w:lang w:eastAsia="zh-CN"/>
              </w:rPr>
              <w:t>签字或签章</w:t>
            </w:r>
            <w:r>
              <w:rPr>
                <w:rFonts w:hint="eastAsia" w:cs="Times New Roman"/>
                <w:snapToGrid w:val="0"/>
                <w:color w:val="auto"/>
                <w:sz w:val="22"/>
                <w:highlight w:val="none"/>
              </w:rPr>
              <w:t>：本竞争性谈判文件所涉及的法定代表人或其授权代表</w:t>
            </w:r>
            <w:r>
              <w:rPr>
                <w:rFonts w:hint="eastAsia" w:cs="Times New Roman"/>
                <w:snapToGrid w:val="0"/>
                <w:color w:val="auto"/>
                <w:sz w:val="22"/>
                <w:highlight w:val="none"/>
                <w:lang w:eastAsia="zh-CN"/>
              </w:rPr>
              <w:t>签字或签章</w:t>
            </w:r>
            <w:r>
              <w:rPr>
                <w:rFonts w:hint="eastAsia" w:cs="Times New Roman"/>
                <w:snapToGrid w:val="0"/>
                <w:color w:val="auto"/>
                <w:sz w:val="22"/>
                <w:highlight w:val="none"/>
              </w:rPr>
              <w:t>的内容，如果谈判供应商没有法定代表人电子签章，涉及到法定代表人或其授权代表</w:t>
            </w:r>
            <w:r>
              <w:rPr>
                <w:rFonts w:hint="eastAsia" w:cs="Times New Roman"/>
                <w:snapToGrid w:val="0"/>
                <w:color w:val="auto"/>
                <w:sz w:val="22"/>
                <w:highlight w:val="none"/>
                <w:lang w:eastAsia="zh-CN"/>
              </w:rPr>
              <w:t>签字或签章</w:t>
            </w:r>
            <w:r>
              <w:rPr>
                <w:rFonts w:hint="eastAsia" w:cs="Times New Roman"/>
                <w:snapToGrid w:val="0"/>
                <w:color w:val="auto"/>
                <w:sz w:val="22"/>
                <w:highlight w:val="none"/>
              </w:rPr>
              <w:t>的内容，谈判供应商可以线下</w:t>
            </w:r>
            <w:r>
              <w:rPr>
                <w:rFonts w:hint="eastAsia" w:cs="Times New Roman"/>
                <w:snapToGrid w:val="0"/>
                <w:color w:val="auto"/>
                <w:sz w:val="22"/>
                <w:highlight w:val="none"/>
                <w:lang w:eastAsia="zh-CN"/>
              </w:rPr>
              <w:t>签字或签章</w:t>
            </w:r>
            <w:r>
              <w:rPr>
                <w:rFonts w:hint="eastAsia" w:cs="Times New Roman"/>
                <w:snapToGrid w:val="0"/>
                <w:color w:val="auto"/>
                <w:sz w:val="22"/>
                <w:highlight w:val="none"/>
              </w:rPr>
              <w:t>后扫描上传。</w:t>
            </w:r>
          </w:p>
        </w:tc>
      </w:tr>
      <w:tr>
        <w:tblPrEx>
          <w:tblCellMar>
            <w:top w:w="0" w:type="dxa"/>
            <w:left w:w="108" w:type="dxa"/>
            <w:bottom w:w="0" w:type="dxa"/>
            <w:right w:w="108" w:type="dxa"/>
          </w:tblCellMar>
        </w:tblPrEx>
        <w:trPr>
          <w:trHeight w:val="57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eastAsia" w:cs="Times New Roman"/>
                <w:color w:val="auto"/>
                <w:highlight w:val="none"/>
              </w:rPr>
            </w:pPr>
            <w:r>
              <w:rPr>
                <w:rFonts w:hint="eastAsia" w:cs="Times New Roman"/>
                <w:color w:val="auto"/>
                <w:highlight w:val="none"/>
              </w:rPr>
              <w:t>14</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rPr>
                <w:rFonts w:hint="eastAsia" w:cs="Times New Roman"/>
                <w:color w:val="auto"/>
                <w:highlight w:val="none"/>
              </w:rPr>
            </w:pPr>
            <w:r>
              <w:rPr>
                <w:rFonts w:hint="eastAsia" w:cs="Times New Roman"/>
                <w:snapToGrid w:val="0"/>
                <w:color w:val="auto"/>
                <w:sz w:val="22"/>
                <w:highlight w:val="none"/>
              </w:rPr>
              <w:t>响应文件份数：电子加密响应文件在线上传提交一份。</w:t>
            </w:r>
          </w:p>
        </w:tc>
      </w:tr>
      <w:tr>
        <w:tblPrEx>
          <w:tblCellMar>
            <w:top w:w="0" w:type="dxa"/>
            <w:left w:w="108" w:type="dxa"/>
            <w:bottom w:w="0" w:type="dxa"/>
            <w:right w:w="108" w:type="dxa"/>
          </w:tblCellMar>
        </w:tblPrEx>
        <w:trPr>
          <w:trHeight w:val="57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eastAsia" w:cs="Times New Roman"/>
                <w:color w:val="auto"/>
                <w:highlight w:val="none"/>
              </w:rPr>
            </w:pPr>
            <w:r>
              <w:rPr>
                <w:rFonts w:hint="eastAsia" w:cs="Times New Roman"/>
                <w:color w:val="auto"/>
                <w:highlight w:val="none"/>
              </w:rPr>
              <w:t>15</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400" w:lineRule="exact"/>
              <w:ind w:left="0" w:right="0"/>
              <w:rPr>
                <w:rFonts w:hint="eastAsia" w:cs="Times New Roman"/>
                <w:snapToGrid w:val="0"/>
                <w:color w:val="auto"/>
                <w:sz w:val="22"/>
                <w:highlight w:val="none"/>
              </w:rPr>
            </w:pPr>
            <w:r>
              <w:rPr>
                <w:rFonts w:hint="eastAsia" w:cs="Times New Roman"/>
                <w:snapToGrid w:val="0"/>
                <w:color w:val="auto"/>
                <w:sz w:val="22"/>
                <w:highlight w:val="none"/>
              </w:rPr>
              <w:t>电子加密响应文件的解密：</w:t>
            </w:r>
          </w:p>
          <w:p>
            <w:pPr>
              <w:pStyle w:val="127"/>
              <w:keepNext w:val="0"/>
              <w:keepLines w:val="0"/>
              <w:suppressLineNumbers w:val="0"/>
              <w:spacing w:before="0" w:beforeAutospacing="0" w:after="0" w:afterAutospacing="0" w:line="400" w:lineRule="exact"/>
              <w:ind w:left="0" w:right="0"/>
              <w:rPr>
                <w:rFonts w:hint="eastAsia" w:cs="Times New Roman"/>
                <w:snapToGrid w:val="0"/>
                <w:color w:val="auto"/>
                <w:sz w:val="22"/>
                <w:highlight w:val="none"/>
              </w:rPr>
            </w:pPr>
            <w:r>
              <w:rPr>
                <w:rFonts w:hint="eastAsia" w:cs="Times New Roman"/>
                <w:snapToGrid w:val="0"/>
                <w:color w:val="auto"/>
                <w:sz w:val="22"/>
                <w:highlight w:val="none"/>
              </w:rPr>
              <w:t>谈判响应文件开启后，本中心将向各参与谈判供应商发出“电子加密响应文件”的解密通知，各谈判供应商代表应当在接到解密通知后30分钟内自行完成“电子加密响应文件”的在线解密。</w:t>
            </w:r>
          </w:p>
        </w:tc>
      </w:tr>
      <w:tr>
        <w:tblPrEx>
          <w:tblCellMar>
            <w:top w:w="0" w:type="dxa"/>
            <w:left w:w="108" w:type="dxa"/>
            <w:bottom w:w="0" w:type="dxa"/>
            <w:right w:w="108" w:type="dxa"/>
          </w:tblCellMar>
        </w:tblPrEx>
        <w:trPr>
          <w:trHeight w:val="570" w:hRule="atLeast"/>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eastAsia" w:cs="Times New Roman"/>
                <w:color w:val="auto"/>
                <w:highlight w:val="none"/>
              </w:rPr>
            </w:pPr>
            <w:r>
              <w:rPr>
                <w:rFonts w:hint="eastAsia" w:cs="Times New Roman"/>
                <w:color w:val="auto"/>
                <w:highlight w:val="none"/>
              </w:rPr>
              <w:t>16</w:t>
            </w: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400" w:lineRule="exact"/>
              <w:ind w:left="0" w:right="0"/>
              <w:rPr>
                <w:rFonts w:hint="eastAsia" w:cs="Times New Roman"/>
                <w:snapToGrid w:val="0"/>
                <w:color w:val="auto"/>
                <w:sz w:val="22"/>
                <w:highlight w:val="none"/>
              </w:rPr>
            </w:pPr>
            <w:r>
              <w:rPr>
                <w:rFonts w:hint="eastAsia" w:cs="Times New Roman"/>
                <w:b/>
                <w:bCs/>
                <w:snapToGrid w:val="0"/>
                <w:color w:val="auto"/>
                <w:sz w:val="22"/>
                <w:highlight w:val="none"/>
              </w:rPr>
              <w:t>对竞争性谈判文件、采购过程或者成交结果的质疑由采购人接收或采购代理机构代为接收，由采购人负责答复。</w:t>
            </w:r>
          </w:p>
        </w:tc>
      </w:tr>
      <w:tr>
        <w:tblPrEx>
          <w:tblCellMar>
            <w:top w:w="0" w:type="dxa"/>
            <w:left w:w="108" w:type="dxa"/>
            <w:bottom w:w="0" w:type="dxa"/>
            <w:right w:w="108" w:type="dxa"/>
          </w:tblCellMar>
        </w:tblPrEx>
        <w:trPr>
          <w:trHeight w:val="5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eastAsia" w:cs="Times New Roman"/>
                <w:color w:val="auto"/>
                <w:highlight w:val="none"/>
              </w:rPr>
            </w:pP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rPr>
                <w:rFonts w:hint="eastAsia" w:cs="Times New Roman"/>
                <w:snapToGrid w:val="0"/>
                <w:color w:val="auto"/>
                <w:sz w:val="22"/>
                <w:highlight w:val="none"/>
              </w:rPr>
            </w:pPr>
            <w:r>
              <w:rPr>
                <w:rFonts w:hint="eastAsia" w:cs="Times New Roman"/>
                <w:snapToGrid w:val="0"/>
                <w:color w:val="auto"/>
                <w:sz w:val="22"/>
                <w:highlight w:val="none"/>
              </w:rPr>
              <w:t>接收质疑函方式：以书面形式。</w:t>
            </w:r>
          </w:p>
        </w:tc>
      </w:tr>
      <w:tr>
        <w:tblPrEx>
          <w:tblCellMar>
            <w:top w:w="0" w:type="dxa"/>
            <w:left w:w="108" w:type="dxa"/>
            <w:bottom w:w="0" w:type="dxa"/>
            <w:right w:w="108" w:type="dxa"/>
          </w:tblCellMar>
        </w:tblPrEx>
        <w:trPr>
          <w:trHeight w:val="5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eastAsia" w:cs="Times New Roman"/>
                <w:color w:val="auto"/>
                <w:highlight w:val="none"/>
              </w:rPr>
            </w:pP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400" w:lineRule="exact"/>
              <w:ind w:left="0" w:right="0"/>
              <w:rPr>
                <w:rFonts w:hint="eastAsia" w:cs="Times New Roman"/>
                <w:snapToGrid w:val="0"/>
                <w:color w:val="auto"/>
                <w:sz w:val="22"/>
                <w:highlight w:val="none"/>
              </w:rPr>
            </w:pPr>
            <w:r>
              <w:rPr>
                <w:rFonts w:hint="eastAsia" w:cs="Times New Roman"/>
                <w:snapToGrid w:val="0"/>
                <w:color w:val="auto"/>
                <w:sz w:val="22"/>
                <w:highlight w:val="none"/>
              </w:rPr>
              <w:t>质疑联系部门及联系方式：</w:t>
            </w:r>
          </w:p>
          <w:p>
            <w:pPr>
              <w:pStyle w:val="127"/>
              <w:keepNext w:val="0"/>
              <w:keepLines w:val="0"/>
              <w:suppressLineNumbers w:val="0"/>
              <w:spacing w:before="0" w:beforeAutospacing="0" w:after="0" w:afterAutospacing="0" w:line="400" w:lineRule="exact"/>
              <w:ind w:left="0" w:right="0"/>
              <w:rPr>
                <w:rFonts w:hint="eastAsia" w:cs="Times New Roman"/>
                <w:b w:val="0"/>
                <w:bCs w:val="0"/>
                <w:snapToGrid w:val="0"/>
                <w:color w:val="auto"/>
                <w:sz w:val="22"/>
                <w:highlight w:val="none"/>
              </w:rPr>
            </w:pPr>
            <w:r>
              <w:rPr>
                <w:rFonts w:hint="eastAsia" w:cs="Times New Roman"/>
                <w:b w:val="0"/>
                <w:bCs w:val="0"/>
                <w:snapToGrid w:val="0"/>
                <w:color w:val="auto"/>
                <w:sz w:val="22"/>
                <w:highlight w:val="none"/>
              </w:rPr>
              <w:t xml:space="preserve">（1）广西壮族自治区政府采购中心内审科     </w:t>
            </w:r>
          </w:p>
          <w:p>
            <w:pPr>
              <w:pStyle w:val="127"/>
              <w:keepNext w:val="0"/>
              <w:keepLines w:val="0"/>
              <w:suppressLineNumbers w:val="0"/>
              <w:spacing w:before="0" w:beforeAutospacing="0" w:after="0" w:afterAutospacing="0" w:line="400" w:lineRule="exact"/>
              <w:ind w:left="0" w:right="0"/>
              <w:rPr>
                <w:rFonts w:hint="eastAsia" w:cs="Times New Roman"/>
                <w:b w:val="0"/>
                <w:bCs w:val="0"/>
                <w:snapToGrid w:val="0"/>
                <w:color w:val="auto"/>
                <w:sz w:val="22"/>
                <w:highlight w:val="none"/>
              </w:rPr>
            </w:pPr>
            <w:r>
              <w:rPr>
                <w:rFonts w:hint="eastAsia" w:cs="Times New Roman"/>
                <w:b w:val="0"/>
                <w:bCs w:val="0"/>
                <w:snapToGrid w:val="0"/>
                <w:color w:val="auto"/>
                <w:sz w:val="22"/>
                <w:highlight w:val="none"/>
              </w:rPr>
              <w:t>电话：0771-8600453</w:t>
            </w:r>
          </w:p>
          <w:p>
            <w:pPr>
              <w:pStyle w:val="127"/>
              <w:keepNext w:val="0"/>
              <w:keepLines w:val="0"/>
              <w:suppressLineNumbers w:val="0"/>
              <w:spacing w:before="0" w:beforeAutospacing="0" w:after="0" w:afterAutospacing="0" w:line="400" w:lineRule="exact"/>
              <w:ind w:left="0" w:right="0"/>
              <w:rPr>
                <w:rFonts w:hint="eastAsia" w:cs="Times New Roman"/>
                <w:b w:val="0"/>
                <w:bCs w:val="0"/>
                <w:snapToGrid w:val="0"/>
                <w:color w:val="auto"/>
                <w:sz w:val="22"/>
                <w:highlight w:val="none"/>
              </w:rPr>
            </w:pPr>
            <w:r>
              <w:rPr>
                <w:rFonts w:hint="eastAsia" w:cs="Times New Roman"/>
                <w:b w:val="0"/>
                <w:bCs w:val="0"/>
                <w:snapToGrid w:val="0"/>
                <w:color w:val="auto"/>
                <w:sz w:val="22"/>
                <w:highlight w:val="none"/>
              </w:rPr>
              <w:t>地址：广西南宁市星湖路22号</w:t>
            </w:r>
          </w:p>
          <w:p>
            <w:pPr>
              <w:pStyle w:val="127"/>
              <w:keepNext w:val="0"/>
              <w:keepLines w:val="0"/>
              <w:suppressLineNumbers w:val="0"/>
              <w:spacing w:before="0" w:beforeAutospacing="0" w:after="0" w:afterAutospacing="0" w:line="400" w:lineRule="exact"/>
              <w:ind w:left="0" w:right="0"/>
              <w:rPr>
                <w:rFonts w:hint="eastAsia" w:eastAsia="宋体" w:cs="Times New Roman"/>
                <w:b/>
                <w:bCs/>
                <w:snapToGrid w:val="0"/>
                <w:color w:val="auto"/>
                <w:sz w:val="22"/>
                <w:highlight w:val="none"/>
                <w:lang w:val="en" w:eastAsia="zh-CN"/>
              </w:rPr>
            </w:pPr>
            <w:r>
              <w:rPr>
                <w:rFonts w:hint="default" w:cs="Times New Roman"/>
                <w:b/>
                <w:bCs/>
                <w:snapToGrid w:val="0"/>
                <w:color w:val="auto"/>
                <w:sz w:val="22"/>
                <w:highlight w:val="none"/>
                <w:lang w:val="en"/>
              </w:rPr>
              <w:t>采购单位名称：</w:t>
            </w:r>
            <w:r>
              <w:rPr>
                <w:rFonts w:hint="eastAsia" w:cs="Times New Roman"/>
                <w:b/>
                <w:bCs/>
                <w:snapToGrid w:val="0"/>
                <w:color w:val="auto"/>
                <w:sz w:val="22"/>
                <w:highlight w:val="none"/>
                <w:lang w:val="en" w:eastAsia="zh-CN"/>
              </w:rPr>
              <w:t>广西艺术学院</w:t>
            </w:r>
          </w:p>
          <w:p>
            <w:pPr>
              <w:pStyle w:val="127"/>
              <w:keepNext w:val="0"/>
              <w:keepLines w:val="0"/>
              <w:suppressLineNumbers w:val="0"/>
              <w:spacing w:before="0" w:beforeAutospacing="0" w:after="0" w:afterAutospacing="0" w:line="400" w:lineRule="exact"/>
              <w:ind w:left="0" w:right="0"/>
              <w:rPr>
                <w:rFonts w:hint="default" w:eastAsia="宋体" w:cs="Times New Roman"/>
                <w:b/>
                <w:bCs/>
                <w:snapToGrid w:val="0"/>
                <w:color w:val="auto"/>
                <w:sz w:val="22"/>
                <w:highlight w:val="none"/>
                <w:lang w:val="en" w:eastAsia="zh-CN"/>
              </w:rPr>
            </w:pPr>
            <w:r>
              <w:rPr>
                <w:rFonts w:hint="eastAsia" w:cs="Times New Roman"/>
                <w:b/>
                <w:bCs/>
                <w:snapToGrid w:val="0"/>
                <w:color w:val="auto"/>
                <w:sz w:val="22"/>
                <w:highlight w:val="none"/>
              </w:rPr>
              <w:t>电话：</w:t>
            </w:r>
            <w:r>
              <w:rPr>
                <w:rFonts w:hint="eastAsia" w:cs="Times New Roman"/>
                <w:b/>
                <w:bCs/>
                <w:snapToGrid w:val="0"/>
                <w:color w:val="auto"/>
                <w:sz w:val="22"/>
                <w:highlight w:val="none"/>
                <w:lang w:val="en-US" w:eastAsia="zh-CN"/>
              </w:rPr>
              <w:t>0771-5317987</w:t>
            </w:r>
            <w:r>
              <w:rPr>
                <w:rFonts w:hint="default" w:cs="Times New Roman"/>
                <w:b/>
                <w:bCs/>
                <w:snapToGrid w:val="0"/>
                <w:color w:val="auto"/>
                <w:sz w:val="22"/>
                <w:highlight w:val="none"/>
                <w:lang w:val="en"/>
              </w:rPr>
              <w:t xml:space="preserve"> </w:t>
            </w:r>
          </w:p>
          <w:p>
            <w:pPr>
              <w:pStyle w:val="127"/>
              <w:keepNext w:val="0"/>
              <w:keepLines w:val="0"/>
              <w:suppressLineNumbers w:val="0"/>
              <w:spacing w:before="0" w:beforeAutospacing="0" w:after="0" w:afterAutospacing="0" w:line="400" w:lineRule="exact"/>
              <w:ind w:left="0" w:right="0"/>
              <w:rPr>
                <w:rFonts w:hint="default" w:cs="Times New Roman"/>
                <w:snapToGrid w:val="0"/>
                <w:color w:val="auto"/>
                <w:sz w:val="22"/>
                <w:highlight w:val="none"/>
                <w:lang w:val="en"/>
              </w:rPr>
            </w:pPr>
            <w:r>
              <w:rPr>
                <w:rFonts w:hint="eastAsia" w:cs="Times New Roman"/>
                <w:b/>
                <w:bCs/>
                <w:snapToGrid w:val="0"/>
                <w:color w:val="auto"/>
                <w:sz w:val="22"/>
                <w:highlight w:val="none"/>
              </w:rPr>
              <w:t>地址：</w:t>
            </w:r>
            <w:r>
              <w:rPr>
                <w:rFonts w:hint="eastAsia" w:cs="宋体"/>
                <w:b/>
                <w:bCs/>
                <w:color w:val="auto"/>
                <w:kern w:val="0"/>
                <w:szCs w:val="21"/>
                <w:highlight w:val="none"/>
                <w:lang w:val="en-US" w:eastAsia="zh-CN"/>
              </w:rPr>
              <w:t>南宁市教育路7号</w:t>
            </w:r>
            <w:r>
              <w:rPr>
                <w:rFonts w:hint="default" w:cs="Times New Roman"/>
                <w:b/>
                <w:bCs/>
                <w:snapToGrid w:val="0"/>
                <w:color w:val="auto"/>
                <w:sz w:val="22"/>
                <w:highlight w:val="none"/>
                <w:lang w:val="en" w:eastAsia="zh-CN"/>
              </w:rPr>
              <w:t xml:space="preserve"> </w:t>
            </w:r>
          </w:p>
        </w:tc>
      </w:tr>
      <w:tr>
        <w:tblPrEx>
          <w:tblCellMar>
            <w:top w:w="0" w:type="dxa"/>
            <w:left w:w="108" w:type="dxa"/>
            <w:bottom w:w="0" w:type="dxa"/>
            <w:right w:w="108" w:type="dxa"/>
          </w:tblCellMar>
        </w:tblPrEx>
        <w:trPr>
          <w:trHeight w:val="570" w:hRule="atLeas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320" w:lineRule="exact"/>
              <w:ind w:left="0" w:right="0"/>
              <w:jc w:val="center"/>
              <w:rPr>
                <w:rFonts w:hint="eastAsia" w:cs="Times New Roman"/>
                <w:color w:val="auto"/>
                <w:highlight w:val="none"/>
              </w:rPr>
            </w:pPr>
          </w:p>
        </w:tc>
        <w:tc>
          <w:tcPr>
            <w:tcW w:w="8855" w:type="dxa"/>
            <w:tcBorders>
              <w:top w:val="single" w:color="000000" w:sz="4" w:space="0"/>
              <w:left w:val="single" w:color="000000" w:sz="4" w:space="0"/>
              <w:bottom w:val="single" w:color="000000" w:sz="4" w:space="0"/>
              <w:right w:val="single" w:color="000000" w:sz="4" w:space="0"/>
            </w:tcBorders>
            <w:noWrap w:val="0"/>
            <w:vAlign w:val="center"/>
          </w:tcPr>
          <w:p>
            <w:pPr>
              <w:pStyle w:val="127"/>
              <w:keepNext w:val="0"/>
              <w:keepLines w:val="0"/>
              <w:suppressLineNumbers w:val="0"/>
              <w:spacing w:before="0" w:beforeAutospacing="0" w:after="0" w:afterAutospacing="0" w:line="400" w:lineRule="exact"/>
              <w:ind w:left="0" w:right="0"/>
              <w:rPr>
                <w:rFonts w:hint="eastAsia" w:cs="Times New Roman"/>
                <w:snapToGrid w:val="0"/>
                <w:color w:val="auto"/>
                <w:sz w:val="22"/>
                <w:highlight w:val="none"/>
              </w:rPr>
            </w:pPr>
            <w:r>
              <w:rPr>
                <w:rFonts w:hint="eastAsia" w:cs="Times New Roman"/>
                <w:snapToGrid w:val="0"/>
                <w:color w:val="auto"/>
                <w:sz w:val="22"/>
                <w:highlight w:val="none"/>
              </w:rPr>
              <w:t>现场提交质疑办理业务时间：质疑期内每个工作日采购人或采购代理机构正常工作时间（其中采购代理机构为9：00-12：00，14：00-17：00）</w:t>
            </w:r>
          </w:p>
        </w:tc>
      </w:tr>
    </w:tbl>
    <w:p>
      <w:pPr>
        <w:spacing w:line="400" w:lineRule="exact"/>
        <w:jc w:val="center"/>
        <w:rPr>
          <w:rFonts w:ascii="仿宋_GB2312" w:hAnsi="仿宋_GB2312" w:eastAsia="仿宋_GB2312"/>
          <w:b/>
          <w:color w:val="auto"/>
          <w:sz w:val="32"/>
          <w:szCs w:val="32"/>
          <w:highlight w:val="none"/>
        </w:rPr>
      </w:pPr>
    </w:p>
    <w:p>
      <w:pPr>
        <w:pageBreakBefore/>
        <w:spacing w:line="600" w:lineRule="exact"/>
        <w:jc w:val="center"/>
        <w:rPr>
          <w:rFonts w:ascii="仿宋_GB2312" w:hAnsi="仿宋_GB2312" w:eastAsia="仿宋_GB2312"/>
          <w:b/>
          <w:color w:val="auto"/>
          <w:sz w:val="32"/>
          <w:szCs w:val="32"/>
          <w:highlight w:val="none"/>
        </w:rPr>
      </w:pPr>
      <w:r>
        <w:rPr>
          <w:rFonts w:hint="eastAsia" w:ascii="仿宋_GB2312" w:hAnsi="仿宋_GB2312" w:eastAsia="仿宋_GB2312"/>
          <w:b/>
          <w:color w:val="auto"/>
          <w:sz w:val="32"/>
          <w:szCs w:val="32"/>
          <w:highlight w:val="none"/>
        </w:rPr>
        <w:t>谈判供应商须知</w:t>
      </w:r>
    </w:p>
    <w:p>
      <w:pPr>
        <w:spacing w:line="400" w:lineRule="exact"/>
        <w:rPr>
          <w:rFonts w:ascii="仿宋_GB2312" w:hAnsi="仿宋_GB2312" w:eastAsia="仿宋_GB2312"/>
          <w:color w:val="auto"/>
          <w:szCs w:val="21"/>
          <w:highlight w:val="none"/>
        </w:rPr>
      </w:pPr>
    </w:p>
    <w:p>
      <w:pPr>
        <w:spacing w:line="380" w:lineRule="exact"/>
        <w:ind w:firstLine="422"/>
        <w:rPr>
          <w:rFonts w:ascii="宋体" w:hAnsi="宋体"/>
          <w:b/>
          <w:color w:val="auto"/>
          <w:szCs w:val="21"/>
          <w:highlight w:val="none"/>
        </w:rPr>
      </w:pPr>
      <w:r>
        <w:rPr>
          <w:rFonts w:hint="eastAsia" w:ascii="宋体" w:hAnsi="宋体"/>
          <w:b/>
          <w:color w:val="auto"/>
          <w:szCs w:val="21"/>
          <w:highlight w:val="none"/>
        </w:rPr>
        <w:t>一、总　则</w:t>
      </w:r>
    </w:p>
    <w:p>
      <w:pPr>
        <w:spacing w:line="380" w:lineRule="exact"/>
        <w:ind w:firstLine="420"/>
        <w:rPr>
          <w:rFonts w:ascii="宋体" w:hAnsi="宋体"/>
          <w:color w:val="auto"/>
          <w:szCs w:val="21"/>
          <w:highlight w:val="none"/>
        </w:rPr>
      </w:pPr>
      <w:r>
        <w:rPr>
          <w:rFonts w:hint="eastAsia" w:ascii="宋体" w:hAnsi="宋体"/>
          <w:color w:val="auto"/>
          <w:szCs w:val="21"/>
          <w:highlight w:val="none"/>
        </w:rPr>
        <w:t>1. 适用范围</w:t>
      </w:r>
    </w:p>
    <w:p>
      <w:pPr>
        <w:spacing w:line="38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1.1项目名称：</w:t>
      </w:r>
      <w:r>
        <w:rPr>
          <w:rFonts w:hint="eastAsia"/>
          <w:color w:val="auto"/>
          <w:highlight w:val="none"/>
        </w:rPr>
        <w:t>广西艺术学院教学设备采购</w:t>
      </w:r>
      <w:r>
        <w:rPr>
          <w:rFonts w:hint="eastAsia"/>
          <w:color w:val="auto"/>
          <w:highlight w:val="none"/>
          <w:lang w:eastAsia="zh-CN"/>
        </w:rPr>
        <w:t>（二）</w:t>
      </w:r>
    </w:p>
    <w:p>
      <w:pPr>
        <w:spacing w:line="380" w:lineRule="exact"/>
        <w:ind w:firstLine="420"/>
        <w:rPr>
          <w:rFonts w:ascii="宋体" w:hAnsi="宋体"/>
          <w:color w:val="auto"/>
          <w:szCs w:val="21"/>
          <w:highlight w:val="none"/>
        </w:rPr>
      </w:pPr>
      <w:r>
        <w:rPr>
          <w:rFonts w:hint="eastAsia" w:ascii="宋体" w:hAnsi="宋体"/>
          <w:color w:val="auto"/>
          <w:szCs w:val="21"/>
          <w:highlight w:val="none"/>
        </w:rPr>
        <w:t>本文件仅适用于本文件中所叙述的货物类政府采购项目。</w:t>
      </w:r>
    </w:p>
    <w:p>
      <w:pPr>
        <w:spacing w:line="380" w:lineRule="exact"/>
        <w:ind w:firstLine="420"/>
        <w:rPr>
          <w:rFonts w:ascii="宋体" w:hAnsi="宋体"/>
          <w:color w:val="auto"/>
          <w:szCs w:val="21"/>
          <w:highlight w:val="none"/>
        </w:rPr>
      </w:pPr>
      <w:r>
        <w:rPr>
          <w:rFonts w:hint="eastAsia" w:ascii="宋体" w:hAnsi="宋体"/>
          <w:color w:val="auto"/>
          <w:szCs w:val="21"/>
          <w:highlight w:val="none"/>
        </w:rPr>
        <w:t>2. 定义</w:t>
      </w:r>
    </w:p>
    <w:p>
      <w:pPr>
        <w:spacing w:line="380" w:lineRule="exact"/>
        <w:ind w:firstLine="420"/>
        <w:rPr>
          <w:rFonts w:hint="default" w:eastAsia="宋体"/>
          <w:color w:val="auto"/>
          <w:highlight w:val="none"/>
          <w:lang w:val="en" w:eastAsia="zh-CN"/>
        </w:rPr>
      </w:pPr>
      <w:r>
        <w:rPr>
          <w:rFonts w:hint="eastAsia" w:ascii="宋体" w:hAnsi="宋体"/>
          <w:color w:val="auto"/>
          <w:szCs w:val="21"/>
          <w:highlight w:val="none"/>
        </w:rPr>
        <w:t>2.1“采购人”是指：</w:t>
      </w:r>
      <w:r>
        <w:rPr>
          <w:rFonts w:hint="eastAsia" w:cs="宋体"/>
          <w:b w:val="0"/>
          <w:color w:val="auto"/>
          <w:kern w:val="0"/>
          <w:szCs w:val="21"/>
          <w:highlight w:val="none"/>
          <w:lang w:val="en-US" w:eastAsia="zh-CN"/>
        </w:rPr>
        <w:t>广西艺术学院</w:t>
      </w:r>
      <w:r>
        <w:rPr>
          <w:rFonts w:hint="eastAsia" w:cs="宋体"/>
          <w:b w:val="0"/>
          <w:color w:val="auto"/>
          <w:kern w:val="0"/>
          <w:szCs w:val="21"/>
          <w:highlight w:val="none"/>
          <w:lang w:val="en" w:eastAsia="zh-CN"/>
        </w:rPr>
        <w:t>。</w:t>
      </w:r>
    </w:p>
    <w:p>
      <w:pPr>
        <w:spacing w:line="380" w:lineRule="exact"/>
        <w:ind w:firstLine="420"/>
        <w:rPr>
          <w:rFonts w:ascii="宋体" w:hAnsi="宋体"/>
          <w:color w:val="auto"/>
          <w:szCs w:val="21"/>
          <w:highlight w:val="none"/>
        </w:rPr>
      </w:pPr>
      <w:r>
        <w:rPr>
          <w:rFonts w:hint="eastAsia" w:ascii="宋体" w:hAnsi="宋体"/>
          <w:color w:val="auto"/>
          <w:szCs w:val="21"/>
          <w:highlight w:val="none"/>
        </w:rPr>
        <w:t>2.2“采购代理机构”是指：</w:t>
      </w:r>
      <w:r>
        <w:rPr>
          <w:rFonts w:hint="eastAsia"/>
          <w:color w:val="auto"/>
          <w:highlight w:val="none"/>
        </w:rPr>
        <w:t>广西壮族自治区政府采购中心(以下简称“本中心”)。</w:t>
      </w:r>
    </w:p>
    <w:p>
      <w:pPr>
        <w:spacing w:line="380" w:lineRule="exact"/>
        <w:ind w:firstLine="420"/>
        <w:rPr>
          <w:rFonts w:ascii="宋体" w:hAnsi="宋体"/>
          <w:color w:val="auto"/>
          <w:szCs w:val="21"/>
          <w:highlight w:val="none"/>
        </w:rPr>
      </w:pPr>
      <w:r>
        <w:rPr>
          <w:rFonts w:hint="eastAsia" w:ascii="宋体" w:hAnsi="宋体"/>
          <w:color w:val="auto"/>
          <w:szCs w:val="21"/>
          <w:highlight w:val="none"/>
        </w:rPr>
        <w:t>2.3“谈判供应商”是指响应本文件要求，参加谈判的法人或者其他组织和自然人。如果该供应商在本次谈判中成交,即成为“成交供应商”。</w:t>
      </w:r>
    </w:p>
    <w:p>
      <w:pPr>
        <w:spacing w:line="380" w:lineRule="exact"/>
        <w:ind w:firstLine="420"/>
        <w:rPr>
          <w:rFonts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pPr>
        <w:spacing w:line="380" w:lineRule="exact"/>
        <w:ind w:firstLine="420"/>
        <w:rPr>
          <w:rFonts w:ascii="宋体" w:hAnsi="宋体"/>
          <w:color w:val="auto"/>
          <w:szCs w:val="21"/>
          <w:highlight w:val="none"/>
        </w:rPr>
      </w:pPr>
      <w:r>
        <w:rPr>
          <w:rFonts w:hint="eastAsia" w:ascii="宋体" w:hAnsi="宋体"/>
          <w:color w:val="auto"/>
          <w:szCs w:val="21"/>
          <w:highlight w:val="none"/>
        </w:rPr>
        <w:t>2.5“服务”是指除货物和工程以外的其他政府采购对象。</w:t>
      </w:r>
    </w:p>
    <w:p>
      <w:pPr>
        <w:spacing w:line="380" w:lineRule="exact"/>
        <w:ind w:firstLine="420"/>
        <w:rPr>
          <w:rFonts w:ascii="宋体" w:hAnsi="宋体"/>
          <w:color w:val="auto"/>
          <w:szCs w:val="21"/>
          <w:highlight w:val="none"/>
        </w:rPr>
      </w:pPr>
      <w:r>
        <w:rPr>
          <w:rFonts w:hint="eastAsia" w:ascii="宋体" w:hAnsi="宋体"/>
          <w:color w:val="auto"/>
          <w:szCs w:val="21"/>
          <w:highlight w:val="none"/>
        </w:rPr>
        <w:t>2.6“竞争性谈判响应文件”是指：供应商根据本文件要求，编制包含报价、技术和服务等所有内容的文件。</w:t>
      </w:r>
    </w:p>
    <w:p>
      <w:pPr>
        <w:spacing w:line="380" w:lineRule="exact"/>
        <w:ind w:firstLine="422"/>
        <w:rPr>
          <w:rFonts w:ascii="宋体" w:hAnsi="宋体"/>
          <w:b/>
          <w:color w:val="auto"/>
          <w:szCs w:val="21"/>
          <w:highlight w:val="none"/>
          <w:u w:val="single"/>
        </w:rPr>
      </w:pPr>
      <w:r>
        <w:rPr>
          <w:rFonts w:hint="eastAsia" w:ascii="宋体" w:hAnsi="宋体"/>
          <w:b/>
          <w:color w:val="auto"/>
          <w:szCs w:val="21"/>
          <w:highlight w:val="none"/>
        </w:rPr>
        <w:t>3. 谈判供应商资格：</w:t>
      </w:r>
      <w:r>
        <w:rPr>
          <w:rFonts w:hint="eastAsia" w:ascii="宋体" w:hAnsi="宋体"/>
          <w:b/>
          <w:color w:val="auto"/>
          <w:szCs w:val="21"/>
          <w:highlight w:val="none"/>
          <w:u w:val="single"/>
        </w:rPr>
        <w:t xml:space="preserve">   </w:t>
      </w:r>
      <w:r>
        <w:rPr>
          <w:rFonts w:hint="eastAsia"/>
          <w:color w:val="auto"/>
          <w:highlight w:val="none"/>
          <w:u w:val="single"/>
        </w:rPr>
        <w:t>详见《第一章 竞争性谈判公告》  。</w:t>
      </w:r>
    </w:p>
    <w:p>
      <w:pPr>
        <w:spacing w:line="380" w:lineRule="exact"/>
        <w:ind w:firstLine="413"/>
        <w:rPr>
          <w:rFonts w:ascii="宋体" w:hAnsi="宋体"/>
          <w:b/>
          <w:color w:val="auto"/>
          <w:szCs w:val="21"/>
          <w:highlight w:val="none"/>
        </w:rPr>
      </w:pPr>
      <w:r>
        <w:rPr>
          <w:rFonts w:hint="eastAsia" w:ascii="宋体" w:hAnsi="宋体"/>
          <w:b/>
          <w:color w:val="auto"/>
          <w:szCs w:val="21"/>
          <w:highlight w:val="none"/>
        </w:rPr>
        <w:t>4. 谈判费用、竞争性谈判公告、竞争性谈判文件的澄清和修改</w:t>
      </w:r>
    </w:p>
    <w:p>
      <w:pPr>
        <w:spacing w:line="380" w:lineRule="exact"/>
        <w:ind w:firstLine="420"/>
        <w:rPr>
          <w:rFonts w:ascii="宋体" w:hAnsi="宋体"/>
          <w:color w:val="auto"/>
          <w:szCs w:val="21"/>
          <w:highlight w:val="none"/>
        </w:rPr>
      </w:pPr>
      <w:r>
        <w:rPr>
          <w:rFonts w:hint="eastAsia" w:ascii="宋体" w:hAnsi="宋体"/>
          <w:color w:val="auto"/>
          <w:szCs w:val="21"/>
          <w:highlight w:val="none"/>
        </w:rPr>
        <w:t>4.1谈判费用：谈判供应商应自行承担所有与编写和提交竞争性谈判响应文件有关的费用，不论谈判结果如何，采购人和</w:t>
      </w:r>
      <w:r>
        <w:rPr>
          <w:rFonts w:hint="eastAsia" w:ascii="宋体" w:hAnsi="宋体"/>
          <w:color w:val="auto"/>
          <w:highlight w:val="none"/>
        </w:rPr>
        <w:t>本中心</w:t>
      </w:r>
      <w:r>
        <w:rPr>
          <w:rFonts w:hint="eastAsia" w:ascii="宋体" w:hAnsi="宋体"/>
          <w:color w:val="auto"/>
          <w:szCs w:val="21"/>
          <w:highlight w:val="none"/>
        </w:rPr>
        <w:t>在任何情况下无义务和责任承担此类费用。</w:t>
      </w:r>
    </w:p>
    <w:p>
      <w:pPr>
        <w:pStyle w:val="22"/>
        <w:spacing w:line="380" w:lineRule="exact"/>
        <w:ind w:firstLine="420"/>
        <w:rPr>
          <w:color w:val="auto"/>
          <w:highlight w:val="none"/>
        </w:rPr>
      </w:pPr>
      <w:r>
        <w:rPr>
          <w:rFonts w:hint="eastAsia"/>
          <w:color w:val="auto"/>
          <w:highlight w:val="none"/>
        </w:rPr>
        <w:t>4.2竞争性谈判公告：</w:t>
      </w:r>
      <w:r>
        <w:rPr>
          <w:rFonts w:hint="eastAsia"/>
          <w:color w:val="auto"/>
          <w:highlight w:val="none"/>
          <w:u w:val="single"/>
        </w:rPr>
        <w:t>见中国政府采购网(</w:t>
      </w:r>
      <w:r>
        <w:rPr>
          <w:color w:val="auto"/>
          <w:highlight w:val="none"/>
          <w:u w:val="single"/>
        </w:rPr>
        <w:fldChar w:fldCharType="begin"/>
      </w:r>
      <w:r>
        <w:rPr>
          <w:color w:val="auto"/>
          <w:highlight w:val="none"/>
          <w:u w:val="single"/>
        </w:rPr>
        <w:instrText xml:space="preserve"> HYPERLINK "http://www.ccgp.gov.cn" </w:instrText>
      </w:r>
      <w:r>
        <w:rPr>
          <w:color w:val="auto"/>
          <w:highlight w:val="none"/>
          <w:u w:val="single"/>
        </w:rPr>
        <w:fldChar w:fldCharType="separate"/>
      </w:r>
      <w:r>
        <w:rPr>
          <w:color w:val="auto"/>
          <w:highlight w:val="none"/>
          <w:u w:val="single"/>
        </w:rPr>
        <w:t>www.ccgp.gov.cn</w:t>
      </w:r>
      <w:r>
        <w:rPr>
          <w:color w:val="auto"/>
          <w:highlight w:val="none"/>
        </w:rPr>
        <w:fldChar w:fldCharType="end"/>
      </w:r>
      <w:r>
        <w:rPr>
          <w:rFonts w:hint="eastAsia"/>
          <w:color w:val="auto"/>
          <w:highlight w:val="none"/>
        </w:rPr>
        <w:t>)、广西壮族自治区政府采购网（</w:t>
      </w:r>
      <w:r>
        <w:rPr>
          <w:color w:val="auto"/>
          <w:highlight w:val="none"/>
        </w:rPr>
        <w:t>zfcg.gxzf.gov.cn</w:t>
      </w:r>
      <w:r>
        <w:rPr>
          <w:rFonts w:hint="eastAsia"/>
          <w:color w:val="auto"/>
          <w:highlight w:val="none"/>
        </w:rPr>
        <w:t>）及本中心网站（</w:t>
      </w:r>
      <w:r>
        <w:rPr>
          <w:color w:val="auto"/>
          <w:highlight w:val="none"/>
          <w:lang w:val="en"/>
        </w:rPr>
        <w:t>gxggzy.gxzf.gov.cn</w:t>
      </w:r>
      <w:r>
        <w:rPr>
          <w:rFonts w:hint="eastAsia"/>
          <w:color w:val="auto"/>
          <w:highlight w:val="none"/>
        </w:rPr>
        <w:t>）。</w:t>
      </w:r>
    </w:p>
    <w:p>
      <w:pPr>
        <w:spacing w:line="380" w:lineRule="exact"/>
        <w:ind w:firstLine="420"/>
        <w:rPr>
          <w:rFonts w:ascii="宋体" w:hAnsi="宋体"/>
          <w:color w:val="auto"/>
          <w:highlight w:val="none"/>
        </w:rPr>
      </w:pPr>
      <w:r>
        <w:rPr>
          <w:rFonts w:hint="eastAsia" w:ascii="宋体" w:hAnsi="宋体"/>
          <w:color w:val="auto"/>
          <w:szCs w:val="21"/>
          <w:highlight w:val="none"/>
        </w:rPr>
        <w:t>4.3竞争性</w:t>
      </w:r>
      <w:r>
        <w:rPr>
          <w:rFonts w:hint="eastAsia" w:ascii="宋体" w:hAnsi="宋体"/>
          <w:color w:val="auto"/>
          <w:highlight w:val="none"/>
        </w:rPr>
        <w:t>谈判文件的澄清和修改：</w:t>
      </w:r>
    </w:p>
    <w:p>
      <w:pPr>
        <w:pStyle w:val="22"/>
        <w:spacing w:line="380" w:lineRule="exact"/>
        <w:ind w:firstLine="420"/>
        <w:rPr>
          <w:color w:val="auto"/>
          <w:highlight w:val="none"/>
        </w:rPr>
      </w:pPr>
      <w:r>
        <w:rPr>
          <w:rFonts w:hint="eastAsia"/>
          <w:color w:val="auto"/>
          <w:highlight w:val="none"/>
        </w:rPr>
        <w:t>4.3.1</w:t>
      </w:r>
      <w:r>
        <w:rPr>
          <w:rFonts w:hint="eastAsia"/>
          <w:bCs/>
          <w:color w:val="auto"/>
          <w:highlight w:val="none"/>
        </w:rPr>
        <w:t>谈判供应商应认真审核《采购需求》中的技术参数、配置及要求，如发现表中技术参数、配置有误或要求不合理的，谈判供应商必须在规定的时间前要求澄清，否则，由此产生的后果由谈判供应商负责。</w:t>
      </w:r>
    </w:p>
    <w:p>
      <w:pPr>
        <w:pStyle w:val="22"/>
        <w:spacing w:line="380" w:lineRule="exact"/>
        <w:ind w:firstLine="420"/>
        <w:rPr>
          <w:color w:val="auto"/>
          <w:highlight w:val="none"/>
        </w:rPr>
      </w:pPr>
      <w:r>
        <w:rPr>
          <w:rFonts w:hint="eastAsia"/>
          <w:color w:val="auto"/>
          <w:highlight w:val="none"/>
        </w:rPr>
        <w:t>4.3.2任何要求澄清竞争性谈判文件的谈判供应商，均应在响应文件提交截止日期三日前的正常工作时间以传真等书面形式通知本中心，同时认定其他澄清方式为无效。本中心将以书面形式予以答复。</w:t>
      </w:r>
    </w:p>
    <w:p>
      <w:pPr>
        <w:pStyle w:val="22"/>
        <w:spacing w:line="380" w:lineRule="exact"/>
        <w:ind w:firstLine="420"/>
        <w:rPr>
          <w:color w:val="auto"/>
          <w:highlight w:val="none"/>
        </w:rPr>
      </w:pPr>
      <w:r>
        <w:rPr>
          <w:rFonts w:hint="eastAsia"/>
          <w:color w:val="auto"/>
          <w:szCs w:val="20"/>
          <w:highlight w:val="none"/>
        </w:rPr>
        <w:t>4.3.3</w:t>
      </w:r>
      <w:r>
        <w:rPr>
          <w:rFonts w:hint="eastAsia"/>
          <w:color w:val="auto"/>
          <w:highlight w:val="none"/>
        </w:rPr>
        <w:t>本中心对已发出的谈判文件进行必要澄清或者修改的，在竞争性谈判文件要求提交竞争性谈判响应文件截止时间三个工作日前（不足三个工作日顺延），在</w:t>
      </w:r>
      <w:r>
        <w:rPr>
          <w:rFonts w:hint="eastAsia"/>
          <w:color w:val="auto"/>
          <w:highlight w:val="none"/>
          <w:u w:val="single"/>
        </w:rPr>
        <w:t>中国政府采购网(</w:t>
      </w:r>
      <w:r>
        <w:rPr>
          <w:color w:val="auto"/>
          <w:highlight w:val="none"/>
          <w:u w:val="single"/>
        </w:rPr>
        <w:t>www.ccgp.gov.cn</w:t>
      </w:r>
      <w:r>
        <w:rPr>
          <w:rFonts w:hint="eastAsia"/>
          <w:color w:val="auto"/>
          <w:highlight w:val="none"/>
          <w:u w:val="single"/>
        </w:rPr>
        <w:t>)、广西壮族自治区政府采购网（</w:t>
      </w:r>
      <w:r>
        <w:rPr>
          <w:color w:val="auto"/>
          <w:highlight w:val="none"/>
          <w:u w:val="single"/>
        </w:rPr>
        <w:t>zfcg.gxzf.gov.cn</w:t>
      </w:r>
      <w:r>
        <w:rPr>
          <w:rFonts w:hint="eastAsia"/>
          <w:color w:val="auto"/>
          <w:highlight w:val="none"/>
          <w:u w:val="single"/>
        </w:rPr>
        <w:t>）及本中心网站（</w:t>
      </w:r>
      <w:r>
        <w:rPr>
          <w:color w:val="auto"/>
          <w:highlight w:val="none"/>
          <w:u w:val="single"/>
          <w:lang w:val="en"/>
        </w:rPr>
        <w:t>gxggzy.gxzf.gov.cn</w:t>
      </w:r>
      <w:r>
        <w:rPr>
          <w:rFonts w:hint="eastAsia"/>
          <w:color w:val="auto"/>
          <w:highlight w:val="none"/>
          <w:u w:val="single"/>
        </w:rPr>
        <w:t>）</w:t>
      </w:r>
      <w:r>
        <w:rPr>
          <w:rFonts w:hint="eastAsia"/>
          <w:color w:val="auto"/>
          <w:highlight w:val="none"/>
        </w:rPr>
        <w:t>上发布更正公告，并以书面形式通知所有竞争性谈判文件收受人。该澄清或者修改的内容为竞争性谈判文件的组成部分。</w:t>
      </w:r>
    </w:p>
    <w:p>
      <w:pPr>
        <w:pStyle w:val="22"/>
        <w:spacing w:line="380" w:lineRule="exact"/>
        <w:ind w:firstLine="420"/>
        <w:rPr>
          <w:color w:val="auto"/>
          <w:highlight w:val="none"/>
        </w:rPr>
      </w:pPr>
      <w:r>
        <w:rPr>
          <w:rFonts w:hint="eastAsia"/>
          <w:color w:val="auto"/>
          <w:highlight w:val="none"/>
        </w:rPr>
        <w:t>4.3.4本中心可视具体情况，延长响应文件提交截止时间和开标时间。本中心至少在竞争性谈判文件要求提交竞争性谈判响应文件的截止时间一日前，将变更时间书面通知所有竞争性谈判文件收受人，并在</w:t>
      </w:r>
      <w:r>
        <w:rPr>
          <w:rFonts w:hint="eastAsia"/>
          <w:color w:val="auto"/>
          <w:highlight w:val="none"/>
          <w:u w:val="single"/>
        </w:rPr>
        <w:t>中国政府采购网(</w:t>
      </w:r>
      <w:r>
        <w:rPr>
          <w:color w:val="auto"/>
          <w:highlight w:val="none"/>
          <w:u w:val="single"/>
        </w:rPr>
        <w:t>www.ccgp.gov.cn</w:t>
      </w:r>
      <w:r>
        <w:rPr>
          <w:rFonts w:hint="eastAsia"/>
          <w:color w:val="auto"/>
          <w:highlight w:val="none"/>
          <w:u w:val="single"/>
        </w:rPr>
        <w:t>)、广西壮族自治区政府采购网（</w:t>
      </w:r>
      <w:r>
        <w:rPr>
          <w:color w:val="auto"/>
          <w:highlight w:val="none"/>
          <w:u w:val="single"/>
        </w:rPr>
        <w:t>zfcg.gxzf.gov.cn</w:t>
      </w:r>
      <w:r>
        <w:rPr>
          <w:rFonts w:hint="eastAsia"/>
          <w:color w:val="auto"/>
          <w:highlight w:val="none"/>
          <w:u w:val="single"/>
        </w:rPr>
        <w:t>）及本中心网站（</w:t>
      </w:r>
      <w:r>
        <w:rPr>
          <w:color w:val="auto"/>
          <w:highlight w:val="none"/>
          <w:u w:val="single"/>
          <w:lang w:val="en"/>
        </w:rPr>
        <w:t>gxggzy.gxzf.gov.cn</w:t>
      </w:r>
      <w:r>
        <w:rPr>
          <w:rFonts w:hint="eastAsia"/>
          <w:color w:val="auto"/>
          <w:highlight w:val="none"/>
          <w:u w:val="single"/>
        </w:rPr>
        <w:t>）</w:t>
      </w:r>
      <w:r>
        <w:rPr>
          <w:rFonts w:hint="eastAsia"/>
          <w:color w:val="auto"/>
          <w:highlight w:val="none"/>
        </w:rPr>
        <w:t>上发布变更公告。</w:t>
      </w:r>
    </w:p>
    <w:p>
      <w:pPr>
        <w:spacing w:line="380" w:lineRule="exact"/>
        <w:ind w:firstLine="422"/>
        <w:rPr>
          <w:rFonts w:ascii="宋体" w:hAnsi="宋体"/>
          <w:b/>
          <w:color w:val="auto"/>
          <w:szCs w:val="21"/>
          <w:highlight w:val="none"/>
        </w:rPr>
      </w:pPr>
      <w:r>
        <w:rPr>
          <w:rFonts w:hint="eastAsia" w:ascii="宋体" w:hAnsi="宋体"/>
          <w:b/>
          <w:color w:val="auto"/>
          <w:szCs w:val="21"/>
          <w:highlight w:val="none"/>
        </w:rPr>
        <w:t>二、竞争性谈判响应文件的编制</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5. 竞争性谈判响应文件编制基本要求</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5.1谈判供应商应按本竞争性谈判文件规定的格式和顺序编制并标注页码，响应文件内容不完整、编排混乱导致响应文件被误读、漏读或者查找不到相关内容的后果由谈判供应商承担。供应商应准确设置评审关联点。未设置或设置错误导致响应文件被误读、漏读或者查找不到相关内容的后果由谈判供应商承担。</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5.2响应文件须由竞标供应商在规定位置盖章并由法定代表人或法定代表人的授权委托人签署，谈判供应商应写全称。</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5.3响应文件不得涂改，若有修改错漏处，须加盖单位公章或者法定代表人或授权委托人</w:t>
      </w:r>
      <w:r>
        <w:rPr>
          <w:rFonts w:hint="eastAsia" w:ascii="宋体" w:hAnsi="宋体"/>
          <w:color w:val="auto"/>
          <w:szCs w:val="21"/>
          <w:highlight w:val="none"/>
          <w:lang w:eastAsia="zh-CN"/>
        </w:rPr>
        <w:t>签字或签章</w:t>
      </w:r>
      <w:r>
        <w:rPr>
          <w:rFonts w:hint="eastAsia" w:ascii="宋体" w:hAnsi="宋体"/>
          <w:color w:val="auto"/>
          <w:szCs w:val="21"/>
          <w:highlight w:val="none"/>
        </w:rPr>
        <w:t>。响应文件因扫描不清晰或乱码或表达不清所引起的后果由谈判供应商承担。</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5.4竞争性谈判响应文件的组成：竞争性谈判响应文件应分为价格文件和商务技术文件两个部分组成。</w:t>
      </w:r>
    </w:p>
    <w:p>
      <w:pPr>
        <w:spacing w:line="380" w:lineRule="exact"/>
        <w:ind w:firstLine="422"/>
        <w:rPr>
          <w:rFonts w:ascii="宋体" w:hAnsi="宋体"/>
          <w:b/>
          <w:color w:val="auto"/>
          <w:szCs w:val="21"/>
          <w:highlight w:val="none"/>
        </w:rPr>
      </w:pPr>
      <w:r>
        <w:rPr>
          <w:rFonts w:hint="eastAsia" w:ascii="宋体" w:hAnsi="宋体"/>
          <w:b/>
          <w:color w:val="auto"/>
          <w:szCs w:val="21"/>
          <w:highlight w:val="none"/>
        </w:rPr>
        <w:t>5.5.1价格文件</w:t>
      </w:r>
    </w:p>
    <w:p>
      <w:pPr>
        <w:spacing w:line="380" w:lineRule="exact"/>
        <w:ind w:firstLine="420"/>
        <w:rPr>
          <w:rFonts w:ascii="宋体" w:hAnsi="宋体"/>
          <w:b/>
          <w:bCs/>
          <w:color w:val="auto"/>
          <w:szCs w:val="21"/>
          <w:highlight w:val="none"/>
        </w:rPr>
      </w:pPr>
      <w:r>
        <w:rPr>
          <w:rFonts w:hint="eastAsia" w:ascii="宋体" w:hAnsi="宋体"/>
          <w:b/>
          <w:bCs/>
          <w:color w:val="auto"/>
          <w:szCs w:val="21"/>
          <w:highlight w:val="none"/>
        </w:rPr>
        <w:t>1）报价表；（附件二）[必须提供]</w:t>
      </w:r>
    </w:p>
    <w:p>
      <w:pPr>
        <w:spacing w:line="380" w:lineRule="exact"/>
        <w:ind w:firstLine="422"/>
        <w:rPr>
          <w:rFonts w:ascii="宋体" w:hAnsi="宋体"/>
          <w:color w:val="auto"/>
          <w:szCs w:val="21"/>
          <w:highlight w:val="none"/>
        </w:rPr>
      </w:pPr>
      <w:r>
        <w:rPr>
          <w:rFonts w:hint="eastAsia" w:ascii="宋体" w:hAnsi="宋体"/>
          <w:b/>
          <w:color w:val="auto"/>
          <w:szCs w:val="21"/>
          <w:highlight w:val="none"/>
        </w:rPr>
        <w:t>5.5.2 商务技术文件</w:t>
      </w:r>
      <w:r>
        <w:rPr>
          <w:rFonts w:hint="eastAsia" w:ascii="宋体" w:hAnsi="宋体"/>
          <w:color w:val="auto"/>
          <w:szCs w:val="21"/>
          <w:highlight w:val="none"/>
        </w:rPr>
        <w:t xml:space="preserve">（应该有的必须提供,如未提供,谈判小组有权拒绝其竞争性谈判响应文件） </w:t>
      </w:r>
    </w:p>
    <w:p>
      <w:pPr>
        <w:spacing w:line="380" w:lineRule="exact"/>
        <w:ind w:firstLine="420"/>
        <w:rPr>
          <w:rFonts w:ascii="宋体" w:hAnsi="宋体"/>
          <w:b/>
          <w:bCs/>
          <w:color w:val="auto"/>
          <w:szCs w:val="21"/>
          <w:highlight w:val="none"/>
        </w:rPr>
      </w:pPr>
      <w:r>
        <w:rPr>
          <w:rFonts w:hint="eastAsia" w:ascii="宋体" w:hAnsi="宋体"/>
          <w:b/>
          <w:bCs/>
          <w:color w:val="auto"/>
          <w:szCs w:val="21"/>
          <w:highlight w:val="none"/>
        </w:rPr>
        <w:t>1）谈判书；（附件一）[必须提供]</w:t>
      </w:r>
    </w:p>
    <w:p>
      <w:pPr>
        <w:spacing w:line="380" w:lineRule="exact"/>
        <w:ind w:firstLine="420"/>
        <w:rPr>
          <w:rFonts w:ascii="宋体" w:hAnsi="宋体"/>
          <w:b/>
          <w:bCs/>
          <w:color w:val="auto"/>
          <w:szCs w:val="21"/>
          <w:highlight w:val="none"/>
        </w:rPr>
      </w:pPr>
      <w:r>
        <w:rPr>
          <w:rFonts w:hint="eastAsia" w:ascii="宋体" w:hAnsi="宋体"/>
          <w:b/>
          <w:bCs/>
          <w:color w:val="auto"/>
          <w:szCs w:val="21"/>
          <w:highlight w:val="none"/>
        </w:rPr>
        <w:t>2）商务、技术响应、偏离情况说明表；（附件三）[必须提供]</w:t>
      </w:r>
    </w:p>
    <w:p>
      <w:pPr>
        <w:spacing w:line="380" w:lineRule="exact"/>
        <w:ind w:firstLine="412"/>
        <w:jc w:val="left"/>
        <w:rPr>
          <w:rFonts w:ascii="宋体" w:hAnsi="宋体"/>
          <w:color w:val="auto"/>
          <w:szCs w:val="21"/>
          <w:highlight w:val="none"/>
        </w:rPr>
      </w:pPr>
      <w:r>
        <w:rPr>
          <w:rFonts w:hint="eastAsia" w:ascii="宋体" w:hAnsi="宋体"/>
          <w:color w:val="auto"/>
          <w:szCs w:val="21"/>
          <w:highlight w:val="none"/>
        </w:rPr>
        <w:t>3）法定代表人授权委托书原件</w:t>
      </w:r>
      <w:r>
        <w:rPr>
          <w:rFonts w:hint="eastAsia" w:ascii="宋体" w:hAnsi="宋体"/>
          <w:color w:val="auto"/>
          <w:highlight w:val="none"/>
        </w:rPr>
        <w:t>、委托代理人身份证扫描件或其他电子文件；[</w:t>
      </w:r>
      <w:r>
        <w:rPr>
          <w:rFonts w:hint="eastAsia" w:ascii="宋体" w:hAnsi="宋体"/>
          <w:b/>
          <w:color w:val="auto"/>
          <w:highlight w:val="none"/>
        </w:rPr>
        <w:t>委托代理时</w:t>
      </w:r>
      <w:r>
        <w:rPr>
          <w:rFonts w:hint="eastAsia" w:ascii="宋体" w:hAnsi="宋体"/>
          <w:b/>
          <w:bCs/>
          <w:color w:val="auto"/>
          <w:highlight w:val="none"/>
        </w:rPr>
        <w:t>必须提供</w:t>
      </w:r>
      <w:r>
        <w:rPr>
          <w:rFonts w:hint="eastAsia" w:ascii="宋体" w:hAnsi="宋体"/>
          <w:color w:val="auto"/>
          <w:highlight w:val="none"/>
        </w:rPr>
        <w:t>]</w:t>
      </w:r>
      <w:r>
        <w:rPr>
          <w:rFonts w:hint="eastAsia" w:ascii="宋体" w:hAnsi="宋体"/>
          <w:color w:val="auto"/>
          <w:szCs w:val="21"/>
          <w:highlight w:val="none"/>
        </w:rPr>
        <w:t xml:space="preserve">；[附件四]； </w:t>
      </w:r>
    </w:p>
    <w:p>
      <w:pPr>
        <w:spacing w:line="380" w:lineRule="exact"/>
        <w:ind w:firstLine="420"/>
        <w:rPr>
          <w:rFonts w:ascii="宋体" w:hAnsi="宋体"/>
          <w:color w:val="auto"/>
          <w:szCs w:val="21"/>
          <w:highlight w:val="none"/>
        </w:rPr>
      </w:pPr>
      <w:r>
        <w:rPr>
          <w:rFonts w:hint="eastAsia" w:ascii="宋体" w:hAnsi="宋体"/>
          <w:color w:val="auto"/>
          <w:szCs w:val="21"/>
          <w:highlight w:val="none"/>
        </w:rPr>
        <w:t>4）法定代表人身份证</w:t>
      </w:r>
      <w:r>
        <w:rPr>
          <w:rFonts w:hint="eastAsia" w:ascii="宋体" w:hAnsi="宋体"/>
          <w:color w:val="auto"/>
          <w:highlight w:val="none"/>
        </w:rPr>
        <w:t>扫描件或其他电子文件</w:t>
      </w:r>
      <w:r>
        <w:rPr>
          <w:rFonts w:hint="eastAsia" w:ascii="宋体" w:hAnsi="宋体"/>
          <w:b/>
          <w:color w:val="auto"/>
          <w:szCs w:val="21"/>
          <w:highlight w:val="none"/>
        </w:rPr>
        <w:t>；[法定代表人参加谈判时，必须提供]</w:t>
      </w:r>
    </w:p>
    <w:p>
      <w:pPr>
        <w:spacing w:line="380" w:lineRule="exact"/>
        <w:ind w:firstLine="420"/>
        <w:rPr>
          <w:rFonts w:ascii="宋体" w:hAnsi="宋体"/>
          <w:color w:val="auto"/>
          <w:szCs w:val="21"/>
          <w:highlight w:val="none"/>
        </w:rPr>
      </w:pPr>
      <w:r>
        <w:rPr>
          <w:rFonts w:hint="eastAsia" w:ascii="宋体" w:hAnsi="宋体"/>
          <w:color w:val="auto"/>
          <w:szCs w:val="21"/>
          <w:highlight w:val="none"/>
        </w:rPr>
        <w:t>5）有效的营业执照等证明文件</w:t>
      </w:r>
      <w:r>
        <w:rPr>
          <w:rFonts w:hint="eastAsia" w:ascii="宋体" w:hAnsi="宋体"/>
          <w:color w:val="auto"/>
          <w:highlight w:val="none"/>
        </w:rPr>
        <w:t>扫描件或其他电子文件</w:t>
      </w:r>
      <w:r>
        <w:rPr>
          <w:rFonts w:hint="eastAsia" w:ascii="宋体" w:hAnsi="宋体"/>
          <w:color w:val="auto"/>
          <w:szCs w:val="21"/>
          <w:highlight w:val="none"/>
        </w:rPr>
        <w:t>；</w:t>
      </w:r>
    </w:p>
    <w:p>
      <w:pPr>
        <w:pStyle w:val="22"/>
        <w:spacing w:line="380" w:lineRule="exact"/>
        <w:ind w:firstLine="410"/>
        <w:rPr>
          <w:color w:val="auto"/>
          <w:highlight w:val="none"/>
        </w:rPr>
      </w:pPr>
      <w:r>
        <w:rPr>
          <w:rFonts w:hint="eastAsia"/>
          <w:color w:val="auto"/>
          <w:highlight w:val="none"/>
        </w:rPr>
        <w:t>①谈判供应商有效的“营业执照”等证明文件扫描件或其他电子文件；</w:t>
      </w:r>
      <w:r>
        <w:rPr>
          <w:rFonts w:hint="eastAsia"/>
          <w:b/>
          <w:bCs/>
          <w:color w:val="auto"/>
          <w:highlight w:val="none"/>
        </w:rPr>
        <w:t xml:space="preserve"> [必须提供，原件备查]</w:t>
      </w:r>
      <w:r>
        <w:rPr>
          <w:rFonts w:hint="eastAsia"/>
          <w:color w:val="auto"/>
          <w:highlight w:val="none"/>
        </w:rPr>
        <w:t>；</w:t>
      </w:r>
    </w:p>
    <w:p>
      <w:pPr>
        <w:spacing w:line="380" w:lineRule="exact"/>
        <w:ind w:firstLine="420"/>
        <w:rPr>
          <w:rFonts w:ascii="宋体" w:hAnsi="宋体"/>
          <w:color w:val="auto"/>
          <w:szCs w:val="21"/>
          <w:highlight w:val="none"/>
        </w:rPr>
      </w:pPr>
      <w:r>
        <w:rPr>
          <w:rFonts w:hint="eastAsia" w:ascii="宋体" w:hAnsi="宋体"/>
          <w:bCs/>
          <w:color w:val="auto"/>
          <w:highlight w:val="none"/>
        </w:rPr>
        <w:t>②对于有经营资质要求的，</w:t>
      </w:r>
      <w:r>
        <w:rPr>
          <w:rFonts w:hint="eastAsia" w:ascii="宋体" w:hAnsi="宋体"/>
          <w:color w:val="auto"/>
          <w:highlight w:val="none"/>
        </w:rPr>
        <w:t>谈判供应商</w:t>
      </w:r>
      <w:r>
        <w:rPr>
          <w:rFonts w:hint="eastAsia" w:ascii="宋体" w:hAnsi="宋体"/>
          <w:bCs/>
          <w:color w:val="auto"/>
          <w:highlight w:val="none"/>
        </w:rPr>
        <w:t>必须提供有效的经营资质证书副本内页</w:t>
      </w:r>
      <w:r>
        <w:rPr>
          <w:rFonts w:hint="eastAsia" w:ascii="宋体" w:hAnsi="宋体"/>
          <w:color w:val="auto"/>
          <w:highlight w:val="none"/>
        </w:rPr>
        <w:t>扫描件或其他电子文件</w:t>
      </w:r>
      <w:r>
        <w:rPr>
          <w:rFonts w:hint="eastAsia" w:ascii="宋体" w:hAnsi="宋体"/>
          <w:bCs/>
          <w:color w:val="auto"/>
          <w:highlight w:val="none"/>
        </w:rPr>
        <w:t>，要求清晰反映该</w:t>
      </w:r>
      <w:r>
        <w:rPr>
          <w:rFonts w:hint="eastAsia" w:ascii="宋体" w:hAnsi="宋体"/>
          <w:color w:val="auto"/>
          <w:highlight w:val="none"/>
        </w:rPr>
        <w:t>谈判供应商</w:t>
      </w:r>
      <w:r>
        <w:rPr>
          <w:rFonts w:hint="eastAsia" w:ascii="宋体" w:hAnsi="宋体"/>
          <w:bCs/>
          <w:color w:val="auto"/>
          <w:highlight w:val="none"/>
        </w:rPr>
        <w:t>本年度经营资质，同时要加盖单位公章。</w:t>
      </w:r>
      <w:r>
        <w:rPr>
          <w:rFonts w:hint="eastAsia" w:ascii="宋体" w:hAnsi="宋体"/>
          <w:b/>
          <w:color w:val="auto"/>
          <w:szCs w:val="21"/>
          <w:highlight w:val="none"/>
        </w:rPr>
        <w:t>[</w:t>
      </w:r>
      <w:r>
        <w:rPr>
          <w:rFonts w:hint="eastAsia" w:ascii="宋体" w:hAnsi="宋体"/>
          <w:b/>
          <w:color w:val="auto"/>
          <w:highlight w:val="none"/>
        </w:rPr>
        <w:t>必须提供，原件备查</w:t>
      </w:r>
      <w:r>
        <w:rPr>
          <w:rFonts w:hint="eastAsia" w:ascii="宋体" w:hAnsi="宋体"/>
          <w:b/>
          <w:color w:val="auto"/>
          <w:szCs w:val="21"/>
          <w:highlight w:val="none"/>
        </w:rPr>
        <w:t>]</w:t>
      </w:r>
      <w:r>
        <w:rPr>
          <w:rFonts w:hint="eastAsia" w:ascii="宋体" w:hAnsi="宋体"/>
          <w:b/>
          <w:color w:val="auto"/>
          <w:highlight w:val="none"/>
        </w:rPr>
        <w:t>；</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6）财务状况报告</w:t>
      </w:r>
      <w:r>
        <w:rPr>
          <w:rFonts w:hint="eastAsia" w:ascii="宋体" w:hAnsi="宋体"/>
          <w:b/>
          <w:bCs/>
          <w:color w:val="auto"/>
          <w:szCs w:val="21"/>
          <w:highlight w:val="none"/>
        </w:rPr>
        <w:t>[格式自拟，必须提供]</w:t>
      </w:r>
      <w:r>
        <w:rPr>
          <w:rFonts w:hint="eastAsia" w:ascii="宋体" w:hAnsi="宋体"/>
          <w:color w:val="auto"/>
          <w:szCs w:val="21"/>
          <w:highlight w:val="none"/>
        </w:rPr>
        <w:t>；</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7）响应文件提交截止之日前半年内谈判供应商连续三个月的依法缴纳税费或依法免缴税费的证明[扫描件或其他电子文件，原件备查，格式自拟，</w:t>
      </w:r>
      <w:r>
        <w:rPr>
          <w:rFonts w:hint="eastAsia" w:ascii="宋体" w:hAnsi="宋体"/>
          <w:b/>
          <w:bCs/>
          <w:color w:val="auto"/>
          <w:szCs w:val="21"/>
          <w:highlight w:val="none"/>
        </w:rPr>
        <w:t>必须提供</w:t>
      </w:r>
      <w:r>
        <w:rPr>
          <w:rFonts w:hint="eastAsia" w:ascii="宋体" w:hAnsi="宋体"/>
          <w:color w:val="auto"/>
          <w:szCs w:val="21"/>
          <w:highlight w:val="none"/>
        </w:rPr>
        <w:t>]；无纳税记录的，应提供由谈判供应商所在地主管国税或地税部门出具的《依法纳税或依法免税证明》[格式自拟，扫描件或其他电子文件，原件备查]。</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8）响应文件提交截止之日前半年内谈判供应商连续三个月的依法缴纳社保费的缴费凭证（复印件，原件备查，格式自拟）</w:t>
      </w:r>
      <w:r>
        <w:rPr>
          <w:rFonts w:hint="eastAsia" w:ascii="宋体" w:hAnsi="宋体"/>
          <w:b/>
          <w:bCs/>
          <w:color w:val="auto"/>
          <w:szCs w:val="21"/>
          <w:highlight w:val="none"/>
        </w:rPr>
        <w:t>[必须提供</w:t>
      </w:r>
      <w:r>
        <w:rPr>
          <w:rFonts w:hint="eastAsia" w:ascii="宋体" w:hAnsi="宋体"/>
          <w:color w:val="auto"/>
          <w:szCs w:val="21"/>
          <w:highlight w:val="none"/>
        </w:rPr>
        <w:t>]；无缴费记录的，应提供由谈判供应商所在地社保部门出具的《依法缴纳或依法免缴社保费证明》[格式自拟，复印件，原件备查]。</w:t>
      </w:r>
    </w:p>
    <w:p>
      <w:pPr>
        <w:spacing w:line="380" w:lineRule="exact"/>
        <w:ind w:firstLine="413"/>
        <w:jc w:val="left"/>
        <w:rPr>
          <w:rFonts w:ascii="宋体" w:hAnsi="宋体" w:cs="宋体"/>
          <w:b/>
          <w:color w:val="auto"/>
          <w:szCs w:val="21"/>
          <w:highlight w:val="none"/>
        </w:rPr>
      </w:pPr>
      <w:r>
        <w:rPr>
          <w:rFonts w:hint="eastAsia" w:ascii="宋体" w:hAnsi="宋体" w:cs="宋体"/>
          <w:b/>
          <w:color w:val="auto"/>
          <w:szCs w:val="21"/>
          <w:highlight w:val="none"/>
        </w:rPr>
        <w:t>9）</w:t>
      </w:r>
      <w:r>
        <w:rPr>
          <w:rFonts w:ascii="宋体" w:hAnsi="宋体"/>
          <w:b/>
          <w:color w:val="auto"/>
          <w:szCs w:val="21"/>
          <w:highlight w:val="none"/>
        </w:rPr>
        <w:t>具备履行合同所必需的设备和专业技术能力的证明材料</w:t>
      </w:r>
      <w:r>
        <w:rPr>
          <w:rFonts w:hint="eastAsia" w:ascii="宋体" w:hAnsi="宋体"/>
          <w:b/>
          <w:color w:val="auto"/>
          <w:szCs w:val="21"/>
          <w:highlight w:val="none"/>
        </w:rPr>
        <w:t>[格式自拟，必须提供]</w:t>
      </w:r>
      <w:r>
        <w:rPr>
          <w:rFonts w:hint="eastAsia" w:ascii="宋体" w:hAnsi="宋体" w:cs="宋体"/>
          <w:b/>
          <w:color w:val="auto"/>
          <w:szCs w:val="21"/>
          <w:highlight w:val="none"/>
        </w:rPr>
        <w:t>；</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10）参加政府采购活动前三年内在经营活动中没有重大违法记录的书面声明和信用记录查询方法；</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①参加政府采购活动前三年内在经营活动中没有重大违法记录的书面声明（格式自拟，</w:t>
      </w:r>
      <w:r>
        <w:rPr>
          <w:rFonts w:hint="eastAsia" w:ascii="宋体" w:hAnsi="宋体"/>
          <w:b/>
          <w:bCs/>
          <w:color w:val="auto"/>
          <w:szCs w:val="21"/>
          <w:highlight w:val="none"/>
        </w:rPr>
        <w:t>必须提供</w:t>
      </w:r>
      <w:r>
        <w:rPr>
          <w:rFonts w:hint="eastAsia" w:ascii="宋体" w:hAnsi="宋体"/>
          <w:color w:val="auto"/>
          <w:szCs w:val="21"/>
          <w:highlight w:val="none"/>
        </w:rPr>
        <w:t>）[附件五]；</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w:t>
      </w:r>
      <w:r>
        <w:rPr>
          <w:rFonts w:hint="eastAsia" w:ascii="宋体" w:hAnsi="宋体"/>
          <w:b/>
          <w:bCs/>
          <w:color w:val="auto"/>
          <w:szCs w:val="21"/>
          <w:highlight w:val="none"/>
        </w:rPr>
        <w:t>查询相关供应商主体信用记录</w:t>
      </w:r>
      <w:r>
        <w:rPr>
          <w:rFonts w:hint="eastAsia" w:ascii="宋体" w:hAnsi="宋体"/>
          <w:color w:val="auto"/>
          <w:szCs w:val="21"/>
          <w:highlight w:val="none"/>
        </w:rPr>
        <w:t>。</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“信用中国”网站查询方法：竞标人在本项目竞标截止时间前10日内,进入竞标人基本信息页面，点击“下载信用报告”后点击“下载”。</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w:t>
      </w:r>
      <w:r>
        <w:rPr>
          <w:rFonts w:hint="eastAsia" w:ascii="宋体" w:hAnsi="宋体"/>
          <w:b/>
          <w:bCs/>
          <w:color w:val="auto"/>
          <w:szCs w:val="21"/>
          <w:highlight w:val="none"/>
        </w:rPr>
        <w:t>截止时间为本项目竞标截止时间前10日至竞标截止时间中任意一天</w:t>
      </w:r>
      <w:r>
        <w:rPr>
          <w:rFonts w:hint="eastAsia" w:ascii="宋体" w:hAnsi="宋体"/>
          <w:color w:val="auto"/>
          <w:szCs w:val="21"/>
          <w:highlight w:val="none"/>
        </w:rPr>
        <w:t>。</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380" w:lineRule="exact"/>
        <w:ind w:firstLine="412"/>
        <w:jc w:val="left"/>
        <w:rPr>
          <w:rFonts w:hint="eastAsia" w:ascii="宋体" w:hAnsi="宋体"/>
          <w:color w:val="auto"/>
          <w:szCs w:val="21"/>
          <w:highlight w:val="none"/>
        </w:rPr>
      </w:pPr>
      <w:r>
        <w:rPr>
          <w:rFonts w:hint="eastAsia" w:ascii="宋体" w:hAnsi="宋体"/>
          <w:color w:val="auto"/>
          <w:szCs w:val="21"/>
          <w:highlight w:val="none"/>
        </w:rPr>
        <w:t>11）具备法律、行政法规规定的其他条件的证明材料</w:t>
      </w:r>
      <w:r>
        <w:rPr>
          <w:rFonts w:hint="eastAsia" w:ascii="宋体" w:hAnsi="宋体"/>
          <w:b/>
          <w:color w:val="auto"/>
          <w:szCs w:val="21"/>
          <w:highlight w:val="none"/>
        </w:rPr>
        <w:t>[如有规定，则必须提供]；</w:t>
      </w:r>
    </w:p>
    <w:p>
      <w:pPr>
        <w:spacing w:line="380" w:lineRule="exact"/>
        <w:ind w:firstLine="420"/>
        <w:rPr>
          <w:rFonts w:ascii="宋体" w:hAnsi="宋体"/>
          <w:b/>
          <w:bCs/>
          <w:color w:val="auto"/>
          <w:szCs w:val="21"/>
          <w:highlight w:val="none"/>
        </w:rPr>
      </w:pPr>
      <w:r>
        <w:rPr>
          <w:rFonts w:hint="eastAsia" w:ascii="宋体" w:hAnsi="宋体"/>
          <w:b/>
          <w:bCs/>
          <w:color w:val="auto"/>
          <w:szCs w:val="21"/>
          <w:highlight w:val="none"/>
        </w:rPr>
        <w:t>12）售后服务承诺书（内容可以是提供的切实可行的售后服务和优惠承诺）[格式自拟，必须提供]；</w:t>
      </w:r>
    </w:p>
    <w:p>
      <w:pPr>
        <w:spacing w:line="380" w:lineRule="exact"/>
        <w:ind w:firstLine="420"/>
        <w:rPr>
          <w:rFonts w:hint="eastAsia" w:ascii="宋体" w:hAnsi="宋体"/>
          <w:color w:val="auto"/>
          <w:szCs w:val="21"/>
          <w:highlight w:val="none"/>
        </w:rPr>
      </w:pPr>
      <w:r>
        <w:rPr>
          <w:rFonts w:hint="eastAsia" w:ascii="宋体" w:hAnsi="宋体"/>
          <w:color w:val="auto"/>
          <w:szCs w:val="21"/>
          <w:highlight w:val="none"/>
        </w:rPr>
        <w:t>13）项目需求表中要求提供的文件</w:t>
      </w:r>
      <w:r>
        <w:rPr>
          <w:rFonts w:hint="eastAsia" w:ascii="宋体" w:hAnsi="宋体"/>
          <w:b/>
          <w:color w:val="auto"/>
          <w:szCs w:val="21"/>
          <w:highlight w:val="none"/>
        </w:rPr>
        <w:t>[如有,则必须提供]；</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14）生产、销售许可证（如国家实行强制性要求的）；</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15）货物制造、检验、测试、验收执行的标准；</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16）货物认证、检测报告、鉴定证书等；</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 xml:space="preserve">17）产品获奖证书； </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18）货物名称、型号、规格、数量、性能、内部配置、使用原材料，引进新技术、新工艺、新材料的等情况；</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19）质量保证措施；</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20）产品样本、使用保养说明书、图纸等技术资料；</w:t>
      </w:r>
    </w:p>
    <w:p>
      <w:pPr>
        <w:spacing w:line="380" w:lineRule="exact"/>
        <w:ind w:firstLine="420"/>
        <w:rPr>
          <w:rFonts w:hint="eastAsia" w:ascii="宋体" w:hAnsi="宋体"/>
          <w:b/>
          <w:bCs/>
          <w:color w:val="auto"/>
          <w:szCs w:val="21"/>
          <w:highlight w:val="none"/>
        </w:rPr>
      </w:pPr>
      <w:r>
        <w:rPr>
          <w:rFonts w:hint="eastAsia" w:ascii="宋体" w:hAnsi="宋体"/>
          <w:b/>
          <w:bCs/>
          <w:color w:val="auto"/>
          <w:szCs w:val="21"/>
          <w:highlight w:val="none"/>
        </w:rPr>
        <w:t>21）中小企业声明函；（如有，请提供）[附件六]</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22）谈判供应商认为需要提供的有关资料。</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6. 计量单位</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6.1除技术要求中另有规定外，本文件所要求使用的计量单位均应采用国家法定计量单位。</w:t>
      </w:r>
    </w:p>
    <w:p>
      <w:pPr>
        <w:spacing w:line="380" w:lineRule="exact"/>
        <w:ind w:firstLine="422"/>
        <w:rPr>
          <w:rFonts w:ascii="宋体" w:hAnsi="宋体"/>
          <w:b/>
          <w:color w:val="auto"/>
          <w:szCs w:val="21"/>
          <w:highlight w:val="none"/>
        </w:rPr>
      </w:pPr>
      <w:r>
        <w:rPr>
          <w:rFonts w:hint="eastAsia" w:ascii="宋体" w:hAnsi="宋体"/>
          <w:b/>
          <w:color w:val="auto"/>
          <w:szCs w:val="21"/>
          <w:highlight w:val="none"/>
        </w:rPr>
        <w:t>三、报价要求</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7.1对于本文件中未列明，而谈判供应商认为必需的费用也需列入总报价。在合同实施时，采购人将不予支付成交供应商没有列入的项目费用，并认为此项目的费用已包括在总报价中。</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7.2成交供应商负责本项目所需货物的制造、运输、售后服务等全部工作。</w:t>
      </w:r>
    </w:p>
    <w:p>
      <w:pPr>
        <w:widowControl/>
        <w:spacing w:line="380" w:lineRule="exact"/>
        <w:jc w:val="left"/>
        <w:rPr>
          <w:rFonts w:hint="eastAsia" w:ascii="宋体" w:hAnsi="宋体"/>
          <w:color w:val="auto"/>
          <w:szCs w:val="21"/>
          <w:highlight w:val="none"/>
        </w:rPr>
      </w:pPr>
      <w:r>
        <w:rPr>
          <w:rFonts w:hint="eastAsia" w:ascii="宋体" w:hAnsi="宋体"/>
          <w:color w:val="auto"/>
          <w:szCs w:val="21"/>
          <w:highlight w:val="none"/>
        </w:rPr>
        <w:t>7.3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pPr>
        <w:spacing w:line="380" w:lineRule="exact"/>
        <w:ind w:firstLine="420"/>
        <w:rPr>
          <w:rFonts w:ascii="宋体" w:hAnsi="宋体"/>
          <w:color w:val="auto"/>
          <w:highlight w:val="none"/>
        </w:rPr>
      </w:pPr>
      <w:r>
        <w:rPr>
          <w:rFonts w:hint="eastAsia" w:ascii="宋体" w:hAnsi="宋体"/>
          <w:color w:val="auto"/>
          <w:highlight w:val="none"/>
        </w:rPr>
        <w:t>7.4</w:t>
      </w:r>
      <w:r>
        <w:rPr>
          <w:rFonts w:hint="eastAsia"/>
          <w:b/>
          <w:color w:val="auto"/>
          <w:highlight w:val="none"/>
        </w:rPr>
        <w:t>报价：</w:t>
      </w:r>
      <w:r>
        <w:rPr>
          <w:rFonts w:hint="eastAsia" w:ascii="宋体" w:hAnsi="宋体"/>
          <w:b/>
          <w:color w:val="auto"/>
          <w:highlight w:val="none"/>
        </w:rPr>
        <w:t>竞标人可就《采购需求》中的货物和服务内容做完整唯一报价</w:t>
      </w:r>
      <w:r>
        <w:rPr>
          <w:rFonts w:hint="eastAsia" w:ascii="宋体" w:hAnsi="宋体"/>
          <w:color w:val="auto"/>
          <w:highlight w:val="none"/>
        </w:rPr>
        <w:t>。</w:t>
      </w:r>
    </w:p>
    <w:p>
      <w:pPr>
        <w:spacing w:line="380" w:lineRule="exact"/>
        <w:ind w:firstLine="422"/>
        <w:rPr>
          <w:rFonts w:ascii="宋体" w:hAnsi="宋体"/>
          <w:b/>
          <w:color w:val="auto"/>
          <w:szCs w:val="21"/>
          <w:highlight w:val="none"/>
        </w:rPr>
      </w:pPr>
      <w:r>
        <w:rPr>
          <w:rFonts w:hint="eastAsia" w:ascii="宋体" w:hAnsi="宋体"/>
          <w:b/>
          <w:color w:val="auto"/>
          <w:szCs w:val="21"/>
          <w:highlight w:val="none"/>
        </w:rPr>
        <w:t>四、竞争性谈判响应文件的份数、上传、提交、修改、撤回、解密</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8. 竞争性谈判响应文件的份数、上传、提交、解密</w:t>
      </w:r>
    </w:p>
    <w:p>
      <w:pPr>
        <w:widowControl/>
        <w:spacing w:line="380" w:lineRule="exact"/>
        <w:jc w:val="left"/>
        <w:rPr>
          <w:rFonts w:hint="eastAsia" w:ascii="宋体" w:hAnsi="宋体"/>
          <w:color w:val="auto"/>
          <w:szCs w:val="21"/>
          <w:highlight w:val="none"/>
        </w:rPr>
      </w:pPr>
      <w:r>
        <w:rPr>
          <w:rFonts w:hint="eastAsia" w:ascii="宋体" w:hAnsi="宋体"/>
          <w:color w:val="auto"/>
          <w:szCs w:val="21"/>
          <w:highlight w:val="none"/>
        </w:rPr>
        <w:t>见须知前附表</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9. 竞争性谈判响应文件的修改和撤回：</w:t>
      </w:r>
      <w:r>
        <w:rPr>
          <w:rFonts w:hint="eastAsia" w:ascii="宋体" w:hAnsi="宋体"/>
          <w:color w:val="auto"/>
          <w:szCs w:val="21"/>
          <w:highlight w:val="none"/>
          <w:lang w:val="zh-CN"/>
        </w:rPr>
        <w:t>供应商应当在截止时间前完成响应文件的上传、提交，并可以补充、修改或者撤回响应文件。补充或者修改响应文件的，应当先行撤回原文件，补充、修改后重新上传、提交。截止时间前未完成上传、提交的，视为撤回响应文件。截止时间后提交的响应文件，“广西政府采购云平台”将予以拒收。截止时间后，供应商不得撤回、修改响应文件。</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10.保证金说明及要求</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10.1保证金应用人民币：具体金额详见采购公告。</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10.2 保证金交纳方式：支票、汇票、本票、网上银行或者金融机构、担保机构出具的保函等非现金形式交纳。</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10.3办理保证金手续时，请务必在银行相关票据（非现金）或凭证的用途或空白栏上注明项目名称及项目编号，以免耽误竞争性谈判。</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10.4保证金相关事宜：电话：0771-8600309，地址：广西南宁市星湖路22号广西壮族自治区政府采购中心综合楼3楼306室。</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10.5未成交供应商的保证金，将在成交通知书发出后四个工作日内予以退还，不计利息。</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成交人的保证金在合同签订后四个工作日内退还（合同签订后送达本中心），不计利息。</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10.6对应交未交保证金的竞争性谈判响应文件，将会在评审中按照无效竞争性谈判响应文件处理。</w:t>
      </w:r>
    </w:p>
    <w:p>
      <w:pPr>
        <w:widowControl/>
        <w:spacing w:line="380" w:lineRule="exact"/>
        <w:jc w:val="left"/>
        <w:rPr>
          <w:rFonts w:hint="eastAsia" w:ascii="宋体" w:hAnsi="宋体"/>
          <w:color w:val="auto"/>
          <w:szCs w:val="21"/>
          <w:highlight w:val="none"/>
        </w:rPr>
      </w:pPr>
      <w:r>
        <w:rPr>
          <w:rFonts w:hint="eastAsia" w:ascii="宋体" w:hAnsi="宋体"/>
          <w:color w:val="auto"/>
          <w:szCs w:val="21"/>
          <w:highlight w:val="none"/>
        </w:rPr>
        <w:t>（说明：评审时，谈判小组将以本中心财务室编制的《采购文件报名登记名单及保证金收缴情况表》作为评审依据）。</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注：在采购过程中符合竞争要求的供应商或者报价未超过采购预算（最高限价）的供应商不足3家的，本中心将按政府采购管理的有关规定处理。</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10.7谈判供应商有下列情形之一的，保证金将不予退还：</w:t>
      </w:r>
    </w:p>
    <w:p>
      <w:pPr>
        <w:widowControl/>
        <w:spacing w:line="380" w:lineRule="exact"/>
        <w:jc w:val="left"/>
        <w:rPr>
          <w:rFonts w:hint="eastAsia" w:ascii="宋体" w:hAnsi="宋体"/>
          <w:color w:val="auto"/>
          <w:szCs w:val="21"/>
          <w:highlight w:val="none"/>
        </w:rPr>
      </w:pPr>
      <w:r>
        <w:rPr>
          <w:rFonts w:hint="eastAsia" w:ascii="宋体" w:hAnsi="宋体"/>
          <w:color w:val="auto"/>
          <w:szCs w:val="21"/>
          <w:highlight w:val="none"/>
        </w:rPr>
        <w:t>（1）谈判供应商在竞争性谈判有效期内撤回竞争性谈判响应文件的；</w:t>
      </w:r>
    </w:p>
    <w:p>
      <w:pPr>
        <w:widowControl/>
        <w:spacing w:line="380" w:lineRule="exact"/>
        <w:jc w:val="left"/>
        <w:rPr>
          <w:rFonts w:hint="eastAsia" w:ascii="宋体" w:hAnsi="宋体"/>
          <w:color w:val="auto"/>
          <w:szCs w:val="21"/>
          <w:highlight w:val="none"/>
        </w:rPr>
      </w:pPr>
      <w:r>
        <w:rPr>
          <w:rFonts w:hint="eastAsia" w:ascii="宋体" w:hAnsi="宋体"/>
          <w:color w:val="auto"/>
          <w:szCs w:val="21"/>
          <w:highlight w:val="none"/>
        </w:rPr>
        <w:t>（2）谈判供应商在竞争性谈判响应文件中提供虚假材料的；</w:t>
      </w:r>
    </w:p>
    <w:p>
      <w:pPr>
        <w:widowControl/>
        <w:spacing w:line="380" w:lineRule="exact"/>
        <w:jc w:val="left"/>
        <w:rPr>
          <w:rFonts w:hint="eastAsia" w:ascii="宋体" w:hAnsi="宋体"/>
          <w:color w:val="auto"/>
          <w:szCs w:val="21"/>
          <w:highlight w:val="none"/>
        </w:rPr>
      </w:pPr>
      <w:r>
        <w:rPr>
          <w:rFonts w:hint="eastAsia" w:ascii="宋体" w:hAnsi="宋体"/>
          <w:color w:val="auto"/>
          <w:szCs w:val="21"/>
          <w:highlight w:val="none"/>
        </w:rPr>
        <w:t>（3）除因不可抗力或竞争性谈判文件认可的情形以外，成交供应商不与采购人签订合同的；</w:t>
      </w:r>
    </w:p>
    <w:p>
      <w:pPr>
        <w:widowControl/>
        <w:spacing w:line="380" w:lineRule="exact"/>
        <w:jc w:val="left"/>
        <w:rPr>
          <w:rFonts w:hint="eastAsia" w:ascii="宋体" w:hAnsi="宋体"/>
          <w:color w:val="auto"/>
          <w:szCs w:val="21"/>
          <w:highlight w:val="none"/>
        </w:rPr>
      </w:pPr>
      <w:r>
        <w:rPr>
          <w:rFonts w:hint="eastAsia" w:ascii="宋体" w:hAnsi="宋体"/>
          <w:color w:val="auto"/>
          <w:szCs w:val="21"/>
          <w:highlight w:val="none"/>
        </w:rPr>
        <w:t>（4）谈判供应商与采购人、其他供应商或者采购代理机构恶意串通的。</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（5） 谈判文件规定的其他情形。</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注：谈判供应商已经被推荐为第一成交候选人后撤回竞争性谈判响应文件或拒绝签订政府采购合同的，其保证金将不予退还，并上缴国库，给采购人造成其损失的，还应当赔偿损失，并作为不良行为记录在案。</w:t>
      </w:r>
    </w:p>
    <w:p>
      <w:pPr>
        <w:spacing w:line="380" w:lineRule="exact"/>
        <w:ind w:firstLine="422"/>
        <w:rPr>
          <w:rFonts w:ascii="宋体" w:hAnsi="宋体"/>
          <w:b/>
          <w:color w:val="auto"/>
          <w:szCs w:val="21"/>
          <w:highlight w:val="none"/>
        </w:rPr>
      </w:pPr>
      <w:r>
        <w:rPr>
          <w:rFonts w:hint="eastAsia" w:ascii="宋体" w:hAnsi="宋体"/>
          <w:b/>
          <w:color w:val="auto"/>
          <w:szCs w:val="21"/>
          <w:highlight w:val="none"/>
        </w:rPr>
        <w:t>五</w:t>
      </w:r>
      <w:r>
        <w:rPr>
          <w:rFonts w:hint="eastAsia"/>
          <w:b/>
          <w:color w:val="auto"/>
          <w:highlight w:val="none"/>
        </w:rPr>
        <w:t>、谈判程序</w:t>
      </w:r>
      <w:r>
        <w:rPr>
          <w:rFonts w:hint="eastAsia" w:ascii="宋体" w:hAnsi="宋体"/>
          <w:b/>
          <w:color w:val="auto"/>
          <w:szCs w:val="21"/>
          <w:highlight w:val="none"/>
        </w:rPr>
        <w:t>及</w:t>
      </w:r>
      <w:r>
        <w:rPr>
          <w:rFonts w:hint="eastAsia"/>
          <w:b/>
          <w:color w:val="auto"/>
          <w:highlight w:val="none"/>
        </w:rPr>
        <w:t>评标方法</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（一）在谈判正式开始前由谈判小组对竞争性谈判文件进行确认，认可竞争性谈判文件的内容符合法律法规的规定、不存在歧视性或排他性内容。</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（二）竞争性谈判响应文件无效的情形：</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1.未实质性响应竞争性谈判文件的竞争性谈判响应文件按无效处理。</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2.有下列情形之一的视为供应商相互串通参与谈判活动，竞争性谈判响应文件将被视为无效：</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（1）不同供应商的竞争性谈判响应文件由同一单位或者个人编制；或不同供应商报名的IP地址一致的；</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（2）不同供应商委托同一单位或者个人办理谈判活动事宜；</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（3）不同的供应商的竞争性谈判响应文件载明的项目管理员为同一个人；</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（4）不同供应商的竞争性谈判响应文件异常一致或谈判报价呈规律性差异；</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（5）不同供应商的竞争性谈判响应文件相互混装；</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（6）不同供应商的保证金从同一单位或者个人账户转出。</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3.有下列情形之一的视为关联供应商参加同一合同项下政府采购活动，竞争性谈判响应文件将被视为无效：</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单位负责人为同一人或者存在直接控股、管理关系的不同供应商，参加同一合同项下政府采购活动。</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4.其他竞标无效的情形：</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（1）竞争性谈判响应文件未按竞争性谈判文件要求签署或CA电子签章的；</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（2）供应商提交两份或两份以上内容不同的竞争性谈判响应文件；</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（3）谈判供应商在线制作竞争性谈判响应文件时填写的报价金额与解密后“电子加密响应文件”中《报价文件》填写的金额不一致并拒绝按采购文件要求接受调整的；</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（4）法律、法规和采购文件规定的其他无效情形（或出现重大偏差）。</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5.被拒绝的响应文件为无效。</w:t>
      </w:r>
    </w:p>
    <w:p>
      <w:pPr>
        <w:spacing w:line="380" w:lineRule="exact"/>
        <w:ind w:firstLine="422"/>
        <w:rPr>
          <w:b/>
          <w:color w:val="auto"/>
          <w:highlight w:val="none"/>
        </w:rPr>
      </w:pPr>
      <w:r>
        <w:rPr>
          <w:rFonts w:hint="eastAsia"/>
          <w:b/>
          <w:color w:val="auto"/>
          <w:highlight w:val="none"/>
        </w:rPr>
        <w:t xml:space="preserve">  谈判供应商竞争性谈判响应文件无效的，谈判小组应当告知有关供应商。</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11.1第一轮谈判</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（一）谈判准备</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本中心将在规定的时间和地点进行电子谈判，谈判供应商的法定代表人或其委托代理人应做好谈判准备，准时在线参加电子谈判会议，随时关注谈判进度。</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（二） 第一轮谈判程序：</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1.谈判会由本中心主持，主持人宣布谈判会议开始；</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 xml:space="preserve">2.主持人介绍参加谈判会的人员名单； </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3.主持人宣布谈判会议纪律及评审期间的有关事项；告知应当回避的情形,提请有关人员回避；</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4.谈判及评审程序</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（1）在谈判开始时间截止后30分钟内由各供应商自行对谈判响应文件进行解密；</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（2）由谈判小组进行资格审查和符合性审查，审查结束后，在线通知无效谈判供应商谈判响应文件无效理由，有效谈判供应商进入谈判程序。</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（3）系统对各供应商的商务技术进行汇总；</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（4）谈判小组所有成员应当集中与单一供应商分别进行在线谈判，并给予所有参加谈判的供应商平等的谈判机会。</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5）当谈判小组一致确定供应商的竞争性谈判响应文件能够详细列明采购标的的技术、服务要求且符合竞争性谈判文件要求，无需再谈判的，谈判小组按竞争性谈判文件设定的11.4、11.6程序和评标方法确定成交候选供应商。第一轮谈判后竞争性谈判文件有实质性变动或仍需谈判的，谈判小组对竞争性谈判文件变动或提出谈判意见后进行第二轮谈判。</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11.2竞争性谈判文件变动</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⑴第一轮谈判结束后，由谈判小组组长主持，根据竞争性谈判文件和谈判情况结合第一轮谈判整体情况，可以对竞争性谈判文件采购需求中已事先明确的可能实质性变动采购需求中的技术、服务要求以及合同草案条款进行统一变动，但不得变动竞争性谈判文件中的其他内容。实质性变动的内容，须经采购人代表确认。</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对竞争性谈判文件作出的实质性变动是竞争性谈判文件的有效组成部分，谈判小组应当在询标规定时间内及时通知所有参加谈判的供应商，并要求供应商做出响应（需盖CA电子签章）。</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11.3第二轮谈判</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谈判小组集中就重新提交的响应材料或谈判小组提出的谈判意见与单一响应供应商分别进行在线谈判。</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谈判后，在询标规定时间内供应商根据谈判小组统一整理的谈判记录要求做出承诺（需盖CA电子签章）。</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当谈判小组一致确定供应商的竞争性谈判响应文件能够详细列明采购标的的技术、服务要求且符合竞争性谈判文件要求，无需再谈判的，谈判小组按竞争性谈判文件设定的11.4、11.6程序和评标方法确定成交候选供应商。第二轮谈判后竞争性谈判文件仍有实质性变动的或仍需谈判的，谈判小组对竞争性谈判文件变动或提出谈判意见后进行第三轮谈判。以此类推。</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特别说明：</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政采云公司如对电子化开标及评审程序有调整的，按调整后的程序操作。</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谈判评审在严格保密的情况下进行，谈判的任何一方不得透露与谈判有关的其他供应商的技术资料、价格和其他信息。</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电子谈判过程中需要供应商在线确认的所有内容，供应商不予确认的应说明理由，超过规定时间未确认的，将被视为放弃确认或者无异议。</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澄清问题的形式：对响应文件中含义不明确、同类问题表述不一致或者有明显文字和计算错误的内容，谈判小组可要求供应商作出必要的澄清、说明或者纠正，供应商应在询标规定时间内进行澄清或说明（需盖CA电子签章），并不得超出采购文件的范围或者改变谈判响应文件的实质性内容。</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11.4最后报价及成交候选供应商推荐</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谈判结束后，谈判小组要求所有继续参加谈判的供应商在规定时间内在线提交最后报价。继续参加谈判的供应商作最后报价，由其法定代表人(负责人)或授权代表CA电子签章后提交。</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谈判小组从质量和服务均能满足竞争性谈判文件实质性响应要求的供应商中，按照最后报价由低到高的顺序提出3名以上成交候选人，最后报价相同时，由谈判小组根据竞争性谈判响应文件中技术、服务、合同条款情况确定排序，按确定排序由低到高的原则推荐成交候选人，并编写评审报告。最后报价是供应商竞争性谈判响应文件的有效组成部分。</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谈判小组按照少数服从多数的原则推荐成交候选供应商，采购程序继续进行。对评审报告有异议的谈判小组成员，应当明确不同意见并说明理由。谈判小组成员拒绝提出理由的，视为同意评审结果。</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11.5供应商的报价均超过了政府采购最高限价，采购人不能支付的，谈判活动终止。</w:t>
      </w:r>
    </w:p>
    <w:p>
      <w:pPr>
        <w:widowControl/>
        <w:spacing w:line="38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11.6</w:t>
      </w:r>
      <w:r>
        <w:rPr>
          <w:rFonts w:hint="eastAsia"/>
          <w:color w:val="auto"/>
          <w:highlight w:val="none"/>
        </w:rPr>
        <w:t>本采购项目的评审依据为竞争性谈判文件和竞争性谈判响应文件，采用的评标方法为</w:t>
      </w:r>
      <w:r>
        <w:rPr>
          <w:rFonts w:hint="eastAsia"/>
          <w:b/>
          <w:color w:val="auto"/>
          <w:highlight w:val="none"/>
        </w:rPr>
        <w:t>最低评标价法</w:t>
      </w:r>
      <w:r>
        <w:rPr>
          <w:rFonts w:hint="eastAsia"/>
          <w:color w:val="auto"/>
          <w:highlight w:val="none"/>
        </w:rPr>
        <w:t>。</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11.7可中止电子交易活动的情形</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采购过程中出现以下情形，导致电子交易平台无法正常运行，或者无法保证电子交易的公平、公正和安全时，本中心可中止电子标活动：</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(1)电子交易平台发生故障而无法登录访问的；</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(2)电子交易平台应用或数据库出现错误，不能进行正常操作的；</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(3)电子交易平台发现严重安全漏洞，有潜在泄密危险的；</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(4)病毒发作导致不能进行正常操作的；</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(5)其他无法保证电子交易的公平、公正和安全的情况。</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出现前款规定情形，不影响采购公平、公正性的，本中心待上述情形消除后继续组织电子交易活动；影响或可能影响采购公平、公正性的，重新组织采购活动。</w:t>
      </w:r>
    </w:p>
    <w:p>
      <w:pPr>
        <w:spacing w:line="380" w:lineRule="exact"/>
        <w:ind w:firstLine="422"/>
        <w:rPr>
          <w:rFonts w:ascii="宋体" w:hAnsi="宋体"/>
          <w:b/>
          <w:color w:val="auto"/>
          <w:szCs w:val="21"/>
          <w:highlight w:val="none"/>
        </w:rPr>
      </w:pPr>
      <w:r>
        <w:rPr>
          <w:rFonts w:hint="eastAsia" w:ascii="宋体" w:hAnsi="宋体"/>
          <w:b/>
          <w:color w:val="auto"/>
          <w:szCs w:val="21"/>
          <w:highlight w:val="none"/>
        </w:rPr>
        <w:t>六、确定成交供应商办法</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12.1 根据以下原则确定成交供应商：</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12.2质量和服务均能满足竞争性谈判文件实质性响应要求的供应商中按最后报价最低的原则确定成交供应商。</w:t>
      </w:r>
    </w:p>
    <w:p>
      <w:pPr>
        <w:pStyle w:val="22"/>
        <w:spacing w:line="380" w:lineRule="exact"/>
        <w:ind w:firstLine="413"/>
        <w:rPr>
          <w:b/>
          <w:color w:val="auto"/>
          <w:highlight w:val="none"/>
        </w:rPr>
      </w:pPr>
      <w:r>
        <w:rPr>
          <w:rFonts w:hint="eastAsia"/>
          <w:b/>
          <w:color w:val="auto"/>
          <w:highlight w:val="none"/>
        </w:rPr>
        <w:t>七、成交结果公告</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13.本中心在评审结束后2个工作日内将谈判评审报告送采购人确认，采购人确认后，成交结果公告将在中国政府采购网(www.ccgp.gov.cn)、广西壮族自治区政府采购网（zfcg.gxzf.gov.cn）及本中心网站（</w:t>
      </w:r>
      <w:r>
        <w:rPr>
          <w:rFonts w:hint="eastAsia" w:ascii="宋体" w:hAnsi="宋体"/>
          <w:color w:val="auto"/>
          <w:szCs w:val="21"/>
          <w:highlight w:val="none"/>
          <w:lang w:val="en"/>
        </w:rPr>
        <w:t>gxggzy.gxzf.gov.cn</w:t>
      </w:r>
      <w:r>
        <w:rPr>
          <w:rFonts w:hint="eastAsia" w:ascii="宋体" w:hAnsi="宋体"/>
          <w:color w:val="auto"/>
          <w:szCs w:val="21"/>
          <w:highlight w:val="none"/>
        </w:rPr>
        <w:t>）上发布，同时向成交供应商发出成交通知书。</w:t>
      </w:r>
    </w:p>
    <w:p>
      <w:pPr>
        <w:spacing w:line="380" w:lineRule="exact"/>
        <w:ind w:left="420" w:firstLine="105"/>
        <w:rPr>
          <w:rFonts w:ascii="宋体" w:hAnsi="宋体"/>
          <w:b/>
          <w:color w:val="auto"/>
          <w:szCs w:val="21"/>
          <w:highlight w:val="none"/>
        </w:rPr>
      </w:pPr>
      <w:r>
        <w:rPr>
          <w:rFonts w:hint="eastAsia" w:ascii="宋体" w:hAnsi="宋体"/>
          <w:b/>
          <w:color w:val="auto"/>
          <w:szCs w:val="21"/>
          <w:highlight w:val="none"/>
        </w:rPr>
        <w:t>八、签订合同</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14.1成交供应商自成交通知书发出之日起：</w:t>
      </w:r>
      <w:r>
        <w:rPr>
          <w:rFonts w:hint="eastAsia" w:ascii="宋体" w:hAnsi="宋体"/>
          <w:b/>
          <w:bCs/>
          <w:color w:val="auto"/>
          <w:szCs w:val="21"/>
          <w:highlight w:val="none"/>
        </w:rPr>
        <w:t>25日内</w:t>
      </w:r>
      <w:r>
        <w:rPr>
          <w:rFonts w:hint="eastAsia" w:ascii="宋体" w:hAnsi="宋体"/>
          <w:color w:val="auto"/>
          <w:szCs w:val="21"/>
          <w:highlight w:val="none"/>
        </w:rPr>
        <w:t>与采购人签订合同（采购需求中另有要求的，按要求执行）。</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14.2成交供应商拒绝签订政府采购合同的，采购人可以根据谈判评审报告确定排名第二的成交候选人作为成交供应商并签订政府采购合同，以此类推。拒绝签订政府采购合同的成交供应商不得参加对该项目重新开展的采购活动。</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14.3成交供应商拒绝签订政府采购合同的，其保证金将不予退还，并上缴国库，给采购人造成其损失的，还应当赔偿损失，并作为不良行为记录在案。</w:t>
      </w:r>
    </w:p>
    <w:p>
      <w:pPr>
        <w:spacing w:line="380" w:lineRule="exact"/>
        <w:ind w:left="420" w:firstLine="105"/>
        <w:rPr>
          <w:rFonts w:ascii="宋体" w:hAnsi="宋体"/>
          <w:b/>
          <w:color w:val="auto"/>
          <w:szCs w:val="21"/>
          <w:highlight w:val="none"/>
        </w:rPr>
      </w:pPr>
      <w:r>
        <w:rPr>
          <w:rFonts w:hint="eastAsia" w:ascii="宋体" w:hAnsi="宋体"/>
          <w:b/>
          <w:color w:val="auto"/>
          <w:szCs w:val="21"/>
          <w:highlight w:val="none"/>
        </w:rPr>
        <w:t>九、</w:t>
      </w:r>
      <w:r>
        <w:rPr>
          <w:rFonts w:hint="eastAsia"/>
          <w:b/>
          <w:color w:val="auto"/>
          <w:highlight w:val="none"/>
        </w:rPr>
        <w:t>询问、质疑和投诉</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15.1 供应商对政府采购活动事项有疑问的，可以向采购人、采购代理机构提出询问。</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15.2 供应商认为竞争性谈判文件、采购过程或成交结果使自己的合法权益受到损害的，应当在知道或者应知其权益受到损害之日起七个工作日内，以书面形式向采购人提出质疑。具体计算时间如下：</w:t>
      </w:r>
    </w:p>
    <w:p>
      <w:pPr>
        <w:spacing w:line="380" w:lineRule="exact"/>
        <w:ind w:firstLine="420"/>
        <w:rPr>
          <w:rFonts w:hint="eastAsia" w:ascii="宋体" w:hAnsi="宋体"/>
          <w:b/>
          <w:bCs/>
          <w:color w:val="auto"/>
          <w:szCs w:val="21"/>
          <w:highlight w:val="none"/>
        </w:rPr>
      </w:pPr>
      <w:r>
        <w:rPr>
          <w:rFonts w:hint="eastAsia" w:ascii="宋体" w:hAnsi="宋体"/>
          <w:b/>
          <w:bCs/>
          <w:color w:val="auto"/>
          <w:szCs w:val="21"/>
          <w:highlight w:val="none"/>
        </w:rPr>
        <w:t>（1）对可以质疑的竞争性谈判文件提出质疑的，为收到竞争性谈判文件之日；</w:t>
      </w:r>
    </w:p>
    <w:p>
      <w:pPr>
        <w:widowControl/>
        <w:spacing w:line="380" w:lineRule="exact"/>
        <w:ind w:firstLine="420"/>
        <w:jc w:val="left"/>
        <w:rPr>
          <w:rFonts w:hint="eastAsia" w:ascii="宋体" w:hAnsi="宋体"/>
          <w:b/>
          <w:bCs/>
          <w:color w:val="auto"/>
          <w:szCs w:val="21"/>
          <w:highlight w:val="none"/>
        </w:rPr>
      </w:pPr>
      <w:r>
        <w:rPr>
          <w:rFonts w:hint="eastAsia" w:ascii="宋体" w:hAnsi="宋体"/>
          <w:b/>
          <w:bCs/>
          <w:color w:val="auto"/>
          <w:szCs w:val="21"/>
          <w:highlight w:val="none"/>
        </w:rPr>
        <w:t>（2）对采购过程提出质疑的，为各采购程序环节结束之日；</w:t>
      </w:r>
    </w:p>
    <w:p>
      <w:pPr>
        <w:widowControl/>
        <w:spacing w:line="380" w:lineRule="exact"/>
        <w:ind w:firstLine="420"/>
        <w:jc w:val="left"/>
        <w:rPr>
          <w:rFonts w:hint="eastAsia" w:ascii="宋体" w:hAnsi="宋体"/>
          <w:b/>
          <w:bCs/>
          <w:color w:val="auto"/>
          <w:szCs w:val="21"/>
          <w:highlight w:val="none"/>
        </w:rPr>
      </w:pPr>
      <w:r>
        <w:rPr>
          <w:rFonts w:hint="eastAsia" w:ascii="宋体" w:hAnsi="宋体"/>
          <w:b/>
          <w:bCs/>
          <w:color w:val="auto"/>
          <w:szCs w:val="21"/>
          <w:highlight w:val="none"/>
        </w:rPr>
        <w:t>（3）对成交结果提出质疑的，为成交结果公告期限届满之日。供应商对采购人的质疑答复不满意或者采购人未在规定时间内作出答复的，可以在答复期满后十五个工作日内向同级政府采购监督管理部门投诉。</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15.3 质疑、投诉应当采用书面形式，质疑函、投诉书均应明确阐述竞争性谈判文件、采购过程、成交结果中使自己合法权益受到损害的实质性内容，提供相关事实、明确的请求、必要的证明材料，便于有关单位调查、答复和处理。</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15.4采购人、采购代理机构接收质疑函的方式、联系部门、联系电话和地址等信息详见“供应商须知前附表”。</w:t>
      </w:r>
    </w:p>
    <w:p>
      <w:pPr>
        <w:spacing w:line="380" w:lineRule="exact"/>
        <w:ind w:left="420" w:firstLine="105"/>
        <w:rPr>
          <w:rFonts w:ascii="宋体" w:hAnsi="宋体"/>
          <w:b/>
          <w:color w:val="auto"/>
          <w:szCs w:val="21"/>
          <w:highlight w:val="none"/>
        </w:rPr>
      </w:pPr>
      <w:r>
        <w:rPr>
          <w:rFonts w:hint="eastAsia" w:ascii="宋体" w:hAnsi="宋体"/>
          <w:b/>
          <w:color w:val="auto"/>
          <w:szCs w:val="21"/>
          <w:highlight w:val="none"/>
        </w:rPr>
        <w:t>十、适用法律</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16.采购当事人的一切活动均适用于《中华人民共和国政府采购法》及相关规定。最终谈判结束后，谈判小组不得再与供应商进行任何形式的谈判。</w:t>
      </w:r>
    </w:p>
    <w:p>
      <w:pPr>
        <w:spacing w:line="380" w:lineRule="exact"/>
        <w:ind w:left="420" w:firstLine="105"/>
        <w:rPr>
          <w:rFonts w:hint="eastAsia" w:ascii="宋体" w:hAnsi="宋体"/>
          <w:b/>
          <w:color w:val="auto"/>
          <w:szCs w:val="21"/>
          <w:highlight w:val="none"/>
        </w:rPr>
      </w:pPr>
      <w:r>
        <w:rPr>
          <w:rFonts w:hint="eastAsia" w:ascii="宋体" w:hAnsi="宋体"/>
          <w:b/>
          <w:color w:val="auto"/>
          <w:szCs w:val="21"/>
          <w:highlight w:val="none"/>
        </w:rPr>
        <w:t>十一、其他事项</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17.1解释权</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本竞争性谈判文件解释权属本中心。</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17.2 有关事宜</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所有与本竞争性谈判文件有关的函件请按下列通讯地址联系：</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 xml:space="preserve">     广西壮族自治区政府采购中心</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 xml:space="preserve">     邮政编码：530011</w:t>
      </w:r>
    </w:p>
    <w:p>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 xml:space="preserve">     通讯地址：广西南宁市星湖路22号</w:t>
      </w:r>
    </w:p>
    <w:p>
      <w:pPr>
        <w:widowControl/>
        <w:spacing w:line="380" w:lineRule="exact"/>
        <w:ind w:firstLine="420"/>
        <w:jc w:val="left"/>
        <w:rPr>
          <w:rFonts w:ascii="宋体" w:hAnsi="宋体"/>
          <w:color w:val="auto"/>
          <w:szCs w:val="21"/>
          <w:highlight w:val="none"/>
        </w:rPr>
      </w:pPr>
      <w:r>
        <w:rPr>
          <w:rFonts w:hint="eastAsia" w:ascii="宋体" w:hAnsi="宋体"/>
          <w:color w:val="auto"/>
          <w:szCs w:val="21"/>
          <w:highlight w:val="none"/>
        </w:rPr>
        <w:t xml:space="preserve">     电    话：</w:t>
      </w:r>
      <w:r>
        <w:rPr>
          <w:rFonts w:hint="eastAsia" w:ascii="宋体" w:hAnsi="宋体"/>
          <w:color w:val="auto"/>
          <w:szCs w:val="21"/>
          <w:highlight w:val="none"/>
          <w:lang w:val="en"/>
        </w:rPr>
        <w:t>0771-86003</w:t>
      </w:r>
      <w:r>
        <w:rPr>
          <w:rFonts w:hint="eastAsia" w:ascii="宋体" w:hAnsi="宋体"/>
          <w:color w:val="auto"/>
          <w:szCs w:val="21"/>
          <w:highlight w:val="none"/>
        </w:rPr>
        <w:t>43</w:t>
      </w:r>
    </w:p>
    <w:p>
      <w:pPr>
        <w:spacing w:line="400" w:lineRule="exact"/>
        <w:jc w:val="center"/>
        <w:rPr>
          <w:rFonts w:ascii="仿宋_GB2312" w:hAnsi="仿宋_GB2312" w:eastAsia="仿宋_GB2312"/>
          <w:b/>
          <w:color w:val="auto"/>
          <w:sz w:val="32"/>
          <w:szCs w:val="32"/>
          <w:highlight w:val="none"/>
        </w:rPr>
      </w:pPr>
    </w:p>
    <w:p>
      <w:pPr>
        <w:pageBreakBefore/>
        <w:spacing w:line="400" w:lineRule="exact"/>
        <w:jc w:val="center"/>
        <w:rPr>
          <w:rFonts w:ascii="仿宋_GB2312" w:hAnsi="仿宋_GB2312" w:eastAsia="仿宋_GB2312"/>
          <w:b/>
          <w:color w:val="auto"/>
          <w:sz w:val="32"/>
          <w:szCs w:val="32"/>
          <w:highlight w:val="none"/>
        </w:rPr>
      </w:pPr>
    </w:p>
    <w:p>
      <w:pPr>
        <w:spacing w:line="400" w:lineRule="exact"/>
        <w:jc w:val="center"/>
        <w:rPr>
          <w:rFonts w:ascii="仿宋_GB2312" w:hAnsi="仿宋_GB2312" w:eastAsia="仿宋_GB2312"/>
          <w:b/>
          <w:color w:val="auto"/>
          <w:sz w:val="32"/>
          <w:szCs w:val="32"/>
          <w:highlight w:val="none"/>
        </w:rPr>
      </w:pPr>
    </w:p>
    <w:p>
      <w:pPr>
        <w:spacing w:line="400" w:lineRule="exact"/>
        <w:jc w:val="center"/>
        <w:rPr>
          <w:rFonts w:ascii="仿宋_GB2312" w:hAnsi="仿宋_GB2312" w:eastAsia="仿宋_GB2312"/>
          <w:b/>
          <w:color w:val="auto"/>
          <w:sz w:val="32"/>
          <w:szCs w:val="32"/>
          <w:highlight w:val="none"/>
        </w:rPr>
      </w:pPr>
    </w:p>
    <w:p>
      <w:pPr>
        <w:spacing w:line="620" w:lineRule="exact"/>
        <w:jc w:val="center"/>
        <w:rPr>
          <w:rFonts w:ascii="仿宋_GB2312" w:hAnsi="仿宋_GB2312" w:eastAsia="仿宋_GB2312"/>
          <w:b/>
          <w:color w:val="auto"/>
          <w:sz w:val="44"/>
          <w:szCs w:val="44"/>
          <w:highlight w:val="none"/>
        </w:rPr>
      </w:pPr>
    </w:p>
    <w:p>
      <w:pPr>
        <w:spacing w:line="620" w:lineRule="exact"/>
        <w:jc w:val="center"/>
        <w:rPr>
          <w:rFonts w:ascii="仿宋_GB2312" w:hAnsi="仿宋_GB2312" w:eastAsia="仿宋_GB2312"/>
          <w:b/>
          <w:color w:val="auto"/>
          <w:sz w:val="44"/>
          <w:szCs w:val="44"/>
          <w:highlight w:val="none"/>
        </w:rPr>
      </w:pPr>
    </w:p>
    <w:p>
      <w:pPr>
        <w:spacing w:line="620" w:lineRule="exact"/>
        <w:jc w:val="center"/>
        <w:rPr>
          <w:rFonts w:ascii="仿宋_GB2312" w:hAnsi="仿宋_GB2312" w:eastAsia="仿宋_GB2312"/>
          <w:b/>
          <w:color w:val="auto"/>
          <w:sz w:val="44"/>
          <w:szCs w:val="44"/>
          <w:highlight w:val="none"/>
        </w:rPr>
      </w:pPr>
    </w:p>
    <w:p>
      <w:pPr>
        <w:spacing w:line="620" w:lineRule="exact"/>
        <w:jc w:val="center"/>
        <w:rPr>
          <w:rFonts w:ascii="仿宋_GB2312" w:hAnsi="仿宋_GB2312" w:eastAsia="仿宋_GB2312"/>
          <w:b/>
          <w:color w:val="auto"/>
          <w:sz w:val="44"/>
          <w:szCs w:val="44"/>
          <w:highlight w:val="none"/>
        </w:rPr>
      </w:pPr>
    </w:p>
    <w:p>
      <w:pPr>
        <w:spacing w:line="620" w:lineRule="exact"/>
        <w:jc w:val="center"/>
        <w:rPr>
          <w:rFonts w:ascii="仿宋_GB2312" w:hAnsi="仿宋_GB2312" w:eastAsia="仿宋_GB2312"/>
          <w:b/>
          <w:color w:val="auto"/>
          <w:sz w:val="44"/>
          <w:szCs w:val="44"/>
          <w:highlight w:val="none"/>
        </w:rPr>
      </w:pPr>
    </w:p>
    <w:p>
      <w:pPr>
        <w:spacing w:line="620" w:lineRule="exact"/>
        <w:jc w:val="center"/>
        <w:rPr>
          <w:rFonts w:ascii="仿宋_GB2312" w:hAnsi="仿宋_GB2312" w:eastAsia="仿宋_GB2312"/>
          <w:b/>
          <w:color w:val="auto"/>
          <w:sz w:val="44"/>
          <w:szCs w:val="44"/>
          <w:highlight w:val="none"/>
        </w:rPr>
      </w:pPr>
    </w:p>
    <w:p>
      <w:pPr>
        <w:spacing w:line="620" w:lineRule="exact"/>
        <w:jc w:val="center"/>
        <w:rPr>
          <w:rFonts w:ascii="仿宋_GB2312" w:hAnsi="仿宋_GB2312" w:eastAsia="仿宋_GB2312"/>
          <w:b/>
          <w:color w:val="auto"/>
          <w:sz w:val="44"/>
          <w:szCs w:val="44"/>
          <w:highlight w:val="none"/>
        </w:rPr>
      </w:pPr>
    </w:p>
    <w:p>
      <w:pPr>
        <w:pStyle w:val="3"/>
        <w:jc w:val="center"/>
        <w:rPr>
          <w:color w:val="auto"/>
          <w:highlight w:val="none"/>
        </w:rPr>
      </w:pPr>
      <w:bookmarkStart w:id="10" w:name="_Toc46136758"/>
      <w:r>
        <w:rPr>
          <w:rFonts w:hint="eastAsia"/>
          <w:color w:val="auto"/>
          <w:highlight w:val="none"/>
        </w:rPr>
        <w:t>第三章  采购需求</w:t>
      </w:r>
      <w:bookmarkEnd w:id="10"/>
    </w:p>
    <w:p>
      <w:pPr>
        <w:spacing w:line="500" w:lineRule="exact"/>
        <w:jc w:val="center"/>
        <w:rPr>
          <w:rFonts w:ascii="宋体" w:hAnsi="宋体"/>
          <w:b/>
          <w:color w:val="auto"/>
          <w:szCs w:val="21"/>
          <w:highlight w:val="none"/>
        </w:rPr>
      </w:pPr>
    </w:p>
    <w:p>
      <w:pPr>
        <w:spacing w:line="500" w:lineRule="exact"/>
        <w:jc w:val="center"/>
        <w:rPr>
          <w:rFonts w:ascii="宋体" w:hAnsi="宋体"/>
          <w:b/>
          <w:color w:val="auto"/>
          <w:szCs w:val="21"/>
          <w:highlight w:val="none"/>
        </w:rPr>
      </w:pPr>
    </w:p>
    <w:p>
      <w:pPr>
        <w:spacing w:line="500" w:lineRule="exact"/>
        <w:jc w:val="center"/>
        <w:rPr>
          <w:rFonts w:ascii="宋体" w:hAnsi="宋体"/>
          <w:b/>
          <w:color w:val="auto"/>
          <w:szCs w:val="21"/>
          <w:highlight w:val="none"/>
        </w:rPr>
      </w:pPr>
    </w:p>
    <w:p>
      <w:pPr>
        <w:spacing w:line="500" w:lineRule="exact"/>
        <w:jc w:val="center"/>
        <w:rPr>
          <w:rFonts w:ascii="宋体" w:hAnsi="宋体"/>
          <w:b/>
          <w:color w:val="auto"/>
          <w:szCs w:val="21"/>
          <w:highlight w:val="none"/>
        </w:rPr>
      </w:pPr>
    </w:p>
    <w:p>
      <w:pPr>
        <w:spacing w:line="500" w:lineRule="exact"/>
        <w:jc w:val="center"/>
        <w:rPr>
          <w:rFonts w:hint="eastAsia" w:ascii="仿宋_GB2312" w:hAnsi="宋体" w:eastAsia="仿宋_GB2312"/>
          <w:b/>
          <w:color w:val="auto"/>
          <w:sz w:val="32"/>
          <w:szCs w:val="32"/>
          <w:highlight w:val="none"/>
        </w:rPr>
      </w:pPr>
      <w:r>
        <w:rPr>
          <w:rFonts w:ascii="宋体" w:hAnsi="宋体"/>
          <w:b/>
          <w:color w:val="auto"/>
          <w:szCs w:val="21"/>
          <w:highlight w:val="none"/>
        </w:rPr>
        <w:br w:type="page"/>
      </w:r>
      <w:r>
        <w:rPr>
          <w:rFonts w:hint="eastAsia" w:ascii="仿宋_GB2312" w:hAnsi="宋体" w:eastAsia="仿宋_GB2312"/>
          <w:b/>
          <w:color w:val="auto"/>
          <w:sz w:val="32"/>
          <w:szCs w:val="32"/>
          <w:highlight w:val="none"/>
        </w:rPr>
        <w:t>采购项目技术规格、参数及要求</w:t>
      </w:r>
    </w:p>
    <w:p>
      <w:pPr>
        <w:tabs>
          <w:tab w:val="left" w:pos="180"/>
          <w:tab w:val="left" w:pos="1620"/>
        </w:tabs>
        <w:spacing w:line="500" w:lineRule="exact"/>
        <w:ind w:firstLine="420"/>
        <w:rPr>
          <w:rFonts w:hint="eastAsia" w:ascii="宋体" w:hAnsi="宋体"/>
          <w:color w:val="auto"/>
          <w:szCs w:val="21"/>
          <w:highlight w:val="none"/>
        </w:rPr>
      </w:pPr>
    </w:p>
    <w:p>
      <w:pPr>
        <w:tabs>
          <w:tab w:val="left" w:pos="180"/>
          <w:tab w:val="left" w:pos="1620"/>
        </w:tabs>
        <w:spacing w:line="360" w:lineRule="auto"/>
        <w:ind w:firstLine="421" w:firstLineChars="200"/>
        <w:rPr>
          <w:rFonts w:hint="eastAsia" w:ascii="宋体" w:hAnsi="宋体"/>
          <w:b/>
          <w:color w:val="auto"/>
          <w:szCs w:val="21"/>
          <w:highlight w:val="none"/>
          <w:u w:val="single"/>
        </w:rPr>
      </w:pPr>
      <w:r>
        <w:rPr>
          <w:rFonts w:hint="eastAsia" w:ascii="宋体" w:hAnsi="宋体"/>
          <w:b/>
          <w:color w:val="auto"/>
          <w:szCs w:val="21"/>
          <w:highlight w:val="none"/>
        </w:rPr>
        <w:t>一、项目编号：</w:t>
      </w:r>
      <w:r>
        <w:rPr>
          <w:rFonts w:hint="eastAsia" w:ascii="宋体" w:hAnsi="宋体"/>
          <w:b/>
          <w:color w:val="auto"/>
          <w:szCs w:val="21"/>
          <w:highlight w:val="none"/>
          <w:u w:val="single"/>
        </w:rPr>
        <w:t xml:space="preserve"> GXZC2025-J1-003931-CGZX</w:t>
      </w:r>
    </w:p>
    <w:p>
      <w:pPr>
        <w:tabs>
          <w:tab w:val="left" w:pos="180"/>
          <w:tab w:val="left" w:pos="1620"/>
        </w:tabs>
        <w:spacing w:line="360" w:lineRule="auto"/>
        <w:ind w:firstLine="421" w:firstLineChars="200"/>
        <w:rPr>
          <w:rFonts w:hint="eastAsia" w:ascii="宋体" w:hAnsi="宋体"/>
          <w:b/>
          <w:color w:val="auto"/>
          <w:szCs w:val="21"/>
          <w:highlight w:val="none"/>
          <w:u w:val="single"/>
        </w:rPr>
      </w:pPr>
      <w:r>
        <w:rPr>
          <w:rFonts w:hint="eastAsia" w:ascii="宋体" w:hAnsi="宋体"/>
          <w:b/>
          <w:color w:val="auto"/>
          <w:szCs w:val="21"/>
          <w:highlight w:val="none"/>
        </w:rPr>
        <w:t>二、项目类别：</w:t>
      </w:r>
      <w:r>
        <w:rPr>
          <w:rFonts w:ascii="宋体" w:hAnsi="宋体"/>
          <w:b/>
          <w:color w:val="auto"/>
          <w:szCs w:val="21"/>
          <w:highlight w:val="none"/>
          <w:u w:val="single"/>
          <w:lang w:val="en"/>
        </w:rPr>
        <w:t xml:space="preserve"> </w:t>
      </w:r>
      <w:r>
        <w:rPr>
          <w:rFonts w:hint="eastAsia" w:ascii="宋体" w:hAnsi="宋体"/>
          <w:b/>
          <w:color w:val="auto"/>
          <w:szCs w:val="21"/>
          <w:highlight w:val="none"/>
          <w:u w:val="single"/>
        </w:rPr>
        <w:t xml:space="preserve">        货物            </w:t>
      </w:r>
    </w:p>
    <w:p>
      <w:pPr>
        <w:tabs>
          <w:tab w:val="left" w:pos="180"/>
          <w:tab w:val="left" w:pos="1620"/>
        </w:tabs>
        <w:spacing w:line="360" w:lineRule="auto"/>
        <w:ind w:firstLine="421" w:firstLineChars="200"/>
        <w:rPr>
          <w:rFonts w:hint="eastAsia" w:ascii="宋体" w:hAnsi="宋体"/>
          <w:b/>
          <w:color w:val="auto"/>
          <w:szCs w:val="21"/>
          <w:highlight w:val="none"/>
        </w:rPr>
      </w:pPr>
      <w:r>
        <w:rPr>
          <w:rFonts w:hint="eastAsia" w:ascii="宋体" w:hAnsi="宋体"/>
          <w:b/>
          <w:color w:val="auto"/>
          <w:szCs w:val="21"/>
          <w:highlight w:val="none"/>
        </w:rPr>
        <w:t>三、本项目采购预算：</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 xml:space="preserve"> </w:t>
      </w:r>
      <w:r>
        <w:rPr>
          <w:rFonts w:hint="eastAsia"/>
          <w:color w:val="auto"/>
          <w:highlight w:val="none"/>
          <w:u w:val="single"/>
          <w:lang w:val="en-US" w:eastAsia="zh-CN"/>
        </w:rPr>
        <w:t>449444.56</w:t>
      </w:r>
      <w:r>
        <w:rPr>
          <w:rFonts w:hint="eastAsia" w:ascii="宋体" w:hAnsi="宋体"/>
          <w:b/>
          <w:color w:val="auto"/>
          <w:szCs w:val="21"/>
          <w:highlight w:val="none"/>
          <w:u w:val="single"/>
        </w:rPr>
        <w:t>元</w:t>
      </w:r>
      <w:r>
        <w:rPr>
          <w:rFonts w:hint="eastAsia" w:ascii="宋体" w:hAnsi="宋体"/>
          <w:b/>
          <w:color w:val="auto"/>
          <w:szCs w:val="21"/>
          <w:highlight w:val="none"/>
        </w:rPr>
        <w:t xml:space="preserve">    </w:t>
      </w:r>
    </w:p>
    <w:p>
      <w:pPr>
        <w:tabs>
          <w:tab w:val="left" w:pos="180"/>
          <w:tab w:val="left" w:pos="1620"/>
        </w:tabs>
        <w:spacing w:line="360" w:lineRule="auto"/>
        <w:ind w:firstLine="421" w:firstLineChars="200"/>
        <w:rPr>
          <w:rFonts w:hint="eastAsia" w:ascii="宋体" w:hAnsi="宋体"/>
          <w:b/>
          <w:color w:val="auto"/>
          <w:szCs w:val="21"/>
          <w:highlight w:val="none"/>
        </w:rPr>
      </w:pPr>
      <w:r>
        <w:rPr>
          <w:rFonts w:hint="eastAsia" w:ascii="宋体" w:hAnsi="宋体"/>
          <w:b/>
          <w:color w:val="auto"/>
          <w:szCs w:val="21"/>
          <w:highlight w:val="none"/>
        </w:rPr>
        <w:t>四、本项目标的所属行业均为：</w:t>
      </w:r>
      <w:r>
        <w:rPr>
          <w:rFonts w:hint="eastAsia" w:ascii="宋体" w:hAnsi="宋体"/>
          <w:b/>
          <w:color w:val="auto"/>
          <w:szCs w:val="21"/>
          <w:highlight w:val="none"/>
          <w:u w:val="single"/>
        </w:rPr>
        <w:t xml:space="preserve">  工业  </w:t>
      </w:r>
      <w:r>
        <w:rPr>
          <w:rFonts w:hint="eastAsia" w:ascii="宋体" w:hAnsi="宋体"/>
          <w:b/>
          <w:color w:val="auto"/>
          <w:szCs w:val="21"/>
          <w:highlight w:val="none"/>
        </w:rPr>
        <w:t>；划分依据：《关于印发中小企业划型标准规定的通知》（工信部联企业[2011]300号）。</w:t>
      </w:r>
    </w:p>
    <w:p>
      <w:pPr>
        <w:spacing w:line="360" w:lineRule="auto"/>
        <w:ind w:firstLine="421"/>
        <w:rPr>
          <w:rFonts w:hint="eastAsia" w:ascii="宋体" w:hAnsi="宋体" w:cs="宋体"/>
          <w:b/>
          <w:bCs/>
          <w:color w:val="auto"/>
          <w:highlight w:val="none"/>
        </w:rPr>
      </w:pPr>
      <w:r>
        <w:rPr>
          <w:rFonts w:hint="eastAsia" w:ascii="宋体" w:hAnsi="宋体" w:cs="宋体"/>
          <w:b/>
          <w:bCs/>
          <w:color w:val="auto"/>
          <w:highlight w:val="none"/>
        </w:rPr>
        <w:t>五、</w:t>
      </w:r>
      <w:r>
        <w:rPr>
          <w:rFonts w:hint="eastAsia" w:ascii="宋体" w:hAnsi="宋体" w:cs="宋体"/>
          <w:b/>
          <w:bCs/>
          <w:color w:val="auto"/>
          <w:szCs w:val="21"/>
          <w:highlight w:val="none"/>
          <w:shd w:val="clear" w:color="auto" w:fill="FFFFFF"/>
          <w:lang w:bidi="ar"/>
        </w:rPr>
        <w:t>采购需求中标明“▲”号的参数为必须响应的实质性技术参数，要求竞标产品必须满足，否则作竞标无效处理。</w:t>
      </w:r>
    </w:p>
    <w:p>
      <w:pPr>
        <w:spacing w:line="360" w:lineRule="auto"/>
        <w:ind w:firstLine="421"/>
        <w:rPr>
          <w:rFonts w:hint="eastAsia" w:ascii="宋体" w:hAnsi="宋体" w:cs="宋体"/>
          <w:b/>
          <w:bCs/>
          <w:color w:val="auto"/>
          <w:highlight w:val="none"/>
        </w:rPr>
      </w:pPr>
      <w:r>
        <w:rPr>
          <w:rFonts w:hint="eastAsia" w:ascii="宋体" w:hAnsi="宋体" w:cs="宋体"/>
          <w:b/>
          <w:bCs/>
          <w:color w:val="auto"/>
          <w:highlight w:val="none"/>
        </w:rPr>
        <w:t>六、“主要技术参数及性能（配置）要求”中的“≥”和“≤”偏离说明，“≥”：“=”为无偏离，“＞”为正偏离；“＜”为负偏离，“≤”：“=”为无偏离，“＜”为正偏离，“＞”为负偏离。响应时必须明确具体响应数值，仅复制竞争性谈判文件要求的，将导致谈判被拒绝，响应文件作无效处理。</w:t>
      </w:r>
    </w:p>
    <w:p>
      <w:pPr>
        <w:spacing w:line="360" w:lineRule="auto"/>
        <w:ind w:firstLine="421" w:firstLineChars="200"/>
        <w:rPr>
          <w:rStyle w:val="145"/>
          <w:rFonts w:hint="eastAsia" w:ascii="宋体"/>
          <w:b/>
          <w:bCs/>
          <w:color w:val="auto"/>
          <w:highlight w:val="none"/>
        </w:rPr>
      </w:pPr>
      <w:r>
        <w:rPr>
          <w:rFonts w:hint="eastAsia" w:ascii="宋体" w:hAnsi="宋体" w:cs="宋体"/>
          <w:b/>
          <w:bCs/>
          <w:color w:val="auto"/>
          <w:highlight w:val="none"/>
        </w:rPr>
        <w:t>七、提供“</w:t>
      </w:r>
      <w:r>
        <w:rPr>
          <w:rStyle w:val="145"/>
          <w:rFonts w:hint="eastAsia" w:ascii="宋体" w:hAnsi="宋体" w:cs="宋体"/>
          <w:b/>
          <w:bCs/>
          <w:color w:val="auto"/>
          <w:highlight w:val="none"/>
        </w:rPr>
        <w:t>商务、技术响应、偏离情况说明表</w:t>
      </w:r>
      <w:r>
        <w:rPr>
          <w:rFonts w:hint="eastAsia" w:ascii="宋体" w:hAnsi="宋体" w:cs="宋体"/>
          <w:b/>
          <w:bCs/>
          <w:color w:val="auto"/>
          <w:highlight w:val="none"/>
        </w:rPr>
        <w:t>”时，必须</w:t>
      </w:r>
      <w:r>
        <w:rPr>
          <w:rStyle w:val="145"/>
          <w:rFonts w:hint="eastAsia" w:ascii="宋体" w:hAnsi="宋体" w:cs="宋体"/>
          <w:b/>
          <w:bCs/>
          <w:color w:val="auto"/>
          <w:highlight w:val="none"/>
        </w:rPr>
        <w:t>对照竞争性谈判文件“第三章采购项目技术规格、参数及要求”，逐条列明</w:t>
      </w:r>
      <w:r>
        <w:rPr>
          <w:rStyle w:val="145"/>
          <w:rFonts w:hint="eastAsia" w:ascii="宋体"/>
          <w:b/>
          <w:bCs/>
          <w:color w:val="auto"/>
          <w:highlight w:val="none"/>
        </w:rPr>
        <w:t>（不允许缺项）</w:t>
      </w:r>
      <w:r>
        <w:rPr>
          <w:rStyle w:val="145"/>
          <w:rFonts w:hint="eastAsia" w:ascii="宋体" w:hAnsi="宋体" w:cs="宋体"/>
          <w:b/>
          <w:bCs/>
          <w:color w:val="auto"/>
          <w:highlight w:val="none"/>
        </w:rPr>
        <w:t>所提供货物和服务对竞争性谈判文件的商务、技术做出的响应情况，并逐条写明对“采购项目技术规格、参数及要求”的偏离情况（如：“满足”或者“负偏离”或者“正偏离”）。谈判供应商必须提供对应的详细应答（如有“≥”或“≤”时，响应时必须明确具体响应数值）。“商务、技术响应、偏离情况说明表”中的“竞争性谈判响应文件具体响应”一栏未逐条列明或仅注明“符合”或“满足”或仅复制竞争性谈判文件要求的，将导致谈判被拒绝，响应文件作无效处理。</w:t>
      </w:r>
    </w:p>
    <w:p>
      <w:pPr>
        <w:spacing w:line="500" w:lineRule="exact"/>
        <w:ind w:firstLine="421" w:firstLineChars="200"/>
        <w:rPr>
          <w:rFonts w:hint="eastAsia" w:ascii="宋体" w:hAnsi="宋体"/>
          <w:color w:val="auto"/>
          <w:sz w:val="21"/>
          <w:szCs w:val="21"/>
          <w:highlight w:val="none"/>
        </w:rPr>
      </w:pPr>
      <w:r>
        <w:rPr>
          <w:rFonts w:hint="eastAsia" w:ascii="宋体" w:hAnsi="宋体"/>
          <w:b/>
          <w:color w:val="auto"/>
          <w:sz w:val="21"/>
          <w:szCs w:val="21"/>
          <w:highlight w:val="none"/>
          <w:lang w:val="en-US" w:eastAsia="zh-CN"/>
        </w:rPr>
        <w:t xml:space="preserve"> </w:t>
      </w:r>
      <w:r>
        <w:rPr>
          <w:rFonts w:hint="eastAsia" w:ascii="宋体" w:hAnsi="宋体"/>
          <w:b/>
          <w:color w:val="auto"/>
          <w:sz w:val="21"/>
          <w:szCs w:val="21"/>
          <w:highlight w:val="none"/>
        </w:rPr>
        <w:t>分标1：</w:t>
      </w:r>
      <w:r>
        <w:rPr>
          <w:rFonts w:hint="eastAsia" w:ascii="宋体" w:hAnsi="宋体"/>
          <w:color w:val="auto"/>
          <w:sz w:val="21"/>
          <w:szCs w:val="21"/>
          <w:highlight w:val="none"/>
        </w:rPr>
        <w:t xml:space="preserve"> </w:t>
      </w:r>
    </w:p>
    <w:tbl>
      <w:tblPr>
        <w:tblStyle w:val="41"/>
        <w:tblW w:w="10283" w:type="dxa"/>
        <w:tblInd w:w="113" w:type="dxa"/>
        <w:tblLayout w:type="fixed"/>
        <w:tblCellMar>
          <w:top w:w="0" w:type="dxa"/>
          <w:left w:w="108" w:type="dxa"/>
          <w:bottom w:w="0" w:type="dxa"/>
          <w:right w:w="108" w:type="dxa"/>
        </w:tblCellMar>
      </w:tblPr>
      <w:tblGrid>
        <w:gridCol w:w="687"/>
        <w:gridCol w:w="1249"/>
        <w:gridCol w:w="778"/>
        <w:gridCol w:w="800"/>
        <w:gridCol w:w="6769"/>
      </w:tblGrid>
      <w:tr>
        <w:tblPrEx>
          <w:tblCellMar>
            <w:top w:w="0" w:type="dxa"/>
            <w:left w:w="108" w:type="dxa"/>
            <w:bottom w:w="0" w:type="dxa"/>
            <w:right w:w="108" w:type="dxa"/>
          </w:tblCellMar>
        </w:tblPrEx>
        <w:trPr>
          <w:trHeight w:val="712" w:hRule="atLeast"/>
        </w:trPr>
        <w:tc>
          <w:tcPr>
            <w:tcW w:w="6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1"/>
                <w:szCs w:val="21"/>
                <w:highlight w:val="none"/>
              </w:rPr>
            </w:pPr>
            <w:bookmarkStart w:id="11" w:name="_Toc289240354"/>
            <w:bookmarkStart w:id="12" w:name="_Toc16610"/>
            <w:bookmarkStart w:id="13" w:name="_Toc334086956"/>
            <w:bookmarkStart w:id="14" w:name="_Toc152042571"/>
            <w:bookmarkStart w:id="15" w:name="_Toc419187889"/>
            <w:bookmarkStart w:id="16" w:name="_Toc289239225"/>
            <w:bookmarkStart w:id="17" w:name="_Toc152045782"/>
            <w:bookmarkStart w:id="18" w:name="_Toc144974851"/>
            <w:bookmarkStart w:id="19" w:name="_Toc289239436"/>
            <w:r>
              <w:rPr>
                <w:rFonts w:hint="eastAsia" w:ascii="宋体" w:hAnsi="宋体" w:cs="宋体"/>
                <w:b/>
                <w:bCs/>
                <w:color w:val="auto"/>
                <w:kern w:val="0"/>
                <w:sz w:val="21"/>
                <w:szCs w:val="21"/>
                <w:highlight w:val="none"/>
              </w:rPr>
              <w:t>项号</w:t>
            </w:r>
          </w:p>
        </w:tc>
        <w:tc>
          <w:tcPr>
            <w:tcW w:w="1249"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货物名称</w:t>
            </w:r>
          </w:p>
        </w:tc>
        <w:tc>
          <w:tcPr>
            <w:tcW w:w="778"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80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6769"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1"/>
                <w:szCs w:val="21"/>
                <w:highlight w:val="none"/>
              </w:rPr>
            </w:pPr>
            <w:r>
              <w:rPr>
                <w:rFonts w:hint="eastAsia" w:ascii="宋体" w:hAnsi="宋体" w:cs="宋体"/>
                <w:b/>
                <w:bCs/>
                <w:color w:val="auto"/>
                <w:sz w:val="21"/>
                <w:szCs w:val="21"/>
                <w:highlight w:val="none"/>
              </w:rPr>
              <w:t>主要技术参数及性能（配置）要求</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 </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LED屏</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台</w:t>
            </w:r>
          </w:p>
        </w:tc>
        <w:tc>
          <w:tcPr>
            <w:tcW w:w="6769" w:type="dxa"/>
            <w:tcBorders>
              <w:top w:val="nil"/>
              <w:left w:val="nil"/>
              <w:bottom w:val="single" w:color="auto" w:sz="4" w:space="0"/>
              <w:right w:val="single" w:color="auto" w:sz="4" w:space="0"/>
            </w:tcBorders>
            <w:noWrap w:val="0"/>
            <w:vAlign w:val="center"/>
          </w:tcPr>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室内P1.538，</w:t>
            </w:r>
            <w:r>
              <w:rPr>
                <w:rFonts w:hint="eastAsia" w:ascii="宋体" w:hAnsi="宋体" w:cs="宋体"/>
                <w:color w:val="auto"/>
                <w:sz w:val="21"/>
                <w:szCs w:val="21"/>
                <w:highlight w:val="none"/>
                <w:lang w:val="en-US" w:eastAsia="zh-CN"/>
              </w:rPr>
              <w:t>总面积</w:t>
            </w:r>
            <w:r>
              <w:rPr>
                <w:rFonts w:hint="eastAsia" w:ascii="宋体" w:hAnsi="宋体" w:cs="宋体"/>
                <w:color w:val="auto"/>
                <w:sz w:val="21"/>
                <w:szCs w:val="21"/>
                <w:highlight w:val="none"/>
              </w:rPr>
              <w:t>2.66*1.49m，单元板</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尺寸 320mm*160mm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像数点间距 1.5mm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像素密度 422500Dots/㎡</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像素构成 1R1G1B</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灯管封装 SMD1212</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6.参考</w:t>
            </w:r>
            <w:r>
              <w:rPr>
                <w:rFonts w:hint="eastAsia" w:ascii="宋体" w:hAnsi="宋体" w:cs="宋体"/>
                <w:color w:val="auto"/>
                <w:sz w:val="21"/>
                <w:szCs w:val="21"/>
                <w:highlight w:val="none"/>
              </w:rPr>
              <w:t>尺寸(长*宽*厚) 320*160*14.5mm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7.参考</w:t>
            </w:r>
            <w:r>
              <w:rPr>
                <w:rFonts w:hint="eastAsia" w:ascii="宋体" w:hAnsi="宋体" w:cs="宋体"/>
                <w:color w:val="auto"/>
                <w:sz w:val="21"/>
                <w:szCs w:val="21"/>
                <w:highlight w:val="none"/>
              </w:rPr>
              <w:t>重量 0.44kg±0.01kg</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结构特点 灯驱合一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单元板分辨率 208*104=21632Dots</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输入电压(直流) 4.5±0.1V</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最大电流 ≤6.6A</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单元板功率 ≤30W</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驱动方式 1/52恒流驱动</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40A电源带单元板数 3-4张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50A电源带单元板数 5-6张</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40A PFC电源带单元板数 5-6张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80A电源带单元板数 8-10张</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亮度 ≥600cd/㎡</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亮度均匀性 ＞0.95</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屏幕水平视角 140±10度</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屏幕垂直视角 130±10度</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最佳视距 ≥1.6m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使用环境 室内</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每平方单元板最大功率 ≤580W/㎡</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配电功率（每平方最大功率÷78%÷85%） ≤875W/m2</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rPr>
              <w:t>灰度等级 红、绿、蓝各14-16bits</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rPr>
              <w:t>显示颜色 43980亿种</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28.</w:t>
            </w:r>
            <w:r>
              <w:rPr>
                <w:rFonts w:hint="eastAsia" w:ascii="宋体" w:hAnsi="宋体" w:cs="宋体"/>
                <w:color w:val="auto"/>
                <w:sz w:val="21"/>
                <w:szCs w:val="21"/>
                <w:highlight w:val="none"/>
              </w:rPr>
              <w:t>换帧频率 ≥60帧/秒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▲29.</w:t>
            </w:r>
            <w:r>
              <w:rPr>
                <w:rFonts w:hint="eastAsia" w:ascii="宋体" w:hAnsi="宋体" w:cs="宋体"/>
                <w:color w:val="auto"/>
                <w:sz w:val="21"/>
                <w:szCs w:val="21"/>
                <w:highlight w:val="none"/>
              </w:rPr>
              <w:t>刷新频率 4200Hz</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控制方式 计算机控制，逐点一一对应，视频同步，实时显示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31.</w:t>
            </w:r>
            <w:r>
              <w:rPr>
                <w:rFonts w:hint="eastAsia" w:ascii="宋体" w:hAnsi="宋体" w:cs="宋体"/>
                <w:color w:val="auto"/>
                <w:sz w:val="21"/>
                <w:szCs w:val="21"/>
                <w:highlight w:val="none"/>
              </w:rPr>
              <w:t>亮度调节 256级手动/自动</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32.</w:t>
            </w:r>
            <w:r>
              <w:rPr>
                <w:rFonts w:hint="eastAsia" w:ascii="宋体" w:hAnsi="宋体" w:cs="宋体"/>
                <w:color w:val="auto"/>
                <w:sz w:val="21"/>
                <w:szCs w:val="21"/>
                <w:highlight w:val="none"/>
              </w:rPr>
              <w:t>输入信号 DVI/VGA/HDMI/DP、复合视频信号、S-VIDEO、YpbPr(HDTV)</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▲33.</w:t>
            </w:r>
            <w:r>
              <w:rPr>
                <w:rFonts w:hint="eastAsia" w:ascii="宋体" w:hAnsi="宋体" w:cs="宋体"/>
                <w:color w:val="auto"/>
                <w:sz w:val="21"/>
                <w:szCs w:val="21"/>
                <w:highlight w:val="none"/>
              </w:rPr>
              <w:t>使用寿命 ＞10万小时</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eastAsia="zh-CN"/>
              </w:rPr>
              <w:t>竞标时</w:t>
            </w:r>
            <w:r>
              <w:rPr>
                <w:rFonts w:hint="eastAsia" w:ascii="宋体" w:hAnsi="宋体" w:cs="宋体"/>
                <w:b/>
                <w:bCs/>
                <w:color w:val="auto"/>
                <w:sz w:val="21"/>
                <w:szCs w:val="21"/>
                <w:highlight w:val="none"/>
              </w:rPr>
              <w:t>提供具备CMA或CNAS资质的权威检测机构出具的检测合格的报告复印件，原件</w:t>
            </w:r>
            <w:r>
              <w:rPr>
                <w:rFonts w:hint="eastAsia" w:ascii="宋体" w:hAnsi="宋体" w:cs="宋体"/>
                <w:b/>
                <w:bCs/>
                <w:color w:val="auto"/>
                <w:sz w:val="21"/>
                <w:szCs w:val="21"/>
                <w:highlight w:val="none"/>
                <w:lang w:eastAsia="zh-CN"/>
              </w:rPr>
              <w:t>成交</w:t>
            </w:r>
            <w:r>
              <w:rPr>
                <w:rFonts w:hint="eastAsia" w:ascii="宋体" w:hAnsi="宋体" w:cs="宋体"/>
                <w:b/>
                <w:bCs/>
                <w:color w:val="auto"/>
                <w:sz w:val="21"/>
                <w:szCs w:val="21"/>
                <w:highlight w:val="none"/>
              </w:rPr>
              <w:t>后签订合同时备查）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▲34.</w:t>
            </w:r>
            <w:r>
              <w:rPr>
                <w:rFonts w:hint="eastAsia" w:ascii="宋体" w:hAnsi="宋体" w:cs="宋体"/>
                <w:color w:val="auto"/>
                <w:sz w:val="21"/>
                <w:szCs w:val="21"/>
                <w:highlight w:val="none"/>
              </w:rPr>
              <w:t>平均无故障时间 ＞1万小时</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竞标时</w:t>
            </w:r>
            <w:r>
              <w:rPr>
                <w:rFonts w:hint="eastAsia" w:ascii="宋体" w:hAnsi="宋体" w:cs="宋体"/>
                <w:b/>
                <w:bCs/>
                <w:color w:val="auto"/>
                <w:sz w:val="21"/>
                <w:szCs w:val="21"/>
                <w:highlight w:val="none"/>
              </w:rPr>
              <w:t>提供具备CMA或CNAS资质的权威检测机构出具的检测合格的报告复印件，原件</w:t>
            </w:r>
            <w:r>
              <w:rPr>
                <w:rFonts w:hint="eastAsia" w:ascii="宋体" w:hAnsi="宋体" w:cs="宋体"/>
                <w:b/>
                <w:bCs/>
                <w:color w:val="auto"/>
                <w:sz w:val="21"/>
                <w:szCs w:val="21"/>
                <w:highlight w:val="none"/>
                <w:lang w:eastAsia="zh-CN"/>
              </w:rPr>
              <w:t>成交</w:t>
            </w:r>
            <w:r>
              <w:rPr>
                <w:rFonts w:hint="eastAsia" w:ascii="宋体" w:hAnsi="宋体" w:cs="宋体"/>
                <w:b/>
                <w:bCs/>
                <w:color w:val="auto"/>
                <w:sz w:val="21"/>
                <w:szCs w:val="21"/>
                <w:highlight w:val="none"/>
              </w:rPr>
              <w:t>后签订合同时备查</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35.</w:t>
            </w:r>
            <w:r>
              <w:rPr>
                <w:rFonts w:hint="eastAsia" w:ascii="宋体" w:hAnsi="宋体" w:cs="宋体"/>
                <w:color w:val="auto"/>
                <w:sz w:val="21"/>
                <w:szCs w:val="21"/>
                <w:highlight w:val="none"/>
              </w:rPr>
              <w:t xml:space="preserve">衰减率(工作3年) 1年≤10%，2年≤12%，3年≤15％ </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36.</w:t>
            </w:r>
            <w:r>
              <w:rPr>
                <w:rFonts w:hint="eastAsia" w:ascii="宋体" w:hAnsi="宋体" w:cs="宋体"/>
                <w:color w:val="auto"/>
                <w:sz w:val="21"/>
                <w:szCs w:val="21"/>
                <w:highlight w:val="none"/>
              </w:rPr>
              <w:t>连续失控点 0</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37.</w:t>
            </w:r>
            <w:r>
              <w:rPr>
                <w:rFonts w:hint="eastAsia" w:ascii="宋体" w:hAnsi="宋体" w:cs="宋体"/>
                <w:color w:val="auto"/>
                <w:sz w:val="21"/>
                <w:szCs w:val="21"/>
                <w:highlight w:val="none"/>
              </w:rPr>
              <w:t>故障率/死灯率 1年≤0.5‰，2年≤1.1‰，3年≤2.3‰</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38.</w:t>
            </w:r>
            <w:r>
              <w:rPr>
                <w:rFonts w:hint="eastAsia" w:ascii="宋体" w:hAnsi="宋体" w:cs="宋体"/>
                <w:color w:val="auto"/>
                <w:sz w:val="21"/>
                <w:szCs w:val="21"/>
                <w:highlight w:val="none"/>
              </w:rPr>
              <w:t xml:space="preserve">离散失控点 ＜0.0001，出厂时为0 </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39.</w:t>
            </w:r>
            <w:r>
              <w:rPr>
                <w:rFonts w:hint="eastAsia" w:ascii="宋体" w:hAnsi="宋体" w:cs="宋体"/>
                <w:color w:val="auto"/>
                <w:sz w:val="21"/>
                <w:szCs w:val="21"/>
                <w:highlight w:val="none"/>
              </w:rPr>
              <w:t>盲点率 ＜0.0003，出厂时为0</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 xml:space="preserve">工作温度范围 -20-40℃ </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41.</w:t>
            </w:r>
            <w:r>
              <w:rPr>
                <w:rFonts w:hint="eastAsia" w:ascii="宋体" w:hAnsi="宋体" w:cs="宋体"/>
                <w:color w:val="auto"/>
                <w:sz w:val="21"/>
                <w:szCs w:val="21"/>
                <w:highlight w:val="none"/>
              </w:rPr>
              <w:t>工作湿度范围 10％-65％RH(无结露)</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42.</w:t>
            </w:r>
            <w:r>
              <w:rPr>
                <w:rFonts w:hint="eastAsia" w:ascii="宋体" w:hAnsi="宋体" w:cs="宋体"/>
                <w:color w:val="auto"/>
                <w:sz w:val="21"/>
                <w:szCs w:val="21"/>
                <w:highlight w:val="none"/>
              </w:rPr>
              <w:t>防护性能 超温/过载/掉电/图像补偿/各种校正技术/过流/过压/防雷(可选项)</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default" w:ascii="宋体" w:hAnsi="宋体" w:cs="宋体"/>
                <w:color w:val="auto"/>
                <w:sz w:val="21"/>
                <w:szCs w:val="21"/>
                <w:highlight w:val="none"/>
                <w:shd w:val="clear" w:color="auto" w:fill="FFFFFF"/>
                <w:lang w:bidi="ar"/>
              </w:rPr>
            </w:pPr>
            <w:r>
              <w:rPr>
                <w:rFonts w:hint="eastAsia" w:ascii="宋体" w:hAnsi="宋体" w:cs="宋体"/>
                <w:color w:val="auto"/>
                <w:sz w:val="21"/>
                <w:szCs w:val="21"/>
                <w:highlight w:val="none"/>
                <w:lang w:val="en-US" w:eastAsia="zh-CN"/>
              </w:rPr>
              <w:t>43.</w:t>
            </w:r>
            <w:r>
              <w:rPr>
                <w:rFonts w:hint="eastAsia" w:ascii="宋体" w:hAnsi="宋体" w:cs="宋体"/>
                <w:color w:val="auto"/>
                <w:sz w:val="21"/>
                <w:szCs w:val="21"/>
                <w:highlight w:val="none"/>
              </w:rPr>
              <w:t xml:space="preserve">屏幕水平平整度 ＜1mm/㎡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屏幕垂直平整度 ＜1mm/㎡</w:t>
            </w:r>
            <w:r>
              <w:rPr>
                <w:rFonts w:hint="eastAsia" w:ascii="宋体" w:hAnsi="宋体" w:cs="宋体"/>
                <w:color w:val="auto"/>
                <w:sz w:val="21"/>
                <w:szCs w:val="21"/>
                <w:highlight w:val="none"/>
                <w:lang w:eastAsia="zh-CN"/>
              </w:rPr>
              <w:t>。</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lang w:val="en"/>
              </w:rPr>
            </w:pPr>
            <w:r>
              <w:rPr>
                <w:rFonts w:hint="default" w:ascii="宋体" w:hAnsi="宋体" w:cs="宋体"/>
                <w:color w:val="auto"/>
                <w:kern w:val="0"/>
                <w:sz w:val="21"/>
                <w:szCs w:val="21"/>
                <w:highlight w:val="none"/>
                <w:lang w:val="en"/>
              </w:rPr>
              <w:t>2</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LED屏</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台</w:t>
            </w:r>
          </w:p>
        </w:tc>
        <w:tc>
          <w:tcPr>
            <w:tcW w:w="6769" w:type="dxa"/>
            <w:tcBorders>
              <w:top w:val="nil"/>
              <w:left w:val="nil"/>
              <w:bottom w:val="single" w:color="auto" w:sz="4" w:space="0"/>
              <w:right w:val="single" w:color="auto" w:sz="4" w:space="0"/>
            </w:tcBorders>
            <w:noWrap w:val="0"/>
            <w:vAlign w:val="center"/>
          </w:tcPr>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单元板</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尺寸 320mm*160mm，总面积27.2384平方米</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屏体</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尺寸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6080mm*4480mm</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像数点间距 1.</w:t>
            </w:r>
            <w:r>
              <w:rPr>
                <w:rFonts w:hint="eastAsia" w:ascii="宋体" w:hAnsi="宋体" w:cs="宋体"/>
                <w:color w:val="auto"/>
                <w:sz w:val="21"/>
                <w:szCs w:val="21"/>
                <w:highlight w:val="none"/>
                <w:lang w:val="en-US" w:eastAsia="zh-CN"/>
              </w:rPr>
              <w:t>538</w:t>
            </w:r>
            <w:r>
              <w:rPr>
                <w:rFonts w:hint="eastAsia" w:ascii="宋体" w:hAnsi="宋体" w:cs="宋体"/>
                <w:color w:val="auto"/>
                <w:sz w:val="21"/>
                <w:szCs w:val="21"/>
                <w:highlight w:val="none"/>
              </w:rPr>
              <w:t xml:space="preserve">mm  像素密度 </w:t>
            </w:r>
            <w:r>
              <w:rPr>
                <w:rFonts w:hint="eastAsia" w:ascii="宋体" w:hAnsi="宋体" w:eastAsia="宋体" w:cs="宋体"/>
                <w:color w:val="auto"/>
                <w:kern w:val="2"/>
                <w:sz w:val="21"/>
                <w:szCs w:val="21"/>
                <w:highlight w:val="none"/>
              </w:rPr>
              <w:t>422500</w:t>
            </w:r>
            <w:r>
              <w:rPr>
                <w:rFonts w:hint="eastAsia" w:ascii="宋体" w:hAnsi="宋体" w:cs="宋体"/>
                <w:color w:val="auto"/>
                <w:sz w:val="21"/>
                <w:szCs w:val="21"/>
                <w:highlight w:val="none"/>
              </w:rPr>
              <w:t>Dots/㎡</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像素构成 1R1G1B</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灯管封装 SMD</w:t>
            </w:r>
            <w:r>
              <w:rPr>
                <w:rFonts w:hint="eastAsia" w:ascii="宋体" w:hAnsi="宋体" w:eastAsia="宋体" w:cs="宋体"/>
                <w:color w:val="auto"/>
                <w:kern w:val="2"/>
                <w:sz w:val="21"/>
                <w:szCs w:val="21"/>
                <w:highlight w:val="none"/>
              </w:rPr>
              <w:t>1212</w:t>
            </w:r>
            <w:r>
              <w:rPr>
                <w:rFonts w:hint="eastAsia" w:ascii="宋体" w:hAnsi="宋体" w:cs="宋体"/>
                <w:color w:val="auto"/>
                <w:kern w:val="2"/>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6.参考</w:t>
            </w:r>
            <w:r>
              <w:rPr>
                <w:rFonts w:hint="eastAsia" w:ascii="宋体" w:hAnsi="宋体" w:cs="宋体"/>
                <w:color w:val="auto"/>
                <w:sz w:val="21"/>
                <w:szCs w:val="21"/>
                <w:highlight w:val="none"/>
              </w:rPr>
              <w:t>尺寸(长*宽*厚) 320*160*14.5mm</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7.参考</w:t>
            </w:r>
            <w:r>
              <w:rPr>
                <w:rFonts w:hint="eastAsia" w:ascii="宋体" w:hAnsi="宋体" w:cs="宋体"/>
                <w:color w:val="auto"/>
                <w:sz w:val="21"/>
                <w:szCs w:val="21"/>
                <w:highlight w:val="none"/>
              </w:rPr>
              <w:t>重量</w:t>
            </w:r>
            <w:r>
              <w:rPr>
                <w:rFonts w:hint="eastAsia" w:ascii="宋体" w:hAnsi="宋体" w:eastAsia="宋体" w:cs="宋体"/>
                <w:color w:val="auto"/>
                <w:kern w:val="2"/>
                <w:sz w:val="21"/>
                <w:szCs w:val="21"/>
                <w:highlight w:val="none"/>
              </w:rPr>
              <w:t>0.44kg±0.01kg</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结构特点 灯驱合一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单元板分辨率</w:t>
            </w:r>
            <w:r>
              <w:rPr>
                <w:rFonts w:hint="eastAsia" w:ascii="宋体" w:hAnsi="宋体" w:eastAsia="宋体" w:cs="宋体"/>
                <w:color w:val="auto"/>
                <w:kern w:val="2"/>
                <w:sz w:val="21"/>
                <w:szCs w:val="21"/>
                <w:highlight w:val="none"/>
              </w:rPr>
              <w:t xml:space="preserve"> 208*104=21632Dots</w:t>
            </w:r>
            <w:r>
              <w:rPr>
                <w:rFonts w:hint="eastAsia" w:ascii="宋体" w:hAnsi="宋体" w:cs="宋体"/>
                <w:color w:val="auto"/>
                <w:kern w:val="2"/>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输入电压(直流) 4.5±0.1V</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最大电流 ≤6.6A</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单元板功率 ≤30W</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驱动方式 1/</w:t>
            </w:r>
            <w:r>
              <w:rPr>
                <w:rFonts w:hint="eastAsia" w:ascii="宋体" w:hAnsi="宋体" w:cs="宋体"/>
                <w:color w:val="auto"/>
                <w:sz w:val="21"/>
                <w:szCs w:val="21"/>
                <w:highlight w:val="none"/>
                <w:lang w:val="en-US" w:eastAsia="zh-CN"/>
              </w:rPr>
              <w:t>52</w:t>
            </w:r>
            <w:r>
              <w:rPr>
                <w:rFonts w:hint="eastAsia" w:ascii="宋体" w:hAnsi="宋体" w:cs="宋体"/>
                <w:color w:val="auto"/>
                <w:sz w:val="21"/>
                <w:szCs w:val="21"/>
                <w:highlight w:val="none"/>
              </w:rPr>
              <w:t>恒流驱动</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40A电源带单元板数 3-4张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50A电源带单元板数 5-6张</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40A PFC电源带单元板数5-6张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80A电源带单元板数 8-10张</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亮度 ≥</w:t>
            </w:r>
            <w:r>
              <w:rPr>
                <w:rFonts w:hint="eastAsia" w:ascii="宋体" w:hAnsi="宋体" w:cs="宋体"/>
                <w:color w:val="auto"/>
                <w:sz w:val="21"/>
                <w:szCs w:val="21"/>
                <w:highlight w:val="none"/>
                <w:lang w:val="en-US" w:eastAsia="zh-CN"/>
              </w:rPr>
              <w:t>600</w:t>
            </w:r>
            <w:r>
              <w:rPr>
                <w:rFonts w:hint="eastAsia" w:ascii="宋体" w:hAnsi="宋体" w:cs="宋体"/>
                <w:color w:val="auto"/>
                <w:sz w:val="21"/>
                <w:szCs w:val="21"/>
                <w:highlight w:val="none"/>
              </w:rPr>
              <w:t>cd/㎡</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亮度均匀性 ＞0.95</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屏幕水平视角 1</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±10度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屏幕垂直视角 1</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±10度</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最佳视距 ≥1.</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使用环境 室内</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每平方单元板最大功率 ≤580W/㎡</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rPr>
              <w:t>配电功率（每平方最大功率÷78%÷85%）≤875W/m2</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rPr>
              <w:t>灰度等级 红、绿、蓝各14-16bits</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28.</w:t>
            </w:r>
            <w:r>
              <w:rPr>
                <w:rFonts w:hint="eastAsia" w:ascii="宋体" w:hAnsi="宋体" w:cs="宋体"/>
                <w:color w:val="auto"/>
                <w:sz w:val="21"/>
                <w:szCs w:val="21"/>
                <w:highlight w:val="none"/>
              </w:rPr>
              <w:t>显示颜色 43980亿种</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29</w:t>
            </w:r>
            <w:r>
              <w:rPr>
                <w:rFonts w:hint="eastAsia" w:ascii="宋体" w:hAnsi="宋体" w:cs="宋体"/>
                <w:color w:val="auto"/>
                <w:sz w:val="21"/>
                <w:szCs w:val="21"/>
                <w:highlight w:val="none"/>
              </w:rPr>
              <w:t>换帧频率 ≥60帧/秒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 xml:space="preserve">刷新频率 </w:t>
            </w:r>
            <w:r>
              <w:rPr>
                <w:rFonts w:hint="eastAsia" w:ascii="宋体" w:hAnsi="宋体" w:cs="宋体"/>
                <w:color w:val="auto"/>
                <w:sz w:val="21"/>
                <w:szCs w:val="21"/>
                <w:highlight w:val="none"/>
                <w:lang w:val="en-US" w:eastAsia="zh-CN"/>
              </w:rPr>
              <w:t>6000</w:t>
            </w:r>
            <w:r>
              <w:rPr>
                <w:rFonts w:hint="eastAsia" w:ascii="宋体" w:hAnsi="宋体" w:cs="宋体"/>
                <w:color w:val="auto"/>
                <w:sz w:val="21"/>
                <w:szCs w:val="21"/>
                <w:highlight w:val="none"/>
              </w:rPr>
              <w:t>Hz</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cs="宋体"/>
                <w:color w:val="auto"/>
                <w:sz w:val="21"/>
                <w:szCs w:val="21"/>
                <w:highlight w:val="none"/>
              </w:rPr>
              <w:t>控制方式 计算机控制，逐点一一对应，视频同步，实时显示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32.</w:t>
            </w:r>
            <w:r>
              <w:rPr>
                <w:rFonts w:hint="eastAsia" w:ascii="宋体" w:hAnsi="宋体" w:cs="宋体"/>
                <w:color w:val="auto"/>
                <w:sz w:val="21"/>
                <w:szCs w:val="21"/>
                <w:highlight w:val="none"/>
              </w:rPr>
              <w:t>亮度调节 256级手动/自动</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33.</w:t>
            </w:r>
            <w:r>
              <w:rPr>
                <w:rFonts w:hint="eastAsia" w:ascii="宋体" w:hAnsi="宋体" w:cs="宋体"/>
                <w:color w:val="auto"/>
                <w:sz w:val="21"/>
                <w:szCs w:val="21"/>
                <w:highlight w:val="none"/>
              </w:rPr>
              <w:t>输入信号 DVI/VGA/HDMI/DP、复合视频信号、S-VIDEO、YpbPr(HDTV)</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cs="宋体"/>
                <w:color w:val="auto"/>
                <w:sz w:val="21"/>
                <w:szCs w:val="21"/>
                <w:highlight w:val="none"/>
              </w:rPr>
              <w:t xml:space="preserve">使用寿命 ＞10万小时 </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eastAsia="zh-CN"/>
              </w:rPr>
              <w:t>竞标时</w:t>
            </w:r>
            <w:r>
              <w:rPr>
                <w:rFonts w:hint="eastAsia" w:ascii="宋体" w:hAnsi="宋体" w:cs="宋体"/>
                <w:b/>
                <w:bCs/>
                <w:color w:val="auto"/>
                <w:sz w:val="21"/>
                <w:szCs w:val="21"/>
                <w:highlight w:val="none"/>
              </w:rPr>
              <w:t>提供具备CMA或CNAS资质的权威检测机构出具的检测合格的报告复印件，原件</w:t>
            </w:r>
            <w:r>
              <w:rPr>
                <w:rFonts w:hint="eastAsia" w:ascii="宋体" w:hAnsi="宋体" w:cs="宋体"/>
                <w:b/>
                <w:bCs/>
                <w:color w:val="auto"/>
                <w:sz w:val="21"/>
                <w:szCs w:val="21"/>
                <w:highlight w:val="none"/>
                <w:lang w:eastAsia="zh-CN"/>
              </w:rPr>
              <w:t>成交</w:t>
            </w:r>
            <w:r>
              <w:rPr>
                <w:rFonts w:hint="eastAsia" w:ascii="宋体" w:hAnsi="宋体" w:cs="宋体"/>
                <w:b/>
                <w:bCs/>
                <w:color w:val="auto"/>
                <w:sz w:val="21"/>
                <w:szCs w:val="21"/>
                <w:highlight w:val="none"/>
              </w:rPr>
              <w:t>后签订合同时备查）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default" w:ascii="宋体" w:hAnsi="宋体" w:cs="宋体"/>
                <w:color w:val="auto"/>
                <w:sz w:val="21"/>
                <w:szCs w:val="21"/>
                <w:highlight w:val="none"/>
                <w:shd w:val="clear" w:color="auto" w:fill="FFFFFF"/>
                <w:lang w:bidi="ar"/>
              </w:rPr>
            </w:pPr>
            <w:r>
              <w:rPr>
                <w:rFonts w:hint="eastAsia" w:ascii="宋体" w:hAnsi="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 xml:space="preserve">平均无故障时间 </w:t>
            </w:r>
            <w:r>
              <w:rPr>
                <w:rFonts w:hint="eastAsia" w:ascii="宋体" w:hAnsi="宋体" w:cs="宋体"/>
                <w:color w:val="auto"/>
                <w:sz w:val="21"/>
                <w:szCs w:val="21"/>
                <w:highlight w:val="none"/>
              </w:rPr>
              <w:t xml:space="preserve">＞1万小时 </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eastAsia="zh-CN"/>
              </w:rPr>
              <w:t>竞标时</w:t>
            </w:r>
            <w:r>
              <w:rPr>
                <w:rFonts w:hint="eastAsia" w:ascii="宋体" w:hAnsi="宋体" w:cs="宋体"/>
                <w:b/>
                <w:bCs/>
                <w:color w:val="auto"/>
                <w:sz w:val="21"/>
                <w:szCs w:val="21"/>
                <w:highlight w:val="none"/>
              </w:rPr>
              <w:t>提供具备CMA或CNAS资质的权威检测机构出具的检测合格的报告复印件，原件</w:t>
            </w:r>
            <w:r>
              <w:rPr>
                <w:rFonts w:hint="eastAsia" w:ascii="宋体" w:hAnsi="宋体" w:cs="宋体"/>
                <w:b/>
                <w:bCs/>
                <w:color w:val="auto"/>
                <w:sz w:val="21"/>
                <w:szCs w:val="21"/>
                <w:highlight w:val="none"/>
                <w:lang w:eastAsia="zh-CN"/>
              </w:rPr>
              <w:t>成交</w:t>
            </w:r>
            <w:r>
              <w:rPr>
                <w:rFonts w:hint="eastAsia" w:ascii="宋体" w:hAnsi="宋体" w:cs="宋体"/>
                <w:b/>
                <w:bCs/>
                <w:color w:val="auto"/>
                <w:sz w:val="21"/>
                <w:szCs w:val="21"/>
                <w:highlight w:val="none"/>
              </w:rPr>
              <w:t>后签订合同时备查）</w:t>
            </w:r>
            <w:r>
              <w:rPr>
                <w:rFonts w:hint="eastAsia" w:ascii="宋体" w:hAnsi="宋体" w:cs="宋体"/>
                <w:color w:val="auto"/>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衰减率(工作3年) 1年≤10%，2年≤12%，3年≤15％ 连续失控点 0</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cs="宋体"/>
                <w:color w:val="auto"/>
                <w:kern w:val="2"/>
                <w:sz w:val="21"/>
                <w:szCs w:val="21"/>
                <w:highlight w:val="none"/>
                <w:lang w:val="en-US" w:eastAsia="zh-CN"/>
              </w:rPr>
              <w:t>37</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故障率/死灯率 1年≤0.5‰，2年≤1.1‰，3年≤2.3‰</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离散失控点 ＜0.0001，出厂时为0</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盲点率 ＜0.0003，出厂时为0</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cs="宋体"/>
                <w:color w:val="auto"/>
                <w:kern w:val="2"/>
                <w:sz w:val="21"/>
                <w:szCs w:val="21"/>
                <w:highlight w:val="none"/>
                <w:lang w:val="en-US" w:eastAsia="zh-CN"/>
              </w:rPr>
              <w:t>40</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工作温度范围 -20-40℃</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工作湿度范围 10％-65％RH(无结露)</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防护性能 超温/过载/掉电/图像补偿/各种校正技术/过流/过压/防雷(可选项)</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屏幕水平平整度 ＜1mm/㎡</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屏幕垂直平整度 ＜1mm/㎡</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配件及服务含：</w:t>
            </w:r>
            <w:r>
              <w:rPr>
                <w:rFonts w:hint="eastAsia" w:ascii="宋体" w:hAnsi="宋体" w:eastAsia="宋体" w:cs="宋体"/>
                <w:color w:val="auto"/>
                <w:kern w:val="2"/>
                <w:sz w:val="21"/>
                <w:szCs w:val="21"/>
                <w:highlight w:val="none"/>
              </w:rPr>
              <w:t>接</w:t>
            </w:r>
            <w:r>
              <w:rPr>
                <w:rFonts w:hint="eastAsia" w:ascii="宋体" w:hAnsi="宋体" w:eastAsia="宋体" w:cs="宋体"/>
                <w:color w:val="auto"/>
                <w:kern w:val="2"/>
                <w:sz w:val="21"/>
                <w:szCs w:val="21"/>
                <w:highlight w:val="none"/>
                <w:lang w:val="en-US" w:eastAsia="zh-CN"/>
              </w:rPr>
              <w:t>收</w:t>
            </w:r>
            <w:r>
              <w:rPr>
                <w:rFonts w:hint="eastAsia" w:ascii="宋体" w:hAnsi="宋体" w:eastAsia="宋体" w:cs="宋体"/>
                <w:color w:val="auto"/>
                <w:kern w:val="2"/>
                <w:sz w:val="21"/>
                <w:szCs w:val="21"/>
                <w:highlight w:val="none"/>
              </w:rPr>
              <w:t>卡，全彩屏控制软件，led显示屏电源，视频处理器，控制电脑，室内led屏幕钢结构，安装培训等）</w:t>
            </w:r>
            <w:r>
              <w:rPr>
                <w:rFonts w:hint="eastAsia" w:ascii="宋体" w:hAnsi="宋体" w:cs="宋体"/>
                <w:color w:val="auto"/>
                <w:kern w:val="2"/>
                <w:sz w:val="21"/>
                <w:szCs w:val="21"/>
                <w:highlight w:val="none"/>
                <w:lang w:eastAsia="zh-CN"/>
              </w:rPr>
              <w:t>。</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工作站</w:t>
            </w:r>
          </w:p>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显示器</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台</w:t>
            </w:r>
          </w:p>
        </w:tc>
        <w:tc>
          <w:tcPr>
            <w:tcW w:w="6769" w:type="dxa"/>
            <w:tcBorders>
              <w:top w:val="nil"/>
              <w:left w:val="nil"/>
              <w:bottom w:val="single" w:color="auto" w:sz="4" w:space="0"/>
              <w:right w:val="single" w:color="auto" w:sz="4" w:space="0"/>
            </w:tcBorders>
            <w:noWrap w:val="0"/>
            <w:vAlign w:val="center"/>
          </w:tcPr>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shd w:val="clear" w:color="auto" w:fill="FFFFFF"/>
                <w:lang w:eastAsia="zh-CN" w:bidi="ar"/>
              </w:rPr>
            </w:pPr>
            <w:r>
              <w:rPr>
                <w:rFonts w:hint="eastAsia" w:ascii="宋体" w:hAnsi="宋体" w:cs="宋体"/>
                <w:color w:val="auto"/>
                <w:sz w:val="21"/>
                <w:szCs w:val="21"/>
                <w:highlight w:val="none"/>
              </w:rPr>
              <w:t>27英寸5K显示器72Hz双模2K144Hz IPS量子点技术 硬件低蓝光 高性能设计果粉屏RV200ProMAX</w:t>
            </w:r>
            <w:r>
              <w:rPr>
                <w:rFonts w:hint="eastAsia" w:ascii="宋体" w:hAnsi="宋体" w:cs="宋体"/>
                <w:color w:val="auto"/>
                <w:sz w:val="21"/>
                <w:szCs w:val="21"/>
                <w:highlight w:val="none"/>
                <w:lang w:eastAsia="zh-CN"/>
              </w:rPr>
              <w:t>。</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电子</w:t>
            </w:r>
          </w:p>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显示屏</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台</w:t>
            </w:r>
          </w:p>
        </w:tc>
        <w:tc>
          <w:tcPr>
            <w:tcW w:w="6769" w:type="dxa"/>
            <w:tcBorders>
              <w:top w:val="nil"/>
              <w:left w:val="nil"/>
              <w:bottom w:val="single" w:color="auto" w:sz="4" w:space="0"/>
              <w:right w:val="single" w:color="auto" w:sz="4" w:space="0"/>
            </w:tcBorders>
            <w:noWrap w:val="0"/>
            <w:vAlign w:val="center"/>
          </w:tcPr>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组套类型：无组套</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能效等级：二级能效</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电源功率：420W</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工作电压：220V</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外包装</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尺寸：宽1850mm;高462mm;厚417mm</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CPU架构：四核A73</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WIFI频段：2.4G&amp;5G</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运行内存：/RAM3GB</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发声单元个数：5</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屏幕分辨率：超高清4K</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响应时间：微秒级</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屏幕尺寸：120英寸</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屏幕比例：16:9</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刷屏率：60Hz</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功能动态补偿，独立音响，光纤音频输出</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待机功率：0.5W</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裸机</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尺寸：(不含底座)宽2688.6mm;高1525.6mm;厚28.2mm</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连接方式：无线/有线</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存储内存：128GB</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音响功率：170W</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亮度：≥300尼特</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色域值：99%</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shd w:val="clear" w:color="auto" w:fill="FFFFFF"/>
                <w:lang w:eastAsia="zh-CN" w:bidi="ar"/>
              </w:rPr>
            </w:pP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色域标准：DCI-P3</w:t>
            </w:r>
            <w:r>
              <w:rPr>
                <w:rFonts w:hint="eastAsia" w:ascii="宋体" w:hAnsi="宋体" w:cs="宋体"/>
                <w:color w:val="auto"/>
                <w:sz w:val="21"/>
                <w:szCs w:val="21"/>
                <w:highlight w:val="none"/>
                <w:lang w:eastAsia="zh-CN"/>
              </w:rPr>
              <w:t>。</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显示器</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36</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台</w:t>
            </w:r>
          </w:p>
        </w:tc>
        <w:tc>
          <w:tcPr>
            <w:tcW w:w="6769" w:type="dxa"/>
            <w:tcBorders>
              <w:top w:val="nil"/>
              <w:left w:val="nil"/>
              <w:bottom w:val="single" w:color="auto" w:sz="4" w:space="0"/>
              <w:right w:val="single" w:color="auto" w:sz="4" w:space="0"/>
            </w:tcBorders>
            <w:noWrap w:val="0"/>
            <w:vAlign w:val="center"/>
          </w:tcPr>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27英寸4K显示器</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电源输入：24V 5A</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额定功率：120W</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屏幕尺寸：27英寸</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点距：0.1554(H)X0.1554(V)mm</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亮度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≥300nits</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right="0" w:firstLine="0" w:firstLineChars="0"/>
              <w:rPr>
                <w:rFonts w:hint="eastAsia" w:ascii="Times New Roman" w:hAnsi="Times New Roman" w:eastAsia="宋体" w:cs="Times New Roman"/>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对比度：1200:1</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色彩：10.7亿</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显示比例：16:9</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分辨率：3840x2160</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最大刷新率：≥60Hz</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响应时间：≤6ms</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产品尺寸(含底座)：</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613*185*511mm</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产品净重(含底座)：</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5.5 Kg</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壁挂尺寸支持：(VESA 75*75)</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shd w:val="clear" w:color="auto" w:fill="FFFFFF"/>
                <w:lang w:eastAsia="zh-CN" w:bidi="ar"/>
              </w:rPr>
            </w:pP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前倾后仰：前5°后21°</w:t>
            </w:r>
            <w:r>
              <w:rPr>
                <w:rFonts w:hint="eastAsia" w:ascii="宋体" w:hAnsi="宋体" w:cs="宋体"/>
                <w:color w:val="auto"/>
                <w:sz w:val="21"/>
                <w:szCs w:val="21"/>
                <w:highlight w:val="none"/>
                <w:lang w:eastAsia="zh-CN"/>
              </w:rPr>
              <w:t>。</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3D打印机</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套</w:t>
            </w:r>
          </w:p>
        </w:tc>
        <w:tc>
          <w:tcPr>
            <w:tcW w:w="6769" w:type="dxa"/>
            <w:tcBorders>
              <w:top w:val="nil"/>
              <w:left w:val="nil"/>
              <w:bottom w:val="single" w:color="auto" w:sz="4" w:space="0"/>
              <w:right w:val="single" w:color="auto" w:sz="4" w:space="0"/>
            </w:tcBorders>
            <w:noWrap w:val="0"/>
            <w:vAlign w:val="center"/>
          </w:tcPr>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热床支持最高温度：100℃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适合打印的耗材（原装喷嘴）：PLA，PETG，TPU，PVA (更换硬化钢喷嘴)：PLA-CF、PETG-CF等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最大功率：130ow@220V |350W@110V</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显示屏：3.5英寸 320*240分辨率触摸屏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成型技术：熔融沉积成型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框架：钢材+铝型材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热端：全金属</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挤出机齿轮：钢材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喷嘴：不锈钢</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喷嘴最高温度：300 ℃ 喷嘴直径(自带)：0.4 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39"/>
              <w:keepNext w:val="0"/>
              <w:keepLines w:val="0"/>
              <w:suppressLineNumbers w:val="0"/>
              <w:spacing w:before="0" w:beforeAutospacing="0" w:afterAutospacing="0" w:line="264" w:lineRule="auto"/>
              <w:ind w:left="0" w:right="0" w:firstLine="0" w:firstLineChars="0"/>
              <w:rPr>
                <w:rFonts w:hint="eastAsia" w:ascii="宋体" w:hAnsi="宋体" w:eastAsia="宋体" w:cs="宋体"/>
                <w:color w:val="auto"/>
                <w:sz w:val="21"/>
                <w:szCs w:val="21"/>
                <w:highlight w:val="none"/>
                <w:shd w:val="clear" w:color="auto" w:fill="FFFFFF"/>
                <w:lang w:eastAsia="zh-CN" w:bidi="ar"/>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可支持的打印面板：低温打印面板、高温打印面板、纹理PEI打印面板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ams lite 3d 打印机智能自动供料系统，4色打印</w:t>
            </w:r>
            <w:r>
              <w:rPr>
                <w:rFonts w:hint="eastAsia" w:ascii="宋体" w:hAnsi="宋体" w:cs="宋体"/>
                <w:color w:val="auto"/>
                <w:sz w:val="21"/>
                <w:szCs w:val="21"/>
                <w:highlight w:val="none"/>
                <w:lang w:eastAsia="zh-CN"/>
              </w:rPr>
              <w:t>。</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4k投影仪</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台</w:t>
            </w:r>
          </w:p>
        </w:tc>
        <w:tc>
          <w:tcPr>
            <w:tcW w:w="6769" w:type="dxa"/>
            <w:tcBorders>
              <w:top w:val="nil"/>
              <w:left w:val="nil"/>
              <w:bottom w:val="single" w:color="auto" w:sz="4" w:space="0"/>
              <w:right w:val="single" w:color="auto" w:sz="4" w:space="0"/>
            </w:tcBorders>
            <w:noWrap w:val="0"/>
            <w:vAlign w:val="center"/>
          </w:tcPr>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7000流明、4K超高清工程投影机</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‌投影技术‌：3LCD或DLP技术</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‌显示芯片‌：3×0.76英寸芯片</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▲4.‌亮度‌：＞7000流明</w:t>
            </w:r>
            <w:r>
              <w:rPr>
                <w:rFonts w:hint="eastAsia" w:ascii="宋体" w:hAnsi="宋体" w:cs="宋体"/>
                <w:color w:val="auto"/>
                <w:sz w:val="21"/>
                <w:szCs w:val="21"/>
                <w:highlight w:val="none"/>
                <w:lang w:eastAsia="zh-CN"/>
              </w:rPr>
              <w:t>竞标时</w:t>
            </w:r>
            <w:r>
              <w:rPr>
                <w:rFonts w:hint="eastAsia" w:ascii="宋体" w:hAnsi="宋体" w:eastAsia="宋体" w:cs="宋体"/>
                <w:color w:val="auto"/>
                <w:sz w:val="21"/>
                <w:szCs w:val="21"/>
                <w:highlight w:val="none"/>
                <w:lang w:eastAsia="zh-CN"/>
              </w:rPr>
              <w:t>提供具备CMA或CNAS资质的权威检测机构出具的检测合格的报告复印件，原件成交后签订合同时备查）</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‌亮度均匀值‌：90%</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‌对比度‌：50000:1</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‌标准分辨率‌：＞WUXGA（1920×1200）（</w:t>
            </w:r>
            <w:r>
              <w:rPr>
                <w:rFonts w:hint="eastAsia" w:ascii="宋体" w:hAnsi="宋体" w:cs="宋体"/>
                <w:color w:val="auto"/>
                <w:sz w:val="21"/>
                <w:szCs w:val="21"/>
                <w:highlight w:val="none"/>
                <w:lang w:eastAsia="zh-CN"/>
              </w:rPr>
              <w:t>竞标时</w:t>
            </w:r>
            <w:r>
              <w:rPr>
                <w:rFonts w:hint="eastAsia" w:ascii="宋体" w:hAnsi="宋体" w:eastAsia="宋体" w:cs="宋体"/>
                <w:color w:val="auto"/>
                <w:sz w:val="21"/>
                <w:szCs w:val="21"/>
                <w:highlight w:val="none"/>
              </w:rPr>
              <w:t>提供具备CMA或CNAS资质的权威检测机构出具的检测合格的报告复印件，原件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后签订合同时备查）</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‌扫描频率‌：水平15-92kHz，垂直50-85Hz</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‌光源功率‌：400W</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‌光源寿命‌：正常模式3000小时，经济模式4000小时，纵向模式2000小时</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‌变焦方式‌：电动变焦</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‌聚焦方式‌：电动聚焦</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‌变焦比‌：＞1.6倍</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竞标时</w:t>
            </w:r>
            <w:r>
              <w:rPr>
                <w:rFonts w:hint="eastAsia" w:ascii="宋体" w:hAnsi="宋体" w:eastAsia="宋体" w:cs="宋体"/>
                <w:b/>
                <w:bCs/>
                <w:color w:val="auto"/>
                <w:sz w:val="21"/>
                <w:szCs w:val="21"/>
                <w:highlight w:val="none"/>
              </w:rPr>
              <w:t>提供具备CMA或CNAS资质的权威检测机构出具的检测合格的报告复印件，原件</w:t>
            </w:r>
            <w:r>
              <w:rPr>
                <w:rFonts w:hint="eastAsia" w:ascii="宋体" w:hAnsi="宋体" w:eastAsia="宋体" w:cs="宋体"/>
                <w:b/>
                <w:bCs/>
                <w:color w:val="auto"/>
                <w:sz w:val="21"/>
                <w:szCs w:val="21"/>
                <w:highlight w:val="none"/>
                <w:lang w:eastAsia="zh-CN"/>
              </w:rPr>
              <w:t>成交</w:t>
            </w:r>
            <w:r>
              <w:rPr>
                <w:rFonts w:hint="eastAsia" w:ascii="宋体" w:hAnsi="宋体" w:eastAsia="宋体" w:cs="宋体"/>
                <w:b/>
                <w:bCs/>
                <w:color w:val="auto"/>
                <w:sz w:val="21"/>
                <w:szCs w:val="21"/>
                <w:highlight w:val="none"/>
              </w:rPr>
              <w:t>后签订合同时备查）</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‌实际焦距‌：f=24-38.2mm</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‌投射比‌：1.44-2.33:1</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‌投影尺寸‌：50-300英寸</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‌屏幕比例‌：16:10</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‌色彩数目‌：10.7亿色</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‌光轴‌：水平±30%，垂直±67%</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‌扬声器‌：10W单声道</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‌接口‌：1×视频输入（D-sub 15针）、1×视频输入（5bnc）、1×HDMI、1×视频输入（DVI-D）、1×视频输入（HD-BaseT）、3×音频输入（迷你立体声）、1×视频输出（D-sub 15针）、1×音频输出（迷你立体声）、1×RS-232C（D-sub 9针）、1×遥控器输入（迷你立体声）、1×USB A型（用于无线LAN、固件升级、复制OSD设定）、1×USB B型（用于固件升级、复制OSD设定）、1×有线LAN（RJ-45）、1×无线LAN（A型USB，选配）</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‌电源功率‌：正常模式572W，经济模式477W，待机功率0.3W</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‌电源性能‌：AC100-240V，50/60Hz，6.0-2.6A</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‌产品</w:t>
            </w:r>
            <w:r>
              <w:rPr>
                <w:rFonts w:hint="eastAsia" w:ascii="宋体" w:hAnsi="宋体" w:cs="宋体"/>
                <w:color w:val="auto"/>
                <w:sz w:val="21"/>
                <w:szCs w:val="21"/>
                <w:highlight w:val="none"/>
                <w:lang w:val="en-US" w:eastAsia="zh-CN"/>
              </w:rPr>
              <w:t>参考</w:t>
            </w:r>
            <w:r>
              <w:rPr>
                <w:rFonts w:hint="eastAsia" w:ascii="宋体" w:hAnsi="宋体" w:eastAsia="宋体" w:cs="宋体"/>
                <w:color w:val="auto"/>
                <w:sz w:val="21"/>
                <w:szCs w:val="21"/>
                <w:highlight w:val="none"/>
              </w:rPr>
              <w:t>尺寸‌：不含支撑脚</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525×189×472mm</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‌产品重量‌：</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12.9kg</w:t>
            </w:r>
            <w:r>
              <w:rPr>
                <w:rFonts w:hint="eastAsia" w:ascii="宋体" w:hAnsi="宋体" w:cs="宋体"/>
                <w:color w:val="auto"/>
                <w:sz w:val="21"/>
                <w:szCs w:val="21"/>
                <w:highlight w:val="none"/>
                <w:lang w:eastAsia="zh-CN"/>
              </w:rPr>
              <w:t>；</w:t>
            </w:r>
          </w:p>
          <w:p>
            <w:pPr>
              <w:pStyle w:val="39"/>
              <w:keepNext w:val="0"/>
              <w:keepLines w:val="0"/>
              <w:numPr>
                <w:ilvl w:val="0"/>
                <w:numId w:val="0"/>
              </w:numPr>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shd w:val="clear" w:color="auto" w:fill="FFFFFF"/>
                <w:lang w:eastAsia="zh-CN" w:bidi="ar"/>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‌适用环境‌：工作温度0-45℃（0-1500m），0-40℃（1500-3048m），0-35℃（3048-5000m）；工作湿度20%-80%（未结露）；存储温度-10-60℃；存储湿度10%-90%（未结露）</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学生桌</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椅</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30</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套</w:t>
            </w:r>
          </w:p>
        </w:tc>
        <w:tc>
          <w:tcPr>
            <w:tcW w:w="67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4" w:lineRule="auto"/>
              <w:ind w:left="0" w:leftChars="0" w:right="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1.桌子尺寸: 800*600*730mm;采用40*40方管钢架,桌面采用优质25mm厚密度板；</w:t>
            </w:r>
          </w:p>
          <w:p>
            <w:pPr>
              <w:keepNext w:val="0"/>
              <w:keepLines w:val="0"/>
              <w:suppressLineNumbers w:val="0"/>
              <w:spacing w:before="0" w:beforeAutospacing="0" w:after="0" w:afterAutospacing="0" w:line="264" w:lineRule="auto"/>
              <w:ind w:left="0" w:leftChars="0" w:right="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2.封边: 1.5mm厚同色pvc全自动机器封边； </w:t>
            </w:r>
          </w:p>
          <w:p>
            <w:pPr>
              <w:keepNext w:val="0"/>
              <w:keepLines w:val="0"/>
              <w:suppressLineNumbers w:val="0"/>
              <w:spacing w:before="0" w:beforeAutospacing="0" w:after="0" w:afterAutospacing="0" w:line="264" w:lineRule="auto"/>
              <w:ind w:left="0" w:leftChars="0" w:right="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3.E1级优质环保纤维板或刨花板；</w:t>
            </w:r>
          </w:p>
          <w:p>
            <w:pPr>
              <w:keepNext w:val="0"/>
              <w:keepLines w:val="0"/>
              <w:suppressLineNumbers w:val="0"/>
              <w:spacing w:before="0" w:beforeAutospacing="0" w:after="0" w:afterAutospacing="0" w:line="264" w:lineRule="auto"/>
              <w:ind w:left="0" w:leftChars="0" w:right="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4.椅子尺寸: 340*240*450mm; 方钢管定做，钢管表面喷涂前经过酸洗、磷化、5.除油、热固化喷塑，凳脚光滑，不得有毛刺污点,凳子的脚套为内嵌式黑色脚套；</w:t>
            </w:r>
          </w:p>
          <w:p>
            <w:pPr>
              <w:keepNext w:val="0"/>
              <w:keepLines w:val="0"/>
              <w:suppressLineNumbers w:val="0"/>
              <w:spacing w:before="0" w:beforeAutospacing="0" w:after="0" w:afterAutospacing="0" w:line="264" w:lineRule="auto"/>
              <w:ind w:left="0" w:leftChars="0" w:right="0" w:firstLine="0" w:firstLineChars="0"/>
              <w:rPr>
                <w:rFonts w:hint="eastAsia" w:ascii="宋体" w:hAnsi="宋体" w:eastAsia="宋体" w:cs="宋体"/>
                <w:color w:val="auto"/>
                <w:sz w:val="21"/>
                <w:szCs w:val="21"/>
                <w:highlight w:val="none"/>
                <w:shd w:val="clear" w:color="auto" w:fill="FFFFFF"/>
                <w:lang w:eastAsia="zh-CN" w:bidi="ar"/>
              </w:rPr>
            </w:pPr>
            <w:r>
              <w:rPr>
                <w:rFonts w:hint="eastAsia" w:ascii="宋体" w:hAnsi="宋体" w:cs="宋体"/>
                <w:color w:val="auto"/>
                <w:sz w:val="21"/>
                <w:szCs w:val="21"/>
                <w:highlight w:val="none"/>
                <w:lang w:val="en-US" w:eastAsia="zh-CN"/>
              </w:rPr>
              <w:t>6.凳面采用15mm厚密度板，封同色加厚直边。</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司仪台</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台</w:t>
            </w:r>
          </w:p>
        </w:tc>
        <w:tc>
          <w:tcPr>
            <w:tcW w:w="6769" w:type="dxa"/>
            <w:tcBorders>
              <w:top w:val="nil"/>
              <w:left w:val="nil"/>
              <w:bottom w:val="single" w:color="auto" w:sz="4" w:space="0"/>
              <w:right w:val="single" w:color="auto" w:sz="4" w:space="0"/>
            </w:tcBorders>
            <w:noWrap w:val="0"/>
            <w:vAlign w:val="center"/>
          </w:tcPr>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shd w:val="clear" w:color="auto" w:fill="FFFFFF"/>
                <w:lang w:eastAsia="zh-CN" w:bidi="ar"/>
              </w:rPr>
            </w:pPr>
            <w:r>
              <w:rPr>
                <w:rFonts w:hint="eastAsia" w:ascii="宋体" w:hAnsi="宋体" w:cs="宋体"/>
                <w:color w:val="auto"/>
                <w:sz w:val="21"/>
                <w:szCs w:val="21"/>
                <w:highlight w:val="none"/>
              </w:rPr>
              <w:t>定制木质司仪台</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笔记本</w:t>
            </w:r>
          </w:p>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电脑</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台</w:t>
            </w:r>
          </w:p>
        </w:tc>
        <w:tc>
          <w:tcPr>
            <w:tcW w:w="6769" w:type="dxa"/>
            <w:tcBorders>
              <w:top w:val="nil"/>
              <w:left w:val="nil"/>
              <w:bottom w:val="single" w:color="auto" w:sz="4" w:space="0"/>
              <w:right w:val="single" w:color="auto" w:sz="4" w:space="0"/>
            </w:tcBorders>
            <w:noWrap w:val="0"/>
            <w:vAlign w:val="center"/>
          </w:tcPr>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shd w:val="clear" w:color="auto" w:fill="FFFFFF"/>
                <w:lang w:eastAsia="zh-CN" w:bidi="ar"/>
              </w:rPr>
            </w:pPr>
            <w:r>
              <w:rPr>
                <w:rFonts w:hint="eastAsia" w:ascii="宋体" w:hAnsi="宋体" w:cs="宋体"/>
                <w:color w:val="auto"/>
                <w:sz w:val="21"/>
                <w:szCs w:val="21"/>
                <w:highlight w:val="none"/>
              </w:rPr>
              <w:t>14寸/R5-7430U/16G/512G/WIN11</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显示器</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台</w:t>
            </w:r>
          </w:p>
        </w:tc>
        <w:tc>
          <w:tcPr>
            <w:tcW w:w="6769" w:type="dxa"/>
            <w:tcBorders>
              <w:top w:val="nil"/>
              <w:left w:val="nil"/>
              <w:bottom w:val="single" w:color="auto" w:sz="4" w:space="0"/>
              <w:right w:val="single" w:color="auto" w:sz="4" w:space="0"/>
            </w:tcBorders>
            <w:noWrap w:val="0"/>
            <w:vAlign w:val="center"/>
          </w:tcPr>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shd w:val="clear" w:color="auto" w:fill="FFFFFF"/>
                <w:lang w:eastAsia="zh-CN" w:bidi="ar"/>
              </w:rPr>
            </w:pPr>
            <w:r>
              <w:rPr>
                <w:rFonts w:hint="eastAsia" w:ascii="宋体" w:hAnsi="宋体" w:cs="宋体"/>
                <w:color w:val="auto"/>
                <w:sz w:val="21"/>
                <w:szCs w:val="21"/>
                <w:highlight w:val="none"/>
                <w:lang w:val="en-US" w:eastAsia="zh-CN"/>
              </w:rPr>
              <w:t>与第13项电脑同品牌</w:t>
            </w:r>
            <w:r>
              <w:rPr>
                <w:rFonts w:hint="eastAsia" w:ascii="宋体" w:hAnsi="宋体" w:eastAsia="宋体" w:cs="宋体"/>
                <w:color w:val="auto"/>
                <w:sz w:val="21"/>
                <w:szCs w:val="21"/>
                <w:highlight w:val="none"/>
                <w:lang w:val="en-US" w:eastAsia="zh-CN"/>
              </w:rPr>
              <w:t>23.8</w:t>
            </w:r>
            <w:r>
              <w:rPr>
                <w:rFonts w:hint="eastAsia" w:ascii="宋体" w:hAnsi="宋体" w:eastAsia="宋体" w:cs="宋体"/>
                <w:color w:val="auto"/>
                <w:sz w:val="21"/>
                <w:szCs w:val="21"/>
                <w:highlight w:val="none"/>
              </w:rPr>
              <w:t>寸液晶显示器，分辨率1920*1080，双视频接口，显示器具备低蓝光护眼功能</w:t>
            </w:r>
          </w:p>
        </w:tc>
      </w:tr>
      <w:tr>
        <w:tblPrEx>
          <w:tblCellMar>
            <w:top w:w="0" w:type="dxa"/>
            <w:left w:w="108" w:type="dxa"/>
            <w:bottom w:w="0" w:type="dxa"/>
            <w:right w:w="108" w:type="dxa"/>
          </w:tblCellMar>
        </w:tblPrEx>
        <w:trPr>
          <w:trHeight w:val="532"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多功能</w:t>
            </w:r>
          </w:p>
          <w:p>
            <w:pPr>
              <w:keepNext w:val="0"/>
              <w:keepLines w:val="0"/>
              <w:widowControl/>
              <w:suppressLineNumbers w:val="0"/>
              <w:spacing w:before="0" w:beforeAutospacing="0" w:after="0" w:afterAutospacing="0" w:line="264" w:lineRule="auto"/>
              <w:ind w:left="0" w:right="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打印</w:t>
            </w:r>
          </w:p>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一体机</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台</w:t>
            </w:r>
          </w:p>
        </w:tc>
        <w:tc>
          <w:tcPr>
            <w:tcW w:w="6769" w:type="dxa"/>
            <w:tcBorders>
              <w:top w:val="nil"/>
              <w:left w:val="nil"/>
              <w:bottom w:val="single" w:color="auto" w:sz="4" w:space="0"/>
              <w:right w:val="single" w:color="auto" w:sz="4" w:space="0"/>
            </w:tcBorders>
            <w:noWrap w:val="0"/>
            <w:vAlign w:val="center"/>
          </w:tcPr>
          <w:p>
            <w:pPr>
              <w:pStyle w:val="39"/>
              <w:keepNext w:val="0"/>
              <w:keepLines w:val="0"/>
              <w:suppressLineNumbers w:val="0"/>
              <w:spacing w:before="0" w:beforeAutospacing="0" w:afterAutospacing="0" w:line="264" w:lineRule="auto"/>
              <w:ind w:left="0" w:leftChars="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彩色激光多功能一体机</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涵盖功能：打印/复印/扫描</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最大处理幅面：A3</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耗材类型：鼓粉分离</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黑白打印速度：A4：23ppm，A3：12ppm</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打印分辨率：1200×1200dpi</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双面功能：自动双面打印</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网络功能：支持有线网络打印</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打印速度：23页/分钟</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纸张输入容量：1140页</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端口：USB、以太网</w:t>
            </w:r>
            <w:r>
              <w:rPr>
                <w:rFonts w:hint="eastAsia" w:ascii="宋体" w:hAnsi="宋体" w:cs="宋体"/>
                <w:color w:val="auto"/>
                <w:sz w:val="21"/>
                <w:szCs w:val="21"/>
                <w:highlight w:val="none"/>
                <w:lang w:eastAsia="zh-CN"/>
              </w:rPr>
              <w:t>；</w:t>
            </w:r>
          </w:p>
          <w:p>
            <w:pPr>
              <w:pStyle w:val="39"/>
              <w:keepNext w:val="0"/>
              <w:keepLines w:val="0"/>
              <w:suppressLineNumbers w:val="0"/>
              <w:spacing w:before="0" w:beforeAutospacing="0" w:afterAutospacing="0" w:line="264" w:lineRule="auto"/>
              <w:ind w:left="0" w:leftChars="0" w:right="0" w:firstLine="0" w:firstLineChars="0"/>
              <w:rPr>
                <w:rFonts w:hint="eastAsia" w:ascii="宋体" w:hAnsi="宋体" w:eastAsia="宋体" w:cs="宋体"/>
                <w:color w:val="auto"/>
                <w:sz w:val="21"/>
                <w:szCs w:val="21"/>
                <w:highlight w:val="none"/>
                <w:shd w:val="clear" w:color="auto" w:fill="FFFFFF"/>
                <w:lang w:eastAsia="zh-CN" w:bidi="ar"/>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双面支持纸张：A3、A4</w:t>
            </w:r>
            <w:r>
              <w:rPr>
                <w:rFonts w:hint="eastAsia" w:ascii="宋体" w:hAnsi="宋体" w:cs="宋体"/>
                <w:color w:val="auto"/>
                <w:sz w:val="21"/>
                <w:szCs w:val="21"/>
                <w:highlight w:val="none"/>
                <w:lang w:eastAsia="zh-CN"/>
              </w:rPr>
              <w:t>。</w:t>
            </w:r>
          </w:p>
        </w:tc>
      </w:tr>
      <w:tr>
        <w:tblPrEx>
          <w:tblCellMar>
            <w:top w:w="0" w:type="dxa"/>
            <w:left w:w="108" w:type="dxa"/>
            <w:bottom w:w="0" w:type="dxa"/>
            <w:right w:w="108" w:type="dxa"/>
          </w:tblCellMar>
        </w:tblPrEx>
        <w:trPr>
          <w:trHeight w:val="5121" w:hRule="atLeast"/>
        </w:trPr>
        <w:tc>
          <w:tcPr>
            <w:tcW w:w="687"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13</w:t>
            </w:r>
          </w:p>
        </w:tc>
        <w:tc>
          <w:tcPr>
            <w:tcW w:w="12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台式电脑</w:t>
            </w:r>
          </w:p>
        </w:tc>
        <w:tc>
          <w:tcPr>
            <w:tcW w:w="7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lang w:val="en"/>
              </w:rPr>
              <w:t>台</w:t>
            </w:r>
          </w:p>
        </w:tc>
        <w:tc>
          <w:tcPr>
            <w:tcW w:w="67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一、硬件要求：</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1、处理器：英特尔酷睿I5-1</w:t>
            </w:r>
            <w:r>
              <w:rPr>
                <w:rFonts w:hint="eastAsia"/>
                <w:color w:val="auto"/>
                <w:sz w:val="21"/>
                <w:szCs w:val="21"/>
                <w:highlight w:val="none"/>
                <w:lang w:val="en-US" w:eastAsia="zh-CN"/>
              </w:rPr>
              <w:t>45</w:t>
            </w:r>
            <w:r>
              <w:rPr>
                <w:rFonts w:hint="eastAsia"/>
                <w:color w:val="auto"/>
                <w:sz w:val="21"/>
                <w:szCs w:val="21"/>
                <w:highlight w:val="none"/>
              </w:rPr>
              <w:t>00处理器或以上：</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2、内存：≥16G DDR</w:t>
            </w:r>
            <w:r>
              <w:rPr>
                <w:rFonts w:hint="eastAsia"/>
                <w:color w:val="auto"/>
                <w:sz w:val="21"/>
                <w:szCs w:val="21"/>
                <w:highlight w:val="none"/>
                <w:lang w:val="en-US" w:eastAsia="zh-CN"/>
              </w:rPr>
              <w:t>5  5600</w:t>
            </w:r>
            <w:r>
              <w:rPr>
                <w:rFonts w:hint="eastAsia" w:ascii="宋体" w:hAnsi="宋体" w:eastAsia="宋体" w:cs="宋体"/>
                <w:color w:val="auto"/>
                <w:kern w:val="0"/>
                <w:sz w:val="21"/>
                <w:szCs w:val="21"/>
                <w:highlight w:val="none"/>
                <w:lang w:val="en-US" w:eastAsia="zh-CN"/>
              </w:rPr>
              <w:t xml:space="preserve"> MHz</w:t>
            </w:r>
            <w:r>
              <w:rPr>
                <w:rFonts w:hint="eastAsia"/>
                <w:color w:val="auto"/>
                <w:sz w:val="21"/>
                <w:szCs w:val="21"/>
                <w:highlight w:val="none"/>
              </w:rPr>
              <w:t>内存，≥4个内存插槽，支持最高可扩展内存至128G；</w:t>
            </w:r>
          </w:p>
          <w:p>
            <w:pPr>
              <w:keepNext w:val="0"/>
              <w:keepLines w:val="0"/>
              <w:suppressLineNumbers w:val="0"/>
              <w:spacing w:before="0" w:beforeAutospacing="0" w:after="0" w:afterAutospacing="0"/>
              <w:ind w:left="0" w:right="0"/>
              <w:rPr>
                <w:rFonts w:hint="default" w:eastAsiaTheme="minorEastAsia"/>
                <w:color w:val="auto"/>
                <w:sz w:val="21"/>
                <w:szCs w:val="21"/>
                <w:highlight w:val="none"/>
                <w:lang w:val="en-US" w:eastAsia="zh-CN"/>
              </w:rPr>
            </w:pPr>
            <w:r>
              <w:rPr>
                <w:rFonts w:hint="eastAsia"/>
                <w:color w:val="auto"/>
                <w:sz w:val="21"/>
                <w:szCs w:val="21"/>
                <w:highlight w:val="none"/>
              </w:rPr>
              <w:t>3、硬盘：≥</w:t>
            </w:r>
            <w:r>
              <w:rPr>
                <w:rFonts w:hint="eastAsia"/>
                <w:color w:val="auto"/>
                <w:sz w:val="21"/>
                <w:szCs w:val="21"/>
                <w:highlight w:val="none"/>
                <w:lang w:val="en-US" w:eastAsia="zh-CN"/>
              </w:rPr>
              <w:t>512</w:t>
            </w:r>
            <w:r>
              <w:rPr>
                <w:rFonts w:hint="eastAsia"/>
                <w:color w:val="auto"/>
                <w:sz w:val="21"/>
                <w:szCs w:val="21"/>
                <w:highlight w:val="none"/>
              </w:rPr>
              <w:t>G</w:t>
            </w:r>
            <w:r>
              <w:rPr>
                <w:rFonts w:hint="eastAsia"/>
                <w:color w:val="auto"/>
                <w:sz w:val="21"/>
                <w:szCs w:val="21"/>
                <w:highlight w:val="none"/>
                <w:lang w:val="en-US" w:eastAsia="zh-CN"/>
              </w:rPr>
              <w:t xml:space="preserve">B </w:t>
            </w:r>
            <w:r>
              <w:rPr>
                <w:rFonts w:hint="eastAsia"/>
                <w:color w:val="auto"/>
                <w:sz w:val="21"/>
                <w:szCs w:val="21"/>
                <w:highlight w:val="none"/>
              </w:rPr>
              <w:t>M.2 SSD固态硬盘；</w:t>
            </w:r>
            <w:r>
              <w:rPr>
                <w:rFonts w:hint="eastAsia"/>
                <w:color w:val="auto"/>
                <w:sz w:val="21"/>
                <w:szCs w:val="21"/>
                <w:highlight w:val="none"/>
                <w:lang w:val="en-US" w:eastAsia="zh-CN"/>
              </w:rPr>
              <w:t>2TB机械硬盘7200转</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4、主板：≥Intel Q670系列芯片组，主板具备USB屏蔽技术，仅识别USB键盘、鼠标，无法识别USB读取设备，有效防止数据泄露功能；</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5、显卡：</w:t>
            </w:r>
            <w:r>
              <w:rPr>
                <w:rFonts w:hint="eastAsia"/>
                <w:color w:val="auto"/>
                <w:sz w:val="21"/>
                <w:szCs w:val="21"/>
                <w:highlight w:val="none"/>
                <w:lang w:val="en-US" w:eastAsia="zh-CN"/>
              </w:rPr>
              <w:t>集成显卡</w:t>
            </w:r>
            <w:r>
              <w:rPr>
                <w:rFonts w:hint="eastAsia"/>
                <w:color w:val="auto"/>
                <w:sz w:val="21"/>
                <w:szCs w:val="21"/>
                <w:highlight w:val="none"/>
              </w:rPr>
              <w:t>；</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6、</w:t>
            </w:r>
            <w:r>
              <w:rPr>
                <w:rFonts w:hint="eastAsia"/>
                <w:color w:val="auto"/>
                <w:sz w:val="21"/>
                <w:szCs w:val="21"/>
                <w:highlight w:val="none"/>
                <w:lang w:val="en-US" w:eastAsia="zh-CN"/>
              </w:rPr>
              <w:t>音响</w:t>
            </w:r>
            <w:r>
              <w:rPr>
                <w:rFonts w:hint="eastAsia"/>
                <w:color w:val="auto"/>
                <w:sz w:val="21"/>
                <w:szCs w:val="21"/>
                <w:highlight w:val="none"/>
              </w:rPr>
              <w:t>：</w:t>
            </w:r>
            <w:r>
              <w:rPr>
                <w:rFonts w:hint="eastAsia"/>
                <w:color w:val="auto"/>
                <w:sz w:val="21"/>
                <w:szCs w:val="21"/>
                <w:highlight w:val="none"/>
                <w:lang w:val="en-US" w:eastAsia="zh-CN"/>
              </w:rPr>
              <w:t>内置扬声器</w:t>
            </w:r>
            <w:r>
              <w:rPr>
                <w:rFonts w:hint="eastAsia"/>
                <w:color w:val="auto"/>
                <w:sz w:val="21"/>
                <w:szCs w:val="21"/>
                <w:highlight w:val="none"/>
              </w:rPr>
              <w:t>；</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7、键鼠：同品牌光电鼠标、键盘；</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8、机箱：标准≤17L全扩展塔式机箱，免工具拆卸设计，标配顶置提手，更易握控；</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9、接口：配置≥8个USB接口(前置至少4个USB 3.2，1个USB 3.2 Type-C，后置至少4个USB 2.0)，VGA+HDMI+DP接口（VGA非转接）</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10、扩展槽：≥1个PCIex16插槽，≥2个PCIex4（x1 link）插槽；</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11、电源：≥300W节能电源。</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color w:val="auto"/>
                <w:sz w:val="21"/>
                <w:szCs w:val="21"/>
                <w:highlight w:val="none"/>
                <w:lang w:val="en-US" w:eastAsia="zh-CN"/>
              </w:rPr>
              <w:t>12、</w:t>
            </w:r>
            <w:r>
              <w:rPr>
                <w:rFonts w:hint="eastAsia" w:ascii="宋体" w:hAnsi="宋体" w:eastAsia="宋体" w:cs="宋体"/>
                <w:color w:val="auto"/>
                <w:sz w:val="21"/>
                <w:szCs w:val="21"/>
                <w:highlight w:val="none"/>
              </w:rPr>
              <w:t>配置</w:t>
            </w:r>
            <w:r>
              <w:rPr>
                <w:rFonts w:hint="eastAsia" w:ascii="宋体" w:hAnsi="宋体" w:eastAsia="宋体" w:cs="宋体"/>
                <w:color w:val="auto"/>
                <w:sz w:val="21"/>
                <w:szCs w:val="21"/>
                <w:highlight w:val="none"/>
                <w:lang w:val="en-US" w:eastAsia="zh-CN"/>
              </w:rPr>
              <w:t>同品牌23.8</w:t>
            </w:r>
            <w:r>
              <w:rPr>
                <w:rFonts w:hint="eastAsia" w:ascii="宋体" w:hAnsi="宋体" w:eastAsia="宋体" w:cs="宋体"/>
                <w:color w:val="auto"/>
                <w:sz w:val="21"/>
                <w:szCs w:val="21"/>
                <w:highlight w:val="none"/>
              </w:rPr>
              <w:t>寸液晶显示器，分辨率1920*1080，双视频接口，显示器具备低蓝光护眼功能；</w:t>
            </w:r>
            <w:r>
              <w:rPr>
                <w:rFonts w:hint="eastAsia" w:ascii="宋体" w:hAnsi="宋体" w:eastAsia="宋体" w:cs="宋体"/>
                <w:color w:val="auto"/>
                <w:kern w:val="0"/>
                <w:sz w:val="21"/>
                <w:szCs w:val="21"/>
                <w:highlight w:val="none"/>
              </w:rPr>
              <w:t xml:space="preserve"> </w:t>
            </w:r>
          </w:p>
          <w:p>
            <w:pPr>
              <w:keepNext w:val="0"/>
              <w:keepLines w:val="0"/>
              <w:numPr>
                <w:ilvl w:val="0"/>
                <w:numId w:val="0"/>
              </w:numPr>
              <w:suppressLineNumbers w:val="0"/>
              <w:spacing w:before="0" w:beforeAutospacing="0" w:after="0" w:afterAutospacing="0"/>
              <w:ind w:left="0" w:right="0"/>
              <w:rPr>
                <w:rFonts w:hint="eastAsia"/>
                <w:color w:val="auto"/>
                <w:sz w:val="21"/>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1</w:t>
            </w:r>
            <w:r>
              <w:rPr>
                <w:rFonts w:hint="eastAsia" w:ascii="Times New Roman" w:hAnsi="Times New Roman" w:eastAsia="宋体" w:cs="Times New Roman"/>
                <w:color w:val="auto"/>
                <w:kern w:val="1"/>
                <w:sz w:val="21"/>
                <w:szCs w:val="21"/>
                <w:highlight w:val="none"/>
                <w:lang w:val="en-US" w:eastAsia="zh-CN" w:bidi="ar-SA"/>
              </w:rPr>
              <w:t>3、</w:t>
            </w:r>
            <w:r>
              <w:rPr>
                <w:rFonts w:hint="eastAsia" w:ascii="Times New Roman" w:hAnsi="Times New Roman" w:eastAsia="宋体" w:cs="Times New Roman"/>
                <w:color w:val="auto"/>
                <w:position w:val="0"/>
                <w:sz w:val="21"/>
                <w:szCs w:val="21"/>
                <w:highlight w:val="none"/>
              </w:rPr>
              <w:t>安装Windows</w:t>
            </w:r>
            <w:r>
              <w:rPr>
                <w:rFonts w:hint="eastAsia" w:ascii="Times New Roman" w:hAnsi="Times New Roman" w:eastAsia="宋体" w:cs="Times New Roman"/>
                <w:color w:val="auto"/>
                <w:position w:val="0"/>
                <w:sz w:val="21"/>
                <w:szCs w:val="21"/>
                <w:highlight w:val="none"/>
                <w:lang w:val="en-US" w:eastAsia="zh-CN"/>
              </w:rPr>
              <w:t>11</w:t>
            </w:r>
            <w:r>
              <w:rPr>
                <w:rFonts w:hint="eastAsia" w:ascii="Times New Roman" w:hAnsi="Times New Roman" w:eastAsia="宋体" w:cs="Times New Roman"/>
                <w:color w:val="auto"/>
                <w:position w:val="0"/>
                <w:sz w:val="21"/>
                <w:szCs w:val="21"/>
                <w:highlight w:val="none"/>
              </w:rPr>
              <w:t>正版操作系统</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 xml:space="preserve">二、资质及服务要求：                                                                 </w:t>
            </w:r>
          </w:p>
          <w:p>
            <w:pPr>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1、投标产品通过3C认证、节能认证</w:t>
            </w:r>
          </w:p>
          <w:p>
            <w:pPr>
              <w:pStyle w:val="39"/>
              <w:keepNext w:val="0"/>
              <w:keepLines w:val="0"/>
              <w:suppressLineNumbers w:val="0"/>
              <w:spacing w:before="0" w:beforeAutospacing="0" w:afterAutospacing="0" w:line="264" w:lineRule="auto"/>
              <w:ind w:left="0" w:leftChars="0" w:right="0" w:firstLine="0" w:firstLineChars="0"/>
              <w:jc w:val="both"/>
              <w:rPr>
                <w:rFonts w:hint="eastAsia" w:ascii="宋体" w:hAnsi="宋体" w:eastAsia="宋体" w:cs="宋体"/>
                <w:color w:val="auto"/>
                <w:sz w:val="21"/>
                <w:szCs w:val="21"/>
                <w:highlight w:val="none"/>
                <w:shd w:val="clear" w:color="auto" w:fill="FFFFFF"/>
                <w:lang w:eastAsia="zh-CN" w:bidi="ar"/>
              </w:rPr>
            </w:pPr>
            <w:r>
              <w:rPr>
                <w:rFonts w:hint="eastAsia"/>
                <w:color w:val="auto"/>
                <w:sz w:val="21"/>
                <w:szCs w:val="21"/>
                <w:highlight w:val="none"/>
              </w:rPr>
              <w:t>2、保修服务：原厂三年保修服务，支持全年365天下一自然日上门响应能力，提供门到桌的安装验机服务，要求以上服务为原厂服务；供货时，提供售后服务承诺函原件。</w:t>
            </w:r>
          </w:p>
        </w:tc>
      </w:tr>
      <w:tr>
        <w:tblPrEx>
          <w:tblCellMar>
            <w:top w:w="0" w:type="dxa"/>
            <w:left w:w="108" w:type="dxa"/>
            <w:bottom w:w="0" w:type="dxa"/>
            <w:right w:w="108" w:type="dxa"/>
          </w:tblCellMar>
        </w:tblPrEx>
        <w:trPr>
          <w:trHeight w:val="529" w:hRule="atLeast"/>
        </w:trPr>
        <w:tc>
          <w:tcPr>
            <w:tcW w:w="10283" w:type="dxa"/>
            <w:gridSpan w:val="5"/>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00" w:lineRule="atLeast"/>
              <w:ind w:left="0" w:right="0"/>
              <w:jc w:val="left"/>
              <w:rPr>
                <w:rFonts w:hint="default" w:ascii="宋体" w:hAnsi="宋体" w:eastAsia="宋体" w:cs="宋体"/>
                <w:color w:val="auto"/>
                <w:sz w:val="21"/>
                <w:szCs w:val="21"/>
                <w:highlight w:val="none"/>
                <w:shd w:val="clear" w:color="auto" w:fill="FFFFFF"/>
                <w:lang w:val="en-US" w:eastAsia="zh-CN" w:bidi="ar"/>
              </w:rPr>
            </w:pPr>
            <w:r>
              <w:rPr>
                <w:rFonts w:hint="eastAsia" w:ascii="Times New Roman" w:hAnsi="Times New Roman" w:cs="Times New Roman"/>
                <w:b/>
                <w:bCs/>
                <w:color w:val="auto"/>
                <w:sz w:val="21"/>
                <w:szCs w:val="21"/>
                <w:highlight w:val="none"/>
              </w:rPr>
              <w:t>商务及其他要求</w:t>
            </w:r>
            <w:r>
              <w:rPr>
                <w:rFonts w:hint="eastAsia" w:ascii="Times New Roman" w:hAnsi="Times New Roman" w:cs="Times New Roman"/>
                <w:b/>
                <w:bCs/>
                <w:color w:val="auto"/>
                <w:sz w:val="21"/>
                <w:szCs w:val="21"/>
                <w:highlight w:val="none"/>
                <w:lang w:val="en-US" w:eastAsia="zh-CN"/>
              </w:rPr>
              <w:t xml:space="preserve"> </w:t>
            </w:r>
          </w:p>
        </w:tc>
      </w:tr>
      <w:tr>
        <w:tblPrEx>
          <w:tblCellMar>
            <w:top w:w="0" w:type="dxa"/>
            <w:left w:w="108" w:type="dxa"/>
            <w:bottom w:w="0" w:type="dxa"/>
            <w:right w:w="108" w:type="dxa"/>
          </w:tblCellMar>
        </w:tblPrEx>
        <w:trPr>
          <w:trHeight w:val="1004" w:hRule="atLeast"/>
        </w:trPr>
        <w:tc>
          <w:tcPr>
            <w:tcW w:w="2714" w:type="dxa"/>
            <w:gridSpan w:val="3"/>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64" w:lineRule="auto"/>
              <w:ind w:left="0" w:right="0"/>
              <w:jc w:val="center"/>
              <w:rPr>
                <w:rFonts w:hint="eastAsia" w:ascii="Times New Roman" w:hAnsi="Times New Roman"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报价要求</w:t>
            </w:r>
          </w:p>
        </w:tc>
        <w:tc>
          <w:tcPr>
            <w:tcW w:w="7569" w:type="dxa"/>
            <w:gridSpan w:val="2"/>
            <w:tcBorders>
              <w:top w:val="nil"/>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报价是履行合同的最终价格，包括但不限于：</w:t>
            </w:r>
          </w:p>
          <w:p>
            <w:pPr>
              <w:keepNext w:val="0"/>
              <w:keepLines w:val="0"/>
              <w:suppressLineNumbers w:val="0"/>
              <w:adjustRightInd w:val="0"/>
              <w:snapToGrid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（1）货物的价格；</w:t>
            </w:r>
          </w:p>
          <w:p>
            <w:pPr>
              <w:keepNext w:val="0"/>
              <w:keepLines w:val="0"/>
              <w:suppressLineNumbers w:val="0"/>
              <w:adjustRightInd w:val="0"/>
              <w:snapToGrid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（2）货物的标准附件、备品备件、专用工具的价格；</w:t>
            </w:r>
          </w:p>
          <w:p>
            <w:pPr>
              <w:keepNext w:val="0"/>
              <w:keepLines w:val="0"/>
              <w:suppressLineNumbers w:val="0"/>
              <w:adjustRightInd w:val="0"/>
              <w:snapToGrid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（3）运输、装卸、软硬件安装调试、培训、技术支持、售后服务、上门等费用；</w:t>
            </w:r>
          </w:p>
          <w:p>
            <w:pPr>
              <w:keepNext w:val="0"/>
              <w:keepLines w:val="0"/>
              <w:suppressLineNumbers w:val="0"/>
              <w:adjustRightInd w:val="0"/>
              <w:snapToGrid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（4）必要的保险费用和各项税费；</w:t>
            </w:r>
          </w:p>
          <w:p>
            <w:pPr>
              <w:keepNext w:val="0"/>
              <w:keepLines w:val="0"/>
              <w:suppressLineNumbers w:val="0"/>
              <w:adjustRightInd w:val="0"/>
              <w:snapToGrid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（5）施工（安装）费用；</w:t>
            </w:r>
          </w:p>
          <w:p>
            <w:pPr>
              <w:keepNext w:val="0"/>
              <w:keepLines w:val="0"/>
              <w:suppressLineNumbers w:val="0"/>
              <w:adjustRightInd w:val="0"/>
              <w:snapToGrid w:val="0"/>
              <w:spacing w:before="0" w:beforeAutospacing="0" w:after="0" w:afterAutospacing="0" w:line="264" w:lineRule="auto"/>
              <w:ind w:left="0" w:right="0"/>
              <w:rPr>
                <w:rFonts w:hint="eastAsia" w:ascii="宋体" w:hAnsi="宋体" w:cs="宋体"/>
                <w:color w:val="auto"/>
                <w:sz w:val="21"/>
                <w:szCs w:val="21"/>
                <w:highlight w:val="none"/>
                <w:shd w:val="clear" w:color="auto" w:fill="FFFFFF"/>
                <w:lang w:bidi="ar"/>
              </w:rPr>
            </w:pPr>
            <w:r>
              <w:rPr>
                <w:rFonts w:hint="eastAsia" w:ascii="宋体" w:hAnsi="宋体" w:cs="宋体"/>
                <w:color w:val="auto"/>
                <w:sz w:val="21"/>
                <w:szCs w:val="21"/>
                <w:highlight w:val="none"/>
              </w:rPr>
              <w:t>（6）设备零配件、项目安装、调试、检测、试验及验收、现场卫生清理、线缆、管材、开孔、开槽及埋管和招标文件中有关的全部内容并完成所有工程和服务，所有成本费用的总和，采购人不再支付其它任何费用。</w:t>
            </w:r>
          </w:p>
        </w:tc>
      </w:tr>
      <w:tr>
        <w:tblPrEx>
          <w:tblCellMar>
            <w:top w:w="0" w:type="dxa"/>
            <w:left w:w="108" w:type="dxa"/>
            <w:bottom w:w="0" w:type="dxa"/>
            <w:right w:w="108" w:type="dxa"/>
          </w:tblCellMar>
        </w:tblPrEx>
        <w:trPr>
          <w:trHeight w:val="1004" w:hRule="atLeast"/>
        </w:trPr>
        <w:tc>
          <w:tcPr>
            <w:tcW w:w="2714" w:type="dxa"/>
            <w:gridSpan w:val="3"/>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64" w:lineRule="auto"/>
              <w:ind w:left="0" w:right="0"/>
              <w:jc w:val="center"/>
              <w:rPr>
                <w:rFonts w:hint="eastAsia" w:ascii="Times New Roman" w:hAnsi="Times New Roman"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合同签订时间</w:t>
            </w:r>
          </w:p>
        </w:tc>
        <w:tc>
          <w:tcPr>
            <w:tcW w:w="7569" w:type="dxa"/>
            <w:gridSpan w:val="2"/>
            <w:tcBorders>
              <w:top w:val="nil"/>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64" w:lineRule="auto"/>
              <w:ind w:left="0" w:right="0"/>
              <w:rPr>
                <w:rFonts w:hint="eastAsia" w:ascii="宋体" w:hAnsi="宋体" w:cs="宋体"/>
                <w:color w:val="auto"/>
                <w:sz w:val="21"/>
                <w:szCs w:val="21"/>
                <w:highlight w:val="none"/>
                <w:shd w:val="clear" w:color="auto" w:fill="FFFFFF"/>
                <w:lang w:bidi="ar"/>
              </w:rPr>
            </w:pPr>
            <w:r>
              <w:rPr>
                <w:rFonts w:hint="eastAsia" w:ascii="宋体" w:hAnsi="宋体" w:cs="宋体"/>
                <w:bCs/>
                <w:color w:val="auto"/>
                <w:sz w:val="21"/>
                <w:szCs w:val="21"/>
                <w:highlight w:val="none"/>
              </w:rPr>
              <w:t>自</w:t>
            </w:r>
            <w:r>
              <w:rPr>
                <w:rFonts w:hint="eastAsia" w:ascii="宋体" w:hAnsi="宋体" w:cs="宋体"/>
                <w:bCs/>
                <w:color w:val="auto"/>
                <w:sz w:val="21"/>
                <w:szCs w:val="21"/>
                <w:highlight w:val="none"/>
                <w:lang w:eastAsia="zh-CN"/>
              </w:rPr>
              <w:t>成交</w:t>
            </w:r>
            <w:r>
              <w:rPr>
                <w:rFonts w:hint="eastAsia" w:ascii="宋体" w:hAnsi="宋体" w:cs="宋体"/>
                <w:bCs/>
                <w:color w:val="auto"/>
                <w:sz w:val="21"/>
                <w:szCs w:val="21"/>
                <w:highlight w:val="none"/>
              </w:rPr>
              <w:t>通知书发出之日起</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rPr>
              <w:t>个日历日内签订采购合同。</w:t>
            </w:r>
          </w:p>
        </w:tc>
      </w:tr>
      <w:tr>
        <w:tblPrEx>
          <w:tblCellMar>
            <w:top w:w="0" w:type="dxa"/>
            <w:left w:w="108" w:type="dxa"/>
            <w:bottom w:w="0" w:type="dxa"/>
            <w:right w:w="108" w:type="dxa"/>
          </w:tblCellMar>
        </w:tblPrEx>
        <w:trPr>
          <w:trHeight w:val="1004" w:hRule="atLeast"/>
        </w:trPr>
        <w:tc>
          <w:tcPr>
            <w:tcW w:w="2714" w:type="dxa"/>
            <w:gridSpan w:val="3"/>
            <w:tcBorders>
              <w:top w:val="nil"/>
              <w:left w:val="single" w:color="auto" w:sz="4" w:space="0"/>
              <w:bottom w:val="single" w:color="auto" w:sz="4" w:space="0"/>
              <w:right w:val="single" w:color="auto" w:sz="4" w:space="0"/>
            </w:tcBorders>
            <w:noWrap/>
            <w:vAlign w:val="center"/>
          </w:tcPr>
          <w:p>
            <w:pPr>
              <w:keepNext w:val="0"/>
              <w:keepLines w:val="0"/>
              <w:widowControl/>
              <w:suppressLineNumbers w:val="0"/>
              <w:wordWrap w:val="0"/>
              <w:spacing w:before="0" w:beforeAutospacing="0" w:after="0" w:afterAutospacing="0" w:line="264" w:lineRule="auto"/>
              <w:ind w:left="0" w:right="0"/>
              <w:jc w:val="center"/>
              <w:textAlignment w:val="center"/>
              <w:rPr>
                <w:rFonts w:hint="eastAsia" w:ascii="宋体" w:hAnsi="宋体" w:cs="Times New Roman"/>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交货时间及地点</w:t>
            </w:r>
          </w:p>
        </w:tc>
        <w:tc>
          <w:tcPr>
            <w:tcW w:w="7569" w:type="dxa"/>
            <w:gridSpan w:val="2"/>
            <w:tcBorders>
              <w:top w:val="nil"/>
              <w:left w:val="nil"/>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64" w:lineRule="auto"/>
              <w:ind w:left="0" w:right="0"/>
              <w:rPr>
                <w:rFonts w:hint="eastAsia" w:ascii="宋体" w:hAnsi="宋体" w:cs="宋体"/>
                <w:color w:val="auto"/>
                <w:spacing w:val="7"/>
                <w:sz w:val="21"/>
                <w:szCs w:val="21"/>
                <w:highlight w:val="none"/>
              </w:rPr>
            </w:pPr>
            <w:r>
              <w:rPr>
                <w:rFonts w:hint="eastAsia" w:ascii="宋体" w:hAnsi="宋体" w:cs="宋体"/>
                <w:color w:val="auto"/>
                <w:spacing w:val="7"/>
                <w:sz w:val="21"/>
                <w:szCs w:val="21"/>
                <w:highlight w:val="none"/>
              </w:rPr>
              <w:t>1.交付使用时间：</w:t>
            </w:r>
            <w:r>
              <w:rPr>
                <w:rFonts w:hint="eastAsia" w:ascii="宋体" w:hAnsi="宋体" w:cs="宋体"/>
                <w:color w:val="auto"/>
                <w:sz w:val="21"/>
                <w:szCs w:val="21"/>
                <w:highlight w:val="none"/>
              </w:rPr>
              <w:t>自签订合同之日起</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0个日历日内交付使用。</w:t>
            </w:r>
          </w:p>
          <w:p>
            <w:pPr>
              <w:keepNext w:val="0"/>
              <w:keepLines w:val="0"/>
              <w:suppressLineNumbers w:val="0"/>
              <w:snapToGrid w:val="0"/>
              <w:spacing w:before="0" w:beforeAutospacing="0" w:after="0" w:afterAutospacing="0" w:line="264" w:lineRule="auto"/>
              <w:ind w:left="0" w:right="0"/>
              <w:rPr>
                <w:rFonts w:hint="eastAsia" w:ascii="宋体" w:hAnsi="宋体" w:cs="宋体"/>
                <w:color w:val="auto"/>
                <w:sz w:val="21"/>
                <w:szCs w:val="21"/>
                <w:highlight w:val="none"/>
                <w:shd w:val="clear" w:color="auto" w:fill="FFFFFF"/>
                <w:lang w:bidi="ar"/>
              </w:rPr>
            </w:pPr>
            <w:r>
              <w:rPr>
                <w:rFonts w:hint="eastAsia" w:ascii="宋体" w:hAnsi="宋体" w:cs="宋体"/>
                <w:color w:val="auto"/>
                <w:spacing w:val="7"/>
                <w:sz w:val="21"/>
                <w:szCs w:val="21"/>
                <w:highlight w:val="none"/>
              </w:rPr>
              <w:t>2.交货地点：广西艺术学院内采购人指定地点</w:t>
            </w:r>
          </w:p>
        </w:tc>
      </w:tr>
      <w:tr>
        <w:tblPrEx>
          <w:tblCellMar>
            <w:top w:w="0" w:type="dxa"/>
            <w:left w:w="108" w:type="dxa"/>
            <w:bottom w:w="0" w:type="dxa"/>
            <w:right w:w="108" w:type="dxa"/>
          </w:tblCellMar>
        </w:tblPrEx>
        <w:trPr>
          <w:trHeight w:val="482" w:hRule="atLeast"/>
        </w:trPr>
        <w:tc>
          <w:tcPr>
            <w:tcW w:w="2714" w:type="dxa"/>
            <w:gridSpan w:val="3"/>
            <w:tcBorders>
              <w:top w:val="nil"/>
              <w:left w:val="single" w:color="auto" w:sz="4" w:space="0"/>
              <w:bottom w:val="single" w:color="auto" w:sz="4" w:space="0"/>
              <w:right w:val="single" w:color="auto" w:sz="4" w:space="0"/>
            </w:tcBorders>
            <w:noWrap/>
            <w:vAlign w:val="center"/>
          </w:tcPr>
          <w:p>
            <w:pPr>
              <w:keepNext w:val="0"/>
              <w:keepLines w:val="0"/>
              <w:widowControl/>
              <w:suppressLineNumbers w:val="0"/>
              <w:wordWrap w:val="0"/>
              <w:spacing w:before="0" w:beforeAutospacing="0" w:after="0" w:afterAutospacing="0" w:line="264" w:lineRule="auto"/>
              <w:ind w:left="0" w:right="0"/>
              <w:jc w:val="center"/>
              <w:textAlignment w:val="center"/>
              <w:rPr>
                <w:rFonts w:hint="eastAsia" w:ascii="宋体" w:hAnsi="宋体" w:cs="Times New Roman"/>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售后及服务要求</w:t>
            </w:r>
          </w:p>
        </w:tc>
        <w:tc>
          <w:tcPr>
            <w:tcW w:w="7569" w:type="dxa"/>
            <w:gridSpan w:val="2"/>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1.设备必须是全新原厂正品。</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2.分项有质保要求的按分项质保要求，分项没有质保要求的按国家有关产品“三包”规定执行“三包”政策，质保期以通过项目最终验收的验收报告签字日开始计算。</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3.质保期内所有由于质量问题导致的软、硬件产品故障及设备损坏，</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供应商提供保修、人工及更换备件的上门服务，并提供终身维护。质保期内采购人不再支付任何费用。</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4．免费送货上门，免费安装调试合格；</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供应商必须负责项目设备送货、建设、安装调试与培训，免费提供设备操作培训，提供全套说明书；免费现场培训 2～3 名相关人员至掌握设备操作及日常维护；</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6．设备如出现故障在接到采购人通知后在30分钟内响应，2小时内上门服务，12小时内解决故障；未能在规定时间内排除故障的，必须在接到采购人通知后48小时内提供同档次的备用机并提交故障解决处理方案；</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7．提供定期回访及巡检服务；</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8．项目供货及安装过程中产生的残留物或垃圾，需由</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供应商自行清理至校外国家有关部门指定堆放处，产品包装箱及有关产品说明书等处置需经采购人确认后处理。</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shd w:val="clear" w:color="auto" w:fill="FFFFFF"/>
                <w:lang w:bidi="ar"/>
              </w:rPr>
            </w:pPr>
            <w:r>
              <w:rPr>
                <w:rFonts w:hint="eastAsia" w:ascii="宋体" w:hAnsi="宋体" w:cs="宋体"/>
                <w:color w:val="auto"/>
                <w:sz w:val="21"/>
                <w:szCs w:val="21"/>
                <w:highlight w:val="none"/>
              </w:rPr>
              <w:t>9．对于软件系统存在的安全漏洞包括但不限于数据库安全的情形，</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供应商应提供终身免费系统升级补丁及做好安全策略。</w:t>
            </w:r>
          </w:p>
        </w:tc>
      </w:tr>
      <w:tr>
        <w:tblPrEx>
          <w:tblCellMar>
            <w:top w:w="0" w:type="dxa"/>
            <w:left w:w="108" w:type="dxa"/>
            <w:bottom w:w="0" w:type="dxa"/>
            <w:right w:w="108" w:type="dxa"/>
          </w:tblCellMar>
        </w:tblPrEx>
        <w:trPr>
          <w:trHeight w:val="1004" w:hRule="atLeast"/>
        </w:trPr>
        <w:tc>
          <w:tcPr>
            <w:tcW w:w="2714" w:type="dxa"/>
            <w:gridSpan w:val="3"/>
            <w:tcBorders>
              <w:top w:val="nil"/>
              <w:left w:val="single" w:color="auto" w:sz="4" w:space="0"/>
              <w:bottom w:val="single" w:color="auto" w:sz="4" w:space="0"/>
              <w:right w:val="single" w:color="auto" w:sz="4" w:space="0"/>
            </w:tcBorders>
            <w:noWrap/>
            <w:vAlign w:val="center"/>
          </w:tcPr>
          <w:p>
            <w:pPr>
              <w:keepNext w:val="0"/>
              <w:keepLines w:val="0"/>
              <w:widowControl/>
              <w:suppressLineNumbers w:val="0"/>
              <w:wordWrap w:val="0"/>
              <w:spacing w:before="0" w:beforeAutospacing="0" w:after="0" w:afterAutospacing="0" w:line="264" w:lineRule="auto"/>
              <w:ind w:left="0" w:right="0"/>
              <w:jc w:val="center"/>
              <w:textAlignment w:val="center"/>
              <w:rPr>
                <w:rFonts w:hint="eastAsia" w:ascii="宋体" w:hAnsi="宋体" w:cs="Times New Roman"/>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付款方式</w:t>
            </w:r>
          </w:p>
        </w:tc>
        <w:tc>
          <w:tcPr>
            <w:tcW w:w="7569" w:type="dxa"/>
            <w:gridSpan w:val="2"/>
            <w:tcBorders>
              <w:top w:val="nil"/>
              <w:left w:val="nil"/>
              <w:bottom w:val="single" w:color="auto" w:sz="4" w:space="0"/>
              <w:right w:val="single" w:color="auto" w:sz="4" w:space="0"/>
            </w:tcBorders>
            <w:noWrap w:val="0"/>
            <w:vAlign w:val="center"/>
          </w:tcPr>
          <w:p>
            <w:pPr>
              <w:pStyle w:val="142"/>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Times New Roman"/>
                <w:color w:val="auto"/>
                <w:sz w:val="21"/>
                <w:szCs w:val="21"/>
                <w:highlight w:val="none"/>
              </w:rPr>
              <w:t>预付款：签订合同之日起</w:t>
            </w:r>
            <w:r>
              <w:rPr>
                <w:rFonts w:hint="eastAsia" w:ascii="宋体" w:hAnsi="宋体" w:cs="Times New Roman"/>
                <w:color w:val="auto"/>
                <w:sz w:val="21"/>
                <w:szCs w:val="21"/>
                <w:highlight w:val="none"/>
                <w:lang w:val="en-US" w:eastAsia="zh-CN"/>
              </w:rPr>
              <w:t>5</w:t>
            </w:r>
            <w:r>
              <w:rPr>
                <w:rFonts w:hint="eastAsia" w:ascii="宋体" w:hAnsi="宋体" w:cs="Times New Roman"/>
                <w:color w:val="auto"/>
                <w:sz w:val="21"/>
                <w:szCs w:val="21"/>
                <w:highlight w:val="none"/>
              </w:rPr>
              <w:t>个工作日内，</w:t>
            </w:r>
            <w:r>
              <w:rPr>
                <w:rFonts w:hint="eastAsia" w:ascii="宋体" w:hAnsi="宋体" w:cs="Times New Roman"/>
                <w:color w:val="auto"/>
                <w:sz w:val="21"/>
                <w:szCs w:val="21"/>
                <w:highlight w:val="none"/>
                <w:lang w:eastAsia="zh-CN"/>
              </w:rPr>
              <w:t>成交</w:t>
            </w:r>
            <w:r>
              <w:rPr>
                <w:rFonts w:hint="eastAsia" w:ascii="宋体" w:hAnsi="宋体" w:cs="Times New Roman"/>
                <w:color w:val="auto"/>
                <w:sz w:val="21"/>
                <w:szCs w:val="21"/>
                <w:highlight w:val="none"/>
              </w:rPr>
              <w:t>人开具合同总价款的 30%的等额价值保函(保函有效期应在</w:t>
            </w:r>
            <w:r>
              <w:rPr>
                <w:rFonts w:hint="eastAsia" w:ascii="宋体" w:hAnsi="宋体" w:cs="Times New Roman"/>
                <w:color w:val="auto"/>
                <w:sz w:val="21"/>
                <w:szCs w:val="21"/>
                <w:highlight w:val="none"/>
              </w:rPr>
              <w:t xml:space="preserve"> 2025年 12月30日</w:t>
            </w:r>
            <w:r>
              <w:rPr>
                <w:rFonts w:hint="eastAsia" w:ascii="宋体" w:hAnsi="宋体" w:cs="Times New Roman"/>
                <w:color w:val="auto"/>
                <w:sz w:val="21"/>
                <w:szCs w:val="21"/>
                <w:highlight w:val="none"/>
              </w:rPr>
              <w:t>后)给采购人后，采购人支付合同总价款的30%作为预付款。</w:t>
            </w:r>
            <w:r>
              <w:rPr>
                <w:rFonts w:hint="eastAsia" w:ascii="宋体" w:hAnsi="宋体" w:cs="Times New Roman"/>
                <w:color w:val="auto"/>
                <w:sz w:val="21"/>
                <w:szCs w:val="21"/>
                <w:highlight w:val="none"/>
                <w:lang w:val="en-US" w:eastAsia="zh-CN"/>
              </w:rPr>
              <w:t>进度款：</w:t>
            </w:r>
            <w:r>
              <w:rPr>
                <w:rFonts w:hint="eastAsia" w:ascii="宋体" w:hAnsi="宋体" w:cs="Times New Roman"/>
                <w:color w:val="auto"/>
                <w:sz w:val="21"/>
                <w:szCs w:val="21"/>
                <w:highlight w:val="none"/>
              </w:rPr>
              <w:t>全部设备到货后，经采购人确认后在十个工作日内向</w:t>
            </w:r>
            <w:r>
              <w:rPr>
                <w:rFonts w:hint="eastAsia" w:ascii="宋体" w:hAnsi="宋体" w:cs="Times New Roman"/>
                <w:color w:val="auto"/>
                <w:sz w:val="21"/>
                <w:szCs w:val="21"/>
                <w:highlight w:val="none"/>
                <w:lang w:eastAsia="zh-CN"/>
              </w:rPr>
              <w:t>成交</w:t>
            </w:r>
            <w:r>
              <w:rPr>
                <w:rFonts w:hint="eastAsia" w:ascii="宋体" w:hAnsi="宋体" w:cs="Times New Roman"/>
                <w:color w:val="auto"/>
                <w:sz w:val="21"/>
                <w:szCs w:val="21"/>
                <w:highlight w:val="none"/>
              </w:rPr>
              <w:t>供应商付款方式支付合同价款的</w:t>
            </w:r>
            <w:r>
              <w:rPr>
                <w:rFonts w:hint="eastAsia" w:ascii="宋体" w:hAnsi="宋体" w:cs="Times New Roman"/>
                <w:color w:val="auto"/>
                <w:sz w:val="21"/>
                <w:szCs w:val="21"/>
                <w:highlight w:val="none"/>
                <w:lang w:val="en-US" w:eastAsia="zh-CN"/>
              </w:rPr>
              <w:t>6</w:t>
            </w:r>
            <w:r>
              <w:rPr>
                <w:rFonts w:hint="eastAsia" w:ascii="宋体" w:hAnsi="宋体" w:cs="Times New Roman"/>
                <w:color w:val="auto"/>
                <w:sz w:val="21"/>
                <w:szCs w:val="21"/>
                <w:highlight w:val="none"/>
              </w:rPr>
              <w:t>0%；所有货物安装调试完成、试运行正常且验收合格，并经采购人确认后，在十个工作日内向</w:t>
            </w:r>
            <w:r>
              <w:rPr>
                <w:rFonts w:hint="eastAsia" w:ascii="宋体" w:hAnsi="宋体" w:cs="Times New Roman"/>
                <w:color w:val="auto"/>
                <w:sz w:val="21"/>
                <w:szCs w:val="21"/>
                <w:highlight w:val="none"/>
                <w:lang w:eastAsia="zh-CN"/>
              </w:rPr>
              <w:t>成交</w:t>
            </w:r>
            <w:r>
              <w:rPr>
                <w:rFonts w:hint="eastAsia" w:ascii="宋体" w:hAnsi="宋体" w:cs="Times New Roman"/>
                <w:color w:val="auto"/>
                <w:sz w:val="21"/>
                <w:szCs w:val="21"/>
                <w:highlight w:val="none"/>
              </w:rPr>
              <w:t>供应商支付合同价款的</w:t>
            </w:r>
            <w:r>
              <w:rPr>
                <w:rFonts w:hint="eastAsia" w:ascii="宋体" w:hAnsi="宋体" w:cs="Times New Roman"/>
                <w:color w:val="auto"/>
                <w:sz w:val="21"/>
                <w:szCs w:val="21"/>
                <w:highlight w:val="none"/>
                <w:lang w:val="en-US" w:eastAsia="zh-CN"/>
              </w:rPr>
              <w:t>1</w:t>
            </w:r>
            <w:r>
              <w:rPr>
                <w:rFonts w:hint="eastAsia" w:ascii="宋体" w:hAnsi="宋体" w:cs="Times New Roman"/>
                <w:color w:val="auto"/>
                <w:sz w:val="21"/>
                <w:szCs w:val="21"/>
                <w:highlight w:val="none"/>
              </w:rPr>
              <w:t>0%。</w:t>
            </w:r>
          </w:p>
          <w:p>
            <w:pPr>
              <w:pStyle w:val="142"/>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shd w:val="clear" w:color="auto" w:fill="FFFFFF"/>
                <w:lang w:bidi="ar"/>
              </w:rPr>
            </w:pPr>
            <w:r>
              <w:rPr>
                <w:rFonts w:hint="eastAsia" w:ascii="宋体" w:hAnsi="宋体" w:cs="宋体"/>
                <w:color w:val="auto"/>
                <w:sz w:val="21"/>
                <w:szCs w:val="21"/>
                <w:highlight w:val="none"/>
              </w:rPr>
              <w:t>2.若采购数量与实际使用数量不一致时，</w:t>
            </w:r>
            <w:r>
              <w:rPr>
                <w:rFonts w:hint="eastAsia" w:ascii="宋体" w:hAnsi="宋体" w:cs="宋体"/>
                <w:color w:val="auto"/>
                <w:sz w:val="21"/>
                <w:szCs w:val="21"/>
                <w:highlight w:val="none"/>
                <w:lang w:eastAsia="zh-CN"/>
              </w:rPr>
              <w:t>成交供应商</w:t>
            </w:r>
            <w:r>
              <w:rPr>
                <w:rFonts w:hint="eastAsia" w:ascii="宋体" w:hAnsi="宋体" w:cs="宋体"/>
                <w:color w:val="auto"/>
                <w:sz w:val="21"/>
                <w:szCs w:val="21"/>
                <w:highlight w:val="none"/>
              </w:rPr>
              <w:t>应根据实际使用量供货，合同的最终结算金额按实际使用量乘以</w:t>
            </w:r>
            <w:r>
              <w:rPr>
                <w:rFonts w:hint="eastAsia" w:ascii="宋体" w:hAnsi="宋体" w:cs="宋体"/>
                <w:color w:val="auto"/>
                <w:sz w:val="21"/>
                <w:szCs w:val="21"/>
                <w:highlight w:val="none"/>
                <w:lang w:val="en" w:eastAsia="zh-CN"/>
              </w:rPr>
              <w:t>成交</w:t>
            </w:r>
            <w:r>
              <w:rPr>
                <w:rFonts w:hint="eastAsia" w:ascii="宋体" w:hAnsi="宋体" w:cs="宋体"/>
                <w:color w:val="auto"/>
                <w:sz w:val="21"/>
                <w:szCs w:val="21"/>
                <w:highlight w:val="none"/>
              </w:rPr>
              <w:t>单价进行据实计算。</w:t>
            </w:r>
          </w:p>
        </w:tc>
      </w:tr>
      <w:tr>
        <w:tblPrEx>
          <w:tblCellMar>
            <w:top w:w="0" w:type="dxa"/>
            <w:left w:w="108" w:type="dxa"/>
            <w:bottom w:w="0" w:type="dxa"/>
            <w:right w:w="108" w:type="dxa"/>
          </w:tblCellMar>
        </w:tblPrEx>
        <w:trPr>
          <w:trHeight w:val="1004" w:hRule="atLeast"/>
        </w:trPr>
        <w:tc>
          <w:tcPr>
            <w:tcW w:w="2714" w:type="dxa"/>
            <w:gridSpan w:val="3"/>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履约保证金</w:t>
            </w:r>
          </w:p>
        </w:tc>
        <w:tc>
          <w:tcPr>
            <w:tcW w:w="7569" w:type="dxa"/>
            <w:gridSpan w:val="2"/>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1.按本项目</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总金额的5%（如</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供应商为中小企业的，按本项目</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总金额的2%）收取；</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供应商在签订合同前交至指定账户。</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2.履约保证金递交方式：支票、汇票、本票、</w:t>
            </w:r>
            <w:r>
              <w:rPr>
                <w:rFonts w:hint="eastAsia" w:ascii="宋体" w:hAnsi="宋体" w:cs="宋体"/>
                <w:color w:val="auto"/>
                <w:sz w:val="21"/>
                <w:szCs w:val="21"/>
                <w:highlight w:val="none"/>
                <w:lang w:val="en"/>
              </w:rPr>
              <w:t>金融机构</w:t>
            </w:r>
            <w:r>
              <w:rPr>
                <w:rFonts w:hint="eastAsia" w:ascii="宋体" w:hAnsi="宋体" w:cs="宋体"/>
                <w:color w:val="auto"/>
                <w:sz w:val="21"/>
                <w:szCs w:val="21"/>
                <w:highlight w:val="none"/>
              </w:rPr>
              <w:t>、担保机构出具的保函等非现金形式。</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履约保证金指定账户：</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开户名称：</w:t>
            </w:r>
            <w:r>
              <w:rPr>
                <w:rFonts w:hint="default" w:ascii="宋体" w:hAnsi="宋体" w:cs="宋体"/>
                <w:color w:val="auto"/>
                <w:sz w:val="21"/>
                <w:szCs w:val="21"/>
                <w:highlight w:val="none"/>
                <w:lang w:val="en"/>
              </w:rPr>
              <w:t>广西艺术学院</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开户银行：建行南宁市桃源支行</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银行账号：45001604559050500909</w:t>
            </w:r>
          </w:p>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3.履约保证金退付方式、时间及条件：</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供应商按合同要求完全履约，项目验收合格后，待</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供应商履行完质保义务且无违约情况下后由采购人无息退还。合同履行期间，</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供应商存在违约的，采购人有权从履约保证金中先行抵扣，不足部分由</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供应商另行支付，采购人直接从履约保证金中扣除的，</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供应商应于接到采购人补足履约保证金通知之日起3个工作日内补足。</w:t>
            </w:r>
          </w:p>
          <w:p>
            <w:pPr>
              <w:keepNext w:val="0"/>
              <w:keepLines w:val="0"/>
              <w:suppressLineNumbers w:val="0"/>
              <w:snapToGrid w:val="0"/>
              <w:spacing w:before="0" w:beforeAutospacing="0" w:after="0" w:afterAutospacing="0" w:line="360" w:lineRule="auto"/>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由</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人向履约保证金收取单位提供《广西壮族自治区政府采购项目合同验收书》（详见桂财采〔2015〕22号），保证金收取单位在收到合格材料后5个工作日内办理退还手续（不计利息）。</w:t>
            </w:r>
          </w:p>
          <w:p>
            <w:pPr>
              <w:keepNext w:val="0"/>
              <w:keepLines w:val="0"/>
              <w:suppressLineNumbers w:val="0"/>
              <w:spacing w:before="0" w:beforeAutospacing="0" w:after="0" w:afterAutospacing="0" w:line="264" w:lineRule="auto"/>
              <w:ind w:left="0" w:right="0"/>
              <w:rPr>
                <w:rFonts w:hint="eastAsia" w:ascii="Times New Roman" w:hAnsi="Times New Roman" w:cs="Times New Roman"/>
                <w:color w:val="auto"/>
                <w:sz w:val="21"/>
                <w:szCs w:val="21"/>
                <w:highlight w:val="none"/>
              </w:rPr>
            </w:pPr>
            <w:r>
              <w:rPr>
                <w:rFonts w:hint="eastAsia" w:ascii="宋体" w:hAnsi="宋体" w:cs="宋体"/>
                <w:color w:val="auto"/>
                <w:sz w:val="21"/>
                <w:szCs w:val="21"/>
                <w:highlight w:val="none"/>
              </w:rPr>
              <w:t>不予退还的情形：签订合同后，如</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人不按双方签订的合同规定履约，则其全部履约保证金不予退还。</w:t>
            </w:r>
          </w:p>
        </w:tc>
      </w:tr>
      <w:tr>
        <w:tblPrEx>
          <w:tblCellMar>
            <w:top w:w="0" w:type="dxa"/>
            <w:left w:w="108" w:type="dxa"/>
            <w:bottom w:w="0" w:type="dxa"/>
            <w:right w:w="108" w:type="dxa"/>
          </w:tblCellMar>
        </w:tblPrEx>
        <w:trPr>
          <w:trHeight w:val="507" w:hRule="atLeast"/>
        </w:trPr>
        <w:tc>
          <w:tcPr>
            <w:tcW w:w="2714" w:type="dxa"/>
            <w:gridSpan w:val="3"/>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验收要求</w:t>
            </w:r>
          </w:p>
        </w:tc>
        <w:tc>
          <w:tcPr>
            <w:tcW w:w="7569" w:type="dxa"/>
            <w:gridSpan w:val="2"/>
            <w:tcBorders>
              <w:top w:val="nil"/>
              <w:left w:val="nil"/>
              <w:bottom w:val="single" w:color="auto" w:sz="4" w:space="0"/>
              <w:right w:val="single" w:color="auto" w:sz="4" w:space="0"/>
            </w:tcBorders>
            <w:noWrap w:val="0"/>
            <w:vAlign w:val="center"/>
          </w:tcPr>
          <w:p>
            <w:pPr>
              <w:keepNext w:val="0"/>
              <w:keepLines w:val="0"/>
              <w:suppressLineNumbers w:val="0"/>
              <w:wordWrap w:val="0"/>
              <w:topLinePunct/>
              <w:snapToGrid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产品须是按满足采购人需求配置提供的厂家出厂的整套全新，具备正规合法经销渠道，符合国家各项有关质量标准的合格产品。相关部件及服务须满足本表中各项要求。所有设备除满足招标文件要求及</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文件承诺的技术参数和配置外，其余均按国家标准及生产厂家出厂标准配置，若产品在运输过程中损坏须无偿调换同样产品。</w:t>
            </w:r>
          </w:p>
          <w:p>
            <w:pPr>
              <w:keepNext w:val="0"/>
              <w:keepLines w:val="0"/>
              <w:suppressLineNumbers w:val="0"/>
              <w:wordWrap w:val="0"/>
              <w:topLinePunct/>
              <w:snapToGrid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2.合同签订之后，采购人有权要求</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人提供所投所有产品进行功能核验，如有配置或功能不能满足招标要求，按违约处理，必要时采购人有权要求</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人提供有资质的第三方检测机构出具的检测报告，检测所需费用由</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人自行承担。</w:t>
            </w:r>
          </w:p>
          <w:p>
            <w:pPr>
              <w:keepNext w:val="0"/>
              <w:keepLines w:val="0"/>
              <w:suppressLineNumbers w:val="0"/>
              <w:wordWrap w:val="0"/>
              <w:topLinePunct/>
              <w:snapToGrid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人所提供的产品必须为原装正品的、全新的、完好无破损、且为未开箱状态、符合有关质量标准的产品；设备到货安装前，采购人现场根据招标文件要求及</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文件承诺逐条对应进行核验（必要时，采购人有权要求供应商对各项指标进行现场演示），核验不合格或</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供应商未按采购人要求提供现场演示或技术功能无法达到相应技术要求的，按违约处理，采购人有权全部退货，同时报相关监督管理部门处理，由此造成采购人经济损失的由</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供应商负责承担全部赔偿责任。</w:t>
            </w:r>
          </w:p>
          <w:p>
            <w:pPr>
              <w:keepNext w:val="0"/>
              <w:keepLines w:val="0"/>
              <w:suppressLineNumbers w:val="0"/>
              <w:wordWrap w:val="0"/>
              <w:topLinePunct/>
              <w:snapToGrid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4．验收方式和验收材料要求</w:t>
            </w:r>
          </w:p>
          <w:p>
            <w:pPr>
              <w:keepNext w:val="0"/>
              <w:keepLines w:val="0"/>
              <w:suppressLineNumbers w:val="0"/>
              <w:wordWrap w:val="0"/>
              <w:topLinePunct/>
              <w:snapToGrid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（1）采购人在项目完成且收到</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供应商验收申请后5个工作日内组织开展履约验收。</w:t>
            </w:r>
          </w:p>
          <w:p>
            <w:pPr>
              <w:pStyle w:val="39"/>
              <w:keepNext w:val="0"/>
              <w:keepLines w:val="0"/>
              <w:suppressLineNumbers w:val="0"/>
              <w:spacing w:before="0" w:beforeAutospacing="0" w:afterAutospacing="0" w:line="264" w:lineRule="auto"/>
              <w:ind w:left="0" w:right="0" w:firstLine="0" w:firstLineChars="0"/>
              <w:jc w:val="left"/>
              <w:rPr>
                <w:rFonts w:hint="eastAsia" w:ascii="宋体" w:hAnsi="宋体" w:cs="宋体"/>
                <w:color w:val="auto"/>
                <w:sz w:val="21"/>
                <w:szCs w:val="21"/>
                <w:highlight w:val="none"/>
                <w:shd w:val="clear" w:color="auto" w:fill="FFFFFF"/>
                <w:lang w:bidi="ar"/>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供应商必须提供合格的验收材料，验收材料包括①验收申请书（原件）、②</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通知书复印件、③合同（包括附件加盖采购代理机构章的格式合同中规定的附件）复印件；④项目实施过程文件、⑤货物的证明文件、⑥货物的技术资料、⑦培训记录。</w:t>
            </w:r>
          </w:p>
        </w:tc>
      </w:tr>
      <w:tr>
        <w:tblPrEx>
          <w:tblCellMar>
            <w:top w:w="0" w:type="dxa"/>
            <w:left w:w="108" w:type="dxa"/>
            <w:bottom w:w="0" w:type="dxa"/>
            <w:right w:w="108" w:type="dxa"/>
          </w:tblCellMar>
        </w:tblPrEx>
        <w:trPr>
          <w:trHeight w:val="507" w:hRule="atLeast"/>
        </w:trPr>
        <w:tc>
          <w:tcPr>
            <w:tcW w:w="2714" w:type="dxa"/>
            <w:gridSpan w:val="3"/>
            <w:tcBorders>
              <w:top w:val="nil"/>
              <w:left w:val="single" w:color="auto" w:sz="4" w:space="0"/>
              <w:bottom w:val="single" w:color="auto" w:sz="4" w:space="0"/>
              <w:right w:val="single" w:color="auto" w:sz="4" w:space="0"/>
            </w:tcBorders>
            <w:noWrap/>
            <w:vAlign w:val="center"/>
          </w:tcPr>
          <w:p>
            <w:pPr>
              <w:keepNext w:val="0"/>
              <w:keepLines w:val="0"/>
              <w:widowControl/>
              <w:suppressLineNumbers w:val="0"/>
              <w:wordWrap w:val="0"/>
              <w:spacing w:before="0" w:beforeAutospacing="0" w:after="0" w:afterAutospacing="0" w:line="264" w:lineRule="auto"/>
              <w:ind w:left="0" w:right="0"/>
              <w:jc w:val="center"/>
              <w:textAlignment w:val="center"/>
              <w:rPr>
                <w:rFonts w:hint="eastAsia" w:ascii="宋体" w:hAnsi="宋体" w:cs="Times New Roman"/>
                <w:color w:val="auto"/>
                <w:sz w:val="21"/>
                <w:szCs w:val="21"/>
                <w:highlight w:val="none"/>
              </w:rPr>
            </w:pPr>
            <w:r>
              <w:rPr>
                <w:rFonts w:hint="eastAsia" w:ascii="宋体" w:hAnsi="宋体" w:cs="宋体"/>
                <w:color w:val="auto"/>
                <w:sz w:val="21"/>
                <w:szCs w:val="21"/>
                <w:highlight w:val="none"/>
              </w:rPr>
              <w:t>其他要求</w:t>
            </w:r>
          </w:p>
        </w:tc>
        <w:tc>
          <w:tcPr>
            <w:tcW w:w="7569" w:type="dxa"/>
            <w:gridSpan w:val="2"/>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4" w:lineRule="auto"/>
              <w:ind w:left="0" w:right="0"/>
              <w:jc w:val="left"/>
              <w:rPr>
                <w:rFonts w:hint="eastAsia" w:ascii="宋体" w:hAnsi="宋体" w:cs="宋体"/>
                <w:color w:val="auto"/>
                <w:sz w:val="21"/>
                <w:szCs w:val="21"/>
                <w:highlight w:val="none"/>
                <w:lang w:val="e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
              </w:rPr>
              <w:t>本分标货物不接受进口产品（即通过中国海关报关验放进入中国境内且产自关境外的产品）参与</w:t>
            </w:r>
            <w:r>
              <w:rPr>
                <w:rFonts w:hint="eastAsia" w:ascii="宋体" w:hAnsi="宋体" w:cs="宋体"/>
                <w:color w:val="auto"/>
                <w:sz w:val="21"/>
                <w:szCs w:val="21"/>
                <w:highlight w:val="none"/>
                <w:lang w:val="en" w:eastAsia="zh-CN"/>
              </w:rPr>
              <w:t>竞标</w:t>
            </w:r>
            <w:r>
              <w:rPr>
                <w:rFonts w:hint="eastAsia" w:ascii="宋体" w:hAnsi="宋体" w:cs="宋体"/>
                <w:color w:val="auto"/>
                <w:sz w:val="21"/>
                <w:szCs w:val="21"/>
                <w:highlight w:val="none"/>
                <w:lang w:val="en"/>
              </w:rPr>
              <w:t>。</w:t>
            </w:r>
          </w:p>
          <w:p>
            <w:pPr>
              <w:keepNext w:val="0"/>
              <w:keepLines w:val="0"/>
              <w:suppressLineNumbers w:val="0"/>
              <w:spacing w:before="0" w:beforeAutospacing="0" w:after="0" w:afterAutospacing="0" w:line="264" w:lineRule="auto"/>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人所提供的任何材料应当真实有效，如在评审过程中发现</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人在</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文件中提供任何虚假材料的，按</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无效处理，采购人有权汇报监督管理部门处理；</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后，采购人发现</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人在</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文件中提供任何虚假材料的，采购人有权汇报监督管理部门处理，且</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供应商须依照《中华人民共和国消费者权益保护法》赔偿采购人，民事赔偿并不免除违法</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供应商的法律责任。</w:t>
            </w:r>
          </w:p>
          <w:p>
            <w:pPr>
              <w:keepNext w:val="0"/>
              <w:keepLines w:val="0"/>
              <w:suppressLineNumbers w:val="0"/>
              <w:spacing w:before="0" w:beforeAutospacing="0" w:after="0" w:afterAutospacing="0" w:line="264" w:lineRule="auto"/>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3.本项目货物涉及的产品及其配件包括但不限于各类芯片等必须符合国家有关政策规定，不得使用国家禁止使用范围内的产品及其配件，否则</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无效。</w:t>
            </w:r>
          </w:p>
          <w:p>
            <w:pPr>
              <w:pStyle w:val="142"/>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rPr>
            </w:pPr>
            <w:r>
              <w:rPr>
                <w:rFonts w:hint="eastAsia" w:ascii="宋体" w:hAnsi="宋体" w:cs="宋体"/>
                <w:b/>
                <w:bCs w:val="0"/>
                <w:color w:val="auto"/>
                <w:sz w:val="21"/>
                <w:szCs w:val="21"/>
                <w:highlight w:val="none"/>
              </w:rPr>
              <w:t>4.本项目采购的</w:t>
            </w:r>
            <w:r>
              <w:rPr>
                <w:rFonts w:hint="eastAsia" w:ascii="宋体" w:hAnsi="宋体" w:cs="宋体"/>
                <w:b/>
                <w:bCs w:val="0"/>
                <w:color w:val="auto"/>
                <w:sz w:val="21"/>
                <w:szCs w:val="21"/>
                <w:highlight w:val="none"/>
                <w:lang w:eastAsia="zh-CN"/>
              </w:rPr>
              <w:t>竞标</w:t>
            </w:r>
            <w:r>
              <w:rPr>
                <w:rFonts w:hint="eastAsia" w:ascii="宋体" w:hAnsi="宋体" w:cs="宋体"/>
                <w:b/>
                <w:bCs w:val="0"/>
                <w:color w:val="auto"/>
                <w:sz w:val="21"/>
                <w:szCs w:val="21"/>
                <w:highlight w:val="none"/>
              </w:rPr>
              <w:t>产品如有属于政府采购强制节能产品的，应根据《市场监管总局关于发布参与实施政府采购节能产品、环境标志产品认证机构名录的公告》2019年第16号、财库〔2019〕9号以及财库〔2019〕19号文规定，</w:t>
            </w:r>
            <w:r>
              <w:rPr>
                <w:rFonts w:hint="eastAsia" w:ascii="宋体" w:hAnsi="宋体" w:cs="宋体"/>
                <w:b/>
                <w:bCs w:val="0"/>
                <w:color w:val="auto"/>
                <w:sz w:val="21"/>
                <w:szCs w:val="21"/>
                <w:highlight w:val="none"/>
                <w:lang w:eastAsia="zh-CN"/>
              </w:rPr>
              <w:t>竞标</w:t>
            </w:r>
            <w:r>
              <w:rPr>
                <w:rFonts w:hint="eastAsia" w:ascii="宋体" w:hAnsi="宋体" w:cs="宋体"/>
                <w:b/>
                <w:bCs w:val="0"/>
                <w:color w:val="auto"/>
                <w:sz w:val="21"/>
                <w:szCs w:val="21"/>
                <w:highlight w:val="none"/>
              </w:rPr>
              <w:t>人的</w:t>
            </w:r>
            <w:r>
              <w:rPr>
                <w:rFonts w:hint="eastAsia" w:ascii="宋体" w:hAnsi="宋体" w:cs="宋体"/>
                <w:b/>
                <w:bCs w:val="0"/>
                <w:color w:val="auto"/>
                <w:sz w:val="21"/>
                <w:szCs w:val="21"/>
                <w:highlight w:val="none"/>
                <w:lang w:eastAsia="zh-CN"/>
              </w:rPr>
              <w:t>竞标</w:t>
            </w:r>
            <w:r>
              <w:rPr>
                <w:rFonts w:hint="eastAsia" w:ascii="宋体" w:hAnsi="宋体" w:cs="宋体"/>
                <w:b/>
                <w:bCs w:val="0"/>
                <w:color w:val="auto"/>
                <w:sz w:val="21"/>
                <w:szCs w:val="21"/>
                <w:highlight w:val="none"/>
              </w:rPr>
              <w:t>产品，</w:t>
            </w:r>
            <w:r>
              <w:rPr>
                <w:rFonts w:hint="eastAsia" w:ascii="宋体" w:hAnsi="宋体" w:cs="宋体"/>
                <w:b/>
                <w:bCs w:val="0"/>
                <w:color w:val="auto"/>
                <w:sz w:val="21"/>
                <w:szCs w:val="21"/>
                <w:highlight w:val="none"/>
                <w:lang w:eastAsia="zh-CN"/>
              </w:rPr>
              <w:t>竞标</w:t>
            </w:r>
            <w:r>
              <w:rPr>
                <w:rFonts w:hint="eastAsia" w:ascii="宋体" w:hAnsi="宋体" w:cs="宋体"/>
                <w:b/>
                <w:bCs w:val="0"/>
                <w:color w:val="auto"/>
                <w:sz w:val="21"/>
                <w:szCs w:val="21"/>
                <w:highlight w:val="none"/>
              </w:rPr>
              <w:t>时须提供国家确定的认证机构出具的、处于有效期之内的有效的节能产品认证证书复印件并加盖</w:t>
            </w:r>
            <w:r>
              <w:rPr>
                <w:rFonts w:hint="eastAsia" w:ascii="宋体" w:hAnsi="宋体" w:cs="宋体"/>
                <w:b/>
                <w:bCs w:val="0"/>
                <w:color w:val="auto"/>
                <w:sz w:val="21"/>
                <w:szCs w:val="21"/>
                <w:highlight w:val="none"/>
                <w:lang w:eastAsia="zh-CN"/>
              </w:rPr>
              <w:t>竞标</w:t>
            </w:r>
            <w:r>
              <w:rPr>
                <w:rFonts w:hint="eastAsia" w:ascii="宋体" w:hAnsi="宋体" w:cs="宋体"/>
                <w:b/>
                <w:bCs w:val="0"/>
                <w:color w:val="auto"/>
                <w:sz w:val="21"/>
                <w:szCs w:val="21"/>
                <w:highlight w:val="none"/>
              </w:rPr>
              <w:t>人公章</w:t>
            </w:r>
            <w:r>
              <w:rPr>
                <w:rFonts w:hint="eastAsia" w:ascii="宋体" w:hAnsi="宋体" w:cs="宋体"/>
                <w:color w:val="auto"/>
                <w:sz w:val="21"/>
                <w:szCs w:val="21"/>
                <w:highlight w:val="none"/>
              </w:rPr>
              <w:t>。</w:t>
            </w:r>
          </w:p>
          <w:p>
            <w:pPr>
              <w:pStyle w:val="17"/>
              <w:keepNext w:val="0"/>
              <w:keepLines w:val="0"/>
              <w:suppressLineNumbers w:val="0"/>
              <w:spacing w:before="0" w:beforeAutospacing="0" w:afterAutospacing="0" w:line="264" w:lineRule="auto"/>
              <w:ind w:left="0" w:right="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5.采购货物纳入强制性产品认证（3C认证）的，</w:t>
            </w:r>
            <w:r>
              <w:rPr>
                <w:rFonts w:hint="eastAsia" w:ascii="宋体" w:hAnsi="宋体" w:cs="宋体"/>
                <w:b/>
                <w:bCs/>
                <w:color w:val="auto"/>
                <w:sz w:val="21"/>
                <w:szCs w:val="21"/>
                <w:highlight w:val="none"/>
                <w:lang w:eastAsia="zh-CN"/>
              </w:rPr>
              <w:t>竞标</w:t>
            </w:r>
            <w:r>
              <w:rPr>
                <w:rFonts w:hint="eastAsia" w:ascii="宋体" w:hAnsi="宋体" w:cs="宋体"/>
                <w:b/>
                <w:bCs/>
                <w:color w:val="auto"/>
                <w:sz w:val="21"/>
                <w:szCs w:val="21"/>
                <w:highlight w:val="none"/>
              </w:rPr>
              <w:t>人所投产品必须从其规定。</w:t>
            </w:r>
          </w:p>
          <w:p>
            <w:pPr>
              <w:keepNext w:val="0"/>
              <w:keepLines w:val="0"/>
              <w:suppressLineNumbers w:val="0"/>
              <w:spacing w:before="0" w:beforeAutospacing="0" w:after="0" w:afterAutospacing="0" w:line="264" w:lineRule="auto"/>
              <w:ind w:left="0" w:right="0"/>
              <w:rPr>
                <w:rFonts w:hint="eastAsia" w:ascii="宋体" w:hAnsi="宋体" w:cs="宋体"/>
                <w:color w:val="auto"/>
                <w:sz w:val="21"/>
                <w:szCs w:val="21"/>
                <w:highlight w:val="none"/>
                <w:shd w:val="clear" w:color="auto" w:fill="FFFFFF"/>
                <w:lang w:bidi="ar"/>
              </w:rPr>
            </w:pPr>
            <w:r>
              <w:rPr>
                <w:rFonts w:hint="eastAsia" w:ascii="宋体" w:hAnsi="宋体" w:cs="宋体"/>
                <w:color w:val="auto"/>
                <w:sz w:val="21"/>
                <w:szCs w:val="21"/>
                <w:highlight w:val="none"/>
              </w:rPr>
              <w:t>6.如</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人</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产品存在侵犯他人的知识产权或者专利成果行为的，由</w:t>
            </w:r>
            <w:r>
              <w:rPr>
                <w:rFonts w:hint="eastAsia" w:ascii="宋体" w:hAnsi="宋体" w:cs="宋体"/>
                <w:color w:val="auto"/>
                <w:sz w:val="21"/>
                <w:szCs w:val="21"/>
                <w:highlight w:val="none"/>
                <w:lang w:eastAsia="zh-CN"/>
              </w:rPr>
              <w:t>竞标</w:t>
            </w:r>
            <w:r>
              <w:rPr>
                <w:rFonts w:hint="eastAsia" w:ascii="宋体" w:hAnsi="宋体" w:cs="宋体"/>
                <w:color w:val="auto"/>
                <w:sz w:val="21"/>
                <w:szCs w:val="21"/>
                <w:highlight w:val="none"/>
              </w:rPr>
              <w:t>人自行承担相应法律责任。</w:t>
            </w:r>
          </w:p>
        </w:tc>
      </w:tr>
      <w:tr>
        <w:tblPrEx>
          <w:tblCellMar>
            <w:top w:w="0" w:type="dxa"/>
            <w:left w:w="108" w:type="dxa"/>
            <w:bottom w:w="0" w:type="dxa"/>
            <w:right w:w="108" w:type="dxa"/>
          </w:tblCellMar>
        </w:tblPrEx>
        <w:trPr>
          <w:trHeight w:val="586" w:hRule="atLeast"/>
        </w:trPr>
        <w:tc>
          <w:tcPr>
            <w:tcW w:w="10283" w:type="dxa"/>
            <w:gridSpan w:val="5"/>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00" w:lineRule="atLeast"/>
              <w:ind w:left="0" w:right="0"/>
              <w:jc w:val="left"/>
              <w:rPr>
                <w:rFonts w:hint="eastAsia" w:ascii="宋体" w:hAnsi="宋体" w:cs="宋体"/>
                <w:color w:val="auto"/>
                <w:sz w:val="21"/>
                <w:szCs w:val="21"/>
                <w:highlight w:val="none"/>
                <w:shd w:val="clear" w:color="auto" w:fill="FFFFFF"/>
                <w:lang w:bidi="ar"/>
              </w:rPr>
            </w:pPr>
            <w:r>
              <w:rPr>
                <w:rFonts w:hint="eastAsia" w:ascii="宋体" w:hAnsi="宋体" w:cs="宋体"/>
                <w:b/>
                <w:bCs/>
                <w:color w:val="auto"/>
                <w:sz w:val="21"/>
                <w:szCs w:val="21"/>
                <w:highlight w:val="none"/>
              </w:rPr>
              <w:t>可谈判内容：</w:t>
            </w:r>
            <w:r>
              <w:rPr>
                <w:rFonts w:hint="eastAsia" w:ascii="宋体" w:hAnsi="宋体" w:cs="宋体"/>
                <w:color w:val="auto"/>
                <w:sz w:val="21"/>
                <w:szCs w:val="21"/>
                <w:highlight w:val="none"/>
              </w:rPr>
              <w:t>未标明“▲”号的技术参数</w:t>
            </w:r>
            <w:r>
              <w:rPr>
                <w:rFonts w:hint="eastAsia" w:ascii="宋体" w:hAnsi="宋体" w:cs="宋体"/>
                <w:color w:val="auto"/>
                <w:sz w:val="21"/>
                <w:szCs w:val="21"/>
                <w:highlight w:val="none"/>
                <w:lang w:eastAsia="zh-CN"/>
              </w:rPr>
              <w:t>、</w:t>
            </w:r>
            <w:r>
              <w:rPr>
                <w:rFonts w:hint="eastAsia" w:ascii="Times New Roman" w:hAnsi="Times New Roman" w:cs="Times New Roman"/>
                <w:b/>
                <w:bCs/>
                <w:color w:val="auto"/>
                <w:sz w:val="21"/>
                <w:szCs w:val="21"/>
                <w:highlight w:val="none"/>
              </w:rPr>
              <w:t>商务及其他要求</w:t>
            </w:r>
            <w:r>
              <w:rPr>
                <w:rFonts w:hint="eastAsia" w:ascii="宋体" w:hAnsi="宋体" w:cs="宋体"/>
                <w:color w:val="auto"/>
                <w:sz w:val="21"/>
                <w:szCs w:val="21"/>
                <w:highlight w:val="none"/>
              </w:rPr>
              <w:t>。</w:t>
            </w:r>
          </w:p>
        </w:tc>
      </w:tr>
      <w:bookmarkEnd w:id="11"/>
      <w:bookmarkEnd w:id="12"/>
      <w:bookmarkEnd w:id="13"/>
      <w:bookmarkEnd w:id="14"/>
      <w:bookmarkEnd w:id="15"/>
      <w:bookmarkEnd w:id="16"/>
      <w:bookmarkEnd w:id="17"/>
      <w:bookmarkEnd w:id="18"/>
      <w:bookmarkEnd w:id="19"/>
    </w:tbl>
    <w:p>
      <w:pPr>
        <w:pStyle w:val="3"/>
        <w:jc w:val="center"/>
        <w:rPr>
          <w:rFonts w:hint="eastAsia"/>
          <w:color w:val="auto"/>
          <w:highlight w:val="none"/>
        </w:rPr>
      </w:pPr>
    </w:p>
    <w:p>
      <w:pPr>
        <w:pStyle w:val="3"/>
        <w:jc w:val="center"/>
        <w:rPr>
          <w:rFonts w:hint="eastAsia"/>
          <w:color w:val="auto"/>
          <w:highlight w:val="none"/>
        </w:rPr>
      </w:pPr>
    </w:p>
    <w:p>
      <w:pPr>
        <w:pStyle w:val="3"/>
        <w:jc w:val="center"/>
        <w:rPr>
          <w:rFonts w:hint="eastAsia"/>
          <w:color w:val="auto"/>
          <w:highlight w:val="none"/>
        </w:rPr>
      </w:pPr>
    </w:p>
    <w:p>
      <w:pPr>
        <w:pStyle w:val="3"/>
        <w:jc w:val="center"/>
        <w:rPr>
          <w:rFonts w:hint="eastAsia"/>
          <w:color w:val="auto"/>
          <w:highlight w:val="none"/>
        </w:rPr>
      </w:pPr>
    </w:p>
    <w:p>
      <w:pPr>
        <w:pStyle w:val="3"/>
        <w:jc w:val="center"/>
        <w:rPr>
          <w:color w:val="auto"/>
          <w:highlight w:val="none"/>
        </w:rPr>
      </w:pPr>
      <w:r>
        <w:rPr>
          <w:rFonts w:hint="eastAsia"/>
          <w:color w:val="auto"/>
          <w:highlight w:val="none"/>
        </w:rPr>
        <w:t>第四章  竞争性谈判响应文件格式</w:t>
      </w:r>
    </w:p>
    <w:p>
      <w:pPr>
        <w:spacing w:line="500" w:lineRule="exact"/>
        <w:ind w:firstLine="420" w:firstLineChars="200"/>
        <w:rPr>
          <w:rFonts w:hint="eastAsia" w:ascii="宋体" w:hAnsi="宋体"/>
          <w:color w:val="auto"/>
          <w:szCs w:val="21"/>
          <w:highlight w:val="none"/>
        </w:rPr>
      </w:pPr>
    </w:p>
    <w:p>
      <w:pPr>
        <w:pStyle w:val="3"/>
        <w:jc w:val="center"/>
        <w:rPr>
          <w:color w:val="auto"/>
          <w:highlight w:val="none"/>
        </w:rPr>
      </w:pPr>
      <w:r>
        <w:rPr>
          <w:rFonts w:hint="eastAsia" w:ascii="仿宋_GB2312" w:hAnsi="仿宋_GB2312" w:eastAsia="仿宋_GB2312"/>
          <w:b/>
          <w:color w:val="auto"/>
          <w:sz w:val="44"/>
          <w:szCs w:val="44"/>
          <w:highlight w:val="none"/>
        </w:rPr>
        <w:br w:type="page"/>
      </w:r>
      <w:bookmarkStart w:id="20" w:name="_Toc46136759"/>
    </w:p>
    <w:bookmarkEnd w:id="20"/>
    <w:p>
      <w:pPr>
        <w:pageBreakBefore/>
        <w:spacing w:line="500" w:lineRule="exact"/>
        <w:jc w:val="center"/>
        <w:rPr>
          <w:rFonts w:ascii="宋体" w:hAnsi="宋体"/>
          <w:color w:val="auto"/>
          <w:szCs w:val="21"/>
          <w:highlight w:val="none"/>
        </w:rPr>
      </w:pPr>
    </w:p>
    <w:p>
      <w:pPr>
        <w:pStyle w:val="127"/>
        <w:jc w:val="center"/>
        <w:rPr>
          <w:b/>
          <w:color w:val="auto"/>
          <w:sz w:val="28"/>
          <w:szCs w:val="28"/>
          <w:highlight w:val="none"/>
        </w:rPr>
      </w:pPr>
      <w:r>
        <w:rPr>
          <w:rFonts w:hint="eastAsia"/>
          <w:b/>
          <w:color w:val="auto"/>
          <w:sz w:val="28"/>
          <w:szCs w:val="28"/>
          <w:highlight w:val="none"/>
        </w:rPr>
        <w:t>一、 竞争性谈判响应文件封面格式</w:t>
      </w:r>
    </w:p>
    <w:p>
      <w:pPr>
        <w:spacing w:after="50" w:line="360" w:lineRule="exact"/>
        <w:rPr>
          <w:rFonts w:ascii="宋体" w:hAnsi="宋体"/>
          <w:b/>
          <w:color w:val="auto"/>
          <w:szCs w:val="21"/>
          <w:highlight w:val="none"/>
        </w:rPr>
      </w:pPr>
    </w:p>
    <w:p>
      <w:pPr>
        <w:adjustRightInd w:val="0"/>
        <w:snapToGrid w:val="0"/>
        <w:spacing w:line="360" w:lineRule="auto"/>
        <w:ind w:firstLine="642"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竞争性谈判响应文件</w:t>
      </w:r>
    </w:p>
    <w:p>
      <w:pPr>
        <w:adjustRightInd w:val="0"/>
        <w:snapToGrid w:val="0"/>
        <w:spacing w:line="360" w:lineRule="auto"/>
        <w:jc w:val="center"/>
        <w:rPr>
          <w:rFonts w:hint="eastAsia" w:ascii="宋体" w:hAnsi="宋体"/>
          <w:b/>
          <w:bCs/>
          <w:color w:val="auto"/>
          <w:sz w:val="32"/>
          <w:szCs w:val="32"/>
          <w:highlight w:val="none"/>
        </w:rPr>
      </w:pPr>
    </w:p>
    <w:p>
      <w:pPr>
        <w:adjustRightInd w:val="0"/>
        <w:snapToGrid w:val="0"/>
        <w:spacing w:line="360" w:lineRule="auto"/>
        <w:ind w:firstLine="1911" w:firstLineChars="595"/>
        <w:rPr>
          <w:rFonts w:hint="eastAsia" w:ascii="宋体" w:hAnsi="宋体"/>
          <w:b/>
          <w:bCs/>
          <w:color w:val="auto"/>
          <w:sz w:val="32"/>
          <w:szCs w:val="32"/>
          <w:highlight w:val="none"/>
        </w:rPr>
      </w:pPr>
    </w:p>
    <w:p>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pPr>
        <w:adjustRightInd w:val="0"/>
        <w:snapToGrid w:val="0"/>
        <w:spacing w:line="360" w:lineRule="auto"/>
        <w:ind w:firstLine="1911" w:firstLineChars="595"/>
        <w:rPr>
          <w:rFonts w:ascii="宋体" w:hAnsi="宋体"/>
          <w:b/>
          <w:bCs/>
          <w:color w:val="auto"/>
          <w:sz w:val="32"/>
          <w:szCs w:val="32"/>
          <w:highlight w:val="none"/>
        </w:rPr>
      </w:pPr>
    </w:p>
    <w:p>
      <w:pPr>
        <w:spacing w:line="360" w:lineRule="auto"/>
        <w:rPr>
          <w:rFonts w:hint="eastAsia" w:ascii="宋体" w:hAnsi="宋体" w:cs="宋体"/>
          <w:color w:val="auto"/>
          <w:kern w:val="0"/>
          <w:sz w:val="24"/>
          <w:highlight w:val="none"/>
        </w:rPr>
      </w:pPr>
    </w:p>
    <w:p>
      <w:pPr>
        <w:spacing w:line="360" w:lineRule="auto"/>
        <w:rPr>
          <w:rFonts w:hint="eastAsia" w:ascii="宋体" w:hAnsi="宋体" w:cs="宋体"/>
          <w:color w:val="auto"/>
          <w:kern w:val="0"/>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rPr>
          <w:rFonts w:hint="eastAsia" w:ascii="宋体" w:hAnsi="宋体"/>
          <w:b/>
          <w:bCs/>
          <w:color w:val="auto"/>
          <w:sz w:val="30"/>
          <w:szCs w:val="30"/>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rPr>
          <w:rFonts w:hint="eastAsia" w:ascii="宋体" w:hAnsi="宋体"/>
          <w:b/>
          <w:bCs/>
          <w:color w:val="auto"/>
          <w:sz w:val="30"/>
          <w:szCs w:val="30"/>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ind w:firstLine="1750"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pPr>
        <w:spacing w:line="360" w:lineRule="auto"/>
        <w:ind w:firstLine="1750"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pPr>
        <w:spacing w:line="360" w:lineRule="auto"/>
        <w:jc w:val="center"/>
        <w:rPr>
          <w:rFonts w:hint="eastAsia" w:ascii="宋体" w:hAnsi="宋体"/>
          <w:b/>
          <w:bCs/>
          <w:color w:val="auto"/>
          <w:sz w:val="32"/>
          <w:szCs w:val="32"/>
          <w:highlight w:val="none"/>
        </w:rPr>
      </w:pPr>
    </w:p>
    <w:p>
      <w:pPr>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pPr>
        <w:pageBreakBefore/>
        <w:spacing w:line="520" w:lineRule="exact"/>
        <w:ind w:firstLine="4468"/>
        <w:rPr>
          <w:rFonts w:ascii="宋体" w:hAnsi="宋体"/>
          <w:b/>
          <w:color w:val="auto"/>
          <w:sz w:val="28"/>
          <w:szCs w:val="28"/>
          <w:highlight w:val="none"/>
        </w:rPr>
      </w:pPr>
      <w:r>
        <w:rPr>
          <w:rFonts w:hint="eastAsia" w:ascii="宋体" w:hAnsi="宋体"/>
          <w:b/>
          <w:color w:val="auto"/>
          <w:sz w:val="28"/>
          <w:szCs w:val="28"/>
          <w:highlight w:val="none"/>
        </w:rPr>
        <w:t>二、附  件</w:t>
      </w:r>
    </w:p>
    <w:p>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pPr>
        <w:spacing w:line="520" w:lineRule="exact"/>
        <w:jc w:val="center"/>
        <w:rPr>
          <w:rFonts w:ascii="仿宋_GB2312" w:hAnsi="仿宋_GB2312" w:eastAsia="仿宋_GB2312"/>
          <w:b/>
          <w:color w:val="auto"/>
          <w:sz w:val="32"/>
          <w:szCs w:val="32"/>
          <w:highlight w:val="none"/>
        </w:rPr>
      </w:pPr>
      <w:r>
        <w:rPr>
          <w:rFonts w:hint="eastAsia" w:ascii="仿宋_GB2312" w:hAnsi="仿宋_GB2312" w:eastAsia="仿宋_GB2312"/>
          <w:b/>
          <w:color w:val="auto"/>
          <w:sz w:val="32"/>
          <w:szCs w:val="32"/>
          <w:highlight w:val="none"/>
        </w:rPr>
        <w:t>谈 判 书</w:t>
      </w:r>
    </w:p>
    <w:p>
      <w:pPr>
        <w:spacing w:line="520" w:lineRule="exact"/>
        <w:jc w:val="center"/>
        <w:rPr>
          <w:rFonts w:ascii="宋体" w:hAnsi="宋体"/>
          <w:b/>
          <w:color w:val="auto"/>
          <w:szCs w:val="21"/>
          <w:highlight w:val="none"/>
        </w:rPr>
      </w:pPr>
    </w:p>
    <w:p>
      <w:pPr>
        <w:pStyle w:val="22"/>
        <w:spacing w:line="520" w:lineRule="exact"/>
        <w:rPr>
          <w:color w:val="auto"/>
          <w:highlight w:val="none"/>
        </w:rPr>
      </w:pPr>
      <w:r>
        <w:rPr>
          <w:rFonts w:hint="eastAsia"/>
          <w:color w:val="auto"/>
          <w:highlight w:val="none"/>
          <w:u w:val="single"/>
        </w:rPr>
        <w:t>广西壮族自治区政府采购中心</w:t>
      </w:r>
      <w:r>
        <w:rPr>
          <w:rFonts w:hint="eastAsia"/>
          <w:color w:val="auto"/>
          <w:highlight w:val="none"/>
        </w:rPr>
        <w:t>：</w:t>
      </w:r>
    </w:p>
    <w:p>
      <w:pPr>
        <w:spacing w:line="400" w:lineRule="exact"/>
        <w:ind w:firstLine="420" w:firstLineChars="200"/>
        <w:rPr>
          <w:color w:val="auto"/>
          <w:highlight w:val="none"/>
        </w:rPr>
      </w:pPr>
      <w:r>
        <w:rPr>
          <w:rFonts w:hint="eastAsia"/>
          <w:color w:val="auto"/>
          <w:highlight w:val="none"/>
        </w:rPr>
        <w:t>依据贵方（项目名称/项目编号）项目政府采购的谈判采购文件，我方（姓名和职务）经正式授权并代表本单位（供应商名称、地址）提交下述竞争性谈判响应文件（价格文件、商务技术文件）。</w:t>
      </w:r>
    </w:p>
    <w:p>
      <w:pPr>
        <w:pStyle w:val="22"/>
        <w:spacing w:line="520" w:lineRule="exact"/>
        <w:ind w:firstLine="480"/>
        <w:rPr>
          <w:color w:val="auto"/>
          <w:highlight w:val="none"/>
        </w:rPr>
      </w:pPr>
      <w:r>
        <w:rPr>
          <w:rFonts w:hint="eastAsia"/>
          <w:color w:val="auto"/>
          <w:highlight w:val="none"/>
        </w:rPr>
        <w:t>1. 报价表；</w:t>
      </w:r>
    </w:p>
    <w:p>
      <w:pPr>
        <w:pStyle w:val="22"/>
        <w:spacing w:line="520" w:lineRule="exact"/>
        <w:ind w:firstLine="480"/>
        <w:rPr>
          <w:color w:val="auto"/>
          <w:highlight w:val="none"/>
        </w:rPr>
      </w:pPr>
      <w:r>
        <w:rPr>
          <w:rFonts w:hint="eastAsia"/>
          <w:color w:val="auto"/>
          <w:highlight w:val="none"/>
        </w:rPr>
        <w:t>2. 商务、技术响应、偏离情况说明表；</w:t>
      </w:r>
    </w:p>
    <w:p>
      <w:pPr>
        <w:pStyle w:val="22"/>
        <w:spacing w:line="520" w:lineRule="exact"/>
        <w:ind w:firstLine="480"/>
        <w:rPr>
          <w:color w:val="auto"/>
          <w:highlight w:val="none"/>
        </w:rPr>
      </w:pPr>
      <w:r>
        <w:rPr>
          <w:rFonts w:hint="eastAsia"/>
          <w:color w:val="auto"/>
          <w:highlight w:val="none"/>
        </w:rPr>
        <w:t>3. 资格证明文件；</w:t>
      </w:r>
    </w:p>
    <w:p>
      <w:pPr>
        <w:pStyle w:val="22"/>
        <w:spacing w:line="520" w:lineRule="exact"/>
        <w:ind w:firstLine="480"/>
        <w:rPr>
          <w:color w:val="auto"/>
          <w:highlight w:val="none"/>
        </w:rPr>
      </w:pPr>
      <w:r>
        <w:rPr>
          <w:rFonts w:hint="eastAsia"/>
          <w:color w:val="auto"/>
          <w:highlight w:val="none"/>
        </w:rPr>
        <w:t>4. 按竞争性谈判文件谈判供应商须知和采购需求提供的有关文件；</w:t>
      </w:r>
    </w:p>
    <w:p>
      <w:pPr>
        <w:pStyle w:val="22"/>
        <w:spacing w:line="520" w:lineRule="exact"/>
        <w:ind w:firstLine="315"/>
        <w:rPr>
          <w:color w:val="auto"/>
          <w:highlight w:val="none"/>
        </w:rPr>
      </w:pPr>
      <w:r>
        <w:rPr>
          <w:rFonts w:hint="eastAsia"/>
          <w:color w:val="auto"/>
          <w:highlight w:val="none"/>
        </w:rPr>
        <w:t>在此，授权代表宣布同意如下：</w:t>
      </w:r>
    </w:p>
    <w:p>
      <w:pPr>
        <w:pStyle w:val="22"/>
        <w:spacing w:line="520" w:lineRule="exact"/>
        <w:ind w:firstLine="525" w:firstLineChars="250"/>
        <w:rPr>
          <w:color w:val="auto"/>
          <w:highlight w:val="none"/>
        </w:rPr>
      </w:pPr>
      <w:r>
        <w:rPr>
          <w:rFonts w:hint="eastAsia"/>
          <w:color w:val="auto"/>
          <w:highlight w:val="none"/>
        </w:rPr>
        <w:t>1. 将按竞争性谈判文件的约定履行合同责任和义务；</w:t>
      </w:r>
    </w:p>
    <w:p>
      <w:pPr>
        <w:pStyle w:val="22"/>
        <w:spacing w:line="520" w:lineRule="exact"/>
        <w:ind w:firstLine="525" w:firstLineChars="250"/>
        <w:rPr>
          <w:color w:val="auto"/>
          <w:highlight w:val="none"/>
        </w:rPr>
      </w:pPr>
      <w:r>
        <w:rPr>
          <w:rFonts w:hint="eastAsia"/>
          <w:color w:val="auto"/>
          <w:highlight w:val="none"/>
        </w:rPr>
        <w:t>2. 已详细审查全部竞争性谈判文件，包括</w:t>
      </w:r>
      <w:r>
        <w:rPr>
          <w:rFonts w:hint="eastAsia"/>
          <w:color w:val="auto"/>
          <w:highlight w:val="none"/>
          <w:u w:val="single"/>
        </w:rPr>
        <w:t>（补遗文件）（如果有的话）</w:t>
      </w:r>
      <w:r>
        <w:rPr>
          <w:rFonts w:hint="eastAsia"/>
          <w:color w:val="auto"/>
          <w:highlight w:val="none"/>
        </w:rPr>
        <w:t>；</w:t>
      </w:r>
    </w:p>
    <w:p>
      <w:pPr>
        <w:pStyle w:val="22"/>
        <w:spacing w:line="520" w:lineRule="exact"/>
        <w:ind w:firstLine="525" w:firstLineChars="250"/>
        <w:rPr>
          <w:color w:val="auto"/>
          <w:highlight w:val="none"/>
        </w:rPr>
      </w:pPr>
      <w:r>
        <w:rPr>
          <w:rFonts w:hint="eastAsia"/>
          <w:color w:val="auto"/>
          <w:highlight w:val="none"/>
        </w:rPr>
        <w:t>3. 同意提供按照贵方可能要求的与其谈判有关的一切数据或资料；</w:t>
      </w:r>
    </w:p>
    <w:p>
      <w:pPr>
        <w:pStyle w:val="22"/>
        <w:spacing w:line="520" w:lineRule="exact"/>
        <w:ind w:firstLine="525" w:firstLineChars="250"/>
        <w:rPr>
          <w:color w:val="auto"/>
          <w:highlight w:val="none"/>
          <w:u w:val="single"/>
        </w:rPr>
      </w:pPr>
      <w:r>
        <w:rPr>
          <w:rFonts w:hint="eastAsia"/>
          <w:color w:val="auto"/>
          <w:highlight w:val="none"/>
        </w:rPr>
        <w:t>4. 与本谈判有关的一切正式往来信函请寄：</w:t>
      </w:r>
      <w:r>
        <w:rPr>
          <w:rFonts w:hint="eastAsia"/>
          <w:color w:val="auto"/>
          <w:highlight w:val="none"/>
          <w:u w:val="single"/>
        </w:rPr>
        <w:t xml:space="preserve">                       </w:t>
      </w:r>
    </w:p>
    <w:p>
      <w:pPr>
        <w:pStyle w:val="22"/>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pPr>
        <w:pStyle w:val="22"/>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pPr>
        <w:pStyle w:val="22"/>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22"/>
        <w:spacing w:line="520" w:lineRule="exact"/>
        <w:ind w:firstLine="840"/>
        <w:rPr>
          <w:color w:val="auto"/>
          <w:highlight w:val="none"/>
          <w:u w:val="single"/>
        </w:rPr>
      </w:pPr>
      <w:r>
        <w:rPr>
          <w:rFonts w:hint="eastAsia"/>
          <w:color w:val="auto"/>
          <w:highlight w:val="none"/>
        </w:rPr>
        <w:t>法定代表人或委托代理人（被授权人）</w:t>
      </w:r>
      <w:r>
        <w:rPr>
          <w:rFonts w:hint="default"/>
          <w:color w:val="auto"/>
          <w:highlight w:val="none"/>
          <w:lang w:val="en"/>
        </w:rPr>
        <w:t>签字或签章</w:t>
      </w:r>
      <w:r>
        <w:rPr>
          <w:rFonts w:hint="eastAsia"/>
          <w:color w:val="auto"/>
          <w:highlight w:val="none"/>
        </w:rPr>
        <w:t>：</w:t>
      </w:r>
      <w:r>
        <w:rPr>
          <w:rFonts w:hint="eastAsia"/>
          <w:color w:val="auto"/>
          <w:highlight w:val="none"/>
          <w:u w:val="single"/>
        </w:rPr>
        <w:t xml:space="preserve">                       </w:t>
      </w:r>
    </w:p>
    <w:p>
      <w:pPr>
        <w:pStyle w:val="22"/>
        <w:spacing w:line="520" w:lineRule="exact"/>
        <w:ind w:firstLine="840"/>
        <w:rPr>
          <w:color w:val="auto"/>
          <w:highlight w:val="none"/>
        </w:rPr>
      </w:pPr>
      <w:r>
        <w:rPr>
          <w:rFonts w:hint="eastAsia"/>
          <w:color w:val="auto"/>
          <w:highlight w:val="none"/>
        </w:rPr>
        <w:t>谈判供应商名称（盖章）：</w:t>
      </w:r>
      <w:r>
        <w:rPr>
          <w:rFonts w:hint="eastAsia"/>
          <w:color w:val="auto"/>
          <w:highlight w:val="none"/>
          <w:u w:val="single"/>
        </w:rPr>
        <w:t xml:space="preserve">                                    </w:t>
      </w:r>
      <w:r>
        <w:rPr>
          <w:rFonts w:hint="eastAsia"/>
          <w:color w:val="auto"/>
          <w:highlight w:val="none"/>
        </w:rPr>
        <w:t xml:space="preserve">                           </w:t>
      </w:r>
    </w:p>
    <w:p>
      <w:pPr>
        <w:pStyle w:val="22"/>
        <w:spacing w:line="520" w:lineRule="exact"/>
        <w:ind w:firstLine="840"/>
        <w:rPr>
          <w:color w:val="auto"/>
          <w:highlight w:val="none"/>
        </w:rPr>
      </w:pPr>
      <w:r>
        <w:rPr>
          <w:rFonts w:hint="eastAsia"/>
          <w:color w:val="auto"/>
          <w:highlight w:val="none"/>
        </w:rPr>
        <w:t xml:space="preserve">                     </w:t>
      </w:r>
    </w:p>
    <w:p>
      <w:pPr>
        <w:spacing w:line="500" w:lineRule="exact"/>
        <w:rPr>
          <w:rFonts w:ascii="宋体" w:hAnsi="宋体"/>
          <w:color w:val="auto"/>
          <w:szCs w:val="21"/>
          <w:highlight w:val="none"/>
        </w:rPr>
      </w:pPr>
    </w:p>
    <w:p>
      <w:pPr>
        <w:pageBreakBefore/>
        <w:spacing w:line="500" w:lineRule="exact"/>
        <w:rPr>
          <w:rFonts w:ascii="宋体" w:hAnsi="宋体"/>
          <w:color w:val="auto"/>
          <w:szCs w:val="21"/>
          <w:highlight w:val="none"/>
        </w:rPr>
      </w:pPr>
      <w:r>
        <w:rPr>
          <w:rFonts w:hint="eastAsia" w:ascii="宋体" w:hAnsi="宋体"/>
          <w:color w:val="auto"/>
          <w:szCs w:val="21"/>
          <w:highlight w:val="none"/>
        </w:rPr>
        <w:t xml:space="preserve">附件二             </w:t>
      </w:r>
    </w:p>
    <w:p>
      <w:pPr>
        <w:spacing w:line="500" w:lineRule="exact"/>
        <w:jc w:val="center"/>
        <w:rPr>
          <w:rFonts w:ascii="仿宋_GB2312" w:hAnsi="仿宋_GB2312" w:eastAsia="仿宋_GB2312"/>
          <w:b/>
          <w:color w:val="auto"/>
          <w:sz w:val="32"/>
          <w:szCs w:val="32"/>
          <w:highlight w:val="none"/>
        </w:rPr>
      </w:pPr>
    </w:p>
    <w:p>
      <w:pPr>
        <w:spacing w:line="500" w:lineRule="exact"/>
        <w:jc w:val="center"/>
        <w:rPr>
          <w:rFonts w:ascii="仿宋_GB2312" w:hAnsi="仿宋_GB2312" w:eastAsia="仿宋_GB2312"/>
          <w:b/>
          <w:color w:val="auto"/>
          <w:sz w:val="32"/>
          <w:szCs w:val="32"/>
          <w:highlight w:val="none"/>
        </w:rPr>
      </w:pPr>
      <w:r>
        <w:rPr>
          <w:rFonts w:hint="eastAsia" w:ascii="仿宋_GB2312" w:hAnsi="仿宋_GB2312" w:eastAsia="仿宋_GB2312"/>
          <w:b/>
          <w:color w:val="auto"/>
          <w:sz w:val="32"/>
          <w:szCs w:val="32"/>
          <w:highlight w:val="none"/>
        </w:rPr>
        <w:t>报  价  表</w:t>
      </w:r>
    </w:p>
    <w:p>
      <w:pPr>
        <w:spacing w:line="500" w:lineRule="exact"/>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p>
      <w:pPr>
        <w:spacing w:line="500" w:lineRule="exact"/>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500" w:lineRule="exact"/>
        <w:rPr>
          <w:rFonts w:hint="eastAsia" w:ascii="宋体" w:hAnsi="宋体"/>
          <w:b/>
          <w:color w:val="auto"/>
          <w:szCs w:val="21"/>
          <w:highlight w:val="none"/>
        </w:rPr>
      </w:pPr>
    </w:p>
    <w:tbl>
      <w:tblPr>
        <w:tblStyle w:val="41"/>
        <w:tblW w:w="0" w:type="auto"/>
        <w:tblInd w:w="0" w:type="dxa"/>
        <w:tblLayout w:type="fixed"/>
        <w:tblCellMar>
          <w:top w:w="0" w:type="dxa"/>
          <w:left w:w="108" w:type="dxa"/>
          <w:bottom w:w="0" w:type="dxa"/>
          <w:right w:w="108" w:type="dxa"/>
        </w:tblCellMar>
      </w:tblPr>
      <w:tblGrid>
        <w:gridCol w:w="456"/>
        <w:gridCol w:w="1010"/>
        <w:gridCol w:w="1266"/>
        <w:gridCol w:w="712"/>
        <w:gridCol w:w="899"/>
        <w:gridCol w:w="2711"/>
        <w:gridCol w:w="697"/>
        <w:gridCol w:w="1418"/>
        <w:gridCol w:w="995"/>
      </w:tblGrid>
      <w:tr>
        <w:tblPrEx>
          <w:tblCellMar>
            <w:top w:w="0" w:type="dxa"/>
            <w:left w:w="108" w:type="dxa"/>
            <w:bottom w:w="0" w:type="dxa"/>
            <w:right w:w="108" w:type="dxa"/>
          </w:tblCellMar>
        </w:tblPrEx>
        <w:trPr>
          <w:cantSplit/>
          <w:trHeight w:val="1688"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jc w:val="center"/>
              <w:rPr>
                <w:rFonts w:hint="default"/>
                <w:color w:val="auto"/>
                <w:spacing w:val="-29"/>
                <w:highlight w:val="none"/>
              </w:rPr>
            </w:pPr>
            <w:r>
              <w:rPr>
                <w:rFonts w:hint="eastAsia"/>
                <w:color w:val="auto"/>
                <w:spacing w:val="-29"/>
                <w:highlight w:val="none"/>
              </w:rPr>
              <w:t>序号</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货物</w:t>
            </w:r>
          </w:p>
          <w:p>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名称</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品牌、型号规格、生产厂家</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数量①</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单位</w:t>
            </w:r>
          </w:p>
        </w:tc>
        <w:tc>
          <w:tcPr>
            <w:tcW w:w="2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210" w:right="0" w:hanging="210" w:hangingChars="100"/>
              <w:rPr>
                <w:rFonts w:hint="default" w:ascii="宋体" w:hAnsi="宋体" w:cs="Times New Roman"/>
                <w:color w:val="auto"/>
                <w:szCs w:val="21"/>
                <w:highlight w:val="none"/>
              </w:rPr>
            </w:pPr>
            <w:r>
              <w:rPr>
                <w:rFonts w:hint="eastAsia" w:ascii="宋体" w:hAnsi="宋体" w:cs="Times New Roman"/>
                <w:color w:val="auto"/>
                <w:szCs w:val="21"/>
                <w:highlight w:val="none"/>
              </w:rPr>
              <w:t>技术参数及性能配置要求（材质工艺要求说明）</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单价②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单项合价</w:t>
            </w:r>
          </w:p>
          <w:p>
            <w:pPr>
              <w:pStyle w:val="22"/>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（元）</w:t>
            </w:r>
          </w:p>
          <w:p>
            <w:pPr>
              <w:pStyle w:val="22"/>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③</w:t>
            </w:r>
            <w:r>
              <w:rPr>
                <w:rFonts w:hint="default"/>
                <w:color w:val="auto"/>
                <w:highlight w:val="none"/>
              </w:rPr>
              <w:t>=</w:t>
            </w:r>
            <w:r>
              <w:rPr>
                <w:rFonts w:hint="eastAsia"/>
                <w:color w:val="auto"/>
                <w:highlight w:val="none"/>
              </w:rPr>
              <w:t>①×②</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备注</w:t>
            </w: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sz w:val="24"/>
                <w:highlight w:val="none"/>
              </w:rPr>
            </w:pPr>
            <w:r>
              <w:rPr>
                <w:rFonts w:hint="eastAsia" w:ascii="宋体" w:hAnsi="宋体" w:cs="Times New Roman"/>
                <w:color w:val="auto"/>
                <w:sz w:val="24"/>
                <w:highlight w:val="none"/>
              </w:rPr>
              <w:t>1</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2711"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spacing w:val="-10"/>
                <w:highlight w:val="none"/>
              </w:rPr>
            </w:pP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sz w:val="24"/>
                <w:highlight w:val="none"/>
              </w:rPr>
            </w:pPr>
            <w:r>
              <w:rPr>
                <w:rFonts w:hint="eastAsia" w:ascii="宋体" w:hAnsi="宋体" w:cs="Times New Roman"/>
                <w:color w:val="auto"/>
                <w:sz w:val="24"/>
                <w:highlight w:val="none"/>
              </w:rPr>
              <w:t>…</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2711"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spacing w:val="-10"/>
                <w:highlight w:val="none"/>
              </w:rPr>
            </w:pPr>
          </w:p>
        </w:tc>
      </w:tr>
      <w:tr>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sz w:val="24"/>
                <w:highlight w:val="none"/>
              </w:rPr>
            </w:pPr>
            <w:r>
              <w:rPr>
                <w:rFonts w:hint="default" w:ascii="宋体" w:hAnsi="宋体" w:cs="Times New Roman"/>
                <w:color w:val="auto"/>
                <w:sz w:val="24"/>
                <w:highlight w:val="none"/>
              </w:rPr>
              <w:t>N</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2711"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highlight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spacing w:val="-10"/>
                <w:highlight w:val="none"/>
              </w:rPr>
            </w:pPr>
          </w:p>
        </w:tc>
      </w:tr>
      <w:tr>
        <w:tblPrEx>
          <w:tblCellMar>
            <w:top w:w="0" w:type="dxa"/>
            <w:left w:w="108" w:type="dxa"/>
            <w:bottom w:w="0" w:type="dxa"/>
            <w:right w:w="108" w:type="dxa"/>
          </w:tblCellMar>
        </w:tblPrEx>
        <w:trPr>
          <w:cantSplit/>
          <w:trHeight w:val="624" w:hRule="atLeast"/>
        </w:trPr>
        <w:tc>
          <w:tcPr>
            <w:tcW w:w="10164"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spacing w:val="-10"/>
                <w:highlight w:val="none"/>
              </w:rPr>
            </w:pPr>
            <w:r>
              <w:rPr>
                <w:rFonts w:hint="eastAsia"/>
                <w:color w:val="auto"/>
                <w:spacing w:val="-10"/>
                <w:highlight w:val="none"/>
              </w:rPr>
              <w:t>总报价（人民币大写）：</w:t>
            </w:r>
            <w:r>
              <w:rPr>
                <w:rFonts w:hint="eastAsia"/>
                <w:color w:val="auto"/>
                <w:spacing w:val="-10"/>
                <w:highlight w:val="none"/>
                <w:u w:val="single"/>
              </w:rPr>
              <w:t xml:space="preserve">                                       </w:t>
            </w:r>
            <w:r>
              <w:rPr>
                <w:rFonts w:hint="eastAsia"/>
                <w:color w:val="auto"/>
                <w:spacing w:val="-10"/>
                <w:highlight w:val="none"/>
              </w:rPr>
              <w:t>（￥</w:t>
            </w:r>
            <w:r>
              <w:rPr>
                <w:rFonts w:hint="eastAsia"/>
                <w:color w:val="auto"/>
                <w:spacing w:val="-10"/>
                <w:highlight w:val="none"/>
                <w:u w:val="single"/>
              </w:rPr>
              <w:t xml:space="preserve">                       </w:t>
            </w:r>
            <w:r>
              <w:rPr>
                <w:rFonts w:hint="eastAsia"/>
                <w:color w:val="auto"/>
                <w:spacing w:val="-10"/>
                <w:highlight w:val="none"/>
              </w:rPr>
              <w:t>元）</w:t>
            </w:r>
          </w:p>
        </w:tc>
      </w:tr>
      <w:tr>
        <w:tblPrEx>
          <w:tblCellMar>
            <w:top w:w="0" w:type="dxa"/>
            <w:left w:w="108" w:type="dxa"/>
            <w:bottom w:w="0" w:type="dxa"/>
            <w:right w:w="108" w:type="dxa"/>
          </w:tblCellMar>
        </w:tblPrEx>
        <w:trPr>
          <w:cantSplit/>
          <w:trHeight w:val="624" w:hRule="atLeast"/>
        </w:trPr>
        <w:tc>
          <w:tcPr>
            <w:tcW w:w="10164"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spacing w:val="-10"/>
                <w:highlight w:val="none"/>
              </w:rPr>
            </w:pPr>
            <w:r>
              <w:rPr>
                <w:rFonts w:hint="eastAsia"/>
                <w:color w:val="auto"/>
                <w:spacing w:val="-10"/>
                <w:highlight w:val="none"/>
              </w:rPr>
              <w:t>交付使用时间：</w:t>
            </w:r>
          </w:p>
        </w:tc>
      </w:tr>
      <w:tr>
        <w:tblPrEx>
          <w:tblCellMar>
            <w:top w:w="0" w:type="dxa"/>
            <w:left w:w="108" w:type="dxa"/>
            <w:bottom w:w="0" w:type="dxa"/>
            <w:right w:w="108" w:type="dxa"/>
          </w:tblCellMar>
        </w:tblPrEx>
        <w:trPr>
          <w:cantSplit/>
          <w:trHeight w:val="624" w:hRule="atLeast"/>
        </w:trPr>
        <w:tc>
          <w:tcPr>
            <w:tcW w:w="10164"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hint="default"/>
                <w:color w:val="auto"/>
                <w:spacing w:val="-10"/>
                <w:highlight w:val="none"/>
              </w:rPr>
            </w:pPr>
            <w:r>
              <w:rPr>
                <w:rFonts w:hint="eastAsia"/>
                <w:color w:val="auto"/>
                <w:spacing w:val="-10"/>
                <w:highlight w:val="none"/>
              </w:rPr>
              <w:t>交付使用地点：</w:t>
            </w:r>
          </w:p>
        </w:tc>
      </w:tr>
    </w:tbl>
    <w:p>
      <w:pPr>
        <w:spacing w:line="500" w:lineRule="exact"/>
        <w:rPr>
          <w:rFonts w:ascii="宋体" w:hAnsi="宋体"/>
          <w:color w:val="auto"/>
          <w:szCs w:val="21"/>
          <w:highlight w:val="none"/>
        </w:rPr>
      </w:pPr>
      <w:r>
        <w:rPr>
          <w:rFonts w:hint="eastAsia" w:ascii="宋体" w:hAnsi="宋体"/>
          <w:color w:val="auto"/>
          <w:szCs w:val="21"/>
          <w:highlight w:val="none"/>
        </w:rPr>
        <w:t>注：1、所有价格均用人民币表示，单位为元，精确到个数位。</w:t>
      </w:r>
    </w:p>
    <w:p>
      <w:pPr>
        <w:spacing w:line="500" w:lineRule="exact"/>
        <w:ind w:firstLine="412"/>
        <w:rPr>
          <w:rFonts w:ascii="宋体" w:hAnsi="宋体"/>
          <w:color w:val="auto"/>
          <w:szCs w:val="21"/>
          <w:highlight w:val="none"/>
        </w:rPr>
      </w:pPr>
      <w:r>
        <w:rPr>
          <w:rFonts w:hint="eastAsia" w:ascii="宋体" w:hAnsi="宋体"/>
          <w:bCs/>
          <w:color w:val="auto"/>
          <w:highlight w:val="none"/>
        </w:rPr>
        <w:t>2、报价指货物、服务、随配附件、备品备件、工具、货物运抵指定交货地点、安装、调试的各种费用和售后服务、税金及其它所有成本、费用的总和</w:t>
      </w:r>
      <w:r>
        <w:rPr>
          <w:rFonts w:hint="eastAsia" w:ascii="宋体" w:hAnsi="宋体"/>
          <w:color w:val="auto"/>
          <w:szCs w:val="21"/>
          <w:highlight w:val="none"/>
        </w:rPr>
        <w:t>。</w:t>
      </w:r>
    </w:p>
    <w:p>
      <w:pPr>
        <w:spacing w:before="50" w:after="50" w:line="360" w:lineRule="exact"/>
        <w:ind w:firstLine="420"/>
        <w:jc w:val="left"/>
        <w:rPr>
          <w:rFonts w:ascii="宋体" w:hAnsi="宋体"/>
          <w:color w:val="auto"/>
          <w:szCs w:val="21"/>
          <w:highlight w:val="none"/>
        </w:rPr>
      </w:pPr>
      <w:r>
        <w:rPr>
          <w:rFonts w:hint="eastAsia" w:ascii="宋体" w:hAnsi="宋体"/>
          <w:color w:val="auto"/>
          <w:szCs w:val="21"/>
          <w:highlight w:val="none"/>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color w:val="auto"/>
          <w:szCs w:val="21"/>
          <w:highlight w:val="none"/>
        </w:rPr>
      </w:pPr>
      <w:r>
        <w:rPr>
          <w:rFonts w:hint="eastAsia" w:ascii="宋体" w:hAnsi="宋体"/>
          <w:color w:val="auto"/>
          <w:szCs w:val="21"/>
          <w:highlight w:val="none"/>
        </w:rPr>
        <w:t>4、报价表中的“货物名称”、“数量”、“单位”、“单价”、“单项合价”列必须填写；设备类项目“品牌、型号规格、生产厂家”列必须填写（定制产品和服务除外）。</w:t>
      </w:r>
    </w:p>
    <w:p>
      <w:pPr>
        <w:pStyle w:val="22"/>
        <w:spacing w:line="500" w:lineRule="exact"/>
        <w:ind w:firstLine="420"/>
        <w:rPr>
          <w:color w:val="auto"/>
          <w:highlight w:val="none"/>
        </w:rPr>
      </w:pPr>
    </w:p>
    <w:p>
      <w:pPr>
        <w:pStyle w:val="22"/>
        <w:spacing w:line="500" w:lineRule="exact"/>
        <w:ind w:firstLine="420"/>
        <w:rPr>
          <w:color w:val="auto"/>
          <w:highlight w:val="none"/>
          <w:u w:val="single"/>
        </w:rPr>
      </w:pPr>
      <w:r>
        <w:rPr>
          <w:rFonts w:hint="eastAsia"/>
          <w:color w:val="auto"/>
          <w:highlight w:val="none"/>
        </w:rPr>
        <w:t>法定代表人或委托代理人（</w:t>
      </w:r>
      <w:r>
        <w:rPr>
          <w:rFonts w:hint="default"/>
          <w:color w:val="auto"/>
          <w:highlight w:val="none"/>
          <w:lang w:val="en"/>
        </w:rPr>
        <w:t>签字或签章</w:t>
      </w:r>
      <w:r>
        <w:rPr>
          <w:rFonts w:hint="eastAsia"/>
          <w:color w:val="auto"/>
          <w:highlight w:val="none"/>
        </w:rPr>
        <w:t>）:</w:t>
      </w:r>
      <w:r>
        <w:rPr>
          <w:rFonts w:hint="eastAsia"/>
          <w:color w:val="auto"/>
          <w:highlight w:val="none"/>
          <w:u w:val="single"/>
        </w:rPr>
        <w:t xml:space="preserve">              </w:t>
      </w:r>
    </w:p>
    <w:p>
      <w:pPr>
        <w:pStyle w:val="22"/>
        <w:spacing w:line="500" w:lineRule="exact"/>
        <w:ind w:firstLine="420"/>
        <w:rPr>
          <w:color w:val="auto"/>
          <w:highlight w:val="none"/>
          <w:u w:val="single"/>
        </w:rPr>
      </w:pPr>
      <w:r>
        <w:rPr>
          <w:rFonts w:hint="eastAsia"/>
          <w:color w:val="auto"/>
          <w:highlight w:val="none"/>
        </w:rPr>
        <w:t>谈判供应商名称（盖章）：</w:t>
      </w:r>
      <w:r>
        <w:rPr>
          <w:rFonts w:hint="eastAsia"/>
          <w:color w:val="auto"/>
          <w:highlight w:val="none"/>
          <w:u w:val="single"/>
        </w:rPr>
        <w:t xml:space="preserve">       </w:t>
      </w:r>
    </w:p>
    <w:p>
      <w:pPr>
        <w:spacing w:line="500" w:lineRule="exact"/>
        <w:ind w:firstLine="420"/>
        <w:rPr>
          <w:rFonts w:ascii="宋体" w:hAnsi="宋体"/>
          <w:color w:val="auto"/>
          <w:szCs w:val="21"/>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pageBreakBefore/>
        <w:spacing w:line="300" w:lineRule="auto"/>
        <w:ind w:left="-91"/>
        <w:rPr>
          <w:rFonts w:ascii="宋体" w:hAnsi="宋体"/>
          <w:color w:val="auto"/>
          <w:szCs w:val="21"/>
          <w:highlight w:val="none"/>
        </w:rPr>
      </w:pPr>
      <w:r>
        <w:rPr>
          <w:rFonts w:hint="eastAsia" w:ascii="宋体" w:hAnsi="宋体"/>
          <w:color w:val="auto"/>
          <w:szCs w:val="21"/>
          <w:highlight w:val="none"/>
        </w:rPr>
        <w:t xml:space="preserve">附件三  </w:t>
      </w:r>
    </w:p>
    <w:p>
      <w:pPr>
        <w:spacing w:line="300" w:lineRule="auto"/>
        <w:rPr>
          <w:rFonts w:ascii="宋体" w:hAnsi="宋体"/>
          <w:b/>
          <w:color w:val="auto"/>
          <w:szCs w:val="21"/>
          <w:highlight w:val="none"/>
        </w:rPr>
      </w:pPr>
    </w:p>
    <w:p>
      <w:pPr>
        <w:spacing w:line="300" w:lineRule="auto"/>
        <w:jc w:val="center"/>
        <w:rPr>
          <w:rFonts w:ascii="仿宋_GB2312" w:hAnsi="仿宋_GB2312" w:eastAsia="仿宋_GB2312"/>
          <w:b/>
          <w:color w:val="auto"/>
          <w:sz w:val="32"/>
          <w:szCs w:val="32"/>
          <w:highlight w:val="none"/>
        </w:rPr>
      </w:pPr>
      <w:r>
        <w:rPr>
          <w:rFonts w:hint="eastAsia" w:ascii="仿宋_GB2312" w:hAnsi="仿宋_GB2312" w:eastAsia="仿宋_GB2312"/>
          <w:b/>
          <w:color w:val="auto"/>
          <w:sz w:val="32"/>
          <w:szCs w:val="32"/>
          <w:highlight w:val="none"/>
        </w:rPr>
        <w:t>商务、技术响应、偏离情况说明表</w:t>
      </w:r>
    </w:p>
    <w:p>
      <w:pPr>
        <w:spacing w:line="300" w:lineRule="auto"/>
        <w:rPr>
          <w:rFonts w:ascii="宋体" w:hAnsi="宋体"/>
          <w:color w:val="auto"/>
          <w:szCs w:val="21"/>
          <w:highlight w:val="none"/>
        </w:rPr>
      </w:pPr>
    </w:p>
    <w:p>
      <w:pPr>
        <w:spacing w:line="500" w:lineRule="exact"/>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41"/>
        <w:tblW w:w="0" w:type="auto"/>
        <w:tblInd w:w="0" w:type="dxa"/>
        <w:tblLayout w:type="fixed"/>
        <w:tblCellMar>
          <w:top w:w="0" w:type="dxa"/>
          <w:left w:w="108" w:type="dxa"/>
          <w:bottom w:w="0" w:type="dxa"/>
          <w:right w:w="108" w:type="dxa"/>
        </w:tblCellMar>
      </w:tblPr>
      <w:tblGrid>
        <w:gridCol w:w="705"/>
        <w:gridCol w:w="3269"/>
        <w:gridCol w:w="3429"/>
        <w:gridCol w:w="1698"/>
        <w:gridCol w:w="1581"/>
      </w:tblGrid>
      <w:tr>
        <w:tblPrEx>
          <w:tblCellMar>
            <w:top w:w="0" w:type="dxa"/>
            <w:left w:w="108" w:type="dxa"/>
            <w:bottom w:w="0" w:type="dxa"/>
            <w:right w:w="108" w:type="dxa"/>
          </w:tblCellMar>
        </w:tblPrEx>
        <w:trPr>
          <w:cantSplit/>
          <w:trHeight w:val="420" w:hRule="atLeast"/>
        </w:trPr>
        <w:tc>
          <w:tcPr>
            <w:tcW w:w="705" w:type="dxa"/>
            <w:tcBorders>
              <w:top w:val="single" w:color="000000" w:sz="4" w:space="0"/>
              <w:left w:val="single" w:color="000000"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bookmarkStart w:id="21" w:name="_Toc254970588"/>
            <w:bookmarkEnd w:id="21"/>
            <w:bookmarkStart w:id="22" w:name="_Toc173066401"/>
            <w:bookmarkEnd w:id="22"/>
            <w:bookmarkStart w:id="23" w:name="_Toc173211900"/>
            <w:bookmarkEnd w:id="23"/>
            <w:bookmarkStart w:id="24" w:name="_Toc254970729"/>
            <w:bookmarkEnd w:id="24"/>
            <w:r>
              <w:rPr>
                <w:rFonts w:hint="eastAsia" w:ascii="Times New Roman" w:hAnsi="Times New Roman" w:cs="Times New Roman"/>
                <w:color w:val="auto"/>
                <w:highlight w:val="none"/>
              </w:rPr>
              <w:t>序号</w:t>
            </w:r>
          </w:p>
        </w:tc>
        <w:tc>
          <w:tcPr>
            <w:tcW w:w="3269" w:type="dxa"/>
            <w:tcBorders>
              <w:top w:val="single" w:color="000000" w:sz="4"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bookmarkStart w:id="25" w:name="_Toc173066402"/>
            <w:bookmarkEnd w:id="25"/>
            <w:bookmarkStart w:id="26" w:name="_Toc254970589"/>
            <w:bookmarkEnd w:id="26"/>
            <w:bookmarkStart w:id="27" w:name="_Toc254970730"/>
            <w:bookmarkEnd w:id="27"/>
            <w:bookmarkStart w:id="28" w:name="_Toc173211901"/>
            <w:bookmarkEnd w:id="28"/>
            <w:r>
              <w:rPr>
                <w:rFonts w:hint="eastAsia" w:ascii="Times New Roman" w:hAnsi="Times New Roman" w:cs="Times New Roman"/>
                <w:color w:val="auto"/>
                <w:highlight w:val="none"/>
              </w:rPr>
              <w:t>竞争性谈判文件要求</w:t>
            </w:r>
          </w:p>
        </w:tc>
        <w:tc>
          <w:tcPr>
            <w:tcW w:w="3429" w:type="dxa"/>
            <w:tcBorders>
              <w:top w:val="single" w:color="000000" w:sz="4"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bookmarkStart w:id="29" w:name="_Toc254970590"/>
            <w:bookmarkEnd w:id="29"/>
            <w:bookmarkStart w:id="30" w:name="_Toc173066403"/>
            <w:bookmarkEnd w:id="30"/>
            <w:bookmarkStart w:id="31" w:name="_Toc254970731"/>
            <w:bookmarkEnd w:id="31"/>
            <w:bookmarkStart w:id="32" w:name="_Toc173211902"/>
            <w:bookmarkEnd w:id="32"/>
            <w:r>
              <w:rPr>
                <w:rFonts w:hint="eastAsia" w:ascii="Times New Roman" w:hAnsi="Times New Roman" w:cs="Times New Roman"/>
                <w:color w:val="auto"/>
                <w:highlight w:val="none"/>
              </w:rPr>
              <w:t>竞争性谈判响应文件具体响应</w:t>
            </w:r>
          </w:p>
        </w:tc>
        <w:tc>
          <w:tcPr>
            <w:tcW w:w="1698" w:type="dxa"/>
            <w:tcBorders>
              <w:top w:val="single" w:color="000000" w:sz="4"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bookmarkStart w:id="33" w:name="_Toc254970732"/>
            <w:bookmarkEnd w:id="33"/>
            <w:bookmarkStart w:id="34" w:name="_Toc173211903"/>
            <w:bookmarkEnd w:id="34"/>
            <w:bookmarkStart w:id="35" w:name="_Toc173066404"/>
            <w:bookmarkEnd w:id="35"/>
            <w:bookmarkStart w:id="36" w:name="_Toc254970591"/>
            <w:bookmarkEnd w:id="36"/>
            <w:r>
              <w:rPr>
                <w:rStyle w:val="145"/>
                <w:rFonts w:hint="eastAsia" w:ascii="宋体"/>
                <w:color w:val="auto"/>
                <w:highlight w:val="none"/>
              </w:rPr>
              <w:t>“满足”或者“负偏离”或者“正偏离”</w:t>
            </w:r>
          </w:p>
        </w:tc>
        <w:tc>
          <w:tcPr>
            <w:tcW w:w="1581" w:type="dxa"/>
            <w:tcBorders>
              <w:top w:val="single" w:color="000000" w:sz="4" w:space="0"/>
              <w:left w:val="single" w:color="000000" w:sz="6" w:space="0"/>
              <w:bottom w:val="single" w:color="000000" w:sz="6"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bookmarkStart w:id="37" w:name="_Toc173066405"/>
            <w:bookmarkEnd w:id="37"/>
            <w:bookmarkStart w:id="38" w:name="_Toc173211904"/>
            <w:bookmarkEnd w:id="38"/>
            <w:bookmarkStart w:id="39" w:name="_Toc254970733"/>
            <w:bookmarkEnd w:id="39"/>
            <w:bookmarkStart w:id="40" w:name="_Toc254970592"/>
            <w:bookmarkEnd w:id="40"/>
            <w:r>
              <w:rPr>
                <w:rFonts w:hint="eastAsia" w:ascii="Times New Roman" w:hAnsi="Times New Roman" w:cs="Times New Roman"/>
                <w:color w:val="auto"/>
                <w:highlight w:val="none"/>
              </w:rPr>
              <w:t>说明</w:t>
            </w:r>
          </w:p>
        </w:tc>
      </w:tr>
      <w:tr>
        <w:tblPrEx>
          <w:tblCellMar>
            <w:top w:w="0" w:type="dxa"/>
            <w:left w:w="108" w:type="dxa"/>
            <w:bottom w:w="0" w:type="dxa"/>
            <w:right w:w="108" w:type="dxa"/>
          </w:tblCellMar>
        </w:tblPrEx>
        <w:trPr>
          <w:cantSplit/>
          <w:trHeight w:val="420" w:hRule="atLeast"/>
        </w:trPr>
        <w:tc>
          <w:tcPr>
            <w:tcW w:w="10682" w:type="dxa"/>
            <w:gridSpan w:val="5"/>
            <w:tcBorders>
              <w:top w:val="single" w:color="000000" w:sz="6" w:space="0"/>
              <w:left w:val="single" w:color="000000" w:sz="4" w:space="0"/>
              <w:bottom w:val="single" w:color="000000" w:sz="6"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商务部分（商务及其他售后服务要求）</w:t>
            </w:r>
          </w:p>
        </w:tc>
      </w:tr>
      <w:tr>
        <w:tblPrEx>
          <w:tblCellMar>
            <w:top w:w="0" w:type="dxa"/>
            <w:left w:w="108" w:type="dxa"/>
            <w:bottom w:w="0" w:type="dxa"/>
            <w:right w:w="108" w:type="dxa"/>
          </w:tblCellMar>
        </w:tblPrEx>
        <w:trPr>
          <w:cantSplit/>
          <w:trHeight w:val="200" w:hRule="atLeast"/>
        </w:trPr>
        <w:tc>
          <w:tcPr>
            <w:tcW w:w="705" w:type="dxa"/>
            <w:tcBorders>
              <w:top w:val="single" w:color="000000" w:sz="6" w:space="0"/>
              <w:left w:val="single" w:color="000000"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bookmarkStart w:id="41" w:name="_Toc254970593"/>
            <w:bookmarkEnd w:id="41"/>
            <w:bookmarkStart w:id="42" w:name="_Toc173211905"/>
            <w:bookmarkEnd w:id="42"/>
            <w:bookmarkStart w:id="43" w:name="_Toc173066406"/>
            <w:bookmarkEnd w:id="43"/>
            <w:bookmarkStart w:id="44" w:name="_Toc254970734"/>
            <w:bookmarkEnd w:id="44"/>
            <w:r>
              <w:rPr>
                <w:rFonts w:hint="eastAsia" w:ascii="Times New Roman" w:hAnsi="Times New Roman" w:cs="Times New Roman"/>
                <w:color w:val="auto"/>
                <w:highlight w:val="none"/>
              </w:rPr>
              <w:t>1</w:t>
            </w:r>
          </w:p>
        </w:tc>
        <w:tc>
          <w:tcPr>
            <w:tcW w:w="3269"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textAlignment w:val="baseline"/>
              <w:outlineLvl w:val="0"/>
              <w:rPr>
                <w:rFonts w:hint="default" w:ascii="Times New Roman" w:hAnsi="Times New Roman" w:cs="Times New Roman"/>
                <w:color w:val="auto"/>
                <w:highlight w:val="none"/>
              </w:rPr>
            </w:pPr>
            <w:r>
              <w:rPr>
                <w:rFonts w:hint="eastAsia" w:ascii="宋体" w:hAnsi="宋体"/>
                <w:color w:val="auto"/>
                <w:highlight w:val="none"/>
              </w:rPr>
              <w:t>质保期</w:t>
            </w:r>
          </w:p>
        </w:tc>
        <w:tc>
          <w:tcPr>
            <w:tcW w:w="342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69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581" w:type="dxa"/>
            <w:tcBorders>
              <w:top w:val="single" w:color="000000" w:sz="6" w:space="0"/>
              <w:left w:val="single" w:color="000000" w:sz="6" w:space="0"/>
              <w:bottom w:val="single" w:color="000000" w:sz="6"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tblPrEx>
          <w:tblCellMar>
            <w:top w:w="0" w:type="dxa"/>
            <w:left w:w="108" w:type="dxa"/>
            <w:bottom w:w="0" w:type="dxa"/>
            <w:right w:w="108" w:type="dxa"/>
          </w:tblCellMar>
        </w:tblPrEx>
        <w:trPr>
          <w:cantSplit/>
          <w:trHeight w:val="420" w:hRule="atLeast"/>
        </w:trPr>
        <w:tc>
          <w:tcPr>
            <w:tcW w:w="705" w:type="dxa"/>
            <w:tcBorders>
              <w:top w:val="single" w:color="000000" w:sz="6" w:space="0"/>
              <w:left w:val="single" w:color="000000"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bookmarkStart w:id="45" w:name="_Toc173211906"/>
            <w:bookmarkEnd w:id="45"/>
            <w:bookmarkStart w:id="46" w:name="_Toc254970594"/>
            <w:bookmarkEnd w:id="46"/>
            <w:bookmarkStart w:id="47" w:name="_Toc254970735"/>
            <w:bookmarkEnd w:id="47"/>
            <w:bookmarkStart w:id="48" w:name="_Toc173066407"/>
            <w:bookmarkEnd w:id="48"/>
            <w:r>
              <w:rPr>
                <w:rFonts w:hint="eastAsia" w:ascii="Times New Roman" w:hAnsi="Times New Roman" w:cs="Times New Roman"/>
                <w:color w:val="auto"/>
                <w:highlight w:val="none"/>
              </w:rPr>
              <w:t>2</w:t>
            </w:r>
          </w:p>
        </w:tc>
        <w:tc>
          <w:tcPr>
            <w:tcW w:w="3269"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ind w:firstLine="420" w:firstLineChars="200"/>
              <w:jc w:val="center"/>
              <w:textAlignment w:val="baseline"/>
              <w:outlineLvl w:val="0"/>
              <w:rPr>
                <w:rFonts w:hint="default" w:ascii="Times New Roman" w:hAnsi="Times New Roman" w:cs="Times New Roman"/>
                <w:color w:val="auto"/>
                <w:highlight w:val="none"/>
              </w:rPr>
            </w:pPr>
            <w:r>
              <w:rPr>
                <w:rFonts w:hint="eastAsia" w:ascii="宋体" w:hAnsi="宋体"/>
                <w:color w:val="auto"/>
                <w:highlight w:val="none"/>
              </w:rPr>
              <w:t>交付使用时间及地点</w:t>
            </w:r>
          </w:p>
        </w:tc>
        <w:tc>
          <w:tcPr>
            <w:tcW w:w="342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69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581" w:type="dxa"/>
            <w:tcBorders>
              <w:top w:val="single" w:color="000000" w:sz="6" w:space="0"/>
              <w:left w:val="single" w:color="000000" w:sz="6" w:space="0"/>
              <w:bottom w:val="single" w:color="000000" w:sz="6"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tblPrEx>
          <w:tblCellMar>
            <w:top w:w="0" w:type="dxa"/>
            <w:left w:w="108" w:type="dxa"/>
            <w:bottom w:w="0" w:type="dxa"/>
            <w:right w:w="108" w:type="dxa"/>
          </w:tblCellMar>
        </w:tblPrEx>
        <w:trPr>
          <w:cantSplit/>
          <w:trHeight w:val="420" w:hRule="atLeast"/>
        </w:trPr>
        <w:tc>
          <w:tcPr>
            <w:tcW w:w="705" w:type="dxa"/>
            <w:tcBorders>
              <w:top w:val="single" w:color="000000" w:sz="6" w:space="0"/>
              <w:left w:val="single" w:color="000000"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bookmarkStart w:id="49" w:name="_Toc254970595"/>
            <w:bookmarkEnd w:id="49"/>
            <w:bookmarkStart w:id="50" w:name="_Toc173066408"/>
            <w:bookmarkEnd w:id="50"/>
            <w:bookmarkStart w:id="51" w:name="_Toc254970736"/>
            <w:bookmarkEnd w:id="51"/>
            <w:bookmarkStart w:id="52" w:name="_Toc173211907"/>
            <w:bookmarkEnd w:id="52"/>
            <w:r>
              <w:rPr>
                <w:rFonts w:hint="eastAsia" w:ascii="Times New Roman" w:hAnsi="Times New Roman" w:cs="Times New Roman"/>
                <w:color w:val="auto"/>
                <w:highlight w:val="none"/>
              </w:rPr>
              <w:t>3</w:t>
            </w:r>
          </w:p>
        </w:tc>
        <w:tc>
          <w:tcPr>
            <w:tcW w:w="3269"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textAlignment w:val="baseline"/>
              <w:outlineLvl w:val="0"/>
              <w:rPr>
                <w:rFonts w:hint="default" w:ascii="Times New Roman" w:hAnsi="Times New Roman" w:cs="Times New Roman"/>
                <w:color w:val="auto"/>
                <w:highlight w:val="none"/>
              </w:rPr>
            </w:pPr>
            <w:r>
              <w:rPr>
                <w:rFonts w:hint="eastAsia" w:ascii="宋体" w:hAnsi="宋体"/>
                <w:color w:val="auto"/>
                <w:highlight w:val="none"/>
              </w:rPr>
              <w:t>付款条件</w:t>
            </w:r>
          </w:p>
        </w:tc>
        <w:tc>
          <w:tcPr>
            <w:tcW w:w="342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69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581" w:type="dxa"/>
            <w:tcBorders>
              <w:top w:val="single" w:color="000000" w:sz="6" w:space="0"/>
              <w:left w:val="single" w:color="000000" w:sz="6" w:space="0"/>
              <w:bottom w:val="single" w:color="000000" w:sz="6"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tblPrEx>
          <w:tblCellMar>
            <w:top w:w="0" w:type="dxa"/>
            <w:left w:w="108" w:type="dxa"/>
            <w:bottom w:w="0" w:type="dxa"/>
            <w:right w:w="108" w:type="dxa"/>
          </w:tblCellMar>
        </w:tblPrEx>
        <w:trPr>
          <w:cantSplit/>
          <w:trHeight w:val="420" w:hRule="atLeast"/>
        </w:trPr>
        <w:tc>
          <w:tcPr>
            <w:tcW w:w="705" w:type="dxa"/>
            <w:tcBorders>
              <w:top w:val="single" w:color="000000" w:sz="6" w:space="0"/>
              <w:left w:val="single" w:color="000000"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w:t>
            </w:r>
          </w:p>
        </w:tc>
        <w:tc>
          <w:tcPr>
            <w:tcW w:w="3269"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textAlignment w:val="baseline"/>
              <w:outlineLvl w:val="0"/>
              <w:rPr>
                <w:rFonts w:hint="default" w:ascii="Times New Roman" w:hAnsi="Times New Roman" w:cs="Times New Roman"/>
                <w:color w:val="auto"/>
                <w:highlight w:val="none"/>
              </w:rPr>
            </w:pPr>
            <w:r>
              <w:rPr>
                <w:rFonts w:hint="eastAsia" w:ascii="宋体" w:hAnsi="宋体"/>
                <w:color w:val="auto"/>
                <w:highlight w:val="none"/>
              </w:rPr>
              <w:t>售后服务要求</w:t>
            </w:r>
          </w:p>
        </w:tc>
        <w:tc>
          <w:tcPr>
            <w:tcW w:w="342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69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581" w:type="dxa"/>
            <w:tcBorders>
              <w:top w:val="single" w:color="000000" w:sz="6" w:space="0"/>
              <w:left w:val="single" w:color="000000" w:sz="6" w:space="0"/>
              <w:bottom w:val="single" w:color="000000" w:sz="6"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tblPrEx>
          <w:tblCellMar>
            <w:top w:w="0" w:type="dxa"/>
            <w:left w:w="108" w:type="dxa"/>
            <w:bottom w:w="0" w:type="dxa"/>
            <w:right w:w="108" w:type="dxa"/>
          </w:tblCellMar>
        </w:tblPrEx>
        <w:trPr>
          <w:cantSplit/>
          <w:trHeight w:val="420" w:hRule="atLeast"/>
        </w:trPr>
        <w:tc>
          <w:tcPr>
            <w:tcW w:w="705" w:type="dxa"/>
            <w:tcBorders>
              <w:top w:val="single" w:color="000000" w:sz="6" w:space="0"/>
              <w:left w:val="single" w:color="000000"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w:t>
            </w:r>
          </w:p>
        </w:tc>
        <w:tc>
          <w:tcPr>
            <w:tcW w:w="326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342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69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581" w:type="dxa"/>
            <w:tcBorders>
              <w:top w:val="single" w:color="000000" w:sz="6" w:space="0"/>
              <w:left w:val="single" w:color="000000" w:sz="6" w:space="0"/>
              <w:bottom w:val="single" w:color="000000" w:sz="6"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tblPrEx>
          <w:tblCellMar>
            <w:top w:w="0" w:type="dxa"/>
            <w:left w:w="108" w:type="dxa"/>
            <w:bottom w:w="0" w:type="dxa"/>
            <w:right w:w="108" w:type="dxa"/>
          </w:tblCellMar>
        </w:tblPrEx>
        <w:trPr>
          <w:cantSplit/>
          <w:trHeight w:val="420" w:hRule="atLeast"/>
        </w:trPr>
        <w:tc>
          <w:tcPr>
            <w:tcW w:w="10682" w:type="dxa"/>
            <w:gridSpan w:val="5"/>
            <w:tcBorders>
              <w:top w:val="single" w:color="000000" w:sz="6" w:space="0"/>
              <w:left w:val="single" w:color="000000" w:sz="4" w:space="0"/>
              <w:bottom w:val="single" w:color="000000" w:sz="6"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技术部分（技术参数及性能配置要求）</w:t>
            </w:r>
          </w:p>
        </w:tc>
      </w:tr>
      <w:tr>
        <w:tblPrEx>
          <w:tblCellMar>
            <w:top w:w="0" w:type="dxa"/>
            <w:left w:w="108" w:type="dxa"/>
            <w:bottom w:w="0" w:type="dxa"/>
            <w:right w:w="108" w:type="dxa"/>
          </w:tblCellMar>
        </w:tblPrEx>
        <w:trPr>
          <w:cantSplit/>
          <w:trHeight w:val="420" w:hRule="atLeast"/>
        </w:trPr>
        <w:tc>
          <w:tcPr>
            <w:tcW w:w="705" w:type="dxa"/>
            <w:tcBorders>
              <w:top w:val="single" w:color="000000" w:sz="6" w:space="0"/>
              <w:left w:val="single" w:color="000000"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1</w:t>
            </w:r>
          </w:p>
        </w:tc>
        <w:tc>
          <w:tcPr>
            <w:tcW w:w="326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342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69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581" w:type="dxa"/>
            <w:tcBorders>
              <w:top w:val="single" w:color="000000" w:sz="6" w:space="0"/>
              <w:left w:val="single" w:color="000000" w:sz="6" w:space="0"/>
              <w:bottom w:val="single" w:color="000000" w:sz="6"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tblPrEx>
          <w:tblCellMar>
            <w:top w:w="0" w:type="dxa"/>
            <w:left w:w="108" w:type="dxa"/>
            <w:bottom w:w="0" w:type="dxa"/>
            <w:right w:w="108" w:type="dxa"/>
          </w:tblCellMar>
        </w:tblPrEx>
        <w:trPr>
          <w:cantSplit/>
          <w:trHeight w:val="420" w:hRule="atLeast"/>
        </w:trPr>
        <w:tc>
          <w:tcPr>
            <w:tcW w:w="705" w:type="dxa"/>
            <w:tcBorders>
              <w:top w:val="single" w:color="000000" w:sz="6" w:space="0"/>
              <w:left w:val="single" w:color="000000"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2</w:t>
            </w:r>
          </w:p>
        </w:tc>
        <w:tc>
          <w:tcPr>
            <w:tcW w:w="326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342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69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581" w:type="dxa"/>
            <w:tcBorders>
              <w:top w:val="single" w:color="000000" w:sz="6" w:space="0"/>
              <w:left w:val="single" w:color="000000" w:sz="6" w:space="0"/>
              <w:bottom w:val="single" w:color="000000" w:sz="6"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tblPrEx>
          <w:tblCellMar>
            <w:top w:w="0" w:type="dxa"/>
            <w:left w:w="108" w:type="dxa"/>
            <w:bottom w:w="0" w:type="dxa"/>
            <w:right w:w="108" w:type="dxa"/>
          </w:tblCellMar>
        </w:tblPrEx>
        <w:trPr>
          <w:cantSplit/>
          <w:trHeight w:val="420" w:hRule="atLeast"/>
        </w:trPr>
        <w:tc>
          <w:tcPr>
            <w:tcW w:w="705" w:type="dxa"/>
            <w:tcBorders>
              <w:top w:val="single" w:color="000000" w:sz="6" w:space="0"/>
              <w:left w:val="single" w:color="000000"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3</w:t>
            </w:r>
          </w:p>
        </w:tc>
        <w:tc>
          <w:tcPr>
            <w:tcW w:w="326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342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69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581" w:type="dxa"/>
            <w:tcBorders>
              <w:top w:val="single" w:color="000000" w:sz="6" w:space="0"/>
              <w:left w:val="single" w:color="000000" w:sz="6" w:space="0"/>
              <w:bottom w:val="single" w:color="000000" w:sz="6"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tblPrEx>
          <w:tblCellMar>
            <w:top w:w="0" w:type="dxa"/>
            <w:left w:w="108" w:type="dxa"/>
            <w:bottom w:w="0" w:type="dxa"/>
            <w:right w:w="108" w:type="dxa"/>
          </w:tblCellMar>
        </w:tblPrEx>
        <w:trPr>
          <w:trHeight w:val="190" w:hRule="atLeast"/>
        </w:trPr>
        <w:tc>
          <w:tcPr>
            <w:tcW w:w="705" w:type="dxa"/>
            <w:tcBorders>
              <w:top w:val="single" w:color="000000" w:sz="6" w:space="0"/>
              <w:left w:val="single" w:color="000000" w:sz="4" w:space="0"/>
              <w:bottom w:val="single" w:color="000000" w:sz="4"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w:t>
            </w:r>
          </w:p>
        </w:tc>
        <w:tc>
          <w:tcPr>
            <w:tcW w:w="3269" w:type="dxa"/>
            <w:tcBorders>
              <w:top w:val="single" w:color="000000" w:sz="6" w:space="0"/>
              <w:left w:val="single" w:color="000000" w:sz="6" w:space="0"/>
              <w:bottom w:val="single" w:color="000000" w:sz="4"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3429" w:type="dxa"/>
            <w:tcBorders>
              <w:top w:val="single" w:color="000000" w:sz="6" w:space="0"/>
              <w:left w:val="single" w:color="000000" w:sz="6" w:space="0"/>
              <w:bottom w:val="single" w:color="000000" w:sz="4" w:space="0"/>
              <w:right w:val="single" w:color="000000" w:sz="6"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698" w:type="dxa"/>
            <w:tcBorders>
              <w:top w:val="single" w:color="000000" w:sz="6" w:space="0"/>
              <w:left w:val="single" w:color="000000" w:sz="6"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1581" w:type="dxa"/>
            <w:tcBorders>
              <w:top w:val="single" w:color="000000" w:sz="6"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bl>
    <w:p>
      <w:pPr>
        <w:snapToGrid w:val="0"/>
        <w:spacing w:line="300" w:lineRule="exact"/>
        <w:rPr>
          <w:rStyle w:val="145"/>
          <w:rFonts w:hint="eastAsia" w:ascii="宋体" w:hAnsi="宋体"/>
          <w:color w:val="auto"/>
          <w:sz w:val="18"/>
          <w:szCs w:val="18"/>
          <w:highlight w:val="none"/>
        </w:rPr>
      </w:pPr>
      <w:r>
        <w:rPr>
          <w:rFonts w:hint="eastAsia" w:ascii="宋体" w:hAnsi="宋体"/>
          <w:color w:val="auto"/>
          <w:szCs w:val="21"/>
          <w:highlight w:val="none"/>
        </w:rPr>
        <w:t>说明：</w:t>
      </w:r>
      <w:r>
        <w:rPr>
          <w:rStyle w:val="145"/>
          <w:rFonts w:hAnsi="宋体"/>
          <w:color w:val="auto"/>
          <w:sz w:val="18"/>
          <w:szCs w:val="18"/>
          <w:highlight w:val="none"/>
        </w:rPr>
        <w:t>1</w:t>
      </w:r>
      <w:r>
        <w:rPr>
          <w:rStyle w:val="145"/>
          <w:rFonts w:hint="eastAsia" w:ascii="宋体" w:hAnsi="宋体"/>
          <w:color w:val="auto"/>
          <w:sz w:val="18"/>
          <w:szCs w:val="18"/>
          <w:highlight w:val="none"/>
        </w:rPr>
        <w:t>.</w:t>
      </w:r>
      <w:r>
        <w:rPr>
          <w:rStyle w:val="145"/>
          <w:rFonts w:ascii="宋体" w:hAnsi="宋体"/>
          <w:color w:val="auto"/>
          <w:sz w:val="18"/>
          <w:szCs w:val="18"/>
          <w:highlight w:val="none"/>
        </w:rPr>
        <w:t>应写明竞</w:t>
      </w:r>
      <w:r>
        <w:rPr>
          <w:rStyle w:val="145"/>
          <w:rFonts w:hint="eastAsia" w:ascii="宋体" w:hAnsi="宋体"/>
          <w:color w:val="auto"/>
          <w:sz w:val="18"/>
          <w:szCs w:val="18"/>
          <w:highlight w:val="none"/>
        </w:rPr>
        <w:t>争性谈判响应文件对</w:t>
      </w:r>
      <w:r>
        <w:rPr>
          <w:rStyle w:val="145"/>
          <w:rFonts w:ascii="宋体" w:hAnsi="宋体"/>
          <w:color w:val="auto"/>
          <w:sz w:val="18"/>
          <w:szCs w:val="18"/>
          <w:highlight w:val="none"/>
        </w:rPr>
        <w:t>商务与技术要求的</w:t>
      </w:r>
      <w:r>
        <w:rPr>
          <w:rStyle w:val="145"/>
          <w:rFonts w:hint="eastAsia" w:ascii="宋体" w:hAnsi="宋体"/>
          <w:color w:val="auto"/>
          <w:sz w:val="18"/>
          <w:szCs w:val="18"/>
          <w:highlight w:val="none"/>
        </w:rPr>
        <w:t>响应和偏离情况</w:t>
      </w:r>
      <w:r>
        <w:rPr>
          <w:rStyle w:val="145"/>
          <w:rFonts w:ascii="宋体" w:hAnsi="宋体"/>
          <w:color w:val="auto"/>
          <w:sz w:val="18"/>
          <w:szCs w:val="18"/>
          <w:highlight w:val="none"/>
        </w:rPr>
        <w:t>；</w:t>
      </w:r>
    </w:p>
    <w:p>
      <w:pPr>
        <w:pStyle w:val="149"/>
        <w:spacing w:line="300" w:lineRule="exact"/>
        <w:ind w:firstLine="540" w:firstLineChars="300"/>
        <w:rPr>
          <w:rStyle w:val="145"/>
          <w:rFonts w:hint="eastAsia" w:ascii="宋体" w:eastAsia="宋体"/>
          <w:color w:val="auto"/>
          <w:sz w:val="18"/>
          <w:szCs w:val="18"/>
          <w:highlight w:val="none"/>
        </w:rPr>
      </w:pPr>
      <w:r>
        <w:rPr>
          <w:rStyle w:val="145"/>
          <w:rFonts w:hint="eastAsia" w:ascii="宋体" w:eastAsia="宋体"/>
          <w:color w:val="auto"/>
          <w:sz w:val="18"/>
          <w:szCs w:val="18"/>
          <w:highlight w:val="none"/>
          <w:lang w:val="en-US" w:eastAsia="zh-CN"/>
        </w:rPr>
        <w:t xml:space="preserve"> </w:t>
      </w:r>
      <w:r>
        <w:rPr>
          <w:rStyle w:val="145"/>
          <w:rFonts w:hint="eastAsia" w:ascii="宋体" w:eastAsia="宋体"/>
          <w:color w:val="auto"/>
          <w:sz w:val="18"/>
          <w:szCs w:val="18"/>
          <w:highlight w:val="none"/>
        </w:rPr>
        <w:t>2.“主要技术参数及性能（配置）要求”中的“≥”和“≤”偏离说明，“≥”：“=”为无偏离，“＞”为正偏离；“＜”为负偏离，“≤”：“=”为无偏离，“＜”为正偏离，“＞”为负偏离。</w:t>
      </w:r>
      <w:r>
        <w:rPr>
          <w:rStyle w:val="145"/>
          <w:rFonts w:hint="eastAsia" w:ascii="宋体" w:eastAsia="宋体"/>
          <w:b/>
          <w:bCs/>
          <w:color w:val="auto"/>
          <w:sz w:val="18"/>
          <w:szCs w:val="18"/>
          <w:highlight w:val="none"/>
        </w:rPr>
        <w:t>响应时必须明确具体响应数值</w:t>
      </w:r>
      <w:r>
        <w:rPr>
          <w:rStyle w:val="145"/>
          <w:rFonts w:hint="eastAsia" w:ascii="宋体" w:eastAsia="宋体"/>
          <w:color w:val="auto"/>
          <w:sz w:val="18"/>
          <w:szCs w:val="18"/>
          <w:highlight w:val="none"/>
        </w:rPr>
        <w:t>，仅复制竞争性谈判文件要求的，将导致谈判被拒绝，响应文件作无效处理。</w:t>
      </w:r>
    </w:p>
    <w:p>
      <w:pPr>
        <w:pStyle w:val="149"/>
        <w:spacing w:line="360" w:lineRule="exact"/>
        <w:ind w:firstLine="540" w:firstLineChars="300"/>
        <w:rPr>
          <w:rStyle w:val="145"/>
          <w:rFonts w:hint="eastAsia" w:ascii="宋体" w:eastAsia="宋体"/>
          <w:color w:val="auto"/>
          <w:sz w:val="21"/>
          <w:szCs w:val="21"/>
          <w:highlight w:val="none"/>
        </w:rPr>
      </w:pPr>
      <w:r>
        <w:rPr>
          <w:rStyle w:val="145"/>
          <w:rFonts w:hint="eastAsia" w:ascii="宋体" w:eastAsia="宋体"/>
          <w:color w:val="auto"/>
          <w:sz w:val="18"/>
          <w:szCs w:val="18"/>
          <w:highlight w:val="none"/>
        </w:rPr>
        <w:t>3.必须对照竞争性谈判文件“第三章采购项目技术规格、参数及要求”，逐条列明（不允许缺项）所提供货物和服务对竞争性谈判文件的商务、技术做出的响应情况，并</w:t>
      </w:r>
      <w:r>
        <w:rPr>
          <w:rStyle w:val="145"/>
          <w:rFonts w:hint="eastAsia" w:ascii="宋体" w:eastAsia="宋体"/>
          <w:b/>
          <w:bCs/>
          <w:color w:val="auto"/>
          <w:sz w:val="18"/>
          <w:szCs w:val="18"/>
          <w:highlight w:val="none"/>
        </w:rPr>
        <w:t>逐条</w:t>
      </w:r>
      <w:r>
        <w:rPr>
          <w:rStyle w:val="145"/>
          <w:rFonts w:hint="eastAsia" w:ascii="宋体" w:eastAsia="宋体"/>
          <w:color w:val="auto"/>
          <w:sz w:val="18"/>
          <w:szCs w:val="18"/>
          <w:highlight w:val="none"/>
        </w:rPr>
        <w:t>写明对“采购项目技术规格、参数及要求”的偏离情况（如：“满足”或者“负偏离”或者“正偏离”）。谈判供应商必须提供对应的详细应答（如有“≥”或“≤”时，响应时必须明确具体响应数值）。“商务、技术响应、偏离情况说明表”中的“竞争性谈判响应文件具体响应”一栏未逐条列明或仅注明“符合”或“满足”或仅复制竞争性谈判文件要求的，将导致谈判被拒绝，响应文件作无效处理。</w:t>
      </w:r>
    </w:p>
    <w:p>
      <w:pPr>
        <w:pStyle w:val="18"/>
        <w:spacing w:line="360" w:lineRule="exact"/>
        <w:ind w:firstLine="630"/>
        <w:rPr>
          <w:rFonts w:ascii="宋体" w:hAnsi="宋体" w:eastAsia="宋体"/>
          <w:color w:val="auto"/>
          <w:sz w:val="21"/>
          <w:szCs w:val="21"/>
          <w:highlight w:val="none"/>
        </w:rPr>
      </w:pPr>
      <w:r>
        <w:rPr>
          <w:rFonts w:hint="eastAsia" w:ascii="宋体" w:hAnsi="宋体" w:eastAsia="宋体"/>
          <w:color w:val="auto"/>
          <w:sz w:val="21"/>
          <w:szCs w:val="21"/>
          <w:highlight w:val="none"/>
        </w:rPr>
        <w:t>。</w:t>
      </w:r>
    </w:p>
    <w:p>
      <w:pPr>
        <w:pStyle w:val="22"/>
        <w:spacing w:line="360" w:lineRule="exact"/>
        <w:rPr>
          <w:color w:val="auto"/>
          <w:highlight w:val="none"/>
        </w:rPr>
      </w:pPr>
    </w:p>
    <w:p>
      <w:pPr>
        <w:pStyle w:val="22"/>
        <w:spacing w:line="360" w:lineRule="exact"/>
        <w:ind w:firstLine="1470"/>
        <w:rPr>
          <w:color w:val="auto"/>
          <w:highlight w:val="none"/>
        </w:rPr>
      </w:pPr>
      <w:r>
        <w:rPr>
          <w:rFonts w:hint="eastAsia"/>
          <w:color w:val="auto"/>
          <w:highlight w:val="none"/>
        </w:rPr>
        <w:t>法定代表人或委托代理人</w:t>
      </w:r>
      <w:r>
        <w:rPr>
          <w:rFonts w:hint="default"/>
          <w:color w:val="auto"/>
          <w:highlight w:val="none"/>
          <w:lang w:val="en"/>
        </w:rPr>
        <w:t>签字或签章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pPr>
        <w:pStyle w:val="22"/>
        <w:spacing w:line="500" w:lineRule="exact"/>
        <w:ind w:firstLine="1470"/>
        <w:rPr>
          <w:color w:val="auto"/>
          <w:highlight w:val="none"/>
          <w:u w:val="single"/>
        </w:rPr>
      </w:pPr>
      <w:r>
        <w:rPr>
          <w:rFonts w:hint="eastAsia"/>
          <w:color w:val="auto"/>
          <w:highlight w:val="none"/>
        </w:rPr>
        <w:t>谈判供应商名称（盖章）：</w:t>
      </w:r>
      <w:r>
        <w:rPr>
          <w:rFonts w:hint="eastAsia"/>
          <w:color w:val="auto"/>
          <w:highlight w:val="none"/>
          <w:u w:val="single"/>
        </w:rPr>
        <w:t xml:space="preserve">                              </w:t>
      </w:r>
    </w:p>
    <w:p>
      <w:pPr>
        <w:pStyle w:val="22"/>
        <w:spacing w:line="360" w:lineRule="exact"/>
        <w:ind w:firstLine="4935"/>
        <w:rPr>
          <w:color w:val="auto"/>
          <w:highlight w:val="none"/>
          <w:u w:val="single"/>
        </w:rPr>
      </w:pPr>
    </w:p>
    <w:p>
      <w:pPr>
        <w:pStyle w:val="22"/>
        <w:spacing w:line="360" w:lineRule="exact"/>
        <w:ind w:firstLine="4935"/>
        <w:rPr>
          <w:color w:val="auto"/>
          <w:highlight w:val="none"/>
          <w:u w:val="singl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pageBreakBefore/>
        <w:spacing w:line="300" w:lineRule="auto"/>
        <w:rPr>
          <w:rFonts w:ascii="宋体" w:hAnsi="宋体"/>
          <w:color w:val="auto"/>
          <w:szCs w:val="21"/>
          <w:highlight w:val="none"/>
        </w:rPr>
      </w:pPr>
    </w:p>
    <w:p>
      <w:pPr>
        <w:spacing w:line="300" w:lineRule="auto"/>
        <w:rPr>
          <w:rFonts w:ascii="宋体" w:hAnsi="宋体"/>
          <w:color w:val="auto"/>
          <w:szCs w:val="21"/>
          <w:highlight w:val="none"/>
        </w:rPr>
      </w:pPr>
      <w:r>
        <w:rPr>
          <w:rFonts w:hint="eastAsia" w:ascii="宋体" w:hAnsi="宋体"/>
          <w:color w:val="auto"/>
          <w:szCs w:val="21"/>
          <w:highlight w:val="none"/>
        </w:rPr>
        <w:t>附件四</w:t>
      </w:r>
    </w:p>
    <w:p>
      <w:pPr>
        <w:spacing w:line="300" w:lineRule="auto"/>
        <w:jc w:val="center"/>
        <w:rPr>
          <w:rFonts w:ascii="仿宋_GB2312" w:hAnsi="仿宋_GB2312" w:eastAsia="仿宋_GB2312"/>
          <w:b/>
          <w:color w:val="auto"/>
          <w:sz w:val="32"/>
          <w:szCs w:val="32"/>
          <w:highlight w:val="none"/>
        </w:rPr>
      </w:pPr>
      <w:r>
        <w:rPr>
          <w:rFonts w:hint="eastAsia" w:ascii="仿宋_GB2312" w:hAnsi="仿宋_GB2312" w:eastAsia="仿宋_GB2312"/>
          <w:b/>
          <w:color w:val="auto"/>
          <w:sz w:val="32"/>
          <w:szCs w:val="32"/>
          <w:highlight w:val="none"/>
        </w:rPr>
        <w:t>法定代表人授权委托书</w:t>
      </w:r>
    </w:p>
    <w:p>
      <w:pPr>
        <w:spacing w:line="520" w:lineRule="exact"/>
        <w:rPr>
          <w:rFonts w:ascii="宋体" w:hAnsi="宋体"/>
          <w:color w:val="auto"/>
          <w:szCs w:val="21"/>
          <w:highlight w:val="none"/>
        </w:rPr>
      </w:pPr>
    </w:p>
    <w:p>
      <w:pPr>
        <w:spacing w:line="520" w:lineRule="exact"/>
        <w:rPr>
          <w:rFonts w:ascii="宋体" w:hAnsi="宋体"/>
          <w:color w:val="auto"/>
          <w:szCs w:val="21"/>
          <w:highlight w:val="none"/>
        </w:rPr>
      </w:pPr>
      <w:r>
        <w:rPr>
          <w:rFonts w:hint="eastAsia" w:ascii="宋体" w:hAnsi="宋体"/>
          <w:color w:val="auto"/>
          <w:szCs w:val="21"/>
          <w:highlight w:val="none"/>
          <w:u w:val="single"/>
        </w:rPr>
        <w:t>广西壮族自治区政府采购中心</w:t>
      </w:r>
      <w:r>
        <w:rPr>
          <w:rFonts w:hint="eastAsia" w:ascii="宋体" w:hAnsi="宋体"/>
          <w:color w:val="auto"/>
          <w:szCs w:val="21"/>
          <w:highlight w:val="none"/>
        </w:rPr>
        <w:t>：</w:t>
      </w:r>
    </w:p>
    <w:p>
      <w:pPr>
        <w:spacing w:line="520" w:lineRule="exact"/>
        <w:ind w:firstLine="420"/>
        <w:rPr>
          <w:rFonts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（项目名称、项目编号）竞争性谈判</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pPr>
        <w:spacing w:line="520" w:lineRule="exact"/>
        <w:rPr>
          <w:rFonts w:ascii="宋体" w:hAnsi="宋体"/>
          <w:color w:val="auto"/>
          <w:szCs w:val="21"/>
          <w:highlight w:val="none"/>
        </w:rPr>
      </w:pPr>
    </w:p>
    <w:p>
      <w:pPr>
        <w:spacing w:line="520" w:lineRule="exact"/>
        <w:rPr>
          <w:rFonts w:ascii="宋体" w:hAnsi="宋体"/>
          <w:color w:val="auto"/>
          <w:szCs w:val="21"/>
          <w:highlight w:val="none"/>
        </w:rPr>
      </w:pPr>
      <w:r>
        <w:rPr>
          <w:rFonts w:hint="eastAsia" w:ascii="宋体" w:hAnsi="宋体"/>
          <w:color w:val="auto"/>
          <w:szCs w:val="21"/>
          <w:highlight w:val="none"/>
        </w:rPr>
        <w:t>谈判供应商（盖章）：</w:t>
      </w:r>
      <w:r>
        <w:rPr>
          <w:rFonts w:hint="eastAsia" w:ascii="宋体" w:hAnsi="宋体"/>
          <w:color w:val="auto"/>
          <w:szCs w:val="21"/>
          <w:highlight w:val="none"/>
          <w:u w:val="single"/>
        </w:rPr>
        <w:t xml:space="preserve">               </w:t>
      </w:r>
    </w:p>
    <w:p>
      <w:pPr>
        <w:spacing w:line="520" w:lineRule="exact"/>
        <w:rPr>
          <w:rFonts w:ascii="宋体" w:hAnsi="宋体"/>
          <w:color w:val="auto"/>
          <w:szCs w:val="21"/>
          <w:highlight w:val="none"/>
        </w:rPr>
      </w:pPr>
      <w:r>
        <w:rPr>
          <w:rFonts w:hint="eastAsia" w:ascii="宋体" w:hAnsi="宋体"/>
          <w:color w:val="auto"/>
          <w:szCs w:val="21"/>
          <w:highlight w:val="none"/>
        </w:rPr>
        <w:t>法定代表人（签字或签章）：</w:t>
      </w:r>
      <w:r>
        <w:rPr>
          <w:rFonts w:hint="eastAsia" w:ascii="宋体" w:hAnsi="宋体"/>
          <w:color w:val="auto"/>
          <w:szCs w:val="21"/>
          <w:highlight w:val="none"/>
          <w:u w:val="single"/>
        </w:rPr>
        <w:t xml:space="preserve">       </w:t>
      </w:r>
    </w:p>
    <w:p>
      <w:pPr>
        <w:spacing w:line="520" w:lineRule="exact"/>
        <w:rPr>
          <w:rFonts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520" w:lineRule="exact"/>
        <w:rPr>
          <w:rFonts w:ascii="宋体" w:hAnsi="宋体"/>
          <w:color w:val="auto"/>
          <w:szCs w:val="21"/>
          <w:highlight w:val="none"/>
        </w:rPr>
      </w:pPr>
    </w:p>
    <w:p>
      <w:pPr>
        <w:spacing w:line="520" w:lineRule="exact"/>
        <w:rPr>
          <w:rFonts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pPr>
        <w:spacing w:line="520" w:lineRule="exact"/>
        <w:ind w:firstLine="420"/>
        <w:rPr>
          <w:rFonts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pPr>
        <w:spacing w:line="520" w:lineRule="exact"/>
        <w:ind w:firstLine="42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tbl>
      <w:tblPr>
        <w:tblStyle w:val="41"/>
        <w:tblW w:w="0" w:type="auto"/>
        <w:tblInd w:w="331" w:type="dxa"/>
        <w:tblLayout w:type="fixed"/>
        <w:tblCellMar>
          <w:top w:w="0" w:type="dxa"/>
          <w:left w:w="108" w:type="dxa"/>
          <w:bottom w:w="0" w:type="dxa"/>
          <w:right w:w="108" w:type="dxa"/>
        </w:tblCellMar>
      </w:tblPr>
      <w:tblGrid>
        <w:gridCol w:w="10351"/>
      </w:tblGrid>
      <w:tr>
        <w:tblPrEx>
          <w:tblCellMar>
            <w:top w:w="0" w:type="dxa"/>
            <w:left w:w="108" w:type="dxa"/>
            <w:bottom w:w="0" w:type="dxa"/>
            <w:right w:w="108" w:type="dxa"/>
          </w:tblCellMar>
        </w:tblPrEx>
        <w:trPr>
          <w:trHeight w:val="1869" w:hRule="atLeast"/>
        </w:trPr>
        <w:tc>
          <w:tcPr>
            <w:tcW w:w="1035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Autospacing="0" w:after="0" w:afterAutospacing="0" w:line="300" w:lineRule="auto"/>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粘贴委托代理人的正面及反面身份证复印件</w:t>
            </w:r>
          </w:p>
        </w:tc>
      </w:tr>
    </w:tbl>
    <w:p>
      <w:pPr>
        <w:spacing w:line="300" w:lineRule="auto"/>
        <w:ind w:left="480" w:hanging="480"/>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pageBreakBefore/>
        <w:spacing w:line="300" w:lineRule="auto"/>
        <w:ind w:left="420" w:hanging="420"/>
        <w:rPr>
          <w:rFonts w:ascii="宋体" w:hAnsi="宋体"/>
          <w:color w:val="auto"/>
          <w:szCs w:val="21"/>
          <w:highlight w:val="none"/>
        </w:rPr>
      </w:pPr>
      <w:r>
        <w:rPr>
          <w:rFonts w:ascii="宋体" w:hAnsi="宋体"/>
          <w:color w:val="auto"/>
          <w:szCs w:val="21"/>
          <w:highlight w:val="none"/>
        </w:rPr>
        <w:t xml:space="preserve"> </w:t>
      </w:r>
    </w:p>
    <w:p>
      <w:pPr>
        <w:spacing w:line="300" w:lineRule="auto"/>
        <w:ind w:left="420" w:hanging="420"/>
        <w:rPr>
          <w:rFonts w:ascii="宋体" w:hAnsi="宋体"/>
          <w:color w:val="auto"/>
          <w:szCs w:val="21"/>
          <w:highlight w:val="none"/>
        </w:rPr>
      </w:pPr>
      <w:r>
        <w:rPr>
          <w:rFonts w:hint="eastAsia" w:ascii="宋体" w:hAnsi="宋体"/>
          <w:color w:val="auto"/>
          <w:szCs w:val="21"/>
          <w:highlight w:val="none"/>
        </w:rPr>
        <w:t>附件五</w:t>
      </w:r>
    </w:p>
    <w:p>
      <w:pPr>
        <w:spacing w:line="360" w:lineRule="exact"/>
        <w:jc w:val="center"/>
        <w:rPr>
          <w:rFonts w:ascii="宋体" w:hAnsi="宋体" w:cs="宋体"/>
          <w:b/>
          <w:color w:val="auto"/>
          <w:sz w:val="28"/>
          <w:szCs w:val="28"/>
          <w:highlight w:val="none"/>
        </w:rPr>
      </w:pPr>
      <w:r>
        <w:rPr>
          <w:rFonts w:hint="eastAsia" w:ascii="宋体" w:hAnsi="宋体" w:cs="宋体"/>
          <w:color w:val="auto"/>
          <w:sz w:val="28"/>
          <w:szCs w:val="28"/>
          <w:highlight w:val="none"/>
        </w:rPr>
        <w:t>参加政府采购活动前三年内在经营活动中没有</w:t>
      </w:r>
      <w:r>
        <w:rPr>
          <w:rFonts w:hint="eastAsia" w:ascii="宋体" w:hAnsi="宋体" w:cs="宋体"/>
          <w:b/>
          <w:color w:val="auto"/>
          <w:sz w:val="28"/>
          <w:szCs w:val="28"/>
          <w:highlight w:val="none"/>
        </w:rPr>
        <w:t>重大违法记录的书面声明</w:t>
      </w:r>
    </w:p>
    <w:p>
      <w:pPr>
        <w:spacing w:line="360" w:lineRule="exact"/>
        <w:jc w:val="center"/>
        <w:rPr>
          <w:rFonts w:ascii="宋体" w:hAnsi="宋体"/>
          <w:color w:val="auto"/>
          <w:szCs w:val="21"/>
          <w:highlight w:val="none"/>
        </w:rPr>
      </w:pPr>
      <w:r>
        <w:rPr>
          <w:rFonts w:hint="eastAsia" w:ascii="宋体" w:hAnsi="宋体"/>
          <w:color w:val="auto"/>
          <w:szCs w:val="21"/>
          <w:highlight w:val="none"/>
        </w:rPr>
        <w:t>（格式自拟，必须提供）</w:t>
      </w:r>
    </w:p>
    <w:p>
      <w:pPr>
        <w:spacing w:line="360" w:lineRule="exact"/>
        <w:ind w:firstLine="412"/>
        <w:jc w:val="center"/>
        <w:rPr>
          <w:rFonts w:ascii="宋体" w:hAnsi="宋体"/>
          <w:color w:val="auto"/>
          <w:szCs w:val="21"/>
          <w:highlight w:val="none"/>
        </w:rPr>
      </w:pPr>
    </w:p>
    <w:p>
      <w:pPr>
        <w:pStyle w:val="22"/>
        <w:tabs>
          <w:tab w:val="left" w:pos="5580"/>
        </w:tabs>
        <w:spacing w:line="360" w:lineRule="auto"/>
        <w:ind w:left="1080" w:hanging="540"/>
        <w:rPr>
          <w:rFonts w:ascii="仿宋_GB2312" w:hAnsi="仿宋_GB2312" w:eastAsia="仿宋_GB2312"/>
          <w:color w:val="auto"/>
          <w:sz w:val="24"/>
          <w:highlight w:val="none"/>
        </w:rPr>
      </w:pPr>
    </w:p>
    <w:p>
      <w:pPr>
        <w:spacing w:line="360" w:lineRule="exact"/>
        <w:ind w:firstLine="567"/>
        <w:jc w:val="left"/>
        <w:rPr>
          <w:rFonts w:ascii="宋体" w:hAnsi="宋体" w:cs="宋体"/>
          <w:color w:val="auto"/>
          <w:szCs w:val="21"/>
          <w:highlight w:val="none"/>
        </w:rPr>
      </w:pPr>
      <w:r>
        <w:rPr>
          <w:rFonts w:hint="eastAsia" w:ascii="宋体" w:hAnsi="宋体" w:cs="宋体"/>
          <w:color w:val="auto"/>
          <w:szCs w:val="21"/>
          <w:highlight w:val="none"/>
        </w:rPr>
        <w:t>说明： 1、竞标人应按照相关法规规定如实作出声明。</w:t>
      </w:r>
    </w:p>
    <w:p>
      <w:pPr>
        <w:spacing w:line="360" w:lineRule="exact"/>
        <w:ind w:firstLine="1239"/>
        <w:jc w:val="left"/>
        <w:rPr>
          <w:rFonts w:ascii="宋体" w:hAnsi="宋体" w:cs="宋体"/>
          <w:color w:val="auto"/>
          <w:szCs w:val="21"/>
          <w:highlight w:val="none"/>
        </w:rPr>
      </w:pPr>
      <w:r>
        <w:rPr>
          <w:rFonts w:hint="eastAsia" w:ascii="宋体" w:hAnsi="宋体" w:cs="宋体"/>
          <w:color w:val="auto"/>
          <w:szCs w:val="21"/>
          <w:highlight w:val="none"/>
        </w:rPr>
        <w:t xml:space="preserve"> 2、按照采购文件的规定盖章（自然人竞标的无需盖章，需要</w:t>
      </w:r>
      <w:r>
        <w:rPr>
          <w:rFonts w:hint="default" w:ascii="宋体" w:hAnsi="宋体" w:cs="宋体"/>
          <w:color w:val="auto"/>
          <w:szCs w:val="21"/>
          <w:highlight w:val="none"/>
          <w:lang w:val="en"/>
        </w:rPr>
        <w:t>签字或签章</w:t>
      </w:r>
      <w:r>
        <w:rPr>
          <w:rFonts w:hint="eastAsia" w:ascii="宋体" w:hAnsi="宋体" w:cs="宋体"/>
          <w:color w:val="auto"/>
          <w:szCs w:val="21"/>
          <w:highlight w:val="none"/>
        </w:rPr>
        <w:t>）。</w:t>
      </w:r>
    </w:p>
    <w:p>
      <w:pPr>
        <w:spacing w:line="300" w:lineRule="auto"/>
        <w:ind w:left="420" w:hanging="420"/>
        <w:rPr>
          <w:rFonts w:hint="eastAsia" w:ascii="黑体" w:hAnsi="黑体" w:eastAsia="黑体"/>
          <w:b/>
          <w:color w:val="auto"/>
          <w:sz w:val="32"/>
          <w:szCs w:val="32"/>
          <w:highlight w:val="none"/>
        </w:rPr>
      </w:pPr>
    </w:p>
    <w:p>
      <w:pPr>
        <w:pageBreakBefore/>
        <w:spacing w:line="300" w:lineRule="auto"/>
        <w:ind w:left="420" w:hanging="420"/>
        <w:rPr>
          <w:rFonts w:ascii="宋体" w:hAnsi="宋体"/>
          <w:color w:val="auto"/>
          <w:szCs w:val="21"/>
          <w:highlight w:val="none"/>
        </w:rPr>
      </w:pPr>
    </w:p>
    <w:p>
      <w:pPr>
        <w:spacing w:line="300" w:lineRule="auto"/>
        <w:ind w:left="420" w:hanging="420"/>
        <w:rPr>
          <w:rFonts w:ascii="宋体" w:hAnsi="宋体"/>
          <w:color w:val="auto"/>
          <w:szCs w:val="21"/>
          <w:highlight w:val="none"/>
        </w:rPr>
      </w:pPr>
      <w:r>
        <w:rPr>
          <w:rFonts w:hint="eastAsia" w:ascii="宋体" w:hAnsi="宋体"/>
          <w:color w:val="auto"/>
          <w:szCs w:val="21"/>
          <w:highlight w:val="none"/>
        </w:rPr>
        <w:t>附件六</w:t>
      </w:r>
    </w:p>
    <w:p>
      <w:pPr>
        <w:pStyle w:val="91"/>
        <w:spacing w:line="506" w:lineRule="exact"/>
        <w:ind w:firstLine="0"/>
        <w:jc w:val="center"/>
        <w:rPr>
          <w:rFonts w:hint="eastAsia"/>
          <w:color w:val="auto"/>
          <w:sz w:val="21"/>
          <w:szCs w:val="21"/>
          <w:highlight w:val="none"/>
        </w:rPr>
      </w:pPr>
      <w:r>
        <w:rPr>
          <w:color w:val="auto"/>
          <w:highlight w:val="none"/>
        </w:rPr>
        <w:t>中小企业声明函</w:t>
      </w:r>
    </w:p>
    <w:p>
      <w:pPr>
        <w:pStyle w:val="91"/>
        <w:spacing w:line="506" w:lineRule="exact"/>
        <w:ind w:firstLine="640"/>
        <w:jc w:val="both"/>
        <w:rPr>
          <w:rFonts w:hint="eastAsia"/>
          <w:color w:val="auto"/>
          <w:sz w:val="21"/>
          <w:szCs w:val="21"/>
          <w:highlight w:val="none"/>
        </w:rPr>
      </w:pPr>
    </w:p>
    <w:p>
      <w:pPr>
        <w:pStyle w:val="91"/>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釆购活动,提供的货物全部由符合政策要求的中小企业制造。相关企业（含联合体中的中小企业、签订分包意向协议的中小企业）的具体情况如下</w:t>
      </w:r>
      <w:bookmarkStart w:id="53" w:name="bookmark1"/>
      <w:bookmarkEnd w:id="53"/>
      <w:r>
        <w:rPr>
          <w:rFonts w:hint="eastAsia"/>
          <w:color w:val="auto"/>
          <w:sz w:val="21"/>
          <w:szCs w:val="21"/>
          <w:highlight w:val="none"/>
        </w:rPr>
        <w:t>：</w:t>
      </w:r>
    </w:p>
    <w:p>
      <w:pPr>
        <w:pStyle w:val="91"/>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91"/>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pPr>
        <w:pStyle w:val="91"/>
        <w:spacing w:line="506" w:lineRule="exact"/>
        <w:ind w:firstLine="640"/>
        <w:jc w:val="both"/>
        <w:rPr>
          <w:color w:val="auto"/>
          <w:sz w:val="21"/>
          <w:szCs w:val="21"/>
          <w:highlight w:val="none"/>
        </w:rPr>
      </w:pPr>
      <w:r>
        <w:rPr>
          <w:rFonts w:hint="eastAsia"/>
          <w:color w:val="auto"/>
          <w:sz w:val="21"/>
          <w:szCs w:val="21"/>
          <w:highlight w:val="none"/>
        </w:rPr>
        <w:t>......</w:t>
      </w:r>
    </w:p>
    <w:p>
      <w:pPr>
        <w:pStyle w:val="91"/>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91"/>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91"/>
        <w:spacing w:after="40" w:line="499" w:lineRule="exact"/>
        <w:ind w:firstLine="640"/>
        <w:jc w:val="both"/>
        <w:rPr>
          <w:color w:val="auto"/>
          <w:sz w:val="21"/>
          <w:szCs w:val="21"/>
          <w:highlight w:val="none"/>
        </w:rPr>
      </w:pPr>
    </w:p>
    <w:p>
      <w:pPr>
        <w:pStyle w:val="91"/>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91"/>
        <w:spacing w:line="506" w:lineRule="exact"/>
        <w:ind w:firstLine="640"/>
        <w:jc w:val="both"/>
        <w:rPr>
          <w:color w:val="auto"/>
          <w:sz w:val="21"/>
          <w:szCs w:val="21"/>
          <w:highlight w:val="none"/>
        </w:rPr>
      </w:pPr>
      <w:r>
        <w:rPr>
          <w:rFonts w:hint="eastAsia"/>
          <w:color w:val="auto"/>
          <w:sz w:val="21"/>
          <w:szCs w:val="21"/>
          <w:highlight w:val="none"/>
        </w:rPr>
        <w:t xml:space="preserve">                          日期：</w:t>
      </w:r>
    </w:p>
    <w:p>
      <w:pPr>
        <w:pStyle w:val="78"/>
        <w:spacing w:after="0"/>
        <w:rPr>
          <w:rFonts w:hint="eastAsia"/>
          <w:color w:val="auto"/>
          <w:sz w:val="21"/>
          <w:szCs w:val="21"/>
          <w:highlight w:val="none"/>
        </w:rPr>
      </w:pPr>
    </w:p>
    <w:p>
      <w:pPr>
        <w:pStyle w:val="78"/>
        <w:spacing w:after="0"/>
        <w:rPr>
          <w:rFonts w:hint="eastAsia"/>
          <w:color w:val="auto"/>
          <w:highlight w:val="none"/>
        </w:rPr>
      </w:pPr>
    </w:p>
    <w:p>
      <w:pPr>
        <w:pStyle w:val="78"/>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pPr>
        <w:pStyle w:val="7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pPr>
        <w:pStyle w:val="7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pPr>
        <w:pStyle w:val="7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3、填报依据：《政府采购促进中小企业发展管理办法》（财库[2020]46号）；</w:t>
      </w:r>
    </w:p>
    <w:p>
      <w:pPr>
        <w:pStyle w:val="7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《关于印发中小企业划型标准规定的通知》（工信部联企业[2011]300号）</w:t>
      </w:r>
    </w:p>
    <w:p>
      <w:pPr>
        <w:spacing w:line="300" w:lineRule="auto"/>
        <w:ind w:left="420" w:hanging="420"/>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pageBreakBefore/>
        <w:spacing w:line="300" w:lineRule="auto"/>
        <w:ind w:left="420" w:hanging="420"/>
        <w:jc w:val="center"/>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spacing w:line="300" w:lineRule="auto"/>
        <w:ind w:left="420" w:hanging="420"/>
        <w:jc w:val="center"/>
        <w:rPr>
          <w:rFonts w:ascii="黑体" w:hAnsi="黑体" w:eastAsia="黑体"/>
          <w:b/>
          <w:color w:val="auto"/>
          <w:sz w:val="32"/>
          <w:szCs w:val="32"/>
          <w:highlight w:val="none"/>
        </w:rPr>
      </w:pPr>
    </w:p>
    <w:p>
      <w:pPr>
        <w:pStyle w:val="3"/>
        <w:jc w:val="center"/>
        <w:rPr>
          <w:color w:val="auto"/>
          <w:highlight w:val="none"/>
        </w:rPr>
      </w:pPr>
      <w:bookmarkStart w:id="54" w:name="_Toc46136760"/>
      <w:r>
        <w:rPr>
          <w:rFonts w:hint="eastAsia"/>
          <w:color w:val="auto"/>
          <w:highlight w:val="none"/>
        </w:rPr>
        <w:t>第五章  合同主要条款</w:t>
      </w:r>
      <w:bookmarkEnd w:id="54"/>
    </w:p>
    <w:p>
      <w:pPr>
        <w:pStyle w:val="22"/>
        <w:jc w:val="center"/>
        <w:rPr>
          <w:b/>
          <w:color w:val="auto"/>
          <w:sz w:val="52"/>
          <w:szCs w:val="52"/>
          <w:highlight w:val="none"/>
        </w:rPr>
      </w:pPr>
    </w:p>
    <w:p>
      <w:pPr>
        <w:pStyle w:val="22"/>
        <w:jc w:val="center"/>
        <w:rPr>
          <w:b/>
          <w:color w:val="auto"/>
          <w:sz w:val="52"/>
          <w:szCs w:val="52"/>
          <w:highlight w:val="none"/>
        </w:rPr>
      </w:pPr>
    </w:p>
    <w:p>
      <w:pPr>
        <w:pStyle w:val="22"/>
        <w:jc w:val="center"/>
        <w:rPr>
          <w:b/>
          <w:color w:val="auto"/>
          <w:sz w:val="52"/>
          <w:szCs w:val="52"/>
          <w:highlight w:val="none"/>
        </w:rPr>
      </w:pPr>
    </w:p>
    <w:p>
      <w:pPr>
        <w:pStyle w:val="22"/>
        <w:jc w:val="center"/>
        <w:rPr>
          <w:b/>
          <w:color w:val="auto"/>
          <w:sz w:val="52"/>
          <w:szCs w:val="52"/>
          <w:highlight w:val="none"/>
        </w:rPr>
      </w:pPr>
    </w:p>
    <w:p>
      <w:pPr>
        <w:pStyle w:val="22"/>
        <w:pageBreakBefore/>
        <w:jc w:val="center"/>
        <w:rPr>
          <w:b/>
          <w:color w:val="auto"/>
          <w:sz w:val="52"/>
          <w:szCs w:val="52"/>
          <w:highlight w:val="none"/>
        </w:rPr>
      </w:pPr>
    </w:p>
    <w:p>
      <w:pPr>
        <w:pStyle w:val="22"/>
        <w:jc w:val="center"/>
        <w:rPr>
          <w:b/>
          <w:color w:val="auto"/>
          <w:sz w:val="52"/>
          <w:szCs w:val="52"/>
          <w:highlight w:val="none"/>
        </w:rPr>
      </w:pPr>
    </w:p>
    <w:p>
      <w:pPr>
        <w:pStyle w:val="22"/>
        <w:jc w:val="center"/>
        <w:rPr>
          <w:b/>
          <w:color w:val="auto"/>
          <w:sz w:val="52"/>
          <w:szCs w:val="52"/>
          <w:highlight w:val="none"/>
        </w:rPr>
      </w:pPr>
      <w:r>
        <w:rPr>
          <w:rFonts w:hint="eastAsia"/>
          <w:b/>
          <w:color w:val="auto"/>
          <w:sz w:val="52"/>
          <w:szCs w:val="52"/>
          <w:highlight w:val="none"/>
        </w:rPr>
        <w:t>广西壮族自治区政府采购合同</w:t>
      </w:r>
    </w:p>
    <w:p>
      <w:pPr>
        <w:pStyle w:val="22"/>
        <w:rPr>
          <w:color w:val="auto"/>
          <w:highlight w:val="none"/>
        </w:rPr>
      </w:pPr>
    </w:p>
    <w:p>
      <w:pPr>
        <w:pStyle w:val="22"/>
        <w:rPr>
          <w:color w:val="auto"/>
          <w:highlight w:val="none"/>
        </w:rPr>
      </w:pPr>
    </w:p>
    <w:p>
      <w:pPr>
        <w:pStyle w:val="22"/>
        <w:rPr>
          <w:rFonts w:hint="eastAsia"/>
          <w:color w:val="auto"/>
          <w:highlight w:val="none"/>
        </w:rPr>
      </w:pPr>
    </w:p>
    <w:p>
      <w:pPr>
        <w:pStyle w:val="22"/>
        <w:rPr>
          <w:rFonts w:hint="eastAsia"/>
          <w:color w:val="auto"/>
          <w:highlight w:val="none"/>
        </w:rPr>
      </w:pPr>
    </w:p>
    <w:p>
      <w:pPr>
        <w:pStyle w:val="22"/>
        <w:rPr>
          <w:color w:val="auto"/>
          <w:highlight w:val="none"/>
        </w:rPr>
      </w:pPr>
    </w:p>
    <w:p>
      <w:pPr>
        <w:pStyle w:val="22"/>
        <w:rPr>
          <w:color w:val="auto"/>
          <w:highlight w:val="none"/>
        </w:rPr>
      </w:pPr>
    </w:p>
    <w:p>
      <w:pPr>
        <w:pStyle w:val="22"/>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pPr>
        <w:pStyle w:val="22"/>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pPr>
        <w:pStyle w:val="22"/>
        <w:jc w:val="center"/>
        <w:rPr>
          <w:color w:val="auto"/>
          <w:highlight w:val="none"/>
        </w:rPr>
      </w:pPr>
    </w:p>
    <w:p>
      <w:pPr>
        <w:pStyle w:val="22"/>
        <w:jc w:val="center"/>
        <w:rPr>
          <w:rFonts w:hint="eastAsia"/>
          <w:color w:val="auto"/>
          <w:highlight w:val="none"/>
        </w:rPr>
      </w:pPr>
    </w:p>
    <w:p>
      <w:pPr>
        <w:pStyle w:val="22"/>
        <w:jc w:val="center"/>
        <w:rPr>
          <w:rFonts w:hint="eastAsia"/>
          <w:color w:val="auto"/>
          <w:highlight w:val="none"/>
        </w:rPr>
      </w:pPr>
    </w:p>
    <w:p>
      <w:pPr>
        <w:pStyle w:val="22"/>
        <w:jc w:val="center"/>
        <w:rPr>
          <w:color w:val="auto"/>
          <w:highlight w:val="none"/>
        </w:rPr>
      </w:pPr>
    </w:p>
    <w:p>
      <w:pPr>
        <w:pStyle w:val="22"/>
        <w:jc w:val="center"/>
        <w:rPr>
          <w:color w:val="auto"/>
          <w:highlight w:val="none"/>
        </w:rPr>
      </w:pPr>
    </w:p>
    <w:p>
      <w:pPr>
        <w:pStyle w:val="22"/>
        <w:spacing w:line="340" w:lineRule="exact"/>
        <w:ind w:firstLine="1590"/>
        <w:rPr>
          <w:b/>
          <w:color w:val="auto"/>
          <w:sz w:val="32"/>
          <w:szCs w:val="32"/>
          <w:highlight w:val="none"/>
        </w:rPr>
      </w:pPr>
      <w:r>
        <w:rPr>
          <w:rFonts w:hint="eastAsia"/>
          <w:b/>
          <w:color w:val="auto"/>
          <w:sz w:val="32"/>
          <w:szCs w:val="32"/>
          <w:highlight w:val="none"/>
        </w:rPr>
        <w:t>采购人（甲方）</w:t>
      </w:r>
      <w:r>
        <w:rPr>
          <w:rFonts w:hint="eastAsia"/>
          <w:b/>
          <w:color w:val="auto"/>
          <w:sz w:val="32"/>
          <w:szCs w:val="32"/>
          <w:highlight w:val="none"/>
          <w:u w:val="single"/>
        </w:rPr>
        <w:t xml:space="preserve">                    </w:t>
      </w:r>
    </w:p>
    <w:p>
      <w:pPr>
        <w:pStyle w:val="22"/>
        <w:spacing w:line="340" w:lineRule="exact"/>
        <w:ind w:firstLine="1590"/>
        <w:rPr>
          <w:b/>
          <w:color w:val="auto"/>
          <w:sz w:val="32"/>
          <w:szCs w:val="32"/>
          <w:highlight w:val="none"/>
        </w:rPr>
      </w:pPr>
    </w:p>
    <w:p>
      <w:pPr>
        <w:pStyle w:val="22"/>
        <w:spacing w:line="340" w:lineRule="exact"/>
        <w:ind w:firstLine="1590"/>
        <w:rPr>
          <w:b/>
          <w:color w:val="auto"/>
          <w:sz w:val="32"/>
          <w:szCs w:val="32"/>
          <w:highlight w:val="none"/>
          <w:u w:val="single"/>
        </w:rPr>
      </w:pPr>
      <w:r>
        <w:rPr>
          <w:b/>
          <w:color w:val="auto"/>
          <w:sz w:val="32"/>
          <w:szCs w:val="32"/>
          <w:highlight w:val="none"/>
        </w:rPr>
        <w:t>住   所</w:t>
      </w:r>
      <w:r>
        <w:rPr>
          <w:rFonts w:hint="eastAsia"/>
          <w:b/>
          <w:color w:val="auto"/>
          <w:sz w:val="32"/>
          <w:szCs w:val="32"/>
          <w:highlight w:val="none"/>
        </w:rPr>
        <w:t>：</w:t>
      </w:r>
      <w:r>
        <w:rPr>
          <w:rFonts w:hint="eastAsia"/>
          <w:b/>
          <w:color w:val="auto"/>
          <w:sz w:val="32"/>
          <w:szCs w:val="32"/>
          <w:highlight w:val="none"/>
          <w:u w:val="single"/>
        </w:rPr>
        <w:t xml:space="preserve">                          </w:t>
      </w:r>
    </w:p>
    <w:p>
      <w:pPr>
        <w:pStyle w:val="22"/>
        <w:spacing w:line="340" w:lineRule="exact"/>
        <w:ind w:firstLine="1590"/>
        <w:rPr>
          <w:b/>
          <w:color w:val="auto"/>
          <w:sz w:val="32"/>
          <w:szCs w:val="32"/>
          <w:highlight w:val="none"/>
        </w:rPr>
      </w:pPr>
    </w:p>
    <w:p>
      <w:pPr>
        <w:pStyle w:val="22"/>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pPr>
        <w:pStyle w:val="22"/>
        <w:spacing w:line="340" w:lineRule="exact"/>
        <w:ind w:firstLine="1039"/>
        <w:rPr>
          <w:color w:val="auto"/>
          <w:highlight w:val="none"/>
        </w:rPr>
      </w:pPr>
      <w:r>
        <w:rPr>
          <w:rFonts w:hint="eastAsia"/>
          <w:color w:val="auto"/>
          <w:highlight w:val="none"/>
        </w:rPr>
        <w:t xml:space="preserve">     </w:t>
      </w:r>
    </w:p>
    <w:p>
      <w:pPr>
        <w:pStyle w:val="22"/>
        <w:spacing w:line="340" w:lineRule="exact"/>
        <w:ind w:firstLine="1590"/>
        <w:rPr>
          <w:b/>
          <w:color w:val="auto"/>
          <w:sz w:val="32"/>
          <w:szCs w:val="32"/>
          <w:highlight w:val="none"/>
          <w:u w:val="single"/>
        </w:rPr>
      </w:pPr>
      <w:r>
        <w:rPr>
          <w:b/>
          <w:color w:val="auto"/>
          <w:sz w:val="32"/>
          <w:szCs w:val="32"/>
          <w:highlight w:val="none"/>
        </w:rPr>
        <w:t>住   所</w:t>
      </w:r>
      <w:r>
        <w:rPr>
          <w:rFonts w:hint="eastAsia"/>
          <w:b/>
          <w:color w:val="auto"/>
          <w:sz w:val="32"/>
          <w:szCs w:val="32"/>
          <w:highlight w:val="none"/>
        </w:rPr>
        <w:t>：</w:t>
      </w:r>
      <w:r>
        <w:rPr>
          <w:rFonts w:hint="eastAsia"/>
          <w:b/>
          <w:color w:val="auto"/>
          <w:sz w:val="32"/>
          <w:szCs w:val="32"/>
          <w:highlight w:val="none"/>
          <w:u w:val="single"/>
        </w:rPr>
        <w:t xml:space="preserve">                          </w:t>
      </w:r>
    </w:p>
    <w:p>
      <w:pPr>
        <w:pStyle w:val="22"/>
        <w:rPr>
          <w:color w:val="auto"/>
          <w:highlight w:val="none"/>
        </w:rPr>
      </w:pPr>
    </w:p>
    <w:p>
      <w:pPr>
        <w:pStyle w:val="22"/>
        <w:jc w:val="center"/>
        <w:rPr>
          <w:color w:val="auto"/>
          <w:highlight w:val="none"/>
        </w:rPr>
      </w:pPr>
    </w:p>
    <w:p>
      <w:pPr>
        <w:pStyle w:val="22"/>
        <w:jc w:val="center"/>
        <w:rPr>
          <w:rFonts w:hint="eastAsia"/>
          <w:color w:val="auto"/>
          <w:highlight w:val="none"/>
        </w:rPr>
      </w:pPr>
    </w:p>
    <w:p>
      <w:pPr>
        <w:pStyle w:val="22"/>
        <w:jc w:val="center"/>
        <w:rPr>
          <w:rFonts w:hint="eastAsia"/>
          <w:color w:val="auto"/>
          <w:highlight w:val="none"/>
        </w:rPr>
      </w:pPr>
    </w:p>
    <w:p>
      <w:pPr>
        <w:pStyle w:val="22"/>
        <w:jc w:val="center"/>
        <w:rPr>
          <w:rFonts w:hint="eastAsia"/>
          <w:color w:val="auto"/>
          <w:highlight w:val="none"/>
        </w:rPr>
      </w:pPr>
    </w:p>
    <w:p>
      <w:pPr>
        <w:pStyle w:val="22"/>
        <w:jc w:val="center"/>
        <w:rPr>
          <w:color w:val="auto"/>
          <w:highlight w:val="none"/>
        </w:rPr>
      </w:pPr>
    </w:p>
    <w:p>
      <w:pPr>
        <w:pStyle w:val="22"/>
        <w:jc w:val="center"/>
        <w:rPr>
          <w:color w:val="auto"/>
          <w:highlight w:val="none"/>
        </w:rPr>
      </w:pPr>
    </w:p>
    <w:p>
      <w:pPr>
        <w:pStyle w:val="22"/>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pPr>
        <w:pStyle w:val="22"/>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pPr>
        <w:pStyle w:val="22"/>
        <w:jc w:val="center"/>
        <w:rPr>
          <w:color w:val="auto"/>
          <w:highlight w:val="none"/>
        </w:rPr>
      </w:pPr>
      <w:r>
        <w:rPr>
          <w:rFonts w:hint="eastAsia"/>
          <w:color w:val="auto"/>
          <w:highlight w:val="none"/>
        </w:rPr>
        <w:t xml:space="preserve"> </w:t>
      </w:r>
    </w:p>
    <w:p>
      <w:pPr>
        <w:pStyle w:val="22"/>
        <w:jc w:val="center"/>
        <w:rPr>
          <w:rFonts w:hint="eastAsia"/>
          <w:color w:val="auto"/>
          <w:highlight w:val="none"/>
        </w:rPr>
      </w:pPr>
    </w:p>
    <w:p>
      <w:pPr>
        <w:pStyle w:val="22"/>
        <w:jc w:val="center"/>
        <w:rPr>
          <w:rFonts w:hint="eastAsia"/>
          <w:color w:val="auto"/>
          <w:highlight w:val="none"/>
        </w:rPr>
      </w:pPr>
    </w:p>
    <w:p>
      <w:pPr>
        <w:pStyle w:val="22"/>
        <w:jc w:val="center"/>
        <w:rPr>
          <w:rFonts w:hint="eastAsia"/>
          <w:color w:val="auto"/>
          <w:highlight w:val="none"/>
        </w:rPr>
      </w:pPr>
    </w:p>
    <w:p>
      <w:pPr>
        <w:pStyle w:val="22"/>
        <w:jc w:val="center"/>
        <w:rPr>
          <w:color w:val="auto"/>
          <w:highlight w:val="none"/>
        </w:rPr>
      </w:pPr>
    </w:p>
    <w:p>
      <w:pPr>
        <w:pStyle w:val="22"/>
        <w:rPr>
          <w:color w:val="auto"/>
          <w:highlight w:val="none"/>
        </w:rPr>
      </w:pPr>
    </w:p>
    <w:p>
      <w:pPr>
        <w:pStyle w:val="22"/>
        <w:jc w:val="center"/>
        <w:rPr>
          <w:color w:val="auto"/>
          <w:highlight w:val="none"/>
        </w:rPr>
      </w:pPr>
    </w:p>
    <w:p>
      <w:pPr>
        <w:pStyle w:val="22"/>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pPr>
        <w:pStyle w:val="22"/>
        <w:jc w:val="center"/>
        <w:rPr>
          <w:color w:val="auto"/>
          <w:highlight w:val="none"/>
        </w:rPr>
      </w:pPr>
      <w:r>
        <w:rPr>
          <w:rFonts w:hint="eastAsia"/>
          <w:color w:val="auto"/>
          <w:highlight w:val="none"/>
        </w:rPr>
        <w:t>按照竞争性谈判文件规定条款和成交供应商竞争性谈判响应文件及其承诺，甲乙双方签订本合同。</w:t>
      </w:r>
    </w:p>
    <w:p>
      <w:pPr>
        <w:spacing w:line="300" w:lineRule="auto"/>
        <w:ind w:left="420" w:hanging="420"/>
        <w:jc w:val="center"/>
        <w:rPr>
          <w:rFonts w:ascii="黑体" w:hAnsi="黑体" w:eastAsia="黑体"/>
          <w:b/>
          <w:color w:val="auto"/>
          <w:sz w:val="32"/>
          <w:szCs w:val="32"/>
          <w:highlight w:val="none"/>
        </w:rPr>
      </w:pPr>
    </w:p>
    <w:p>
      <w:pPr>
        <w:pStyle w:val="25"/>
        <w:rPr>
          <w:color w:val="auto"/>
          <w:highlight w:val="none"/>
        </w:rPr>
      </w:pPr>
    </w:p>
    <w:p>
      <w:pPr>
        <w:spacing w:line="480" w:lineRule="auto"/>
        <w:jc w:val="center"/>
        <w:rPr>
          <w:rFonts w:ascii="宋体" w:hAnsi="宋体"/>
          <w:color w:val="auto"/>
          <w:szCs w:val="21"/>
          <w:highlight w:val="none"/>
        </w:rPr>
      </w:pPr>
    </w:p>
    <w:p>
      <w:pPr>
        <w:spacing w:line="300" w:lineRule="auto"/>
        <w:ind w:left="420" w:hanging="420"/>
        <w:jc w:val="center"/>
        <w:rPr>
          <w:rFonts w:hint="eastAsia" w:ascii="黑体" w:eastAsia="黑体"/>
          <w:b/>
          <w:bCs/>
          <w:color w:val="auto"/>
          <w:sz w:val="44"/>
          <w:szCs w:val="44"/>
          <w:highlight w:val="none"/>
        </w:rPr>
      </w:pPr>
      <w:r>
        <w:rPr>
          <w:rFonts w:hint="eastAsia" w:ascii="黑体" w:eastAsia="黑体"/>
          <w:b/>
          <w:color w:val="auto"/>
          <w:sz w:val="44"/>
          <w:szCs w:val="44"/>
          <w:highlight w:val="none"/>
        </w:rPr>
        <w:t>采购</w:t>
      </w:r>
      <w:r>
        <w:rPr>
          <w:rFonts w:hint="eastAsia" w:ascii="黑体" w:eastAsia="黑体"/>
          <w:b/>
          <w:bCs/>
          <w:color w:val="auto"/>
          <w:sz w:val="44"/>
          <w:szCs w:val="44"/>
          <w:highlight w:val="none"/>
        </w:rPr>
        <w:t>合同文本（格式）</w:t>
      </w:r>
    </w:p>
    <w:p>
      <w:pPr>
        <w:snapToGrid w:val="0"/>
        <w:spacing w:line="300" w:lineRule="exact"/>
        <w:jc w:val="center"/>
        <w:rPr>
          <w:rFonts w:hint="eastAsia" w:ascii="宋体"/>
          <w:b/>
          <w:bCs/>
          <w:color w:val="auto"/>
          <w:szCs w:val="21"/>
          <w:highlight w:val="none"/>
        </w:rPr>
      </w:pPr>
      <w:r>
        <w:rPr>
          <w:rFonts w:hint="eastAsia" w:ascii="宋体"/>
          <w:b/>
          <w:bCs/>
          <w:color w:val="auto"/>
          <w:szCs w:val="21"/>
          <w:highlight w:val="none"/>
        </w:rPr>
        <w:t>广西壮族自治区政府采购合同</w:t>
      </w:r>
    </w:p>
    <w:p>
      <w:pPr>
        <w:snapToGrid w:val="0"/>
        <w:spacing w:line="300" w:lineRule="exact"/>
        <w:ind w:right="480" w:firstLine="5985" w:firstLineChars="2850"/>
        <w:rPr>
          <w:rFonts w:hint="eastAsia" w:ascii="宋体"/>
          <w:bCs/>
          <w:color w:val="auto"/>
          <w:szCs w:val="21"/>
          <w:highlight w:val="none"/>
          <w:u w:val="single"/>
        </w:rPr>
      </w:pPr>
      <w:r>
        <w:rPr>
          <w:rFonts w:hint="eastAsia" w:ascii="宋体"/>
          <w:bCs/>
          <w:color w:val="auto"/>
          <w:szCs w:val="21"/>
          <w:highlight w:val="none"/>
        </w:rPr>
        <w:t>合同编号：</w:t>
      </w:r>
    </w:p>
    <w:p>
      <w:pPr>
        <w:snapToGrid w:val="0"/>
        <w:spacing w:line="360" w:lineRule="exact"/>
        <w:rPr>
          <w:rFonts w:hint="eastAsia" w:ascii="宋体"/>
          <w:color w:val="auto"/>
          <w:szCs w:val="21"/>
          <w:highlight w:val="none"/>
        </w:rPr>
      </w:pPr>
    </w:p>
    <w:p>
      <w:pPr>
        <w:snapToGrid w:val="0"/>
        <w:spacing w:line="360" w:lineRule="exact"/>
        <w:rPr>
          <w:rFonts w:hint="eastAsia" w:ascii="宋体"/>
          <w:color w:val="auto"/>
          <w:szCs w:val="21"/>
          <w:highlight w:val="none"/>
          <w:u w:val="single"/>
        </w:rPr>
      </w:pPr>
      <w:r>
        <w:rPr>
          <w:rFonts w:hint="eastAsia" w:ascii="宋体"/>
          <w:color w:val="auto"/>
          <w:szCs w:val="21"/>
          <w:highlight w:val="none"/>
        </w:rPr>
        <w:t>采购单位（甲方）</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ascii="宋体"/>
          <w:color w:val="auto"/>
          <w:spacing w:val="-20"/>
          <w:szCs w:val="21"/>
          <w:highlight w:val="none"/>
        </w:rPr>
        <w:t>采 购 计 划 号</w:t>
      </w:r>
      <w:r>
        <w:rPr>
          <w:rFonts w:hint="eastAsia" w:ascii="宋体"/>
          <w:color w:val="auto"/>
          <w:szCs w:val="21"/>
          <w:highlight w:val="none"/>
          <w:u w:val="single"/>
        </w:rPr>
        <w:t xml:space="preserve">                              </w:t>
      </w:r>
    </w:p>
    <w:p>
      <w:pPr>
        <w:snapToGrid w:val="0"/>
        <w:spacing w:line="360" w:lineRule="exact"/>
        <w:rPr>
          <w:rFonts w:hint="eastAsia" w:ascii="宋体"/>
          <w:color w:val="auto"/>
          <w:szCs w:val="21"/>
          <w:highlight w:val="none"/>
        </w:rPr>
      </w:pPr>
    </w:p>
    <w:p>
      <w:pPr>
        <w:snapToGrid w:val="0"/>
        <w:spacing w:line="360" w:lineRule="exact"/>
        <w:rPr>
          <w:rFonts w:hint="eastAsia" w:ascii="宋体"/>
          <w:color w:val="auto"/>
          <w:szCs w:val="21"/>
          <w:highlight w:val="none"/>
          <w:u w:val="single"/>
        </w:rPr>
      </w:pPr>
      <w:r>
        <w:rPr>
          <w:rFonts w:hint="eastAsia" w:ascii="宋体"/>
          <w:color w:val="auto"/>
          <w:szCs w:val="21"/>
          <w:highlight w:val="none"/>
        </w:rPr>
        <w:t>供 应 商（乙方）</w:t>
      </w:r>
      <w:r>
        <w:rPr>
          <w:rFonts w:hint="eastAsia" w:ascii="宋体"/>
          <w:color w:val="auto"/>
          <w:szCs w:val="21"/>
          <w:highlight w:val="none"/>
          <w:u w:val="single"/>
        </w:rPr>
        <w:t xml:space="preserve">                          </w:t>
      </w:r>
      <w:r>
        <w:rPr>
          <w:rFonts w:hint="eastAsia" w:ascii="宋体"/>
          <w:color w:val="auto"/>
          <w:szCs w:val="21"/>
          <w:highlight w:val="none"/>
        </w:rPr>
        <w:t xml:space="preserve">  项目名称</w:t>
      </w:r>
      <w:r>
        <w:rPr>
          <w:rFonts w:hint="eastAsia" w:ascii="宋体"/>
          <w:color w:val="auto"/>
          <w:spacing w:val="-20"/>
          <w:szCs w:val="21"/>
          <w:highlight w:val="none"/>
        </w:rPr>
        <w:t>编号</w:t>
      </w:r>
      <w:r>
        <w:rPr>
          <w:rFonts w:hint="eastAsia" w:ascii="宋体"/>
          <w:color w:val="auto"/>
          <w:szCs w:val="21"/>
          <w:highlight w:val="none"/>
          <w:u w:val="single"/>
        </w:rPr>
        <w:t xml:space="preserve">                             </w:t>
      </w:r>
    </w:p>
    <w:p>
      <w:pPr>
        <w:snapToGrid w:val="0"/>
        <w:spacing w:line="360" w:lineRule="exact"/>
        <w:rPr>
          <w:rFonts w:hint="eastAsia" w:ascii="宋体"/>
          <w:color w:val="auto"/>
          <w:szCs w:val="21"/>
          <w:highlight w:val="none"/>
          <w:u w:val="single"/>
        </w:rPr>
      </w:pPr>
      <w:r>
        <w:rPr>
          <w:rFonts w:hint="eastAsia" w:ascii="宋体"/>
          <w:color w:val="auto"/>
          <w:szCs w:val="21"/>
          <w:highlight w:val="none"/>
        </w:rPr>
        <w:t xml:space="preserve">签  订  地  点  </w:t>
      </w:r>
      <w:r>
        <w:rPr>
          <w:rFonts w:hint="eastAsia" w:ascii="宋体"/>
          <w:color w:val="auto"/>
          <w:szCs w:val="21"/>
          <w:highlight w:val="none"/>
          <w:u w:val="single"/>
        </w:rPr>
        <w:t xml:space="preserve">                          </w:t>
      </w:r>
      <w:r>
        <w:rPr>
          <w:rFonts w:hint="eastAsia" w:ascii="宋体"/>
          <w:color w:val="auto"/>
          <w:szCs w:val="21"/>
          <w:highlight w:val="none"/>
        </w:rPr>
        <w:t xml:space="preserve">  签 订 时 间</w:t>
      </w:r>
      <w:r>
        <w:rPr>
          <w:rFonts w:hint="eastAsia" w:ascii="宋体"/>
          <w:color w:val="auto"/>
          <w:szCs w:val="21"/>
          <w:highlight w:val="none"/>
          <w:u w:val="single"/>
        </w:rPr>
        <w:t xml:space="preserve">                              </w:t>
      </w:r>
    </w:p>
    <w:p>
      <w:pPr>
        <w:snapToGrid w:val="0"/>
        <w:spacing w:line="360" w:lineRule="exact"/>
        <w:ind w:firstLine="420" w:firstLineChars="200"/>
        <w:rPr>
          <w:rFonts w:hint="eastAsia" w:ascii="宋体"/>
          <w:color w:val="auto"/>
          <w:szCs w:val="21"/>
          <w:highlight w:val="none"/>
        </w:rPr>
      </w:pPr>
    </w:p>
    <w:p>
      <w:pPr>
        <w:pStyle w:val="22"/>
        <w:spacing w:line="360" w:lineRule="exact"/>
        <w:ind w:firstLine="420" w:firstLineChars="200"/>
        <w:rPr>
          <w:rFonts w:hint="eastAsia"/>
          <w:color w:val="auto"/>
          <w:highlight w:val="none"/>
        </w:rPr>
      </w:pPr>
      <w:r>
        <w:rPr>
          <w:rFonts w:hint="eastAsia"/>
          <w:color w:val="auto"/>
          <w:highlight w:val="none"/>
        </w:rPr>
        <w:t>根据《中华人民共和国政府采购法》、《中华人民共和国民法典》等法律、法规规定，按照招标文件规定条款和</w:t>
      </w:r>
      <w:r>
        <w:rPr>
          <w:rFonts w:hint="eastAsia"/>
          <w:color w:val="auto"/>
          <w:highlight w:val="none"/>
          <w:lang w:eastAsia="zh-CN"/>
        </w:rPr>
        <w:t>成交</w:t>
      </w:r>
      <w:r>
        <w:rPr>
          <w:rFonts w:hint="eastAsia"/>
          <w:color w:val="auto"/>
          <w:highlight w:val="none"/>
        </w:rPr>
        <w:t>供应商投标文件及其承诺，甲乙双方签订本合同。</w:t>
      </w:r>
    </w:p>
    <w:p>
      <w:pPr>
        <w:snapToGrid w:val="0"/>
        <w:spacing w:line="360" w:lineRule="exact"/>
        <w:ind w:firstLine="421" w:firstLineChars="200"/>
        <w:rPr>
          <w:rFonts w:hint="eastAsia" w:ascii="宋体"/>
          <w:b/>
          <w:color w:val="auto"/>
          <w:szCs w:val="21"/>
          <w:highlight w:val="none"/>
        </w:rPr>
      </w:pPr>
      <w:r>
        <w:rPr>
          <w:rFonts w:hint="eastAsia" w:ascii="宋体"/>
          <w:b/>
          <w:color w:val="auto"/>
          <w:szCs w:val="21"/>
          <w:highlight w:val="none"/>
        </w:rPr>
        <w:t>第一条　合同标的</w:t>
      </w:r>
    </w:p>
    <w:p>
      <w:pPr>
        <w:snapToGrid w:val="0"/>
        <w:spacing w:line="360" w:lineRule="exact"/>
        <w:ind w:firstLine="420" w:firstLineChars="200"/>
        <w:rPr>
          <w:rFonts w:hint="eastAsia" w:ascii="宋体"/>
          <w:color w:val="auto"/>
          <w:szCs w:val="21"/>
          <w:highlight w:val="none"/>
        </w:rPr>
      </w:pPr>
      <w:r>
        <w:rPr>
          <w:rFonts w:hint="eastAsia" w:ascii="宋体"/>
          <w:color w:val="auto"/>
          <w:szCs w:val="21"/>
          <w:highlight w:val="none"/>
        </w:rPr>
        <w:t>1、供货一览表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序号</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产品</w:t>
            </w:r>
          </w:p>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商标</w:t>
            </w:r>
          </w:p>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规格</w:t>
            </w:r>
          </w:p>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型号</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生产</w:t>
            </w:r>
          </w:p>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厂家</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数  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单  价</w:t>
            </w:r>
          </w:p>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（元）</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金  额</w:t>
            </w:r>
          </w:p>
          <w:p>
            <w:pPr>
              <w:keepNext w:val="0"/>
              <w:keepLines w:val="0"/>
              <w:suppressLineNumbers w:val="0"/>
              <w:snapToGrid w:val="0"/>
              <w:spacing w:before="0" w:beforeAutospacing="0" w:after="0" w:afterAutospacing="0"/>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Times New Roman" w:cs="Times New Roman"/>
                <w:color w:val="auto"/>
                <w:szCs w:val="21"/>
                <w:highlight w:val="none"/>
              </w:rPr>
            </w:pPr>
          </w:p>
        </w:tc>
        <w:tc>
          <w:tcPr>
            <w:tcW w:w="904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详见投标报价明细表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4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 xml:space="preserve">人民币合计金额（大写）                          （小写）                 </w:t>
            </w:r>
          </w:p>
        </w:tc>
      </w:tr>
    </w:tbl>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第二条　质量保证</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1.乙方所提供的货物型号、技术规格、技术参数等质量必须与招投标文件和承诺相一致。乙方提供的节能和环保产品必须是列入政府采购清单的产品。</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2.乙方所提供的货物必须是全新、未使用的原装产品，且在正常安装、使用和保养条件下，其使用寿命期内各项指标均达到质量要求。</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第三条　权利保证</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乙方应保证所提供货物在使用时不会侵犯任何第三方的专利权、商标权、工业设计权或其他权利。</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乙方应按招标文件规定的时间向甲方提供使用货物的有关技术资料。</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乙方保证所交付的货物的所有权完全属于乙方且无任何抵押、质押、查封等产权瑕疵。</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第四条　包装和运输</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1.乙方提供的货物均应按招投标文件要求的包装材料、包装标准、包装方式进行包装，每一包装单元内应附详细的装箱单和质量合格证。</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2.货物的运输方式：</w:t>
      </w:r>
      <w:r>
        <w:rPr>
          <w:rFonts w:hint="eastAsia" w:ascii="宋体"/>
          <w:color w:val="auto"/>
          <w:szCs w:val="21"/>
          <w:highlight w:val="none"/>
          <w:u w:val="single"/>
        </w:rPr>
        <w:t xml:space="preserve">             。</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3.乙方负责货物运输，货物运输合理损耗及计算方法：</w:t>
      </w:r>
      <w:r>
        <w:rPr>
          <w:rFonts w:hint="eastAsia" w:ascii="宋体"/>
          <w:color w:val="auto"/>
          <w:szCs w:val="21"/>
          <w:highlight w:val="none"/>
          <w:u w:val="single"/>
        </w:rPr>
        <w:t xml:space="preserve">                 。</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第五条　交付和验收</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1.交付使用时间、地点。</w:t>
      </w:r>
    </w:p>
    <w:p>
      <w:pPr>
        <w:spacing w:line="390" w:lineRule="exact"/>
        <w:ind w:firstLine="524" w:firstLineChars="249"/>
        <w:rPr>
          <w:rFonts w:hint="eastAsia" w:ascii="宋体"/>
          <w:b/>
          <w:color w:val="auto"/>
          <w:szCs w:val="21"/>
          <w:highlight w:val="none"/>
        </w:rPr>
      </w:pPr>
      <w:r>
        <w:rPr>
          <w:rFonts w:hint="eastAsia" w:ascii="宋体"/>
          <w:b/>
          <w:color w:val="auto"/>
          <w:szCs w:val="21"/>
          <w:highlight w:val="none"/>
        </w:rPr>
        <w:t>交付使用时间：按乙方投标文件中所承诺的时间；交付使用地点：采购人指定地点。</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2.乙方提供不符合招投标文件和本合同规定的货物，甲方有权拒绝接受。</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3.乙方应将所提供货物的装箱清单、用户手册、原厂保修卡、随机资料、工具和备品、备件等交付给甲方，如有缺失应及时补齐，否则视为逾期交货。</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4.甲方应当在到货（安装、调试完）后十个工作日内进行验收，逾期不验收的，乙方可视同验收合格。验收合格后由甲乙双方签署货物验收单并加盖采购单位公章，甲乙双方各执一份。</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 xml:space="preserve">5.甲方对验收有异议的，在验收后五个工作日内以书面形式向乙方提出，乙方应自收到甲方书面异议后 </w:t>
      </w:r>
      <w:r>
        <w:rPr>
          <w:rFonts w:hint="eastAsia" w:ascii="宋体"/>
          <w:color w:val="auto"/>
          <w:szCs w:val="21"/>
          <w:highlight w:val="none"/>
          <w:u w:val="single"/>
        </w:rPr>
        <w:t xml:space="preserve">五 </w:t>
      </w:r>
      <w:r>
        <w:rPr>
          <w:rFonts w:hint="eastAsia" w:ascii="宋体"/>
          <w:color w:val="auto"/>
          <w:szCs w:val="21"/>
          <w:highlight w:val="none"/>
        </w:rPr>
        <w:t>日内及时予以解决。</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第六条　安装和培训</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1.甲方应提供必要安装条件（如场地、电源、水源等）。</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2.乙方负责甲方有关人员的培训。培训时间、地点：</w:t>
      </w:r>
      <w:r>
        <w:rPr>
          <w:rFonts w:hint="eastAsia"/>
          <w:b/>
          <w:color w:val="auto"/>
          <w:szCs w:val="21"/>
          <w:highlight w:val="none"/>
          <w:u w:val="single"/>
        </w:rPr>
        <w:t>按交付使用时间、地点培训</w:t>
      </w:r>
      <w:r>
        <w:rPr>
          <w:rFonts w:hint="eastAsia" w:ascii="宋体"/>
          <w:color w:val="auto"/>
          <w:szCs w:val="21"/>
          <w:highlight w:val="none"/>
        </w:rPr>
        <w:t>。</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第七条  售后服务、保修期</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1.乙方应按照国家有关法律法规和“三包”规定以及招投标文件和本合同所附的《服务承诺》，为甲方提供售后服务。</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2.货物保修期：</w:t>
      </w:r>
      <w:r>
        <w:rPr>
          <w:rFonts w:hint="eastAsia"/>
          <w:b/>
          <w:color w:val="auto"/>
          <w:szCs w:val="21"/>
          <w:highlight w:val="none"/>
          <w:u w:val="single"/>
        </w:rPr>
        <w:t>分项有要求的按分项要求</w:t>
      </w:r>
      <w:r>
        <w:rPr>
          <w:rFonts w:hint="eastAsia"/>
          <w:b/>
          <w:color w:val="auto"/>
          <w:szCs w:val="21"/>
          <w:highlight w:val="none"/>
          <w:u w:val="single"/>
          <w:lang w:val="en-US" w:eastAsia="zh-CN"/>
        </w:rPr>
        <w:t>和乙方服务承诺之较长者</w:t>
      </w:r>
      <w:r>
        <w:rPr>
          <w:rFonts w:hint="eastAsia"/>
          <w:b/>
          <w:color w:val="auto"/>
          <w:szCs w:val="21"/>
          <w:highlight w:val="none"/>
          <w:u w:val="single"/>
        </w:rPr>
        <w:t>，分项无要求的按国家标准实行</w:t>
      </w:r>
      <w:r>
        <w:rPr>
          <w:b/>
          <w:color w:val="auto"/>
          <w:szCs w:val="21"/>
          <w:highlight w:val="none"/>
          <w:u w:val="single"/>
        </w:rPr>
        <w:t>“</w:t>
      </w:r>
      <w:r>
        <w:rPr>
          <w:rFonts w:hint="eastAsia"/>
          <w:b/>
          <w:color w:val="auto"/>
          <w:szCs w:val="21"/>
          <w:highlight w:val="none"/>
          <w:u w:val="single"/>
        </w:rPr>
        <w:t>三包</w:t>
      </w:r>
      <w:r>
        <w:rPr>
          <w:b/>
          <w:color w:val="auto"/>
          <w:szCs w:val="21"/>
          <w:highlight w:val="none"/>
          <w:u w:val="single"/>
        </w:rPr>
        <w:t>”</w:t>
      </w:r>
      <w:r>
        <w:rPr>
          <w:rFonts w:hint="eastAsia" w:ascii="宋体"/>
          <w:color w:val="auto"/>
          <w:szCs w:val="21"/>
          <w:highlight w:val="none"/>
        </w:rPr>
        <w:t>。</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3.乙方提供的服务承诺和售后服务及保修期责任等其它具体约定事项。（见合同附件）</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第八条　付款方式和保证金</w:t>
      </w:r>
    </w:p>
    <w:p>
      <w:pPr>
        <w:pStyle w:val="22"/>
        <w:snapToGrid w:val="0"/>
        <w:spacing w:line="390" w:lineRule="exact"/>
        <w:rPr>
          <w:rFonts w:hint="eastAsia"/>
          <w:color w:val="auto"/>
          <w:highlight w:val="none"/>
        </w:rPr>
      </w:pPr>
      <w:r>
        <w:rPr>
          <w:rFonts w:hint="eastAsia"/>
          <w:bCs/>
          <w:color w:val="auto"/>
          <w:highlight w:val="none"/>
        </w:rPr>
        <w:t>1.</w:t>
      </w:r>
      <w:r>
        <w:rPr>
          <w:rFonts w:hint="eastAsia"/>
          <w:color w:val="auto"/>
          <w:highlight w:val="none"/>
        </w:rPr>
        <w:t>当采购数量与实际使用数量不一致时，乙方应根据实际使用量供货，合同的最终结算金额按实际使用量乘以</w:t>
      </w:r>
      <w:r>
        <w:rPr>
          <w:rFonts w:hint="eastAsia"/>
          <w:color w:val="auto"/>
          <w:highlight w:val="none"/>
          <w:lang w:val="en" w:eastAsia="zh-CN"/>
        </w:rPr>
        <w:t>成交</w:t>
      </w:r>
      <w:r>
        <w:rPr>
          <w:rFonts w:hint="eastAsia"/>
          <w:color w:val="auto"/>
          <w:highlight w:val="none"/>
        </w:rPr>
        <w:t>单价进行计算。</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2.资金性质：</w:t>
      </w:r>
      <w:r>
        <w:rPr>
          <w:rFonts w:hint="eastAsia" w:ascii="宋体"/>
          <w:b/>
          <w:color w:val="auto"/>
          <w:szCs w:val="21"/>
          <w:highlight w:val="none"/>
          <w:u w:val="single"/>
        </w:rPr>
        <w:t>财政性资金</w:t>
      </w:r>
      <w:r>
        <w:rPr>
          <w:rFonts w:hint="eastAsia" w:ascii="宋体"/>
          <w:b/>
          <w:color w:val="auto"/>
          <w:szCs w:val="21"/>
          <w:highlight w:val="none"/>
        </w:rPr>
        <w:t>。</w:t>
      </w:r>
    </w:p>
    <w:p>
      <w:pPr>
        <w:snapToGrid w:val="0"/>
        <w:spacing w:line="390" w:lineRule="exact"/>
        <w:ind w:firstLine="514" w:firstLineChars="245"/>
        <w:rPr>
          <w:rFonts w:hint="eastAsia" w:ascii="宋体"/>
          <w:color w:val="auto"/>
          <w:highlight w:val="none"/>
        </w:rPr>
      </w:pPr>
      <w:r>
        <w:rPr>
          <w:rFonts w:hint="eastAsia" w:ascii="宋体"/>
          <w:color w:val="auto"/>
          <w:highlight w:val="none"/>
        </w:rPr>
        <w:t>3.付款方式：</w:t>
      </w: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①预付款：签订合同之日起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个工作日内，</w:t>
      </w:r>
      <w:r>
        <w:rPr>
          <w:rFonts w:hint="eastAsia" w:ascii="宋体" w:hAnsi="宋体"/>
          <w:color w:val="auto"/>
          <w:szCs w:val="21"/>
          <w:highlight w:val="none"/>
          <w:lang w:eastAsia="zh-CN"/>
        </w:rPr>
        <w:t>乙方</w:t>
      </w:r>
      <w:r>
        <w:rPr>
          <w:rFonts w:hint="eastAsia" w:ascii="宋体" w:hAnsi="宋体"/>
          <w:color w:val="auto"/>
          <w:szCs w:val="21"/>
          <w:highlight w:val="none"/>
        </w:rPr>
        <w:t xml:space="preserve">开具合同总价款的 30%的等额价值保函(保函有效期应在 </w:t>
      </w:r>
      <w:r>
        <w:rPr>
          <w:rFonts w:hint="eastAsia" w:ascii="宋体" w:hAnsi="宋体"/>
          <w:color w:val="auto"/>
          <w:szCs w:val="21"/>
          <w:highlight w:val="none"/>
        </w:rPr>
        <w:t>2025年 12月30日</w:t>
      </w:r>
      <w:r>
        <w:rPr>
          <w:rFonts w:hint="eastAsia" w:ascii="宋体" w:hAnsi="宋体"/>
          <w:color w:val="auto"/>
          <w:szCs w:val="21"/>
          <w:highlight w:val="none"/>
        </w:rPr>
        <w:t>后)给采购人后，</w:t>
      </w:r>
      <w:r>
        <w:rPr>
          <w:rFonts w:hint="eastAsia" w:ascii="宋体" w:hAnsi="宋体"/>
          <w:color w:val="auto"/>
          <w:szCs w:val="21"/>
          <w:highlight w:val="none"/>
          <w:lang w:eastAsia="zh-CN"/>
        </w:rPr>
        <w:t>甲方</w:t>
      </w:r>
      <w:r>
        <w:rPr>
          <w:rFonts w:hint="eastAsia" w:ascii="宋体" w:hAnsi="宋体"/>
          <w:color w:val="auto"/>
          <w:szCs w:val="21"/>
          <w:highlight w:val="none"/>
        </w:rPr>
        <w:t>支付合同总价款的30%作为预付款。</w:t>
      </w:r>
    </w:p>
    <w:p>
      <w:pPr>
        <w:pStyle w:val="148"/>
        <w:spacing w:after="0" w:line="390" w:lineRule="exact"/>
        <w:rPr>
          <w:rFonts w:hint="eastAsia" w:ascii="宋体" w:hAnsi="宋体" w:eastAsia="宋体"/>
          <w:bCs/>
          <w:color w:val="auto"/>
          <w:sz w:val="21"/>
          <w:szCs w:val="21"/>
          <w:highlight w:val="none"/>
          <w:u w:val="single"/>
          <w:lang w:val="en"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②进度款：全部设备到货后，经</w:t>
      </w:r>
      <w:r>
        <w:rPr>
          <w:rFonts w:hint="eastAsia" w:ascii="宋体" w:hAnsi="宋体"/>
          <w:color w:val="auto"/>
          <w:szCs w:val="21"/>
          <w:highlight w:val="none"/>
          <w:lang w:eastAsia="zh-CN"/>
        </w:rPr>
        <w:t>甲方</w:t>
      </w:r>
      <w:r>
        <w:rPr>
          <w:rFonts w:hint="eastAsia" w:ascii="宋体" w:hAnsi="宋体"/>
          <w:color w:val="auto"/>
          <w:szCs w:val="21"/>
          <w:highlight w:val="none"/>
        </w:rPr>
        <w:t>确认后在十个工作日内向</w:t>
      </w:r>
      <w:r>
        <w:rPr>
          <w:rFonts w:hint="eastAsia" w:ascii="宋体" w:hAnsi="宋体"/>
          <w:color w:val="auto"/>
          <w:szCs w:val="21"/>
          <w:highlight w:val="none"/>
          <w:lang w:eastAsia="zh-CN"/>
        </w:rPr>
        <w:t>成交</w:t>
      </w:r>
      <w:r>
        <w:rPr>
          <w:rFonts w:hint="eastAsia" w:ascii="宋体" w:hAnsi="宋体"/>
          <w:color w:val="auto"/>
          <w:szCs w:val="21"/>
          <w:highlight w:val="none"/>
        </w:rPr>
        <w:t>供应商付款方式支付合同价款的</w:t>
      </w:r>
      <w:r>
        <w:rPr>
          <w:rFonts w:hint="eastAsia" w:ascii="宋体" w:hAnsi="宋体"/>
          <w:color w:val="auto"/>
          <w:szCs w:val="21"/>
          <w:highlight w:val="none"/>
          <w:lang w:val="en-US" w:eastAsia="zh-CN"/>
        </w:rPr>
        <w:t>6</w:t>
      </w:r>
      <w:r>
        <w:rPr>
          <w:rFonts w:hint="eastAsia" w:ascii="宋体" w:hAnsi="宋体"/>
          <w:color w:val="auto"/>
          <w:szCs w:val="21"/>
          <w:highlight w:val="none"/>
        </w:rPr>
        <w:t>0%；所有货物安装调试完成、试运行正常且验收合格，并经</w:t>
      </w:r>
      <w:r>
        <w:rPr>
          <w:rFonts w:hint="eastAsia" w:ascii="宋体" w:hAnsi="宋体"/>
          <w:color w:val="auto"/>
          <w:szCs w:val="21"/>
          <w:highlight w:val="none"/>
          <w:lang w:eastAsia="zh-CN"/>
        </w:rPr>
        <w:t>甲方</w:t>
      </w:r>
      <w:r>
        <w:rPr>
          <w:rFonts w:hint="eastAsia" w:ascii="宋体" w:hAnsi="宋体"/>
          <w:color w:val="auto"/>
          <w:szCs w:val="21"/>
          <w:highlight w:val="none"/>
        </w:rPr>
        <w:t>确认后，在十个工作日内向</w:t>
      </w:r>
      <w:r>
        <w:rPr>
          <w:rFonts w:hint="eastAsia" w:ascii="宋体" w:hAnsi="宋体"/>
          <w:color w:val="auto"/>
          <w:szCs w:val="21"/>
          <w:highlight w:val="none"/>
          <w:lang w:eastAsia="zh-CN"/>
        </w:rPr>
        <w:t>成交</w:t>
      </w:r>
      <w:r>
        <w:rPr>
          <w:rFonts w:hint="eastAsia" w:ascii="宋体" w:hAnsi="宋体"/>
          <w:color w:val="auto"/>
          <w:szCs w:val="21"/>
          <w:highlight w:val="none"/>
        </w:rPr>
        <w:t>供应商支付合同价款的</w:t>
      </w:r>
      <w:r>
        <w:rPr>
          <w:rFonts w:hint="eastAsia" w:ascii="宋体" w:hAnsi="宋体"/>
          <w:color w:val="auto"/>
          <w:szCs w:val="21"/>
          <w:highlight w:val="none"/>
          <w:lang w:val="en-US" w:eastAsia="zh-CN"/>
        </w:rPr>
        <w:t>1</w:t>
      </w:r>
      <w:r>
        <w:rPr>
          <w:rFonts w:hint="eastAsia" w:ascii="宋体" w:hAnsi="宋体"/>
          <w:color w:val="auto"/>
          <w:szCs w:val="21"/>
          <w:highlight w:val="none"/>
        </w:rPr>
        <w:t>0%</w:t>
      </w:r>
      <w:r>
        <w:rPr>
          <w:rFonts w:hint="eastAsia" w:ascii="宋体" w:hAnsi="宋体"/>
          <w:color w:val="auto"/>
          <w:szCs w:val="21"/>
          <w:highlight w:val="none"/>
          <w:lang w:eastAsia="zh-CN"/>
        </w:rPr>
        <w:t>。</w:t>
      </w:r>
    </w:p>
    <w:p>
      <w:pPr>
        <w:snapToGrid w:val="0"/>
        <w:spacing w:line="390" w:lineRule="exact"/>
        <w:ind w:firstLine="516" w:firstLineChars="245"/>
        <w:rPr>
          <w:rFonts w:hint="eastAsia" w:ascii="宋体"/>
          <w:b/>
          <w:color w:val="auto"/>
          <w:szCs w:val="21"/>
          <w:highlight w:val="none"/>
        </w:rPr>
      </w:pPr>
      <w:r>
        <w:rPr>
          <w:rFonts w:hint="eastAsia" w:ascii="宋体"/>
          <w:b/>
          <w:color w:val="auto"/>
          <w:szCs w:val="21"/>
          <w:highlight w:val="none"/>
        </w:rPr>
        <w:t>第九条　履约保证金</w:t>
      </w:r>
    </w:p>
    <w:p>
      <w:pPr>
        <w:autoSpaceDE w:val="0"/>
        <w:autoSpaceDN w:val="0"/>
        <w:snapToGrid w:val="0"/>
        <w:spacing w:line="360" w:lineRule="auto"/>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1.履约保证金金额：</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金额的5%（中小企业2%）。即</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lang w:val="e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rPr>
        <w:t xml:space="preserve"> </w:t>
      </w:r>
      <w:r>
        <w:rPr>
          <w:rFonts w:hint="eastAsia" w:ascii="宋体" w:hAnsi="宋体" w:cs="宋体"/>
          <w:color w:val="auto"/>
          <w:szCs w:val="21"/>
          <w:highlight w:val="none"/>
        </w:rPr>
        <w:t>元。</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履约保证金递交方式：银行转账、支票、汇票等非现金方式</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履约保证金缴纳期限: 自</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通知书发出之日起 5日内。</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按合同要求完全履约，项目验收合格后，待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履行完质保义务且无违约情况下后由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无息退还。合同履行期间，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存在违约的，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有权从履约保证金中先行抵扣，不足部分由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另行支付，</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直接从履约保证金中扣除的，</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应于接到</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补足履约保证金通知之日起3个工作日内补足。</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向履约保证金收取单位提供《广西壮族自治区政府采购项目合同验收书》（详见桂财采〔2015〕22号），保证金收取单位在收到合格材料后5个工作日内办理退还手续（不计利息）。</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不予退还的情形：签订合同后，如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不按双方签订的合同规定履约，则其全部履约保证金不予退还。</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开户名称：广西艺术学院    </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开户银行：建行南宁市桃源支行    </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银行账号：45001604559050500909 </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1、根据《广西壮族自治区财政厅关于持续优化政府采购营商环境推动高质量发展的通知》（桂财采〔2024〕55号）的通知规定，鼓励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在与中小微企业签订政府采购合同时，减少或免于收取履约保证金，有必要收取履约保证金的，收取的履约保证金不得超过政府采购合同金额的2%。</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pStyle w:val="2"/>
        <w:tabs>
          <w:tab w:val="right" w:leader="dot" w:pos="8296"/>
          <w:tab w:val="right" w:leader="dot" w:pos="8398"/>
        </w:tabs>
        <w:spacing w:before="0" w:after="0" w:line="390" w:lineRule="exact"/>
        <w:ind w:firstLine="0" w:firstLineChars="0"/>
        <w:rPr>
          <w:rFonts w:hint="eastAsia" w:ascii="宋体" w:hAnsi="宋体" w:eastAsia="宋体" w:cs="宋体"/>
          <w:bCs w:val="0"/>
          <w:caps w:val="0"/>
          <w:color w:val="auto"/>
          <w:kern w:val="2"/>
          <w:sz w:val="21"/>
          <w:szCs w:val="21"/>
          <w:highlight w:val="none"/>
          <w:lang w:val="en-US" w:eastAsia="zh-CN" w:bidi="ar-SA"/>
        </w:rPr>
      </w:pPr>
      <w:r>
        <w:rPr>
          <w:rFonts w:hint="eastAsia" w:ascii="宋体" w:eastAsia="宋体" w:cs="宋体"/>
          <w:bCs w:val="0"/>
          <w:caps w:val="0"/>
          <w:color w:val="auto"/>
          <w:kern w:val="2"/>
          <w:sz w:val="21"/>
          <w:szCs w:val="21"/>
          <w:highlight w:val="none"/>
          <w:lang w:val="en-US" w:eastAsia="zh-CN" w:bidi="ar-SA"/>
        </w:rPr>
        <w:t xml:space="preserve">    </w:t>
      </w:r>
      <w:r>
        <w:rPr>
          <w:rFonts w:hint="eastAsia" w:ascii="宋体" w:hAnsi="宋体" w:eastAsia="宋体" w:cs="宋体"/>
          <w:bCs w:val="0"/>
          <w:caps w:val="0"/>
          <w:color w:val="auto"/>
          <w:kern w:val="2"/>
          <w:sz w:val="21"/>
          <w:szCs w:val="21"/>
          <w:highlight w:val="none"/>
          <w:lang w:val="en-US" w:eastAsia="zh-CN" w:bidi="ar-SA"/>
        </w:rPr>
        <w:t>3、采用金融、担保机构出具的保函的，必须为无条件保函，否则不予签订合同。</w:t>
      </w:r>
    </w:p>
    <w:p>
      <w:pPr>
        <w:snapToGrid w:val="0"/>
        <w:spacing w:line="390" w:lineRule="exact"/>
        <w:ind w:firstLine="421" w:firstLineChars="200"/>
        <w:rPr>
          <w:rFonts w:hint="eastAsia" w:ascii="宋体" w:hAnsi="Courier New" w:cs="Courier New"/>
          <w:color w:val="auto"/>
          <w:szCs w:val="21"/>
          <w:highlight w:val="none"/>
        </w:rPr>
      </w:pPr>
      <w:r>
        <w:rPr>
          <w:rFonts w:hint="eastAsia" w:ascii="宋体" w:hAnsi="Courier New" w:cs="Courier New"/>
          <w:b/>
          <w:color w:val="auto"/>
          <w:szCs w:val="21"/>
          <w:highlight w:val="none"/>
        </w:rPr>
        <w:t>第十条 税费</w:t>
      </w:r>
    </w:p>
    <w:p>
      <w:pPr>
        <w:snapToGrid w:val="0"/>
        <w:spacing w:line="390" w:lineRule="exact"/>
        <w:ind w:firstLine="420" w:firstLineChars="200"/>
        <w:rPr>
          <w:rFonts w:hint="eastAsia" w:ascii="宋体" w:hAnsi="Courier New" w:cs="Courier New"/>
          <w:color w:val="auto"/>
          <w:szCs w:val="21"/>
          <w:highlight w:val="none"/>
        </w:rPr>
      </w:pPr>
      <w:r>
        <w:rPr>
          <w:rFonts w:hint="eastAsia" w:ascii="宋体" w:hAnsi="Courier New" w:cs="Courier New"/>
          <w:color w:val="auto"/>
          <w:szCs w:val="21"/>
          <w:highlight w:val="none"/>
        </w:rPr>
        <w:t>本合同执行中相关的一切税费均由乙方负担。</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第十一条  质量保证及售后服务</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 乙方应按招标文件规定的货物性能、技术要求、质量标准向甲方提供未经使用的全新产品。</w:t>
      </w:r>
      <w:r>
        <w:rPr>
          <w:rFonts w:hint="eastAsia" w:ascii="宋体"/>
          <w:color w:val="auto"/>
          <w:highlight w:val="none"/>
        </w:rPr>
        <w:t>乙方提供货物的质量保证期按交货验收合格之日起计（期限见《招标项目采购需求》中各分标的要求</w:t>
      </w:r>
      <w:r>
        <w:rPr>
          <w:rFonts w:hint="eastAsia" w:ascii="宋体"/>
          <w:color w:val="auto"/>
          <w:highlight w:val="none"/>
          <w:lang w:val="en-US" w:eastAsia="zh-CN"/>
        </w:rPr>
        <w:t>和乙方服务承诺之较长者</w:t>
      </w:r>
      <w:r>
        <w:rPr>
          <w:rFonts w:hint="eastAsia" w:ascii="宋体"/>
          <w:color w:val="auto"/>
          <w:highlight w:val="none"/>
        </w:rPr>
        <w:t>）。在保证期内因货物本身的质量问题发生故障，乙方应负责免费修理和更换零部件。对达不到技术要求者，根据实际情况，</w:t>
      </w:r>
      <w:r>
        <w:rPr>
          <w:rFonts w:hint="eastAsia" w:ascii="宋体"/>
          <w:color w:val="auto"/>
          <w:highlight w:val="none"/>
          <w:shd w:val="clear" w:color="auto" w:fill="auto"/>
          <w:lang w:val="en-US" w:eastAsia="zh-CN"/>
        </w:rPr>
        <w:t>甲方有权</w:t>
      </w:r>
      <w:r>
        <w:rPr>
          <w:rFonts w:hint="eastAsia" w:ascii="宋体"/>
          <w:color w:val="auto"/>
          <w:highlight w:val="none"/>
          <w:shd w:val="clear" w:color="auto" w:fill="auto"/>
        </w:rPr>
        <w:t>按以下办法处理</w:t>
      </w:r>
      <w:r>
        <w:rPr>
          <w:rFonts w:hint="eastAsia" w:ascii="宋体"/>
          <w:color w:val="auto"/>
          <w:szCs w:val="21"/>
          <w:highlight w:val="none"/>
          <w:shd w:val="clear" w:color="auto" w:fill="auto"/>
        </w:rPr>
        <w:t>：</w:t>
      </w:r>
    </w:p>
    <w:p>
      <w:pPr>
        <w:pStyle w:val="22"/>
        <w:snapToGrid w:val="0"/>
        <w:spacing w:line="390" w:lineRule="exact"/>
        <w:ind w:firstLine="315" w:firstLineChars="150"/>
        <w:rPr>
          <w:rFonts w:hint="eastAsia"/>
          <w:color w:val="auto"/>
          <w:highlight w:val="none"/>
        </w:rPr>
      </w:pPr>
      <w:r>
        <w:rPr>
          <w:rFonts w:hint="eastAsia"/>
          <w:color w:val="auto"/>
          <w:highlight w:val="none"/>
        </w:rPr>
        <w:t xml:space="preserve"> ⑴更换：由乙方承担所发生的全部费用。</w:t>
      </w:r>
    </w:p>
    <w:p>
      <w:pPr>
        <w:pStyle w:val="22"/>
        <w:snapToGrid w:val="0"/>
        <w:spacing w:line="390" w:lineRule="exact"/>
        <w:ind w:firstLine="420"/>
        <w:rPr>
          <w:rFonts w:hint="eastAsia"/>
          <w:color w:val="auto"/>
          <w:highlight w:val="none"/>
        </w:rPr>
      </w:pPr>
      <w:r>
        <w:rPr>
          <w:rFonts w:hint="eastAsia"/>
          <w:color w:val="auto"/>
          <w:highlight w:val="none"/>
        </w:rPr>
        <w:t>⑵贬值处理：由甲乙双方合议定价。</w:t>
      </w:r>
    </w:p>
    <w:p>
      <w:pPr>
        <w:pStyle w:val="22"/>
        <w:snapToGrid w:val="0"/>
        <w:spacing w:line="390" w:lineRule="exact"/>
        <w:rPr>
          <w:rFonts w:hint="eastAsia"/>
          <w:color w:val="auto"/>
          <w:highlight w:val="none"/>
        </w:rPr>
      </w:pPr>
      <w:r>
        <w:rPr>
          <w:rFonts w:hint="eastAsia"/>
          <w:color w:val="auto"/>
          <w:highlight w:val="none"/>
        </w:rPr>
        <w:t>⑶退货处理：乙方应退还甲方支付的合同款，同时应承担该货物的直接费用（运输、保险、检验、货款利息及银行手续费等）。</w:t>
      </w:r>
    </w:p>
    <w:p>
      <w:pPr>
        <w:pStyle w:val="22"/>
        <w:snapToGrid w:val="0"/>
        <w:spacing w:line="390" w:lineRule="exact"/>
        <w:ind w:firstLine="420" w:firstLineChars="200"/>
        <w:rPr>
          <w:rFonts w:hint="eastAsia"/>
          <w:color w:val="auto"/>
          <w:highlight w:val="none"/>
        </w:rPr>
      </w:pPr>
      <w:r>
        <w:rPr>
          <w:rFonts w:hint="eastAsia"/>
          <w:color w:val="auto"/>
          <w:highlight w:val="none"/>
        </w:rPr>
        <w:t>2. 如在使用过程中发生质量问题，乙方在接到甲方通知后在</w:t>
      </w:r>
      <w:r>
        <w:rPr>
          <w:rFonts w:hint="eastAsia"/>
          <w:color w:val="auto"/>
          <w:highlight w:val="none"/>
          <w:u w:val="single"/>
        </w:rPr>
        <w:t xml:space="preserve">    </w:t>
      </w:r>
      <w:r>
        <w:rPr>
          <w:rFonts w:hint="eastAsia"/>
          <w:color w:val="auto"/>
          <w:highlight w:val="none"/>
        </w:rPr>
        <w:t>小时内到达甲方现场。</w:t>
      </w:r>
    </w:p>
    <w:p>
      <w:pPr>
        <w:pStyle w:val="22"/>
        <w:snapToGrid w:val="0"/>
        <w:spacing w:line="390" w:lineRule="exact"/>
        <w:ind w:firstLine="420" w:firstLineChars="200"/>
        <w:rPr>
          <w:rFonts w:hint="eastAsia"/>
          <w:color w:val="auto"/>
          <w:highlight w:val="none"/>
        </w:rPr>
      </w:pPr>
      <w:r>
        <w:rPr>
          <w:rFonts w:hint="eastAsia"/>
          <w:color w:val="auto"/>
          <w:highlight w:val="none"/>
        </w:rPr>
        <w:t>3. 在质保期内，乙方应对货物出现的质量及安全问题负责处理解决并承担一切费用。</w:t>
      </w:r>
    </w:p>
    <w:p>
      <w:pPr>
        <w:pStyle w:val="22"/>
        <w:snapToGrid w:val="0"/>
        <w:spacing w:line="390" w:lineRule="exact"/>
        <w:ind w:firstLine="420" w:firstLineChars="200"/>
        <w:rPr>
          <w:rFonts w:hint="eastAsia"/>
          <w:color w:val="auto"/>
          <w:highlight w:val="none"/>
        </w:rPr>
      </w:pPr>
      <w:r>
        <w:rPr>
          <w:rFonts w:hint="eastAsia"/>
          <w:color w:val="auto"/>
          <w:highlight w:val="none"/>
        </w:rPr>
        <w:t>4.上述的货物免费保修期为</w:t>
      </w:r>
      <w:r>
        <w:rPr>
          <w:rFonts w:hint="eastAsia"/>
          <w:color w:val="auto"/>
          <w:highlight w:val="none"/>
          <w:u w:val="single"/>
        </w:rPr>
        <w:t xml:space="preserve">     </w:t>
      </w:r>
      <w:r>
        <w:rPr>
          <w:rFonts w:hint="eastAsia"/>
          <w:color w:val="auto"/>
          <w:highlight w:val="none"/>
        </w:rPr>
        <w:t>年，因人为因素出现的故障不在免费保修范围内。超过保修期的机器设备，终生维修，维修时只收部件成本费。</w:t>
      </w:r>
    </w:p>
    <w:p>
      <w:pPr>
        <w:pStyle w:val="22"/>
        <w:snapToGrid w:val="0"/>
        <w:spacing w:line="390" w:lineRule="exact"/>
        <w:ind w:firstLine="413" w:firstLineChars="196"/>
        <w:rPr>
          <w:rFonts w:hint="eastAsia"/>
          <w:b/>
          <w:color w:val="auto"/>
          <w:highlight w:val="none"/>
        </w:rPr>
      </w:pPr>
      <w:r>
        <w:rPr>
          <w:rFonts w:hint="eastAsia"/>
          <w:b/>
          <w:color w:val="auto"/>
          <w:highlight w:val="none"/>
        </w:rPr>
        <w:t>第十二条  调试和验收</w:t>
      </w:r>
    </w:p>
    <w:p>
      <w:pPr>
        <w:pStyle w:val="22"/>
        <w:snapToGrid w:val="0"/>
        <w:spacing w:line="390" w:lineRule="exact"/>
        <w:ind w:firstLine="420" w:firstLineChars="200"/>
        <w:rPr>
          <w:rFonts w:hint="eastAsia"/>
          <w:color w:val="auto"/>
          <w:highlight w:val="none"/>
        </w:rPr>
      </w:pPr>
      <w:r>
        <w:rPr>
          <w:rFonts w:hint="eastAsia"/>
          <w:color w:val="auto"/>
          <w:highlight w:val="none"/>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color w:val="auto"/>
          <w:highlight w:val="none"/>
        </w:rPr>
        <w:t>甲方应当在到货（安装、调试完）后十个工作日内进行初步验收</w:t>
      </w:r>
      <w:r>
        <w:rPr>
          <w:rFonts w:hint="eastAsia"/>
          <w:color w:val="auto"/>
          <w:highlight w:val="none"/>
        </w:rPr>
        <w:t>。</w:t>
      </w:r>
    </w:p>
    <w:p>
      <w:pPr>
        <w:pStyle w:val="22"/>
        <w:snapToGrid w:val="0"/>
        <w:spacing w:line="390" w:lineRule="exact"/>
        <w:ind w:firstLine="420" w:firstLineChars="200"/>
        <w:rPr>
          <w:rFonts w:hint="eastAsia"/>
          <w:color w:val="auto"/>
          <w:highlight w:val="none"/>
        </w:rPr>
      </w:pPr>
      <w:r>
        <w:rPr>
          <w:rFonts w:hint="eastAsia"/>
          <w:color w:val="auto"/>
          <w:highlight w:val="none"/>
        </w:rPr>
        <w:t>2. 乙方交货前应对产品作出全面检查和对验收文件进行整理，并列出清单，作为甲方收货验收和使用的技术条件依据，检验的结果应随货物交甲方。</w:t>
      </w:r>
    </w:p>
    <w:p>
      <w:pPr>
        <w:pStyle w:val="22"/>
        <w:snapToGrid w:val="0"/>
        <w:spacing w:line="390" w:lineRule="exact"/>
        <w:ind w:firstLine="420" w:firstLineChars="200"/>
        <w:rPr>
          <w:rFonts w:hint="eastAsia"/>
          <w:color w:val="auto"/>
          <w:highlight w:val="none"/>
        </w:rPr>
      </w:pPr>
      <w:r>
        <w:rPr>
          <w:rFonts w:hint="eastAsia"/>
          <w:color w:val="auto"/>
          <w:highlight w:val="none"/>
        </w:rPr>
        <w:t>3. 甲方对乙方提供的货物在使用前进行调试时，乙方需负责安装并培训甲方的使用操作人员，并协助甲方一起调试，直到符合技术要求，甲方才做最终验收。</w:t>
      </w:r>
    </w:p>
    <w:p>
      <w:pPr>
        <w:pStyle w:val="22"/>
        <w:snapToGrid w:val="0"/>
        <w:spacing w:line="390" w:lineRule="exact"/>
        <w:ind w:firstLine="420" w:firstLineChars="200"/>
        <w:rPr>
          <w:rFonts w:hint="eastAsia"/>
          <w:color w:val="auto"/>
          <w:highlight w:val="none"/>
        </w:rPr>
      </w:pPr>
      <w:r>
        <w:rPr>
          <w:rFonts w:hint="eastAsia" w:hAnsi="宋体"/>
          <w:color w:val="auto"/>
          <w:highlight w:val="none"/>
        </w:rPr>
        <w:t>4. 对技术复杂的货物，甲方应请国家认可的专业检测机构参与初步验收及最终验收，并由其出具质量检测报告，检测相关费用由</w:t>
      </w:r>
      <w:r>
        <w:rPr>
          <w:rFonts w:hint="eastAsia" w:hAnsi="宋体"/>
          <w:color w:val="auto"/>
          <w:highlight w:val="none"/>
          <w:u w:val="single"/>
          <w:lang w:val="en-US" w:eastAsia="zh-CN"/>
        </w:rPr>
        <w:t xml:space="preserve">乙 </w:t>
      </w:r>
      <w:r>
        <w:rPr>
          <w:rFonts w:hint="eastAsia" w:hAnsi="宋体"/>
          <w:color w:val="auto"/>
          <w:highlight w:val="none"/>
        </w:rPr>
        <w:t>方承担。</w:t>
      </w:r>
    </w:p>
    <w:p>
      <w:pPr>
        <w:pStyle w:val="22"/>
        <w:snapToGrid w:val="0"/>
        <w:spacing w:line="390" w:lineRule="exact"/>
        <w:ind w:firstLine="420" w:firstLineChars="200"/>
        <w:rPr>
          <w:rFonts w:hint="eastAsia"/>
          <w:color w:val="auto"/>
          <w:highlight w:val="none"/>
        </w:rPr>
      </w:pPr>
      <w:r>
        <w:rPr>
          <w:rFonts w:hint="eastAsia"/>
          <w:color w:val="auto"/>
          <w:highlight w:val="none"/>
        </w:rPr>
        <w:t>5. 对技术复杂的货物，甲方应请国家认可的专业检测机构参与初步验收及最终验收，并由其出具质量检测报告。</w:t>
      </w:r>
    </w:p>
    <w:p>
      <w:pPr>
        <w:pStyle w:val="22"/>
        <w:snapToGrid w:val="0"/>
        <w:spacing w:line="390" w:lineRule="exact"/>
        <w:ind w:firstLine="420" w:firstLineChars="200"/>
        <w:rPr>
          <w:rFonts w:hint="eastAsia"/>
          <w:color w:val="auto"/>
          <w:highlight w:val="none"/>
        </w:rPr>
      </w:pPr>
      <w:r>
        <w:rPr>
          <w:rFonts w:hint="eastAsia"/>
          <w:color w:val="auto"/>
          <w:highlight w:val="none"/>
        </w:rPr>
        <w:t>6. 验收时乙方必须在现场，验收完毕后作出验收结果报告；验收费用由乙方负责。</w:t>
      </w:r>
    </w:p>
    <w:p>
      <w:pPr>
        <w:pStyle w:val="22"/>
        <w:snapToGrid w:val="0"/>
        <w:spacing w:line="390" w:lineRule="exact"/>
        <w:ind w:firstLine="413" w:firstLineChars="196"/>
        <w:rPr>
          <w:rFonts w:hint="eastAsia"/>
          <w:b/>
          <w:color w:val="auto"/>
          <w:highlight w:val="none"/>
        </w:rPr>
      </w:pPr>
      <w:r>
        <w:rPr>
          <w:rFonts w:hint="eastAsia"/>
          <w:b/>
          <w:color w:val="auto"/>
          <w:highlight w:val="none"/>
        </w:rPr>
        <w:t>第十三条 货物包装、发运及运输</w:t>
      </w:r>
    </w:p>
    <w:p>
      <w:pPr>
        <w:pStyle w:val="22"/>
        <w:snapToGrid w:val="0"/>
        <w:spacing w:line="390" w:lineRule="exact"/>
        <w:rPr>
          <w:rFonts w:hint="eastAsia"/>
          <w:color w:val="auto"/>
          <w:highlight w:val="none"/>
        </w:rPr>
      </w:pPr>
      <w:r>
        <w:rPr>
          <w:rFonts w:hint="eastAsia"/>
          <w:color w:val="auto"/>
          <w:highlight w:val="none"/>
          <w:lang w:val="en-US" w:eastAsia="zh-CN"/>
        </w:rPr>
        <w:t xml:space="preserve">     </w:t>
      </w:r>
      <w:r>
        <w:rPr>
          <w:rFonts w:hint="eastAsia"/>
          <w:color w:val="auto"/>
          <w:highlight w:val="none"/>
        </w:rPr>
        <w:t>1. 乙方应在货物发运前对其进行满足运输距离、防潮、防震、防锈和防破损装卸等要求包装，以保证货物安全运达甲方指定地点。</w:t>
      </w:r>
    </w:p>
    <w:p>
      <w:pPr>
        <w:pStyle w:val="22"/>
        <w:snapToGrid w:val="0"/>
        <w:spacing w:line="390" w:lineRule="exact"/>
        <w:rPr>
          <w:rFonts w:hint="eastAsia"/>
          <w:color w:val="auto"/>
          <w:highlight w:val="none"/>
        </w:rPr>
      </w:pPr>
      <w:r>
        <w:rPr>
          <w:rFonts w:hint="eastAsia"/>
          <w:color w:val="auto"/>
          <w:highlight w:val="none"/>
          <w:lang w:val="en-US" w:eastAsia="zh-CN"/>
        </w:rPr>
        <w:t xml:space="preserve">    </w:t>
      </w:r>
      <w:r>
        <w:rPr>
          <w:rFonts w:hint="eastAsia"/>
          <w:color w:val="auto"/>
          <w:highlight w:val="none"/>
        </w:rPr>
        <w:t>2. 使用说明书、质量检验证明书、随配附件和工具以及清单一并附于货物内。</w:t>
      </w:r>
    </w:p>
    <w:p>
      <w:pPr>
        <w:pStyle w:val="22"/>
        <w:snapToGrid w:val="0"/>
        <w:spacing w:line="390" w:lineRule="exact"/>
        <w:rPr>
          <w:rFonts w:hint="eastAsia"/>
          <w:color w:val="auto"/>
          <w:highlight w:val="none"/>
        </w:rPr>
      </w:pPr>
      <w:r>
        <w:rPr>
          <w:rFonts w:hint="eastAsia"/>
          <w:color w:val="auto"/>
          <w:highlight w:val="none"/>
          <w:lang w:val="en-US" w:eastAsia="zh-CN"/>
        </w:rPr>
        <w:t xml:space="preserve">    </w:t>
      </w:r>
      <w:r>
        <w:rPr>
          <w:rFonts w:hint="eastAsia"/>
          <w:color w:val="auto"/>
          <w:highlight w:val="none"/>
        </w:rPr>
        <w:t>3. 乙方在货物发运手续办理完毕后二十四小时内或货到甲方四十八小时前通知甲方，以准备接货。</w:t>
      </w:r>
    </w:p>
    <w:p>
      <w:pPr>
        <w:pStyle w:val="22"/>
        <w:snapToGrid w:val="0"/>
        <w:spacing w:line="390" w:lineRule="exact"/>
        <w:rPr>
          <w:rFonts w:hint="eastAsia"/>
          <w:color w:val="auto"/>
          <w:highlight w:val="none"/>
        </w:rPr>
      </w:pPr>
      <w:r>
        <w:rPr>
          <w:rFonts w:hint="eastAsia"/>
          <w:color w:val="auto"/>
          <w:highlight w:val="none"/>
          <w:lang w:val="en-US" w:eastAsia="zh-CN"/>
        </w:rPr>
        <w:t xml:space="preserve">    </w:t>
      </w:r>
      <w:r>
        <w:rPr>
          <w:rFonts w:hint="eastAsia"/>
          <w:color w:val="auto"/>
          <w:highlight w:val="none"/>
        </w:rPr>
        <w:t>4. 货物在交付甲方前发生的风险均由乙方负责。</w:t>
      </w:r>
    </w:p>
    <w:p>
      <w:pPr>
        <w:pStyle w:val="22"/>
        <w:snapToGrid w:val="0"/>
        <w:spacing w:line="390" w:lineRule="exact"/>
        <w:rPr>
          <w:rFonts w:hint="eastAsia"/>
          <w:color w:val="auto"/>
          <w:spacing w:val="-8"/>
          <w:highlight w:val="none"/>
        </w:rPr>
      </w:pPr>
      <w:r>
        <w:rPr>
          <w:rFonts w:hint="eastAsia"/>
          <w:color w:val="auto"/>
          <w:highlight w:val="none"/>
          <w:lang w:val="en-US" w:eastAsia="zh-CN"/>
        </w:rPr>
        <w:t xml:space="preserve">     </w:t>
      </w:r>
      <w:r>
        <w:rPr>
          <w:rFonts w:hint="eastAsia"/>
          <w:color w:val="auto"/>
          <w:highlight w:val="none"/>
        </w:rPr>
        <w:t>5. 货</w:t>
      </w:r>
      <w:r>
        <w:rPr>
          <w:rFonts w:hint="eastAsia"/>
          <w:color w:val="auto"/>
          <w:spacing w:val="-8"/>
          <w:highlight w:val="none"/>
        </w:rPr>
        <w:t>物在规定的交付期限内由乙方送达甲方指定的地点视为交付，乙方同时需通知甲方货物已送达。</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第十四条　违约责任</w:t>
      </w:r>
    </w:p>
    <w:p>
      <w:pPr>
        <w:snapToGrid w:val="0"/>
        <w:spacing w:line="390" w:lineRule="exact"/>
        <w:ind w:firstLine="525" w:firstLineChars="250"/>
        <w:rPr>
          <w:rFonts w:hint="eastAsia" w:ascii="宋体"/>
          <w:color w:val="auto"/>
          <w:szCs w:val="21"/>
          <w:highlight w:val="none"/>
        </w:rPr>
      </w:pPr>
      <w:r>
        <w:rPr>
          <w:rFonts w:hint="eastAsia" w:ascii="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90" w:lineRule="exact"/>
        <w:ind w:firstLine="472" w:firstLineChars="225"/>
        <w:rPr>
          <w:rFonts w:hint="eastAsia" w:ascii="宋体"/>
          <w:color w:val="auto"/>
          <w:szCs w:val="21"/>
          <w:highlight w:val="none"/>
        </w:rPr>
      </w:pPr>
      <w:r>
        <w:rPr>
          <w:rFonts w:hint="eastAsia" w:ascii="宋体"/>
          <w:color w:val="auto"/>
          <w:szCs w:val="21"/>
          <w:highlight w:val="none"/>
        </w:rPr>
        <w:t>2．乙方提供的货物如侵犯了第三方合法权益而引发的任何纠纷或诉讼，均由乙方负责交涉并承担全部责任。</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3．因包装、运输引起的货物损坏，按质量不合格处罚。</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4．乙方逾期交货的，每天向对方偿付违约货款额3‰违约金，但违约金累计不得超过违约货款额</w:t>
      </w:r>
      <w:r>
        <w:rPr>
          <w:rFonts w:hint="eastAsia" w:ascii="宋体"/>
          <w:color w:val="auto"/>
          <w:szCs w:val="21"/>
          <w:highlight w:val="none"/>
          <w:u w:val="single"/>
        </w:rPr>
        <w:t>5%</w:t>
      </w:r>
      <w:r>
        <w:rPr>
          <w:rFonts w:hint="eastAsia" w:ascii="宋体"/>
          <w:color w:val="auto"/>
          <w:szCs w:val="21"/>
          <w:highlight w:val="none"/>
        </w:rPr>
        <w:t>，超过</w:t>
      </w:r>
      <w:r>
        <w:rPr>
          <w:rFonts w:hint="eastAsia" w:ascii="宋体"/>
          <w:color w:val="auto"/>
          <w:szCs w:val="21"/>
          <w:highlight w:val="none"/>
          <w:u w:val="single"/>
        </w:rPr>
        <w:t xml:space="preserve">   </w:t>
      </w:r>
      <w:r>
        <w:rPr>
          <w:rFonts w:hint="eastAsia" w:ascii="宋体"/>
          <w:color w:val="auto"/>
          <w:szCs w:val="21"/>
          <w:highlight w:val="none"/>
        </w:rPr>
        <w:t>天对方有权解除合同，违约方承担因此给对方造成经济损失；甲方延期付货款的，每天向乙方偿付延期货款额</w:t>
      </w:r>
      <w:r>
        <w:rPr>
          <w:rFonts w:hint="eastAsia" w:ascii="宋体"/>
          <w:color w:val="auto"/>
          <w:szCs w:val="21"/>
          <w:highlight w:val="none"/>
          <w:u w:val="single"/>
        </w:rPr>
        <w:t xml:space="preserve">3‰ </w:t>
      </w:r>
      <w:r>
        <w:rPr>
          <w:rFonts w:hint="eastAsia" w:ascii="宋体"/>
          <w:color w:val="auto"/>
          <w:szCs w:val="21"/>
          <w:highlight w:val="none"/>
        </w:rPr>
        <w:t>滞纳金，但滞纳金累计不得超过延期货款额</w:t>
      </w:r>
      <w:r>
        <w:rPr>
          <w:rFonts w:hint="eastAsia" w:ascii="宋体"/>
          <w:color w:val="auto"/>
          <w:szCs w:val="21"/>
          <w:highlight w:val="none"/>
          <w:u w:val="single"/>
        </w:rPr>
        <w:t>5%</w:t>
      </w:r>
      <w:r>
        <w:rPr>
          <w:rFonts w:hint="eastAsia" w:ascii="宋体"/>
          <w:color w:val="auto"/>
          <w:szCs w:val="21"/>
          <w:highlight w:val="none"/>
        </w:rPr>
        <w:t>。</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5．乙方未按本合同和投标文件中规定的服务承诺提供售后服务的，乙方应按本合同合计金额</w:t>
      </w:r>
      <w:r>
        <w:rPr>
          <w:rFonts w:hint="eastAsia" w:ascii="宋体"/>
          <w:color w:val="auto"/>
          <w:szCs w:val="21"/>
          <w:highlight w:val="none"/>
          <w:u w:val="single"/>
        </w:rPr>
        <w:t xml:space="preserve"> 5%</w:t>
      </w:r>
      <w:r>
        <w:rPr>
          <w:rFonts w:hint="eastAsia" w:ascii="宋体"/>
          <w:color w:val="auto"/>
          <w:szCs w:val="21"/>
          <w:highlight w:val="none"/>
        </w:rPr>
        <w:t>向甲方支付违约金。</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6．乙方提供的货物在质量保证期内，因设计、工艺或材料的缺陷和其它质量原因造成的问题，由乙方负责，费用从</w:t>
      </w:r>
      <w:r>
        <w:rPr>
          <w:rFonts w:hint="eastAsia"/>
          <w:color w:val="auto"/>
          <w:highlight w:val="none"/>
        </w:rPr>
        <w:t>履</w:t>
      </w:r>
      <w:r>
        <w:rPr>
          <w:rFonts w:hint="eastAsia" w:ascii="宋体"/>
          <w:color w:val="auto"/>
          <w:szCs w:val="21"/>
          <w:highlight w:val="none"/>
        </w:rPr>
        <w:t>约保证金中扣除，履约保证金不足以支付的，由乙方另行支付。</w:t>
      </w:r>
    </w:p>
    <w:p>
      <w:pPr>
        <w:snapToGrid w:val="0"/>
        <w:spacing w:line="390" w:lineRule="exact"/>
        <w:ind w:firstLine="420" w:firstLineChars="200"/>
        <w:rPr>
          <w:rFonts w:hint="default" w:ascii="宋体" w:eastAsia="宋体"/>
          <w:color w:val="auto"/>
          <w:szCs w:val="21"/>
          <w:highlight w:val="none"/>
          <w:lang w:val="en-US" w:eastAsia="zh-CN"/>
        </w:rPr>
      </w:pPr>
      <w:r>
        <w:rPr>
          <w:rFonts w:hint="eastAsia" w:ascii="宋体"/>
          <w:color w:val="auto"/>
          <w:szCs w:val="21"/>
          <w:highlight w:val="none"/>
        </w:rPr>
        <w:t>7．其它违约行为按违约货款额5%收取违约金并赔偿经济损失。</w:t>
      </w:r>
    </w:p>
    <w:p>
      <w:pPr>
        <w:pStyle w:val="22"/>
        <w:snapToGrid w:val="0"/>
        <w:spacing w:line="390" w:lineRule="exact"/>
        <w:ind w:firstLine="413" w:firstLineChars="196"/>
        <w:rPr>
          <w:rFonts w:hint="eastAsia"/>
          <w:b/>
          <w:color w:val="auto"/>
          <w:highlight w:val="none"/>
        </w:rPr>
      </w:pPr>
      <w:r>
        <w:rPr>
          <w:rFonts w:hint="eastAsia"/>
          <w:b/>
          <w:color w:val="auto"/>
          <w:highlight w:val="none"/>
        </w:rPr>
        <w:t>第十五条  不可抗力事件处理</w:t>
      </w:r>
    </w:p>
    <w:p>
      <w:pPr>
        <w:pStyle w:val="22"/>
        <w:snapToGrid w:val="0"/>
        <w:spacing w:line="390" w:lineRule="exact"/>
        <w:ind w:firstLine="420" w:firstLineChars="200"/>
        <w:rPr>
          <w:rFonts w:hint="eastAsia"/>
          <w:color w:val="auto"/>
          <w:highlight w:val="none"/>
        </w:rPr>
      </w:pPr>
      <w:r>
        <w:rPr>
          <w:rFonts w:hint="eastAsia"/>
          <w:color w:val="auto"/>
          <w:highlight w:val="none"/>
        </w:rPr>
        <w:t>1. 在合同有效期内，任何一方因不可抗力事件导致不能履行合同，则合同履行期可延长，其延长期与不可抗力影响期相同。</w:t>
      </w:r>
    </w:p>
    <w:p>
      <w:pPr>
        <w:pStyle w:val="22"/>
        <w:snapToGrid w:val="0"/>
        <w:spacing w:line="390" w:lineRule="exact"/>
        <w:ind w:firstLine="420" w:firstLineChars="200"/>
        <w:rPr>
          <w:rFonts w:hint="eastAsia"/>
          <w:color w:val="auto"/>
          <w:highlight w:val="none"/>
        </w:rPr>
      </w:pPr>
      <w:r>
        <w:rPr>
          <w:rFonts w:hint="eastAsia"/>
          <w:color w:val="auto"/>
          <w:highlight w:val="none"/>
        </w:rPr>
        <w:t>2. 不可抗力事件发生后，应立即通知对方，并寄送有关权威机构出具的证明。</w:t>
      </w:r>
    </w:p>
    <w:p>
      <w:pPr>
        <w:pStyle w:val="22"/>
        <w:snapToGrid w:val="0"/>
        <w:spacing w:line="390" w:lineRule="exact"/>
        <w:ind w:firstLine="420" w:firstLineChars="200"/>
        <w:rPr>
          <w:rFonts w:hint="eastAsia"/>
          <w:color w:val="auto"/>
          <w:highlight w:val="none"/>
        </w:rPr>
      </w:pPr>
      <w:r>
        <w:rPr>
          <w:rFonts w:hint="eastAsia"/>
          <w:color w:val="auto"/>
          <w:highlight w:val="none"/>
        </w:rPr>
        <w:t>3. 不可抗力事件延续一百二十天以上，双方应通过友好协商，确定是否继续履行合同。</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第十六条  合同争议解决</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2．因履行本合同引起的或与本合同有关的争议，甲乙双方应首先通过友好协商解决，如果协商不能解决，可向甲方所在地的有管辖权人民法院提起诉讼。</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3．诉讼期间，本合同继续履行。</w:t>
      </w:r>
    </w:p>
    <w:p>
      <w:pPr>
        <w:pStyle w:val="22"/>
        <w:snapToGrid w:val="0"/>
        <w:spacing w:line="390" w:lineRule="exact"/>
        <w:ind w:firstLine="413" w:firstLineChars="196"/>
        <w:rPr>
          <w:rFonts w:hint="eastAsia"/>
          <w:b/>
          <w:color w:val="auto"/>
          <w:highlight w:val="none"/>
        </w:rPr>
      </w:pPr>
      <w:r>
        <w:rPr>
          <w:rFonts w:hint="eastAsia"/>
          <w:b/>
          <w:color w:val="auto"/>
          <w:highlight w:val="none"/>
        </w:rPr>
        <w:t>第十七条  诉讼</w:t>
      </w:r>
    </w:p>
    <w:p>
      <w:pPr>
        <w:pStyle w:val="22"/>
        <w:snapToGrid w:val="0"/>
        <w:spacing w:line="390" w:lineRule="exact"/>
        <w:rPr>
          <w:rFonts w:hint="eastAsia"/>
          <w:color w:val="auto"/>
          <w:highlight w:val="none"/>
        </w:rPr>
      </w:pPr>
      <w:r>
        <w:rPr>
          <w:rFonts w:hint="eastAsia"/>
          <w:color w:val="auto"/>
          <w:highlight w:val="none"/>
        </w:rPr>
        <w:t xml:space="preserve">    双方在执行合同中所发生的一切争议，应通过协商解决。如果协商不能解决，可向仲裁委员会申请仲裁或向人民法院提起诉讼。</w:t>
      </w:r>
    </w:p>
    <w:p>
      <w:pPr>
        <w:pStyle w:val="22"/>
        <w:snapToGrid w:val="0"/>
        <w:spacing w:line="390" w:lineRule="exact"/>
        <w:rPr>
          <w:rFonts w:hint="eastAsia"/>
          <w:b/>
          <w:color w:val="auto"/>
          <w:highlight w:val="none"/>
        </w:rPr>
      </w:pPr>
      <w:r>
        <w:rPr>
          <w:rFonts w:hint="eastAsia"/>
          <w:b/>
          <w:color w:val="auto"/>
          <w:highlight w:val="none"/>
        </w:rPr>
        <w:t xml:space="preserve">    第十八条  合同生效及其它</w:t>
      </w:r>
    </w:p>
    <w:p>
      <w:pPr>
        <w:pStyle w:val="22"/>
        <w:snapToGrid w:val="0"/>
        <w:spacing w:line="390" w:lineRule="exact"/>
        <w:rPr>
          <w:rFonts w:hint="eastAsia"/>
          <w:color w:val="auto"/>
          <w:highlight w:val="none"/>
        </w:rPr>
      </w:pPr>
      <w:r>
        <w:rPr>
          <w:rFonts w:hint="eastAsia"/>
          <w:b/>
          <w:color w:val="auto"/>
          <w:highlight w:val="none"/>
        </w:rPr>
        <w:t xml:space="preserve">   </w:t>
      </w:r>
      <w:r>
        <w:rPr>
          <w:rFonts w:hint="eastAsia"/>
          <w:color w:val="auto"/>
          <w:highlight w:val="none"/>
        </w:rPr>
        <w:t xml:space="preserve"> 1．合同经双方法定代表人或授权代表签字并加盖单位公章后生效。</w:t>
      </w:r>
    </w:p>
    <w:p>
      <w:pPr>
        <w:pStyle w:val="22"/>
        <w:snapToGrid w:val="0"/>
        <w:spacing w:line="390" w:lineRule="exact"/>
        <w:rPr>
          <w:rFonts w:hint="eastAsia"/>
          <w:color w:val="auto"/>
          <w:highlight w:val="none"/>
        </w:rPr>
      </w:pPr>
      <w:r>
        <w:rPr>
          <w:rFonts w:hint="eastAsia"/>
          <w:color w:val="auto"/>
          <w:highlight w:val="none"/>
        </w:rPr>
        <w:t xml:space="preserve">    2．合同执行中涉及采购资金和采购内容修改或补充的，须经财政部门审批，并签书面补充协议报财政部门备案，方可作为主合同不可分割的一部分。</w:t>
      </w:r>
    </w:p>
    <w:p>
      <w:pPr>
        <w:pStyle w:val="22"/>
        <w:snapToGrid w:val="0"/>
        <w:spacing w:line="390" w:lineRule="exact"/>
        <w:rPr>
          <w:rFonts w:hint="eastAsia"/>
          <w:color w:val="auto"/>
          <w:highlight w:val="none"/>
        </w:rPr>
      </w:pPr>
      <w:r>
        <w:rPr>
          <w:rFonts w:hint="eastAsia"/>
          <w:color w:val="auto"/>
          <w:highlight w:val="none"/>
        </w:rPr>
        <w:t xml:space="preserve">    3．</w:t>
      </w:r>
      <w:r>
        <w:rPr>
          <w:rFonts w:hint="eastAsia" w:hAnsi="宋体" w:cs="宋体"/>
          <w:color w:val="auto"/>
          <w:highlight w:val="none"/>
          <w:shd w:val="clear" w:color="auto" w:fill="auto"/>
          <w:lang w:val="en-US" w:eastAsia="zh-CN"/>
        </w:rPr>
        <w:t>本合同未尽事宜</w:t>
      </w:r>
      <w:r>
        <w:rPr>
          <w:rFonts w:hint="eastAsia" w:ascii="宋体" w:hAnsi="宋体" w:eastAsia="宋体" w:cs="宋体"/>
          <w:color w:val="auto"/>
          <w:kern w:val="1"/>
          <w:sz w:val="21"/>
          <w:szCs w:val="21"/>
          <w:highlight w:val="none"/>
          <w:shd w:val="clear" w:color="auto" w:fill="auto"/>
          <w:lang w:eastAsia="zh-CN"/>
        </w:rPr>
        <w:t>（</w:t>
      </w:r>
      <w:r>
        <w:rPr>
          <w:rFonts w:hint="eastAsia" w:ascii="宋体" w:hAnsi="宋体" w:eastAsia="宋体" w:cs="宋体"/>
          <w:color w:val="auto"/>
          <w:kern w:val="1"/>
          <w:sz w:val="21"/>
          <w:szCs w:val="21"/>
          <w:highlight w:val="none"/>
          <w:shd w:val="clear" w:color="auto" w:fill="auto"/>
          <w:lang w:val="en-US" w:eastAsia="zh-CN"/>
        </w:rPr>
        <w:t>包括采购文件及</w:t>
      </w:r>
      <w:r>
        <w:rPr>
          <w:rFonts w:hint="eastAsia" w:cs="宋体"/>
          <w:color w:val="auto"/>
          <w:kern w:val="1"/>
          <w:sz w:val="21"/>
          <w:szCs w:val="21"/>
          <w:highlight w:val="none"/>
          <w:shd w:val="clear" w:color="auto" w:fill="auto"/>
          <w:lang w:val="en-US" w:eastAsia="zh-CN"/>
        </w:rPr>
        <w:t>响应</w:t>
      </w:r>
      <w:r>
        <w:rPr>
          <w:rFonts w:hint="eastAsia" w:ascii="宋体" w:hAnsi="宋体" w:eastAsia="宋体" w:cs="宋体"/>
          <w:color w:val="auto"/>
          <w:kern w:val="1"/>
          <w:sz w:val="21"/>
          <w:szCs w:val="21"/>
          <w:highlight w:val="none"/>
          <w:shd w:val="clear" w:color="auto" w:fill="auto"/>
          <w:lang w:val="en-US" w:eastAsia="zh-CN"/>
        </w:rPr>
        <w:t>文件</w:t>
      </w:r>
      <w:r>
        <w:rPr>
          <w:rFonts w:hint="eastAsia" w:ascii="宋体" w:hAnsi="宋体" w:eastAsia="宋体" w:cs="宋体"/>
          <w:color w:val="auto"/>
          <w:kern w:val="1"/>
          <w:sz w:val="21"/>
          <w:szCs w:val="21"/>
          <w:highlight w:val="none"/>
          <w:shd w:val="clear" w:color="auto" w:fill="auto"/>
          <w:lang w:eastAsia="zh-CN"/>
        </w:rPr>
        <w:t>）</w:t>
      </w:r>
      <w:r>
        <w:rPr>
          <w:rFonts w:hint="eastAsia"/>
          <w:color w:val="auto"/>
          <w:highlight w:val="none"/>
        </w:rPr>
        <w:t>，遵照《中华人民共和国民法典》有关条文执行。</w:t>
      </w:r>
    </w:p>
    <w:p>
      <w:pPr>
        <w:pStyle w:val="22"/>
        <w:snapToGrid w:val="0"/>
        <w:spacing w:line="390" w:lineRule="exact"/>
        <w:rPr>
          <w:rFonts w:hint="eastAsia"/>
          <w:b/>
          <w:color w:val="auto"/>
          <w:highlight w:val="none"/>
        </w:rPr>
      </w:pPr>
      <w:r>
        <w:rPr>
          <w:rFonts w:hint="eastAsia" w:hAnsi="宋体"/>
          <w:color w:val="auto"/>
          <w:highlight w:val="none"/>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第十九条　合同的变更、终止与转让</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1．除《中华人民共和国政府采购法》第五十条规定的情形外，本合同一经签订，甲乙双方不得擅自变更、中止或终止。</w:t>
      </w:r>
    </w:p>
    <w:p>
      <w:pPr>
        <w:pStyle w:val="22"/>
        <w:snapToGrid w:val="0"/>
        <w:spacing w:line="390" w:lineRule="exact"/>
        <w:ind w:firstLine="411" w:firstLineChars="196"/>
        <w:rPr>
          <w:rFonts w:hint="eastAsia"/>
          <w:b/>
          <w:color w:val="auto"/>
          <w:highlight w:val="none"/>
        </w:rPr>
      </w:pPr>
      <w:r>
        <w:rPr>
          <w:rFonts w:hint="eastAsia"/>
          <w:color w:val="auto"/>
          <w:highlight w:val="none"/>
        </w:rPr>
        <w:t>2．乙方不得擅自转让（无进口资格的供应商委托进口货物除外）其应履行的合同义务。</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第二十条　签订本合同依据</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1、谈判文件</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2、乙方提供的响应文件</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3、谈判书</w:t>
      </w:r>
    </w:p>
    <w:p>
      <w:pPr>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4、成交通知书</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第二十一条　</w:t>
      </w:r>
      <w:r>
        <w:rPr>
          <w:rFonts w:hint="eastAsia" w:ascii="宋体"/>
          <w:bCs/>
          <w:color w:val="auto"/>
          <w:szCs w:val="21"/>
          <w:highlight w:val="none"/>
          <w:lang w:val="en"/>
        </w:rPr>
        <w:t>本合同一式六份，具有同等法律效力。广西壮族自治区财政厅政府采购监督管理处、代理机构各一份，甲方三份，乙方一份。自签订之日起两个工作日内，</w:t>
      </w:r>
      <w:r>
        <w:rPr>
          <w:rFonts w:hint="eastAsia" w:ascii="宋体"/>
          <w:bCs/>
          <w:color w:val="auto"/>
          <w:szCs w:val="21"/>
          <w:highlight w:val="none"/>
          <w:lang w:val="en" w:eastAsia="zh-CN"/>
        </w:rPr>
        <w:t>甲方</w:t>
      </w:r>
      <w:r>
        <w:rPr>
          <w:rFonts w:hint="eastAsia" w:ascii="宋体"/>
          <w:bCs/>
          <w:color w:val="auto"/>
          <w:szCs w:val="21"/>
          <w:highlight w:val="none"/>
          <w:lang w:val="en"/>
        </w:rPr>
        <w:t>应当将合同通过广西政府采购云平台上传完成合同网上公示。</w:t>
      </w:r>
    </w:p>
    <w:p>
      <w:pPr>
        <w:snapToGrid w:val="0"/>
        <w:spacing w:line="390" w:lineRule="exact"/>
        <w:ind w:firstLine="420" w:firstLineChars="200"/>
        <w:rPr>
          <w:rFonts w:hint="eastAsia" w:ascii="宋体"/>
          <w:color w:val="auto"/>
          <w:szCs w:val="21"/>
          <w:highlight w:val="none"/>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 xml:space="preserve">甲方（章）           </w:t>
            </w:r>
          </w:p>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p>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945" w:firstLineChars="450"/>
              <w:jc w:val="right"/>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 xml:space="preserve">乙方（章）             </w:t>
            </w:r>
          </w:p>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p>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p>
          <w:p>
            <w:pPr>
              <w:keepNext w:val="0"/>
              <w:keepLines w:val="0"/>
              <w:suppressLineNumbers w:val="0"/>
              <w:snapToGrid w:val="0"/>
              <w:spacing w:before="0" w:beforeAutospacing="0" w:after="0" w:afterAutospacing="0" w:line="360" w:lineRule="exact"/>
              <w:ind w:left="0" w:right="0"/>
              <w:jc w:val="right"/>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通讯地址：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经办人：</w:t>
            </w:r>
          </w:p>
          <w:p>
            <w:pPr>
              <w:keepNext w:val="0"/>
              <w:keepLines w:val="0"/>
              <w:suppressLineNumbers w:val="0"/>
              <w:snapToGrid w:val="0"/>
              <w:spacing w:before="0" w:beforeAutospacing="0" w:after="0" w:afterAutospacing="0" w:line="360" w:lineRule="exact"/>
              <w:ind w:left="0" w:right="0"/>
              <w:rPr>
                <w:rFonts w:hint="eastAsia" w:ascii="宋体" w:hAnsi="Times New Roman"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630" w:firstLineChars="300"/>
              <w:jc w:val="right"/>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年    月    日</w:t>
            </w:r>
          </w:p>
        </w:tc>
      </w:tr>
    </w:tbl>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r>
        <w:rPr>
          <w:rFonts w:hint="eastAsia" w:ascii="宋体"/>
          <w:b/>
          <w:color w:val="auto"/>
          <w:sz w:val="28"/>
          <w:szCs w:val="28"/>
          <w:highlight w:val="none"/>
        </w:rPr>
        <w:t>合 同 附 件</w:t>
      </w:r>
    </w:p>
    <w:p>
      <w:pPr>
        <w:snapToGrid w:val="0"/>
        <w:spacing w:line="360" w:lineRule="exact"/>
        <w:jc w:val="center"/>
        <w:rPr>
          <w:rFonts w:hint="eastAsia" w:ascii="宋体"/>
          <w:b/>
          <w:color w:val="auto"/>
          <w:szCs w:val="21"/>
          <w:highlight w:val="none"/>
        </w:rPr>
      </w:pPr>
    </w:p>
    <w:tbl>
      <w:tblPr>
        <w:tblStyle w:val="41"/>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1300" w:hRule="atLeast"/>
        </w:trPr>
        <w:tc>
          <w:tcPr>
            <w:tcW w:w="9468" w:type="dxa"/>
            <w:gridSpan w:val="2"/>
            <w:tcBorders>
              <w:top w:val="single" w:color="auto" w:sz="4" w:space="0"/>
              <w:left w:val="single" w:color="auto" w:sz="4" w:space="0"/>
              <w:bottom w:val="nil"/>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1、供应商承诺具体事项：</w:t>
            </w:r>
          </w:p>
        </w:tc>
      </w:tr>
      <w:tr>
        <w:tblPrEx>
          <w:tblCellMar>
            <w:top w:w="0" w:type="dxa"/>
            <w:left w:w="108" w:type="dxa"/>
            <w:bottom w:w="0" w:type="dxa"/>
            <w:right w:w="108" w:type="dxa"/>
          </w:tblCellMar>
        </w:tblPrEx>
        <w:trPr>
          <w:trHeight w:val="1235" w:hRule="atLeast"/>
        </w:trPr>
        <w:tc>
          <w:tcPr>
            <w:tcW w:w="9468" w:type="dxa"/>
            <w:gridSpan w:val="2"/>
            <w:tcBorders>
              <w:top w:val="single" w:color="auto" w:sz="4" w:space="0"/>
              <w:left w:val="single" w:color="auto" w:sz="4" w:space="0"/>
              <w:bottom w:val="nil"/>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2、售后服务具体事项：</w:t>
            </w:r>
          </w:p>
        </w:tc>
      </w:tr>
      <w:tr>
        <w:tblPrEx>
          <w:tblCellMar>
            <w:top w:w="0" w:type="dxa"/>
            <w:left w:w="108" w:type="dxa"/>
            <w:bottom w:w="0" w:type="dxa"/>
            <w:right w:w="108" w:type="dxa"/>
          </w:tblCellMar>
        </w:tblPrEx>
        <w:trPr>
          <w:trHeight w:val="1327" w:hRule="atLeast"/>
        </w:trPr>
        <w:tc>
          <w:tcPr>
            <w:tcW w:w="9468" w:type="dxa"/>
            <w:gridSpan w:val="2"/>
            <w:tcBorders>
              <w:top w:val="single" w:color="auto" w:sz="4" w:space="0"/>
              <w:left w:val="single" w:color="auto" w:sz="4" w:space="0"/>
              <w:bottom w:val="nil"/>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3、保修期责任：</w:t>
            </w:r>
          </w:p>
        </w:tc>
      </w:tr>
      <w:tr>
        <w:tblPrEx>
          <w:tblCellMar>
            <w:top w:w="0" w:type="dxa"/>
            <w:left w:w="108" w:type="dxa"/>
            <w:bottom w:w="0" w:type="dxa"/>
            <w:right w:w="108" w:type="dxa"/>
          </w:tblCellMar>
        </w:tblPrEx>
        <w:trPr>
          <w:trHeight w:val="1312" w:hRule="atLeast"/>
        </w:trPr>
        <w:tc>
          <w:tcPr>
            <w:tcW w:w="9468" w:type="dxa"/>
            <w:gridSpan w:val="2"/>
            <w:tcBorders>
              <w:top w:val="single" w:color="auto" w:sz="4" w:space="0"/>
              <w:left w:val="single" w:color="auto" w:sz="4" w:space="0"/>
              <w:bottom w:val="nil"/>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4、其他具体事项：</w:t>
            </w:r>
          </w:p>
        </w:tc>
      </w:tr>
      <w:tr>
        <w:tblPrEx>
          <w:tblCellMar>
            <w:top w:w="0" w:type="dxa"/>
            <w:left w:w="108" w:type="dxa"/>
            <w:bottom w:w="0" w:type="dxa"/>
            <w:right w:w="108" w:type="dxa"/>
          </w:tblCellMar>
        </w:tblPrEx>
        <w:trPr>
          <w:trHeight w:val="2517" w:hRule="atLeast"/>
        </w:trPr>
        <w:tc>
          <w:tcPr>
            <w:tcW w:w="4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firstLine="421" w:firstLineChars="200"/>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甲方（章）</w:t>
            </w:r>
          </w:p>
          <w:p>
            <w:pPr>
              <w:keepNext w:val="0"/>
              <w:keepLines w:val="0"/>
              <w:suppressLineNumbers w:val="0"/>
              <w:snapToGrid w:val="0"/>
              <w:spacing w:before="0" w:beforeAutospacing="0" w:after="0" w:afterAutospacing="0" w:line="360" w:lineRule="exact"/>
              <w:ind w:left="0" w:right="0" w:firstLine="421" w:firstLineChars="200"/>
              <w:rPr>
                <w:rFonts w:hint="eastAsia" w:ascii="宋体" w:hAnsi="Times New Roman" w:cs="Times New Roman"/>
                <w:b/>
                <w:color w:val="auto"/>
                <w:szCs w:val="21"/>
                <w:highlight w:val="none"/>
              </w:rPr>
            </w:pPr>
          </w:p>
          <w:p>
            <w:pPr>
              <w:keepNext w:val="0"/>
              <w:keepLines w:val="0"/>
              <w:suppressLineNumbers w:val="0"/>
              <w:snapToGrid w:val="0"/>
              <w:spacing w:before="0" w:beforeAutospacing="0" w:after="0" w:afterAutospacing="0" w:line="360" w:lineRule="exact"/>
              <w:ind w:left="0" w:right="0" w:firstLine="421" w:firstLineChars="200"/>
              <w:rPr>
                <w:rFonts w:hint="eastAsia" w:ascii="宋体" w:hAnsi="Times New Roman" w:cs="Times New Roman"/>
                <w:b/>
                <w:color w:val="auto"/>
                <w:szCs w:val="21"/>
                <w:highlight w:val="none"/>
              </w:rPr>
            </w:pPr>
          </w:p>
          <w:p>
            <w:pPr>
              <w:keepNext w:val="0"/>
              <w:keepLines w:val="0"/>
              <w:suppressLineNumbers w:val="0"/>
              <w:snapToGrid w:val="0"/>
              <w:spacing w:before="0" w:beforeAutospacing="0" w:after="0" w:afterAutospacing="0" w:line="360" w:lineRule="exact"/>
              <w:ind w:left="0" w:right="0" w:firstLine="421" w:firstLineChars="200"/>
              <w:rPr>
                <w:rFonts w:hint="eastAsia" w:ascii="宋体" w:hAnsi="Times New Roman" w:cs="Times New Roman"/>
                <w:b/>
                <w:color w:val="auto"/>
                <w:szCs w:val="21"/>
                <w:highlight w:val="none"/>
              </w:rPr>
            </w:pPr>
          </w:p>
          <w:p>
            <w:pPr>
              <w:keepNext w:val="0"/>
              <w:keepLines w:val="0"/>
              <w:suppressLineNumbers w:val="0"/>
              <w:snapToGrid w:val="0"/>
              <w:spacing w:before="0" w:beforeAutospacing="0" w:after="0" w:afterAutospacing="0" w:line="360" w:lineRule="exact"/>
              <w:ind w:left="0" w:right="0" w:firstLine="421" w:firstLineChars="200"/>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firstLine="421" w:firstLineChars="200"/>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乙方（章）</w:t>
            </w:r>
          </w:p>
          <w:p>
            <w:pPr>
              <w:keepNext w:val="0"/>
              <w:keepLines w:val="0"/>
              <w:suppressLineNumbers w:val="0"/>
              <w:snapToGrid w:val="0"/>
              <w:spacing w:before="0" w:beforeAutospacing="0" w:after="0" w:afterAutospacing="0" w:line="360" w:lineRule="exact"/>
              <w:ind w:left="0" w:right="0" w:firstLine="421" w:firstLineChars="200"/>
              <w:rPr>
                <w:rFonts w:hint="eastAsia" w:ascii="宋体" w:hAnsi="Times New Roman" w:cs="Times New Roman"/>
                <w:b/>
                <w:color w:val="auto"/>
                <w:szCs w:val="21"/>
                <w:highlight w:val="none"/>
              </w:rPr>
            </w:pPr>
          </w:p>
          <w:p>
            <w:pPr>
              <w:keepNext w:val="0"/>
              <w:keepLines w:val="0"/>
              <w:suppressLineNumbers w:val="0"/>
              <w:snapToGrid w:val="0"/>
              <w:spacing w:before="0" w:beforeAutospacing="0" w:after="0" w:afterAutospacing="0" w:line="360" w:lineRule="exact"/>
              <w:ind w:left="0" w:right="0" w:firstLine="421" w:firstLineChars="200"/>
              <w:rPr>
                <w:rFonts w:hint="eastAsia" w:ascii="宋体" w:hAnsi="Times New Roman" w:cs="Times New Roman"/>
                <w:b/>
                <w:color w:val="auto"/>
                <w:szCs w:val="21"/>
                <w:highlight w:val="none"/>
              </w:rPr>
            </w:pPr>
          </w:p>
          <w:p>
            <w:pPr>
              <w:keepNext w:val="0"/>
              <w:keepLines w:val="0"/>
              <w:suppressLineNumbers w:val="0"/>
              <w:snapToGrid w:val="0"/>
              <w:spacing w:before="0" w:beforeAutospacing="0" w:after="0" w:afterAutospacing="0" w:line="360" w:lineRule="exact"/>
              <w:ind w:left="0" w:right="0" w:firstLine="421" w:firstLineChars="200"/>
              <w:rPr>
                <w:rFonts w:hint="eastAsia" w:ascii="宋体" w:hAnsi="Times New Roman" w:cs="Times New Roman"/>
                <w:b/>
                <w:color w:val="auto"/>
                <w:szCs w:val="21"/>
                <w:highlight w:val="none"/>
              </w:rPr>
            </w:pPr>
          </w:p>
          <w:p>
            <w:pPr>
              <w:keepNext w:val="0"/>
              <w:keepLines w:val="0"/>
              <w:suppressLineNumbers w:val="0"/>
              <w:snapToGrid w:val="0"/>
              <w:spacing w:before="0" w:beforeAutospacing="0" w:after="0" w:afterAutospacing="0" w:line="360" w:lineRule="exact"/>
              <w:ind w:left="0" w:right="0" w:firstLine="421" w:firstLineChars="200"/>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 xml:space="preserve">                       年   月   日</w:t>
            </w:r>
          </w:p>
        </w:tc>
      </w:tr>
    </w:tbl>
    <w:p>
      <w:pPr>
        <w:snapToGrid w:val="0"/>
        <w:spacing w:line="360" w:lineRule="exact"/>
        <w:rPr>
          <w:rFonts w:hint="eastAsia" w:ascii="宋体"/>
          <w:color w:val="auto"/>
          <w:szCs w:val="21"/>
          <w:highlight w:val="none"/>
        </w:rPr>
      </w:pPr>
      <w:r>
        <w:rPr>
          <w:rFonts w:hint="eastAsia" w:ascii="宋体"/>
          <w:color w:val="auto"/>
          <w:szCs w:val="21"/>
          <w:highlight w:val="none"/>
        </w:rPr>
        <w:t xml:space="preserve">  注：售后服务事项填不下时可另加附页</w:t>
      </w:r>
    </w:p>
    <w:p>
      <w:pPr>
        <w:pageBreakBefore/>
        <w:spacing w:line="300" w:lineRule="auto"/>
        <w:ind w:firstLine="3266"/>
        <w:rPr>
          <w:rFonts w:ascii="仿宋_GB2312" w:hAnsi="仿宋_GB2312" w:eastAsia="仿宋_GB2312"/>
          <w:b/>
          <w:color w:val="auto"/>
          <w:sz w:val="44"/>
          <w:szCs w:val="44"/>
          <w:highlight w:val="none"/>
        </w:rPr>
      </w:pPr>
    </w:p>
    <w:p>
      <w:pPr>
        <w:spacing w:line="300" w:lineRule="auto"/>
        <w:ind w:firstLine="3264"/>
        <w:rPr>
          <w:rFonts w:ascii="仿宋_GB2312" w:hAnsi="仿宋_GB2312" w:eastAsia="仿宋_GB2312"/>
          <w:b/>
          <w:color w:val="auto"/>
          <w:sz w:val="44"/>
          <w:szCs w:val="44"/>
          <w:highlight w:val="none"/>
        </w:rPr>
      </w:pPr>
    </w:p>
    <w:p>
      <w:pPr>
        <w:spacing w:line="300" w:lineRule="auto"/>
        <w:ind w:firstLine="3264"/>
        <w:rPr>
          <w:rFonts w:ascii="仿宋_GB2312" w:hAnsi="仿宋_GB2312" w:eastAsia="仿宋_GB2312"/>
          <w:b/>
          <w:color w:val="auto"/>
          <w:sz w:val="44"/>
          <w:szCs w:val="44"/>
          <w:highlight w:val="none"/>
        </w:rPr>
      </w:pPr>
    </w:p>
    <w:p>
      <w:pPr>
        <w:spacing w:line="300" w:lineRule="auto"/>
        <w:ind w:firstLine="3264"/>
        <w:rPr>
          <w:rFonts w:ascii="仿宋_GB2312" w:hAnsi="仿宋_GB2312" w:eastAsia="仿宋_GB2312"/>
          <w:b/>
          <w:color w:val="auto"/>
          <w:sz w:val="44"/>
          <w:szCs w:val="44"/>
          <w:highlight w:val="none"/>
        </w:rPr>
      </w:pPr>
    </w:p>
    <w:p>
      <w:pPr>
        <w:spacing w:line="300" w:lineRule="auto"/>
        <w:ind w:firstLine="3264"/>
        <w:rPr>
          <w:rFonts w:ascii="仿宋_GB2312" w:hAnsi="仿宋_GB2312" w:eastAsia="仿宋_GB2312"/>
          <w:b/>
          <w:color w:val="auto"/>
          <w:sz w:val="44"/>
          <w:szCs w:val="44"/>
          <w:highlight w:val="none"/>
        </w:rPr>
      </w:pPr>
    </w:p>
    <w:p>
      <w:pPr>
        <w:spacing w:line="300" w:lineRule="auto"/>
        <w:ind w:firstLine="3264"/>
        <w:rPr>
          <w:rFonts w:ascii="仿宋_GB2312" w:hAnsi="仿宋_GB2312" w:eastAsia="仿宋_GB2312"/>
          <w:b/>
          <w:color w:val="auto"/>
          <w:sz w:val="44"/>
          <w:szCs w:val="44"/>
          <w:highlight w:val="none"/>
        </w:rPr>
      </w:pPr>
    </w:p>
    <w:p>
      <w:pPr>
        <w:spacing w:line="300" w:lineRule="auto"/>
        <w:ind w:firstLine="3264"/>
        <w:rPr>
          <w:rFonts w:ascii="仿宋_GB2312" w:hAnsi="仿宋_GB2312" w:eastAsia="仿宋_GB2312"/>
          <w:b/>
          <w:color w:val="auto"/>
          <w:sz w:val="44"/>
          <w:szCs w:val="44"/>
          <w:highlight w:val="none"/>
        </w:rPr>
      </w:pPr>
    </w:p>
    <w:p>
      <w:pPr>
        <w:spacing w:line="300" w:lineRule="auto"/>
        <w:ind w:firstLine="3264"/>
        <w:rPr>
          <w:rFonts w:ascii="仿宋_GB2312" w:hAnsi="仿宋_GB2312" w:eastAsia="仿宋_GB2312"/>
          <w:b/>
          <w:color w:val="auto"/>
          <w:sz w:val="44"/>
          <w:szCs w:val="44"/>
          <w:highlight w:val="none"/>
        </w:rPr>
      </w:pPr>
    </w:p>
    <w:p>
      <w:pPr>
        <w:pStyle w:val="3"/>
        <w:jc w:val="center"/>
        <w:rPr>
          <w:color w:val="auto"/>
          <w:highlight w:val="none"/>
        </w:rPr>
      </w:pPr>
      <w:bookmarkStart w:id="55" w:name="_Toc46136761"/>
      <w:r>
        <w:rPr>
          <w:rFonts w:hint="eastAsia"/>
          <w:color w:val="auto"/>
          <w:highlight w:val="none"/>
        </w:rPr>
        <w:t xml:space="preserve">第六章  </w:t>
      </w:r>
      <w:bookmarkEnd w:id="55"/>
      <w:r>
        <w:rPr>
          <w:rFonts w:hint="eastAsia"/>
          <w:color w:val="auto"/>
          <w:highlight w:val="none"/>
        </w:rPr>
        <w:t>评审方法与评定标准</w:t>
      </w:r>
    </w:p>
    <w:p>
      <w:pPr>
        <w:pStyle w:val="22"/>
        <w:spacing w:line="440" w:lineRule="exact"/>
        <w:rPr>
          <w:rFonts w:ascii="黑体" w:hAnsi="黑体" w:eastAsia="黑体"/>
          <w:b/>
          <w:color w:val="auto"/>
          <w:sz w:val="32"/>
          <w:szCs w:val="32"/>
          <w:highlight w:val="none"/>
        </w:rPr>
      </w:pPr>
    </w:p>
    <w:p>
      <w:pPr>
        <w:pStyle w:val="22"/>
        <w:spacing w:line="440" w:lineRule="exact"/>
        <w:rPr>
          <w:rFonts w:ascii="黑体" w:hAnsi="黑体" w:eastAsia="黑体"/>
          <w:b/>
          <w:color w:val="auto"/>
          <w:sz w:val="32"/>
          <w:szCs w:val="32"/>
          <w:highlight w:val="none"/>
        </w:rPr>
      </w:pPr>
    </w:p>
    <w:p>
      <w:pPr>
        <w:pStyle w:val="22"/>
        <w:spacing w:line="440" w:lineRule="exact"/>
        <w:rPr>
          <w:rFonts w:ascii="黑体" w:hAnsi="黑体" w:eastAsia="黑体"/>
          <w:b/>
          <w:color w:val="auto"/>
          <w:sz w:val="32"/>
          <w:szCs w:val="32"/>
          <w:highlight w:val="none"/>
        </w:rPr>
      </w:pPr>
    </w:p>
    <w:p>
      <w:pPr>
        <w:pStyle w:val="22"/>
        <w:spacing w:line="440" w:lineRule="exact"/>
        <w:rPr>
          <w:rFonts w:ascii="黑体" w:hAnsi="黑体" w:eastAsia="黑体"/>
          <w:b/>
          <w:color w:val="auto"/>
          <w:sz w:val="32"/>
          <w:szCs w:val="32"/>
          <w:highlight w:val="none"/>
        </w:rPr>
      </w:pPr>
    </w:p>
    <w:p>
      <w:pPr>
        <w:pStyle w:val="22"/>
        <w:pageBreakBefore/>
        <w:spacing w:line="440" w:lineRule="exact"/>
        <w:rPr>
          <w:rFonts w:ascii="黑体" w:hAnsi="黑体" w:eastAsia="黑体"/>
          <w:b/>
          <w:color w:val="auto"/>
          <w:sz w:val="32"/>
          <w:szCs w:val="32"/>
          <w:highlight w:val="none"/>
        </w:rPr>
      </w:pPr>
    </w:p>
    <w:p>
      <w:pPr>
        <w:pStyle w:val="22"/>
        <w:spacing w:line="360" w:lineRule="auto"/>
        <w:rPr>
          <w:rFonts w:hint="eastAsia"/>
          <w:b/>
          <w:color w:val="auto"/>
          <w:highlight w:val="none"/>
        </w:rPr>
      </w:pPr>
      <w:r>
        <w:rPr>
          <w:rFonts w:hint="eastAsia"/>
          <w:b/>
          <w:color w:val="auto"/>
          <w:sz w:val="32"/>
          <w:szCs w:val="32"/>
          <w:highlight w:val="none"/>
          <w:lang w:val="en-US" w:eastAsia="zh-CN"/>
        </w:rPr>
        <w:t xml:space="preserve">                      </w:t>
      </w:r>
      <w:r>
        <w:rPr>
          <w:rFonts w:hint="eastAsia"/>
          <w:b/>
          <w:color w:val="auto"/>
          <w:sz w:val="32"/>
          <w:szCs w:val="32"/>
          <w:highlight w:val="none"/>
        </w:rPr>
        <w:t>评审方法与评定标准</w:t>
      </w:r>
    </w:p>
    <w:p>
      <w:pPr>
        <w:pStyle w:val="22"/>
        <w:spacing w:line="360" w:lineRule="auto"/>
        <w:rPr>
          <w:rFonts w:hint="eastAsia"/>
          <w:b/>
          <w:color w:val="auto"/>
          <w:highlight w:val="none"/>
        </w:rPr>
      </w:pPr>
      <w:r>
        <w:rPr>
          <w:rFonts w:hint="eastAsia"/>
          <w:b/>
          <w:color w:val="auto"/>
          <w:highlight w:val="none"/>
        </w:rPr>
        <w:t>一、评审原则</w:t>
      </w:r>
    </w:p>
    <w:p>
      <w:pPr>
        <w:pStyle w:val="22"/>
        <w:spacing w:line="360" w:lineRule="auto"/>
        <w:rPr>
          <w:rFonts w:hint="eastAsia"/>
          <w:bCs/>
          <w:color w:val="auto"/>
          <w:highlight w:val="none"/>
        </w:rPr>
      </w:pPr>
      <w:r>
        <w:rPr>
          <w:rFonts w:hint="eastAsia"/>
          <w:bCs/>
          <w:color w:val="auto"/>
          <w:highlight w:val="none"/>
        </w:rPr>
        <w:t xml:space="preserve">    （一）谈判小组成员组成：本竞争性谈判采购项目的谈判小组由采购人代表和评审专家共三人以上的单数组成（达到公开招标数额标准以上的项目，竞争性谈判小组成员由五人以上单数组成），其中评审专家的人数不得少于谈判小组成员总数的三分之二。</w:t>
      </w:r>
    </w:p>
    <w:p>
      <w:pPr>
        <w:pStyle w:val="22"/>
        <w:spacing w:line="360" w:lineRule="auto"/>
        <w:rPr>
          <w:rFonts w:hint="eastAsia"/>
          <w:bCs/>
          <w:color w:val="auto"/>
          <w:highlight w:val="none"/>
        </w:rPr>
      </w:pPr>
      <w:r>
        <w:rPr>
          <w:rFonts w:hint="eastAsia"/>
          <w:bCs/>
          <w:color w:val="auto"/>
          <w:highlight w:val="none"/>
        </w:rPr>
        <w:t xml:space="preserve">    （二）评审依据：以竞争性谈判文件和竞争性谈判响应文件为依据。</w:t>
      </w:r>
    </w:p>
    <w:p>
      <w:pPr>
        <w:pStyle w:val="22"/>
        <w:spacing w:line="360" w:lineRule="auto"/>
        <w:rPr>
          <w:rFonts w:hint="eastAsia"/>
          <w:b/>
          <w:color w:val="auto"/>
          <w:highlight w:val="none"/>
        </w:rPr>
      </w:pPr>
      <w:r>
        <w:rPr>
          <w:rFonts w:hint="eastAsia"/>
          <w:b/>
          <w:color w:val="auto"/>
          <w:highlight w:val="none"/>
        </w:rPr>
        <w:t>二、评审方法</w:t>
      </w:r>
    </w:p>
    <w:p>
      <w:pPr>
        <w:pStyle w:val="22"/>
        <w:spacing w:line="360" w:lineRule="auto"/>
        <w:rPr>
          <w:rFonts w:hint="eastAsia"/>
          <w:bCs/>
          <w:color w:val="auto"/>
          <w:highlight w:val="none"/>
        </w:rPr>
      </w:pPr>
      <w:r>
        <w:rPr>
          <w:rFonts w:hint="eastAsia"/>
          <w:bCs/>
          <w:color w:val="auto"/>
          <w:highlight w:val="none"/>
        </w:rPr>
        <w:t xml:space="preserve">    （一）对资格性和符合性检查合格的竞争性谈判响应文件，采用最低评标价法进行评审。</w:t>
      </w:r>
    </w:p>
    <w:p>
      <w:pPr>
        <w:pStyle w:val="22"/>
        <w:spacing w:line="360" w:lineRule="auto"/>
        <w:rPr>
          <w:rFonts w:hint="eastAsia"/>
          <w:bCs/>
          <w:color w:val="auto"/>
          <w:highlight w:val="none"/>
        </w:rPr>
      </w:pPr>
      <w:r>
        <w:rPr>
          <w:rFonts w:hint="eastAsia"/>
          <w:bCs/>
          <w:color w:val="auto"/>
          <w:highlight w:val="none"/>
        </w:rPr>
        <w:t xml:space="preserve">    （二）谈判小组将以竞争性谈判文件、竞争性谈判响应文件为评审依据，在质量和服务均能满足竞争性谈判文件实质性响应要求的供应商中，以提出最后报价（价格扣除后）最低的供应商作为成交供应商。</w:t>
      </w:r>
    </w:p>
    <w:p>
      <w:pPr>
        <w:pStyle w:val="22"/>
        <w:spacing w:line="360" w:lineRule="auto"/>
        <w:rPr>
          <w:rFonts w:hint="eastAsia" w:eastAsia="宋体"/>
          <w:bCs/>
          <w:color w:val="auto"/>
          <w:highlight w:val="none"/>
          <w:lang w:eastAsia="zh-CN"/>
        </w:rPr>
      </w:pPr>
      <w:r>
        <w:rPr>
          <w:rFonts w:hint="eastAsia"/>
          <w:bCs/>
          <w:color w:val="auto"/>
          <w:highlight w:val="none"/>
        </w:rPr>
        <w:t xml:space="preserve">    （三）谈判供应商符合《政府采购促进中小企业发展管理办法》（财库[2020]46号）规定条件且按办法中规定的格式提供了《中小企业声明函》的小型和微型企业，对其最后报价给予10%的扣除；扣除后的价格为评标价；除上述情况外，评标价=竞标价</w:t>
      </w:r>
      <w:r>
        <w:rPr>
          <w:rFonts w:hint="eastAsia"/>
          <w:bCs/>
          <w:color w:val="auto"/>
          <w:highlight w:val="none"/>
          <w:lang w:eastAsia="zh-CN"/>
        </w:rPr>
        <w:t>。</w:t>
      </w:r>
    </w:p>
    <w:p>
      <w:pPr>
        <w:pStyle w:val="22"/>
        <w:spacing w:line="360" w:lineRule="auto"/>
        <w:rPr>
          <w:rFonts w:hint="eastAsia"/>
          <w:bCs/>
          <w:color w:val="auto"/>
          <w:highlight w:val="none"/>
        </w:rPr>
      </w:pPr>
      <w:r>
        <w:rPr>
          <w:rFonts w:hint="eastAsia"/>
          <w:bCs/>
          <w:color w:val="auto"/>
          <w:highlight w:val="none"/>
        </w:rPr>
        <w:t xml:space="preserve">    （四）谈判供应商及所提供的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2"/>
        <w:spacing w:line="360" w:lineRule="auto"/>
        <w:rPr>
          <w:rFonts w:hint="eastAsia"/>
          <w:bCs/>
          <w:color w:val="auto"/>
          <w:highlight w:val="none"/>
        </w:rPr>
      </w:pPr>
      <w:r>
        <w:rPr>
          <w:rFonts w:hint="eastAsia"/>
          <w:bCs/>
          <w:color w:val="auto"/>
          <w:highlight w:val="none"/>
        </w:rPr>
        <w:t xml:space="preserve">    （五）竞标产品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2"/>
        <w:spacing w:line="360" w:lineRule="auto"/>
        <w:rPr>
          <w:rFonts w:hint="eastAsia"/>
          <w:b/>
          <w:color w:val="auto"/>
          <w:highlight w:val="none"/>
        </w:rPr>
      </w:pPr>
      <w:r>
        <w:rPr>
          <w:rFonts w:hint="eastAsia"/>
          <w:b/>
          <w:color w:val="auto"/>
          <w:highlight w:val="none"/>
        </w:rPr>
        <w:t>三、成交候选人推荐原则</w:t>
      </w:r>
    </w:p>
    <w:p>
      <w:pPr>
        <w:pStyle w:val="22"/>
        <w:spacing w:line="360" w:lineRule="auto"/>
        <w:ind w:firstLine="420"/>
        <w:rPr>
          <w:rFonts w:hint="eastAsia"/>
          <w:bCs/>
          <w:color w:val="auto"/>
          <w:highlight w:val="none"/>
        </w:rPr>
      </w:pPr>
      <w:r>
        <w:rPr>
          <w:rFonts w:hint="eastAsia"/>
          <w:bCs/>
          <w:color w:val="auto"/>
          <w:highlight w:val="none"/>
        </w:rPr>
        <w:t>（一）竞争性谈判响应文件在质量和服务均能满足竞争性谈判文件实质性响应要求时，谈判小组将按价格扣除后的报价由低到高顺序推荐3名以上成交候选人（报价相同时，由谈判小组根据响应文件中技术、服务、合同条款情况确定排序，并按确定排序由低到高的原则推荐成交候选人）。采购人应当确定谈判小组推荐排名第一的成交候选人为成交供应商。</w:t>
      </w:r>
    </w:p>
    <w:p>
      <w:pPr>
        <w:pStyle w:val="22"/>
        <w:spacing w:line="360" w:lineRule="auto"/>
        <w:ind w:firstLine="420"/>
        <w:rPr>
          <w:rFonts w:hint="eastAsia"/>
          <w:bCs/>
          <w:color w:val="auto"/>
          <w:highlight w:val="none"/>
        </w:rPr>
      </w:pPr>
      <w:r>
        <w:rPr>
          <w:rFonts w:hint="eastAsia"/>
          <w:bCs/>
          <w:color w:val="auto"/>
          <w:highlight w:val="none"/>
        </w:rPr>
        <w:t>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pPr>
        <w:pStyle w:val="22"/>
        <w:spacing w:line="360" w:lineRule="auto"/>
        <w:rPr>
          <w:color w:val="auto"/>
          <w:highlight w:val="none"/>
        </w:rPr>
      </w:pPr>
      <w:r>
        <w:rPr>
          <w:rFonts w:hint="eastAsia"/>
          <w:bCs/>
          <w:color w:val="auto"/>
          <w:highlight w:val="none"/>
        </w:rPr>
        <w:t xml:space="preserve">    （二）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p>
      <w:pPr>
        <w:rPr>
          <w:color w:val="auto"/>
          <w:highlight w:val="none"/>
        </w:rPr>
      </w:pPr>
    </w:p>
    <w:p>
      <w:pPr>
        <w:rPr>
          <w:color w:val="auto"/>
          <w:highlight w:val="none"/>
        </w:rPr>
      </w:pPr>
    </w:p>
    <w:p>
      <w:pPr>
        <w:rPr>
          <w:color w:val="auto"/>
          <w:highlight w:val="none"/>
        </w:rPr>
      </w:pPr>
    </w:p>
    <w:p>
      <w:pPr>
        <w:rPr>
          <w:color w:val="auto"/>
          <w:highlight w:val="none"/>
        </w:rPr>
      </w:pPr>
    </w:p>
    <w:sectPr>
      <w:footerReference r:id="rId5" w:type="first"/>
      <w:headerReference r:id="rId3" w:type="default"/>
      <w:footerReference r:id="rId4" w:type="default"/>
      <w:pgSz w:w="11906" w:h="16838"/>
      <w:pgMar w:top="720" w:right="720" w:bottom="720" w:left="720" w:header="720" w:footer="992"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仪中宋简">
    <w:panose1 w:val="02010600000101010101"/>
    <w:charset w:val="86"/>
    <w:family w:val="modern"/>
    <w:pitch w:val="default"/>
    <w:sig w:usb0="00000001" w:usb1="080E0800" w:usb2="00000002" w:usb3="00000000" w:csb0="00040000" w:csb1="00000000"/>
  </w:font>
  <w:font w:name="汉仪字典宋简">
    <w:altName w:val="宋体"/>
    <w:panose1 w:val="00000000000000000000"/>
    <w:charset w:val="86"/>
    <w:family w:val="modern"/>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 w:name="DejaVu Math TeX Gyre">
    <w:panose1 w:val="02000503000000000000"/>
    <w:charset w:val="00"/>
    <w:family w:val="auto"/>
    <w:pitch w:val="default"/>
    <w:sig w:usb0="A10000EF" w:usb1="4201F9EE" w:usb2="02000000" w:usb3="00000000" w:csb0="60000193" w:csb1="0DD40000"/>
  </w:font>
  <w:font w:name="FangSong">
    <w:panose1 w:val="02010609060101010101"/>
    <w:charset w:val="86"/>
    <w:family w:val="auto"/>
    <w:pitch w:val="default"/>
    <w:sig w:usb0="800002BF" w:usb1="38CF7CFA" w:usb2="00000016" w:usb3="00000000" w:csb0="00040001" w:csb1="00000000"/>
  </w:font>
  <w:font w:name="Arial Regular">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page" w:x="5853" w:y="1"/>
    </w:pPr>
    <w:r>
      <w:fldChar w:fldCharType="begin"/>
    </w:r>
    <w:r>
      <w:instrText xml:space="preserve"> PAGE \* Arabic </w:instrText>
    </w:r>
    <w:r>
      <w:fldChar w:fldCharType="separate"/>
    </w:r>
    <w:r>
      <w:t>39</w:t>
    </w:r>
    <w: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ordWrap w:val="0"/>
      <w:jc w:val="right"/>
    </w:pPr>
    <w:r>
      <w:rPr>
        <w:rFonts w:hint="eastAsia"/>
      </w:rPr>
      <w:t>广西艺术学院教学设备采购</w:t>
    </w:r>
    <w:r>
      <w:rPr>
        <w:rFonts w:hint="eastAsia"/>
        <w:lang w:eastAsia="zh-CN"/>
      </w:rPr>
      <w:t>（二）</w:t>
    </w:r>
    <w:r>
      <w:rPr>
        <w:rFonts w:hint="eastAsia"/>
      </w:rPr>
      <w:t>（GXZC2025-J1-003931-CGZX）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MDE0YWUzNjgyODBlY2Q3YjYwNDM1OTJlMGEyYjMifQ=="/>
  </w:docVars>
  <w:rsids>
    <w:rsidRoot w:val="003D28B9"/>
    <w:rsid w:val="00017B71"/>
    <w:rsid w:val="00021778"/>
    <w:rsid w:val="00021F98"/>
    <w:rsid w:val="00023047"/>
    <w:rsid w:val="000417DE"/>
    <w:rsid w:val="00044724"/>
    <w:rsid w:val="00047CFB"/>
    <w:rsid w:val="00055874"/>
    <w:rsid w:val="0005717D"/>
    <w:rsid w:val="0006199A"/>
    <w:rsid w:val="00061DFB"/>
    <w:rsid w:val="0006573C"/>
    <w:rsid w:val="0006704F"/>
    <w:rsid w:val="000705CA"/>
    <w:rsid w:val="00080035"/>
    <w:rsid w:val="00083054"/>
    <w:rsid w:val="0008786E"/>
    <w:rsid w:val="000A4E98"/>
    <w:rsid w:val="000B7B10"/>
    <w:rsid w:val="000C28B3"/>
    <w:rsid w:val="000C45DD"/>
    <w:rsid w:val="000C6FBC"/>
    <w:rsid w:val="000E1874"/>
    <w:rsid w:val="000E1EF0"/>
    <w:rsid w:val="000E1F83"/>
    <w:rsid w:val="000E4C7F"/>
    <w:rsid w:val="000F6D76"/>
    <w:rsid w:val="0011317A"/>
    <w:rsid w:val="00115EBE"/>
    <w:rsid w:val="00123FF1"/>
    <w:rsid w:val="00125D48"/>
    <w:rsid w:val="001361EF"/>
    <w:rsid w:val="001428C5"/>
    <w:rsid w:val="00143C65"/>
    <w:rsid w:val="00151D61"/>
    <w:rsid w:val="0015617D"/>
    <w:rsid w:val="001561AD"/>
    <w:rsid w:val="00162162"/>
    <w:rsid w:val="00167113"/>
    <w:rsid w:val="001676F4"/>
    <w:rsid w:val="001800B9"/>
    <w:rsid w:val="0018487F"/>
    <w:rsid w:val="00186E5D"/>
    <w:rsid w:val="0018761E"/>
    <w:rsid w:val="00190697"/>
    <w:rsid w:val="00190F03"/>
    <w:rsid w:val="00195DF9"/>
    <w:rsid w:val="001A0C03"/>
    <w:rsid w:val="001A199B"/>
    <w:rsid w:val="001B0F83"/>
    <w:rsid w:val="001B4605"/>
    <w:rsid w:val="001C3567"/>
    <w:rsid w:val="001D2ED5"/>
    <w:rsid w:val="001E103C"/>
    <w:rsid w:val="001E1AAD"/>
    <w:rsid w:val="001E37B4"/>
    <w:rsid w:val="001F7585"/>
    <w:rsid w:val="0020006B"/>
    <w:rsid w:val="00210A00"/>
    <w:rsid w:val="0021573E"/>
    <w:rsid w:val="00236489"/>
    <w:rsid w:val="00237722"/>
    <w:rsid w:val="0024373F"/>
    <w:rsid w:val="002444DF"/>
    <w:rsid w:val="00260F5C"/>
    <w:rsid w:val="0026781B"/>
    <w:rsid w:val="0028346D"/>
    <w:rsid w:val="00287CF7"/>
    <w:rsid w:val="00292B36"/>
    <w:rsid w:val="00293601"/>
    <w:rsid w:val="00295812"/>
    <w:rsid w:val="002A432D"/>
    <w:rsid w:val="002A6CB4"/>
    <w:rsid w:val="002B5AD7"/>
    <w:rsid w:val="002C3619"/>
    <w:rsid w:val="002C51C9"/>
    <w:rsid w:val="002C5B2C"/>
    <w:rsid w:val="002D329D"/>
    <w:rsid w:val="00301C93"/>
    <w:rsid w:val="00312FF8"/>
    <w:rsid w:val="003177B3"/>
    <w:rsid w:val="00333F45"/>
    <w:rsid w:val="003645CA"/>
    <w:rsid w:val="00370E3E"/>
    <w:rsid w:val="003774CE"/>
    <w:rsid w:val="00380AE1"/>
    <w:rsid w:val="00397F68"/>
    <w:rsid w:val="003A054C"/>
    <w:rsid w:val="003A2546"/>
    <w:rsid w:val="003A2654"/>
    <w:rsid w:val="003A416A"/>
    <w:rsid w:val="003A521D"/>
    <w:rsid w:val="003B504C"/>
    <w:rsid w:val="003C229A"/>
    <w:rsid w:val="003D28B9"/>
    <w:rsid w:val="003D3D67"/>
    <w:rsid w:val="003D7C1E"/>
    <w:rsid w:val="003E243A"/>
    <w:rsid w:val="003E3DA8"/>
    <w:rsid w:val="003E70F4"/>
    <w:rsid w:val="003E76F6"/>
    <w:rsid w:val="003F042B"/>
    <w:rsid w:val="003F290F"/>
    <w:rsid w:val="003F7154"/>
    <w:rsid w:val="00404E82"/>
    <w:rsid w:val="0042692E"/>
    <w:rsid w:val="00432771"/>
    <w:rsid w:val="00434F9D"/>
    <w:rsid w:val="0043507E"/>
    <w:rsid w:val="004524CE"/>
    <w:rsid w:val="00476650"/>
    <w:rsid w:val="00482CDB"/>
    <w:rsid w:val="00484D4C"/>
    <w:rsid w:val="00485F22"/>
    <w:rsid w:val="004A57BA"/>
    <w:rsid w:val="004A69B7"/>
    <w:rsid w:val="004B1AF0"/>
    <w:rsid w:val="004B45A2"/>
    <w:rsid w:val="004C2EF3"/>
    <w:rsid w:val="004C31B6"/>
    <w:rsid w:val="004C4B2C"/>
    <w:rsid w:val="004D5351"/>
    <w:rsid w:val="004E68D8"/>
    <w:rsid w:val="00502471"/>
    <w:rsid w:val="00507FF0"/>
    <w:rsid w:val="00533109"/>
    <w:rsid w:val="0053685D"/>
    <w:rsid w:val="00540512"/>
    <w:rsid w:val="00544D3B"/>
    <w:rsid w:val="00554E22"/>
    <w:rsid w:val="005738CA"/>
    <w:rsid w:val="00580347"/>
    <w:rsid w:val="00585E5A"/>
    <w:rsid w:val="0058690F"/>
    <w:rsid w:val="005A2B8F"/>
    <w:rsid w:val="005C787A"/>
    <w:rsid w:val="005D6CE2"/>
    <w:rsid w:val="005D71C6"/>
    <w:rsid w:val="005E4EB1"/>
    <w:rsid w:val="005E6E92"/>
    <w:rsid w:val="005F4328"/>
    <w:rsid w:val="005F73A1"/>
    <w:rsid w:val="00606050"/>
    <w:rsid w:val="00606B40"/>
    <w:rsid w:val="006076EF"/>
    <w:rsid w:val="0061408E"/>
    <w:rsid w:val="00616311"/>
    <w:rsid w:val="00627B86"/>
    <w:rsid w:val="006445CA"/>
    <w:rsid w:val="006608DE"/>
    <w:rsid w:val="00666F1B"/>
    <w:rsid w:val="00670E72"/>
    <w:rsid w:val="00671087"/>
    <w:rsid w:val="00672AE0"/>
    <w:rsid w:val="006746B0"/>
    <w:rsid w:val="006972C4"/>
    <w:rsid w:val="00697360"/>
    <w:rsid w:val="006B4787"/>
    <w:rsid w:val="006C46C8"/>
    <w:rsid w:val="006D18AC"/>
    <w:rsid w:val="006F0F25"/>
    <w:rsid w:val="006F63C6"/>
    <w:rsid w:val="006F6D3F"/>
    <w:rsid w:val="00701275"/>
    <w:rsid w:val="007016F4"/>
    <w:rsid w:val="00702087"/>
    <w:rsid w:val="00715609"/>
    <w:rsid w:val="007177B7"/>
    <w:rsid w:val="00726876"/>
    <w:rsid w:val="00741BF1"/>
    <w:rsid w:val="00741F1F"/>
    <w:rsid w:val="0074789A"/>
    <w:rsid w:val="00764A15"/>
    <w:rsid w:val="00765E10"/>
    <w:rsid w:val="0077147E"/>
    <w:rsid w:val="0078003E"/>
    <w:rsid w:val="00783650"/>
    <w:rsid w:val="00785F01"/>
    <w:rsid w:val="00787934"/>
    <w:rsid w:val="007A1E56"/>
    <w:rsid w:val="007A4682"/>
    <w:rsid w:val="007A5D2E"/>
    <w:rsid w:val="007C1EF5"/>
    <w:rsid w:val="007C3B88"/>
    <w:rsid w:val="007E0D3F"/>
    <w:rsid w:val="007E3975"/>
    <w:rsid w:val="007F263F"/>
    <w:rsid w:val="00804F1F"/>
    <w:rsid w:val="00814562"/>
    <w:rsid w:val="00814FF0"/>
    <w:rsid w:val="0083363F"/>
    <w:rsid w:val="008404FD"/>
    <w:rsid w:val="00852837"/>
    <w:rsid w:val="0086475D"/>
    <w:rsid w:val="008671EA"/>
    <w:rsid w:val="00871A5F"/>
    <w:rsid w:val="008A06CA"/>
    <w:rsid w:val="008A152B"/>
    <w:rsid w:val="008C7732"/>
    <w:rsid w:val="008D22BC"/>
    <w:rsid w:val="008E0328"/>
    <w:rsid w:val="008E04CB"/>
    <w:rsid w:val="008F6556"/>
    <w:rsid w:val="009264A1"/>
    <w:rsid w:val="00927ADF"/>
    <w:rsid w:val="00933115"/>
    <w:rsid w:val="00951894"/>
    <w:rsid w:val="00967E41"/>
    <w:rsid w:val="009703AC"/>
    <w:rsid w:val="009744D7"/>
    <w:rsid w:val="00980D4C"/>
    <w:rsid w:val="009A1239"/>
    <w:rsid w:val="009A3AE2"/>
    <w:rsid w:val="009A71AA"/>
    <w:rsid w:val="009C3081"/>
    <w:rsid w:val="009D4977"/>
    <w:rsid w:val="009D565B"/>
    <w:rsid w:val="009D6152"/>
    <w:rsid w:val="009D6A17"/>
    <w:rsid w:val="009E184F"/>
    <w:rsid w:val="009E30D2"/>
    <w:rsid w:val="00A00D38"/>
    <w:rsid w:val="00A07AF5"/>
    <w:rsid w:val="00A10A53"/>
    <w:rsid w:val="00A2529D"/>
    <w:rsid w:val="00A2705C"/>
    <w:rsid w:val="00A3378D"/>
    <w:rsid w:val="00A4497A"/>
    <w:rsid w:val="00A52BFD"/>
    <w:rsid w:val="00A55F19"/>
    <w:rsid w:val="00A75812"/>
    <w:rsid w:val="00A7782B"/>
    <w:rsid w:val="00AC2AD8"/>
    <w:rsid w:val="00AC7A4B"/>
    <w:rsid w:val="00AD14AB"/>
    <w:rsid w:val="00AE7A97"/>
    <w:rsid w:val="00AF25E2"/>
    <w:rsid w:val="00B120F5"/>
    <w:rsid w:val="00B3009D"/>
    <w:rsid w:val="00B438BA"/>
    <w:rsid w:val="00B508E3"/>
    <w:rsid w:val="00B669F5"/>
    <w:rsid w:val="00B74C9F"/>
    <w:rsid w:val="00B778A4"/>
    <w:rsid w:val="00B86F78"/>
    <w:rsid w:val="00B9778F"/>
    <w:rsid w:val="00BA43BD"/>
    <w:rsid w:val="00BB6E89"/>
    <w:rsid w:val="00BD2C66"/>
    <w:rsid w:val="00BD378D"/>
    <w:rsid w:val="00C16F47"/>
    <w:rsid w:val="00C23657"/>
    <w:rsid w:val="00C32BB8"/>
    <w:rsid w:val="00C36343"/>
    <w:rsid w:val="00C3701E"/>
    <w:rsid w:val="00C373D7"/>
    <w:rsid w:val="00C46B23"/>
    <w:rsid w:val="00C50309"/>
    <w:rsid w:val="00C52E40"/>
    <w:rsid w:val="00C60959"/>
    <w:rsid w:val="00C63F85"/>
    <w:rsid w:val="00C669E4"/>
    <w:rsid w:val="00C85791"/>
    <w:rsid w:val="00C860B6"/>
    <w:rsid w:val="00C902C4"/>
    <w:rsid w:val="00C90BFD"/>
    <w:rsid w:val="00C90CF2"/>
    <w:rsid w:val="00C91E81"/>
    <w:rsid w:val="00C93DB5"/>
    <w:rsid w:val="00C94FAB"/>
    <w:rsid w:val="00C95984"/>
    <w:rsid w:val="00C95B13"/>
    <w:rsid w:val="00CA5FD6"/>
    <w:rsid w:val="00CA6932"/>
    <w:rsid w:val="00CB0A15"/>
    <w:rsid w:val="00CB36DC"/>
    <w:rsid w:val="00CB4298"/>
    <w:rsid w:val="00CB65AD"/>
    <w:rsid w:val="00CC38E8"/>
    <w:rsid w:val="00CC5FAE"/>
    <w:rsid w:val="00CD5C5F"/>
    <w:rsid w:val="00CD6288"/>
    <w:rsid w:val="00CF14F8"/>
    <w:rsid w:val="00D05BAD"/>
    <w:rsid w:val="00D0783A"/>
    <w:rsid w:val="00D10E62"/>
    <w:rsid w:val="00D14EE0"/>
    <w:rsid w:val="00D214FB"/>
    <w:rsid w:val="00D3039E"/>
    <w:rsid w:val="00D413E5"/>
    <w:rsid w:val="00D4435A"/>
    <w:rsid w:val="00D47E82"/>
    <w:rsid w:val="00D8046C"/>
    <w:rsid w:val="00D808CA"/>
    <w:rsid w:val="00D917B1"/>
    <w:rsid w:val="00DA0533"/>
    <w:rsid w:val="00DA363C"/>
    <w:rsid w:val="00DA5523"/>
    <w:rsid w:val="00DB0259"/>
    <w:rsid w:val="00DE3593"/>
    <w:rsid w:val="00DE698D"/>
    <w:rsid w:val="00DF0A61"/>
    <w:rsid w:val="00E03508"/>
    <w:rsid w:val="00E067FE"/>
    <w:rsid w:val="00E12348"/>
    <w:rsid w:val="00E16951"/>
    <w:rsid w:val="00E17905"/>
    <w:rsid w:val="00E17D27"/>
    <w:rsid w:val="00E26B28"/>
    <w:rsid w:val="00E312C6"/>
    <w:rsid w:val="00E524D8"/>
    <w:rsid w:val="00E625CC"/>
    <w:rsid w:val="00E67DE3"/>
    <w:rsid w:val="00E715BB"/>
    <w:rsid w:val="00E82878"/>
    <w:rsid w:val="00E95BBA"/>
    <w:rsid w:val="00E95DE0"/>
    <w:rsid w:val="00EA7055"/>
    <w:rsid w:val="00EC2FB6"/>
    <w:rsid w:val="00EC78F9"/>
    <w:rsid w:val="00ED1EED"/>
    <w:rsid w:val="00ED3522"/>
    <w:rsid w:val="00ED700D"/>
    <w:rsid w:val="00EE2B64"/>
    <w:rsid w:val="00F004A0"/>
    <w:rsid w:val="00F147DF"/>
    <w:rsid w:val="00F44DE1"/>
    <w:rsid w:val="00F50442"/>
    <w:rsid w:val="00F66C18"/>
    <w:rsid w:val="00F83132"/>
    <w:rsid w:val="00F9659B"/>
    <w:rsid w:val="00F97601"/>
    <w:rsid w:val="00FA10E0"/>
    <w:rsid w:val="00FA3C90"/>
    <w:rsid w:val="00FB0B2A"/>
    <w:rsid w:val="00FB4A49"/>
    <w:rsid w:val="00FB4D40"/>
    <w:rsid w:val="00FC01D3"/>
    <w:rsid w:val="00FC0990"/>
    <w:rsid w:val="00FC3888"/>
    <w:rsid w:val="00FF204C"/>
    <w:rsid w:val="01EA0DD4"/>
    <w:rsid w:val="0239665C"/>
    <w:rsid w:val="032C0781"/>
    <w:rsid w:val="03578304"/>
    <w:rsid w:val="03847AD6"/>
    <w:rsid w:val="039C542B"/>
    <w:rsid w:val="04F8799E"/>
    <w:rsid w:val="063410E1"/>
    <w:rsid w:val="0763271F"/>
    <w:rsid w:val="07FAEED7"/>
    <w:rsid w:val="08A7797A"/>
    <w:rsid w:val="08F60675"/>
    <w:rsid w:val="09080AA8"/>
    <w:rsid w:val="09B9200B"/>
    <w:rsid w:val="0C3A2662"/>
    <w:rsid w:val="0CF91C4E"/>
    <w:rsid w:val="0DA95DB8"/>
    <w:rsid w:val="0DB06C01"/>
    <w:rsid w:val="0DF51CFD"/>
    <w:rsid w:val="0E30554E"/>
    <w:rsid w:val="0E761C03"/>
    <w:rsid w:val="0E917989"/>
    <w:rsid w:val="0F2C99C9"/>
    <w:rsid w:val="0F875C97"/>
    <w:rsid w:val="0F914386"/>
    <w:rsid w:val="0FDB7AAB"/>
    <w:rsid w:val="11A36C52"/>
    <w:rsid w:val="1247164B"/>
    <w:rsid w:val="137FA077"/>
    <w:rsid w:val="138D620E"/>
    <w:rsid w:val="14E067D8"/>
    <w:rsid w:val="15EF3F7D"/>
    <w:rsid w:val="16896558"/>
    <w:rsid w:val="17E5BAC4"/>
    <w:rsid w:val="17EFCC69"/>
    <w:rsid w:val="19173E4C"/>
    <w:rsid w:val="194A6D35"/>
    <w:rsid w:val="1ACD43C6"/>
    <w:rsid w:val="1B6A5149"/>
    <w:rsid w:val="1C020549"/>
    <w:rsid w:val="1CF7FC3A"/>
    <w:rsid w:val="1CFFD6E3"/>
    <w:rsid w:val="1DFD575E"/>
    <w:rsid w:val="1E374523"/>
    <w:rsid w:val="1E6C01D9"/>
    <w:rsid w:val="1ED35D62"/>
    <w:rsid w:val="1F4F4808"/>
    <w:rsid w:val="1F5B008F"/>
    <w:rsid w:val="1F767687"/>
    <w:rsid w:val="1F77672B"/>
    <w:rsid w:val="1FE9813C"/>
    <w:rsid w:val="1FEB6065"/>
    <w:rsid w:val="205313BD"/>
    <w:rsid w:val="205A46F2"/>
    <w:rsid w:val="20D81643"/>
    <w:rsid w:val="22E4779A"/>
    <w:rsid w:val="23277245"/>
    <w:rsid w:val="23831E97"/>
    <w:rsid w:val="24303AB1"/>
    <w:rsid w:val="252B5062"/>
    <w:rsid w:val="25AA724D"/>
    <w:rsid w:val="25C62FB2"/>
    <w:rsid w:val="25EB7BBA"/>
    <w:rsid w:val="25F90EFB"/>
    <w:rsid w:val="2670276E"/>
    <w:rsid w:val="269A4A31"/>
    <w:rsid w:val="273264B5"/>
    <w:rsid w:val="27C61042"/>
    <w:rsid w:val="27E70AF0"/>
    <w:rsid w:val="27E83B6D"/>
    <w:rsid w:val="27FF7FA5"/>
    <w:rsid w:val="28687218"/>
    <w:rsid w:val="28E728F0"/>
    <w:rsid w:val="298035FC"/>
    <w:rsid w:val="29A22BA3"/>
    <w:rsid w:val="29EA3147"/>
    <w:rsid w:val="2BE63F6C"/>
    <w:rsid w:val="2BEECF20"/>
    <w:rsid w:val="2BFFA830"/>
    <w:rsid w:val="2C313E4F"/>
    <w:rsid w:val="2DBB8B8B"/>
    <w:rsid w:val="2DCA385E"/>
    <w:rsid w:val="2DCD87D0"/>
    <w:rsid w:val="2EA44946"/>
    <w:rsid w:val="2ED7943D"/>
    <w:rsid w:val="2F37597E"/>
    <w:rsid w:val="2F447811"/>
    <w:rsid w:val="2F695D1D"/>
    <w:rsid w:val="2F7A1A3F"/>
    <w:rsid w:val="2F7F4D1E"/>
    <w:rsid w:val="2FE4B846"/>
    <w:rsid w:val="30202003"/>
    <w:rsid w:val="31295F61"/>
    <w:rsid w:val="31964DDE"/>
    <w:rsid w:val="31DB7B81"/>
    <w:rsid w:val="337EF0DC"/>
    <w:rsid w:val="34872CF7"/>
    <w:rsid w:val="34F03CFE"/>
    <w:rsid w:val="35B16201"/>
    <w:rsid w:val="35BE61EB"/>
    <w:rsid w:val="37506291"/>
    <w:rsid w:val="37CE2FB0"/>
    <w:rsid w:val="37FA3823"/>
    <w:rsid w:val="37FDC4A0"/>
    <w:rsid w:val="38A703FF"/>
    <w:rsid w:val="39EF9ABB"/>
    <w:rsid w:val="3AD761EB"/>
    <w:rsid w:val="3B1FFA71"/>
    <w:rsid w:val="3B955A14"/>
    <w:rsid w:val="3BA5C675"/>
    <w:rsid w:val="3BB9727A"/>
    <w:rsid w:val="3BFEC18B"/>
    <w:rsid w:val="3C1C3E2C"/>
    <w:rsid w:val="3C94343A"/>
    <w:rsid w:val="3CDE04FF"/>
    <w:rsid w:val="3DAF5CBF"/>
    <w:rsid w:val="3DB96341"/>
    <w:rsid w:val="3DBA4680"/>
    <w:rsid w:val="3DC05E6D"/>
    <w:rsid w:val="3DCB37BB"/>
    <w:rsid w:val="3DE166B4"/>
    <w:rsid w:val="3DEFDE97"/>
    <w:rsid w:val="3DF57420"/>
    <w:rsid w:val="3DFFF159"/>
    <w:rsid w:val="3E0077F2"/>
    <w:rsid w:val="3E76BEFB"/>
    <w:rsid w:val="3F0A178C"/>
    <w:rsid w:val="3F160C30"/>
    <w:rsid w:val="3F37CFCE"/>
    <w:rsid w:val="3F572B71"/>
    <w:rsid w:val="3F5E9DF9"/>
    <w:rsid w:val="3F5EA623"/>
    <w:rsid w:val="3F775723"/>
    <w:rsid w:val="3F7FC898"/>
    <w:rsid w:val="3F872ABA"/>
    <w:rsid w:val="3F9F4D06"/>
    <w:rsid w:val="3FCEB124"/>
    <w:rsid w:val="3FFE830D"/>
    <w:rsid w:val="3FFEE20C"/>
    <w:rsid w:val="3FFF3E58"/>
    <w:rsid w:val="40984143"/>
    <w:rsid w:val="41E22D00"/>
    <w:rsid w:val="43191411"/>
    <w:rsid w:val="43776EED"/>
    <w:rsid w:val="43E5781F"/>
    <w:rsid w:val="465F9A7D"/>
    <w:rsid w:val="470E396D"/>
    <w:rsid w:val="47107A42"/>
    <w:rsid w:val="47256546"/>
    <w:rsid w:val="489339BC"/>
    <w:rsid w:val="48F90036"/>
    <w:rsid w:val="49426D45"/>
    <w:rsid w:val="499A5568"/>
    <w:rsid w:val="4A3C4316"/>
    <w:rsid w:val="4A57364A"/>
    <w:rsid w:val="4A696D58"/>
    <w:rsid w:val="4B481704"/>
    <w:rsid w:val="4B5B930E"/>
    <w:rsid w:val="4BF665A3"/>
    <w:rsid w:val="4C143524"/>
    <w:rsid w:val="4C5C0B0E"/>
    <w:rsid w:val="4C846A15"/>
    <w:rsid w:val="4D542156"/>
    <w:rsid w:val="4D5D23AD"/>
    <w:rsid w:val="4E876570"/>
    <w:rsid w:val="4E8C5616"/>
    <w:rsid w:val="4E922AF1"/>
    <w:rsid w:val="4F3E7503"/>
    <w:rsid w:val="4F6B542F"/>
    <w:rsid w:val="4F882FBB"/>
    <w:rsid w:val="4FB7ABD7"/>
    <w:rsid w:val="4FBAC67A"/>
    <w:rsid w:val="4FBAD737"/>
    <w:rsid w:val="4FBFAA41"/>
    <w:rsid w:val="4FD3C9E3"/>
    <w:rsid w:val="4FDF074F"/>
    <w:rsid w:val="4FDF0F4D"/>
    <w:rsid w:val="51237CC1"/>
    <w:rsid w:val="51A93B2D"/>
    <w:rsid w:val="51FED7AB"/>
    <w:rsid w:val="520A4C5D"/>
    <w:rsid w:val="52F23F41"/>
    <w:rsid w:val="539D10CA"/>
    <w:rsid w:val="53AE7F33"/>
    <w:rsid w:val="53BFE035"/>
    <w:rsid w:val="53FF75AD"/>
    <w:rsid w:val="56FFF0B5"/>
    <w:rsid w:val="57A357B6"/>
    <w:rsid w:val="57FFAF97"/>
    <w:rsid w:val="58457D21"/>
    <w:rsid w:val="588F4484"/>
    <w:rsid w:val="59106D93"/>
    <w:rsid w:val="597634E6"/>
    <w:rsid w:val="59AE312D"/>
    <w:rsid w:val="5A8D736C"/>
    <w:rsid w:val="5AFEA68D"/>
    <w:rsid w:val="5B3D00B9"/>
    <w:rsid w:val="5B815434"/>
    <w:rsid w:val="5BD83139"/>
    <w:rsid w:val="5BE4017F"/>
    <w:rsid w:val="5BF53937"/>
    <w:rsid w:val="5C025330"/>
    <w:rsid w:val="5CCFB61E"/>
    <w:rsid w:val="5D362B0F"/>
    <w:rsid w:val="5D6B3030"/>
    <w:rsid w:val="5D866B13"/>
    <w:rsid w:val="5DA81265"/>
    <w:rsid w:val="5DBE402C"/>
    <w:rsid w:val="5DCF26DF"/>
    <w:rsid w:val="5DEDA268"/>
    <w:rsid w:val="5DFF1484"/>
    <w:rsid w:val="5E071B3D"/>
    <w:rsid w:val="5EED760F"/>
    <w:rsid w:val="5F66CA20"/>
    <w:rsid w:val="5F7CB4A5"/>
    <w:rsid w:val="5F7EF6E1"/>
    <w:rsid w:val="5F80366A"/>
    <w:rsid w:val="5FAF9EEB"/>
    <w:rsid w:val="5FC3684F"/>
    <w:rsid w:val="5FD7F237"/>
    <w:rsid w:val="5FF77A3E"/>
    <w:rsid w:val="5FFB217B"/>
    <w:rsid w:val="5FFE07D6"/>
    <w:rsid w:val="5FFED6D0"/>
    <w:rsid w:val="62C7C0CA"/>
    <w:rsid w:val="62E90EA6"/>
    <w:rsid w:val="634A0EB9"/>
    <w:rsid w:val="63FFE9B0"/>
    <w:rsid w:val="648C7CC4"/>
    <w:rsid w:val="64DFE8DD"/>
    <w:rsid w:val="65F11B1B"/>
    <w:rsid w:val="66025C67"/>
    <w:rsid w:val="66DF3832"/>
    <w:rsid w:val="67010907"/>
    <w:rsid w:val="6701716C"/>
    <w:rsid w:val="674B1532"/>
    <w:rsid w:val="6760178A"/>
    <w:rsid w:val="67AB7927"/>
    <w:rsid w:val="67C905A0"/>
    <w:rsid w:val="67DB0510"/>
    <w:rsid w:val="67FC370B"/>
    <w:rsid w:val="67FE94FA"/>
    <w:rsid w:val="67FF1065"/>
    <w:rsid w:val="682E53C2"/>
    <w:rsid w:val="687FA0AE"/>
    <w:rsid w:val="68FF8848"/>
    <w:rsid w:val="69E928A1"/>
    <w:rsid w:val="6A3BD915"/>
    <w:rsid w:val="6A7E536C"/>
    <w:rsid w:val="6A7F03AB"/>
    <w:rsid w:val="6B08057D"/>
    <w:rsid w:val="6B1963AE"/>
    <w:rsid w:val="6BBB9767"/>
    <w:rsid w:val="6BF97A98"/>
    <w:rsid w:val="6BFE2D43"/>
    <w:rsid w:val="6BFFAAA5"/>
    <w:rsid w:val="6C7C3EE6"/>
    <w:rsid w:val="6CFEA456"/>
    <w:rsid w:val="6DFD34AD"/>
    <w:rsid w:val="6E541CAD"/>
    <w:rsid w:val="6F4C4028"/>
    <w:rsid w:val="6F6756DE"/>
    <w:rsid w:val="6F8A2213"/>
    <w:rsid w:val="6FA7DDD7"/>
    <w:rsid w:val="6FBB27F8"/>
    <w:rsid w:val="6FBBE7C0"/>
    <w:rsid w:val="6FBDF743"/>
    <w:rsid w:val="6FD92CD0"/>
    <w:rsid w:val="6FDD4B72"/>
    <w:rsid w:val="6FEFB96A"/>
    <w:rsid w:val="704B6BE1"/>
    <w:rsid w:val="70CE00A6"/>
    <w:rsid w:val="70DC0EFD"/>
    <w:rsid w:val="717F5D02"/>
    <w:rsid w:val="71C802F5"/>
    <w:rsid w:val="71DF5803"/>
    <w:rsid w:val="729B6B73"/>
    <w:rsid w:val="72FFAA48"/>
    <w:rsid w:val="731C1B0D"/>
    <w:rsid w:val="731F58FA"/>
    <w:rsid w:val="737FB1A2"/>
    <w:rsid w:val="73BFB500"/>
    <w:rsid w:val="73D07834"/>
    <w:rsid w:val="73D71C9A"/>
    <w:rsid w:val="73E30864"/>
    <w:rsid w:val="73E429B6"/>
    <w:rsid w:val="73FD35C8"/>
    <w:rsid w:val="740D18E5"/>
    <w:rsid w:val="747B1AD4"/>
    <w:rsid w:val="74A5A3A8"/>
    <w:rsid w:val="74CF1873"/>
    <w:rsid w:val="753B5535"/>
    <w:rsid w:val="753F0BD8"/>
    <w:rsid w:val="75D7109A"/>
    <w:rsid w:val="75DF3CB6"/>
    <w:rsid w:val="7659B582"/>
    <w:rsid w:val="765B4922"/>
    <w:rsid w:val="767E1479"/>
    <w:rsid w:val="767F8062"/>
    <w:rsid w:val="76CF0E64"/>
    <w:rsid w:val="76FF45EB"/>
    <w:rsid w:val="772F00C5"/>
    <w:rsid w:val="773767AC"/>
    <w:rsid w:val="776D3A6B"/>
    <w:rsid w:val="77DB618D"/>
    <w:rsid w:val="77EB6249"/>
    <w:rsid w:val="77F86857"/>
    <w:rsid w:val="77FB0273"/>
    <w:rsid w:val="77FF94F2"/>
    <w:rsid w:val="780F5E87"/>
    <w:rsid w:val="782620E9"/>
    <w:rsid w:val="78BF3B9A"/>
    <w:rsid w:val="78D90F47"/>
    <w:rsid w:val="79E48043"/>
    <w:rsid w:val="79E523C9"/>
    <w:rsid w:val="79FF1D85"/>
    <w:rsid w:val="7A4348F7"/>
    <w:rsid w:val="7AA2042D"/>
    <w:rsid w:val="7ADF40E2"/>
    <w:rsid w:val="7AE30A8B"/>
    <w:rsid w:val="7AEF980D"/>
    <w:rsid w:val="7AFF9D62"/>
    <w:rsid w:val="7B3B093A"/>
    <w:rsid w:val="7B5F61A9"/>
    <w:rsid w:val="7B7F878E"/>
    <w:rsid w:val="7BAE4745"/>
    <w:rsid w:val="7BBC3148"/>
    <w:rsid w:val="7BE846AB"/>
    <w:rsid w:val="7BEEF7B4"/>
    <w:rsid w:val="7BF5E942"/>
    <w:rsid w:val="7BFF9DDD"/>
    <w:rsid w:val="7C7F720D"/>
    <w:rsid w:val="7C911CF6"/>
    <w:rsid w:val="7CEDBFB9"/>
    <w:rsid w:val="7D22218E"/>
    <w:rsid w:val="7D377D2F"/>
    <w:rsid w:val="7D797818"/>
    <w:rsid w:val="7D9EC944"/>
    <w:rsid w:val="7DA77667"/>
    <w:rsid w:val="7DBFB986"/>
    <w:rsid w:val="7DCD23D8"/>
    <w:rsid w:val="7DFA61D3"/>
    <w:rsid w:val="7DFB76A6"/>
    <w:rsid w:val="7DFF17A0"/>
    <w:rsid w:val="7E1FA700"/>
    <w:rsid w:val="7E296B0F"/>
    <w:rsid w:val="7E5FE724"/>
    <w:rsid w:val="7E6F8A0D"/>
    <w:rsid w:val="7E776DCA"/>
    <w:rsid w:val="7EAF0546"/>
    <w:rsid w:val="7EBBA949"/>
    <w:rsid w:val="7EBE6038"/>
    <w:rsid w:val="7EBFB92C"/>
    <w:rsid w:val="7EE77124"/>
    <w:rsid w:val="7EEE1E3F"/>
    <w:rsid w:val="7EF3E241"/>
    <w:rsid w:val="7EFD5FC7"/>
    <w:rsid w:val="7EFEF927"/>
    <w:rsid w:val="7F0B7BBD"/>
    <w:rsid w:val="7F33E1CF"/>
    <w:rsid w:val="7F4F9616"/>
    <w:rsid w:val="7F624A64"/>
    <w:rsid w:val="7F6761F1"/>
    <w:rsid w:val="7F67DDF6"/>
    <w:rsid w:val="7F6FBB16"/>
    <w:rsid w:val="7F739667"/>
    <w:rsid w:val="7F75EF0D"/>
    <w:rsid w:val="7F7FA575"/>
    <w:rsid w:val="7FBF99F3"/>
    <w:rsid w:val="7FBFCAD5"/>
    <w:rsid w:val="7FBFCF8A"/>
    <w:rsid w:val="7FD395D9"/>
    <w:rsid w:val="7FDCE497"/>
    <w:rsid w:val="7FDFCE3F"/>
    <w:rsid w:val="7FE24C8F"/>
    <w:rsid w:val="7FE789B7"/>
    <w:rsid w:val="7FF2B9D1"/>
    <w:rsid w:val="7FF7361D"/>
    <w:rsid w:val="7FF73BF3"/>
    <w:rsid w:val="7FF8AB96"/>
    <w:rsid w:val="7FFB401F"/>
    <w:rsid w:val="7FFD0465"/>
    <w:rsid w:val="7FFDAE10"/>
    <w:rsid w:val="7FFF7DA7"/>
    <w:rsid w:val="7FFFB008"/>
    <w:rsid w:val="83FD0BB7"/>
    <w:rsid w:val="85D7FF60"/>
    <w:rsid w:val="8F5F9FAE"/>
    <w:rsid w:val="8FFFF39A"/>
    <w:rsid w:val="95FB0E43"/>
    <w:rsid w:val="96BC8ECA"/>
    <w:rsid w:val="97CD7BD6"/>
    <w:rsid w:val="9BD5464D"/>
    <w:rsid w:val="9BFF822A"/>
    <w:rsid w:val="9F5B88E5"/>
    <w:rsid w:val="9FBB8F44"/>
    <w:rsid w:val="9FFB8DAC"/>
    <w:rsid w:val="A776682A"/>
    <w:rsid w:val="A8BBF7F4"/>
    <w:rsid w:val="AAFE311E"/>
    <w:rsid w:val="ABCFBF26"/>
    <w:rsid w:val="ABF582B7"/>
    <w:rsid w:val="AD9B4808"/>
    <w:rsid w:val="AD9FA775"/>
    <w:rsid w:val="ADDE80DA"/>
    <w:rsid w:val="AEFF0846"/>
    <w:rsid w:val="AF37E234"/>
    <w:rsid w:val="AFBFF48C"/>
    <w:rsid w:val="AFFB2C79"/>
    <w:rsid w:val="AFFF2136"/>
    <w:rsid w:val="B3FBE764"/>
    <w:rsid w:val="B5DE60F3"/>
    <w:rsid w:val="B7AB2A77"/>
    <w:rsid w:val="B7BE511F"/>
    <w:rsid w:val="B7FFC3A1"/>
    <w:rsid w:val="B8FE5DCE"/>
    <w:rsid w:val="B9E7B147"/>
    <w:rsid w:val="BA7B23C6"/>
    <w:rsid w:val="BBBF28E9"/>
    <w:rsid w:val="BBEDC0E4"/>
    <w:rsid w:val="BBFACC40"/>
    <w:rsid w:val="BBFB157A"/>
    <w:rsid w:val="BBFF8097"/>
    <w:rsid w:val="BCD28566"/>
    <w:rsid w:val="BD4DFC74"/>
    <w:rsid w:val="BD56E60F"/>
    <w:rsid w:val="BDBD24A6"/>
    <w:rsid w:val="BDFFCFB3"/>
    <w:rsid w:val="BEFDCD10"/>
    <w:rsid w:val="BF078EBD"/>
    <w:rsid w:val="BF8C78EF"/>
    <w:rsid w:val="BFA7DA94"/>
    <w:rsid w:val="BFBAF1F9"/>
    <w:rsid w:val="BFBE7FEA"/>
    <w:rsid w:val="BFC58BB8"/>
    <w:rsid w:val="BFD7103F"/>
    <w:rsid w:val="BFD7D09A"/>
    <w:rsid w:val="BFF538BA"/>
    <w:rsid w:val="C1FB8D72"/>
    <w:rsid w:val="C77F1D89"/>
    <w:rsid w:val="C7ADBEB6"/>
    <w:rsid w:val="C9FD16AE"/>
    <w:rsid w:val="CAFFAEBC"/>
    <w:rsid w:val="CBDBA467"/>
    <w:rsid w:val="CE168B02"/>
    <w:rsid w:val="CEBF5720"/>
    <w:rsid w:val="CF7FF6A4"/>
    <w:rsid w:val="D3FFD3D3"/>
    <w:rsid w:val="D73FF8C3"/>
    <w:rsid w:val="D767F3C2"/>
    <w:rsid w:val="D77C6D63"/>
    <w:rsid w:val="D7DBEEF5"/>
    <w:rsid w:val="D7F9541B"/>
    <w:rsid w:val="D9BEA180"/>
    <w:rsid w:val="D9F70E16"/>
    <w:rsid w:val="D9FB5CF3"/>
    <w:rsid w:val="DABFBB7C"/>
    <w:rsid w:val="DADBD500"/>
    <w:rsid w:val="DAFF6E7A"/>
    <w:rsid w:val="DBBB5956"/>
    <w:rsid w:val="DBD66B6B"/>
    <w:rsid w:val="DBF5E79D"/>
    <w:rsid w:val="DBFA1A49"/>
    <w:rsid w:val="DCAEB9DA"/>
    <w:rsid w:val="DD7D3F91"/>
    <w:rsid w:val="DD7FD56B"/>
    <w:rsid w:val="DDCF54C2"/>
    <w:rsid w:val="DDDD015E"/>
    <w:rsid w:val="DF6B181D"/>
    <w:rsid w:val="DF9E5D8D"/>
    <w:rsid w:val="DFBC059A"/>
    <w:rsid w:val="DFCD5017"/>
    <w:rsid w:val="DFCF2901"/>
    <w:rsid w:val="DFF28D1E"/>
    <w:rsid w:val="DFF2AE5E"/>
    <w:rsid w:val="DFFBE4CB"/>
    <w:rsid w:val="DFFD760F"/>
    <w:rsid w:val="DFFE9A8E"/>
    <w:rsid w:val="E25F8467"/>
    <w:rsid w:val="E37753DD"/>
    <w:rsid w:val="E7B0F925"/>
    <w:rsid w:val="E9CE4F1F"/>
    <w:rsid w:val="EB6F2813"/>
    <w:rsid w:val="EBB81B43"/>
    <w:rsid w:val="EBEEEB60"/>
    <w:rsid w:val="EBFB1917"/>
    <w:rsid w:val="ED9EB8C8"/>
    <w:rsid w:val="EDDC7512"/>
    <w:rsid w:val="EDDE59A1"/>
    <w:rsid w:val="EEB90E19"/>
    <w:rsid w:val="EEBF83EE"/>
    <w:rsid w:val="EECF0D36"/>
    <w:rsid w:val="EEF77BD7"/>
    <w:rsid w:val="EF4AC87B"/>
    <w:rsid w:val="EF5715FC"/>
    <w:rsid w:val="EF6FAEE2"/>
    <w:rsid w:val="EFD1187D"/>
    <w:rsid w:val="EFDE8DA0"/>
    <w:rsid w:val="EFF67059"/>
    <w:rsid w:val="EFFAF723"/>
    <w:rsid w:val="EFFF4C9A"/>
    <w:rsid w:val="F1FFCE00"/>
    <w:rsid w:val="F2E52561"/>
    <w:rsid w:val="F2FB11CA"/>
    <w:rsid w:val="F2FD6A19"/>
    <w:rsid w:val="F3CFBA7D"/>
    <w:rsid w:val="F3EFBFE6"/>
    <w:rsid w:val="F55BB342"/>
    <w:rsid w:val="F57FF6F2"/>
    <w:rsid w:val="F59FCCCE"/>
    <w:rsid w:val="F5ECB8B4"/>
    <w:rsid w:val="F6BF2966"/>
    <w:rsid w:val="F70F401E"/>
    <w:rsid w:val="F72F7A62"/>
    <w:rsid w:val="F73F8C03"/>
    <w:rsid w:val="F757C161"/>
    <w:rsid w:val="F76F05CC"/>
    <w:rsid w:val="F773BE0D"/>
    <w:rsid w:val="F77F17EF"/>
    <w:rsid w:val="F77F8A2C"/>
    <w:rsid w:val="F791A7D4"/>
    <w:rsid w:val="F7BB8B5E"/>
    <w:rsid w:val="F7BD3216"/>
    <w:rsid w:val="F7DF34E1"/>
    <w:rsid w:val="F7DF9895"/>
    <w:rsid w:val="F7FEBF85"/>
    <w:rsid w:val="F8F76B12"/>
    <w:rsid w:val="F8FF0956"/>
    <w:rsid w:val="F9699623"/>
    <w:rsid w:val="F997D320"/>
    <w:rsid w:val="F9A779E5"/>
    <w:rsid w:val="F9ADC10E"/>
    <w:rsid w:val="F9DFE89D"/>
    <w:rsid w:val="F9EF859C"/>
    <w:rsid w:val="F9FE0D29"/>
    <w:rsid w:val="FA4F3181"/>
    <w:rsid w:val="FAB76485"/>
    <w:rsid w:val="FAF3F52A"/>
    <w:rsid w:val="FBBB1361"/>
    <w:rsid w:val="FBFF7A94"/>
    <w:rsid w:val="FC67A8A4"/>
    <w:rsid w:val="FC75AA26"/>
    <w:rsid w:val="FD7BC39F"/>
    <w:rsid w:val="FDAF2AA6"/>
    <w:rsid w:val="FDDD3933"/>
    <w:rsid w:val="FDED6782"/>
    <w:rsid w:val="FDFAA598"/>
    <w:rsid w:val="FDFDAF93"/>
    <w:rsid w:val="FE2BF9EC"/>
    <w:rsid w:val="FE717F5D"/>
    <w:rsid w:val="FE734873"/>
    <w:rsid w:val="FE9BFD22"/>
    <w:rsid w:val="FEBA8385"/>
    <w:rsid w:val="FEBE0D8C"/>
    <w:rsid w:val="FEDF2AE5"/>
    <w:rsid w:val="FEEBE819"/>
    <w:rsid w:val="FEEF96EB"/>
    <w:rsid w:val="FEFD59D3"/>
    <w:rsid w:val="FF7DDB8E"/>
    <w:rsid w:val="FFB71A90"/>
    <w:rsid w:val="FFBFB2F9"/>
    <w:rsid w:val="FFD1F4C6"/>
    <w:rsid w:val="FFD5EB08"/>
    <w:rsid w:val="FFDF5E55"/>
    <w:rsid w:val="FFE7ED29"/>
    <w:rsid w:val="FFEF545A"/>
    <w:rsid w:val="FFF54874"/>
    <w:rsid w:val="FFF6DB46"/>
    <w:rsid w:val="FFF6E1F8"/>
    <w:rsid w:val="FFF743B1"/>
    <w:rsid w:val="FFF9C265"/>
    <w:rsid w:val="FFFB7FFD"/>
    <w:rsid w:val="FFFBE397"/>
    <w:rsid w:val="FFFDC8E5"/>
    <w:rsid w:val="FFFF3B25"/>
    <w:rsid w:val="FFFF49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sz w:val="44"/>
      <w:szCs w:val="44"/>
    </w:rPr>
  </w:style>
  <w:style w:type="paragraph" w:styleId="4">
    <w:name w:val="heading 2"/>
    <w:basedOn w:val="1"/>
    <w:next w:val="1"/>
    <w:link w:val="52"/>
    <w:qFormat/>
    <w:uiPriority w:val="0"/>
    <w:pPr>
      <w:keepNext/>
      <w:keepLines/>
      <w:spacing w:before="260" w:after="260" w:line="415" w:lineRule="auto"/>
      <w:outlineLvl w:val="1"/>
    </w:pPr>
    <w:rPr>
      <w:rFonts w:ascii="Arial" w:hAnsi="Arial" w:eastAsia="黑体"/>
      <w:b/>
      <w:sz w:val="32"/>
      <w:szCs w:val="32"/>
    </w:rPr>
  </w:style>
  <w:style w:type="paragraph" w:styleId="5">
    <w:name w:val="heading 3"/>
    <w:basedOn w:val="1"/>
    <w:next w:val="1"/>
    <w:link w:val="51"/>
    <w:qFormat/>
    <w:uiPriority w:val="0"/>
    <w:pPr>
      <w:keepNext/>
      <w:keepLines/>
      <w:spacing w:line="380" w:lineRule="exact"/>
      <w:jc w:val="center"/>
      <w:outlineLvl w:val="2"/>
    </w:pPr>
    <w:rPr>
      <w:rFonts w:ascii="宋体" w:hAnsi="宋体"/>
      <w:bCs/>
      <w:color w:val="auto"/>
      <w:kern w:val="0"/>
      <w:sz w:val="30"/>
      <w:szCs w:val="32"/>
    </w:rPr>
  </w:style>
  <w:style w:type="paragraph" w:styleId="6">
    <w:name w:val="heading 4"/>
    <w:basedOn w:val="1"/>
    <w:next w:val="1"/>
    <w:link w:val="53"/>
    <w:qFormat/>
    <w:uiPriority w:val="0"/>
    <w:pPr>
      <w:keepNext/>
      <w:keepLines/>
      <w:spacing w:before="280" w:after="290" w:line="376" w:lineRule="auto"/>
      <w:outlineLvl w:val="3"/>
    </w:pPr>
    <w:rPr>
      <w:rFonts w:ascii="Cambria" w:hAnsi="Cambria"/>
      <w:b/>
      <w:bCs/>
      <w:color w:val="auto"/>
      <w:kern w:val="2"/>
      <w:sz w:val="28"/>
      <w:szCs w:val="28"/>
    </w:rPr>
  </w:style>
  <w:style w:type="paragraph" w:styleId="7">
    <w:name w:val="heading 5"/>
    <w:basedOn w:val="1"/>
    <w:next w:val="1"/>
    <w:link w:val="54"/>
    <w:qFormat/>
    <w:uiPriority w:val="0"/>
    <w:pPr>
      <w:keepNext/>
      <w:keepLines/>
      <w:spacing w:before="280" w:after="290" w:line="376" w:lineRule="auto"/>
      <w:outlineLvl w:val="4"/>
    </w:pPr>
    <w:rPr>
      <w:b/>
      <w:bCs/>
      <w:color w:val="auto"/>
      <w:kern w:val="2"/>
      <w:sz w:val="28"/>
      <w:szCs w:val="28"/>
    </w:rPr>
  </w:style>
  <w:style w:type="paragraph" w:styleId="8">
    <w:name w:val="heading 6"/>
    <w:basedOn w:val="1"/>
    <w:next w:val="1"/>
    <w:link w:val="55"/>
    <w:qFormat/>
    <w:uiPriority w:val="0"/>
    <w:pPr>
      <w:keepNext/>
      <w:keepLines/>
      <w:widowControl/>
      <w:spacing w:before="240" w:after="64" w:line="319" w:lineRule="auto"/>
      <w:jc w:val="left"/>
      <w:outlineLvl w:val="5"/>
    </w:pPr>
    <w:rPr>
      <w:rFonts w:ascii="Arial" w:hAnsi="Arial" w:eastAsia="黑体"/>
      <w:b/>
      <w:bCs/>
      <w:color w:val="auto"/>
      <w:kern w:val="0"/>
      <w:sz w:val="24"/>
    </w:rPr>
  </w:style>
  <w:style w:type="paragraph" w:styleId="9">
    <w:name w:val="heading 7"/>
    <w:basedOn w:val="1"/>
    <w:next w:val="1"/>
    <w:link w:val="56"/>
    <w:qFormat/>
    <w:uiPriority w:val="0"/>
    <w:pPr>
      <w:keepNext/>
      <w:keepLines/>
      <w:widowControl/>
      <w:spacing w:before="240" w:after="64" w:line="319" w:lineRule="auto"/>
      <w:jc w:val="left"/>
      <w:outlineLvl w:val="6"/>
    </w:pPr>
    <w:rPr>
      <w:b/>
      <w:bCs/>
      <w:color w:val="auto"/>
      <w:kern w:val="0"/>
      <w:sz w:val="24"/>
    </w:rPr>
  </w:style>
  <w:style w:type="paragraph" w:styleId="10">
    <w:name w:val="heading 8"/>
    <w:basedOn w:val="1"/>
    <w:next w:val="1"/>
    <w:link w:val="57"/>
    <w:qFormat/>
    <w:uiPriority w:val="0"/>
    <w:pPr>
      <w:keepNext/>
      <w:keepLines/>
      <w:widowControl/>
      <w:spacing w:before="240" w:after="64" w:line="319" w:lineRule="auto"/>
      <w:jc w:val="left"/>
      <w:outlineLvl w:val="7"/>
    </w:pPr>
    <w:rPr>
      <w:rFonts w:ascii="Arial" w:hAnsi="Arial" w:eastAsia="黑体"/>
      <w:color w:val="auto"/>
      <w:kern w:val="0"/>
      <w:sz w:val="24"/>
    </w:rPr>
  </w:style>
  <w:style w:type="paragraph" w:styleId="11">
    <w:name w:val="heading 9"/>
    <w:basedOn w:val="1"/>
    <w:next w:val="1"/>
    <w:link w:val="58"/>
    <w:qFormat/>
    <w:uiPriority w:val="0"/>
    <w:pPr>
      <w:keepNext/>
      <w:keepLines/>
      <w:widowControl/>
      <w:spacing w:before="240" w:after="64" w:line="319" w:lineRule="auto"/>
      <w:jc w:val="left"/>
      <w:outlineLvl w:val="8"/>
    </w:pPr>
    <w:rPr>
      <w:rFonts w:ascii="Arial" w:hAnsi="Arial" w:eastAsia="黑体"/>
      <w:color w:val="auto"/>
      <w:kern w:val="0"/>
      <w:szCs w:val="21"/>
    </w:rPr>
  </w:style>
  <w:style w:type="character" w:default="1" w:styleId="43">
    <w:name w:val="Default Paragraph Font"/>
    <w:qFormat/>
    <w:uiPriority w:val="0"/>
  </w:style>
  <w:style w:type="table" w:default="1" w:styleId="4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39"/>
  </w:style>
  <w:style w:type="paragraph" w:styleId="12">
    <w:name w:val="List 3"/>
    <w:basedOn w:val="1"/>
    <w:qFormat/>
    <w:uiPriority w:val="0"/>
    <w:pPr>
      <w:widowControl/>
      <w:adjustRightInd w:val="0"/>
      <w:snapToGrid w:val="0"/>
      <w:spacing w:after="200"/>
      <w:ind w:left="100" w:leftChars="400" w:hanging="200" w:hangingChars="200"/>
      <w:jc w:val="left"/>
    </w:pPr>
    <w:rPr>
      <w:rFonts w:ascii="宋体" w:hAnsi="Courier New" w:eastAsia="微软雅黑"/>
      <w:color w:val="auto"/>
      <w:kern w:val="0"/>
      <w:sz w:val="22"/>
      <w:szCs w:val="20"/>
    </w:rPr>
  </w:style>
  <w:style w:type="paragraph" w:styleId="13">
    <w:name w:val="toc 7"/>
    <w:basedOn w:val="1"/>
    <w:next w:val="1"/>
    <w:qFormat/>
    <w:uiPriority w:val="0"/>
    <w:pPr>
      <w:ind w:left="1260"/>
      <w:jc w:val="left"/>
    </w:pPr>
    <w:rPr>
      <w:color w:val="auto"/>
      <w:kern w:val="2"/>
      <w:sz w:val="18"/>
      <w:szCs w:val="18"/>
    </w:rPr>
  </w:style>
  <w:style w:type="paragraph" w:styleId="14">
    <w:name w:val="Normal Indent"/>
    <w:basedOn w:val="1"/>
    <w:link w:val="59"/>
    <w:qFormat/>
    <w:uiPriority w:val="0"/>
    <w:pPr>
      <w:ind w:firstLine="420"/>
    </w:pPr>
    <w:rPr>
      <w:szCs w:val="20"/>
    </w:rPr>
  </w:style>
  <w:style w:type="paragraph" w:styleId="15">
    <w:name w:val="Document Map"/>
    <w:basedOn w:val="1"/>
    <w:link w:val="60"/>
    <w:qFormat/>
    <w:uiPriority w:val="0"/>
    <w:pPr>
      <w:shd w:val="clear" w:color="auto" w:fill="000080"/>
    </w:pPr>
    <w:rPr>
      <w:color w:val="auto"/>
      <w:kern w:val="2"/>
    </w:rPr>
  </w:style>
  <w:style w:type="paragraph" w:styleId="16">
    <w:name w:val="annotation text"/>
    <w:basedOn w:val="1"/>
    <w:link w:val="61"/>
    <w:qFormat/>
    <w:uiPriority w:val="0"/>
    <w:pPr>
      <w:jc w:val="left"/>
    </w:pPr>
  </w:style>
  <w:style w:type="paragraph" w:styleId="17">
    <w:name w:val="Body Text"/>
    <w:basedOn w:val="1"/>
    <w:next w:val="1"/>
    <w:link w:val="62"/>
    <w:qFormat/>
    <w:uiPriority w:val="0"/>
    <w:pPr>
      <w:spacing w:after="120"/>
    </w:pPr>
  </w:style>
  <w:style w:type="paragraph" w:styleId="18">
    <w:name w:val="Body Text Indent"/>
    <w:basedOn w:val="1"/>
    <w:next w:val="19"/>
    <w:link w:val="63"/>
    <w:qFormat/>
    <w:uiPriority w:val="0"/>
    <w:pPr>
      <w:ind w:firstLine="830"/>
    </w:pPr>
    <w:rPr>
      <w:rFonts w:ascii="仿宋_GB2312" w:hAnsi="仿宋_GB2312" w:eastAsia="仿宋_GB2312"/>
      <w:sz w:val="32"/>
      <w:szCs w:val="20"/>
    </w:rPr>
  </w:style>
  <w:style w:type="paragraph" w:styleId="19">
    <w:name w:val="annotation subject"/>
    <w:basedOn w:val="16"/>
    <w:next w:val="1"/>
    <w:link w:val="64"/>
    <w:semiHidden/>
    <w:qFormat/>
    <w:uiPriority w:val="0"/>
    <w:rPr>
      <w:b/>
      <w:bCs/>
    </w:rPr>
  </w:style>
  <w:style w:type="paragraph" w:styleId="20">
    <w:name w:val="toc 5"/>
    <w:basedOn w:val="1"/>
    <w:next w:val="1"/>
    <w:qFormat/>
    <w:uiPriority w:val="0"/>
    <w:pPr>
      <w:ind w:left="840"/>
      <w:jc w:val="left"/>
    </w:pPr>
    <w:rPr>
      <w:color w:val="auto"/>
      <w:kern w:val="2"/>
      <w:sz w:val="18"/>
      <w:szCs w:val="18"/>
    </w:rPr>
  </w:style>
  <w:style w:type="paragraph" w:styleId="21">
    <w:name w:val="toc 3"/>
    <w:basedOn w:val="1"/>
    <w:next w:val="1"/>
    <w:qFormat/>
    <w:uiPriority w:val="39"/>
    <w:pPr>
      <w:ind w:left="420"/>
      <w:jc w:val="left"/>
    </w:pPr>
    <w:rPr>
      <w:i/>
      <w:iCs/>
      <w:color w:val="auto"/>
      <w:kern w:val="2"/>
      <w:sz w:val="20"/>
      <w:szCs w:val="20"/>
    </w:rPr>
  </w:style>
  <w:style w:type="paragraph" w:styleId="22">
    <w:name w:val="Plain Text"/>
    <w:basedOn w:val="1"/>
    <w:next w:val="6"/>
    <w:link w:val="65"/>
    <w:qFormat/>
    <w:uiPriority w:val="0"/>
    <w:rPr>
      <w:rFonts w:ascii="宋体" w:hAnsi="宋体" w:cs="Courier New"/>
      <w:szCs w:val="21"/>
    </w:rPr>
  </w:style>
  <w:style w:type="paragraph" w:styleId="23">
    <w:name w:val="toc 8"/>
    <w:basedOn w:val="1"/>
    <w:next w:val="1"/>
    <w:qFormat/>
    <w:uiPriority w:val="0"/>
    <w:pPr>
      <w:ind w:left="1470"/>
      <w:jc w:val="left"/>
    </w:pPr>
    <w:rPr>
      <w:color w:val="auto"/>
      <w:kern w:val="2"/>
      <w:sz w:val="18"/>
      <w:szCs w:val="18"/>
    </w:rPr>
  </w:style>
  <w:style w:type="paragraph" w:styleId="24">
    <w:name w:val="Date"/>
    <w:basedOn w:val="1"/>
    <w:next w:val="1"/>
    <w:link w:val="66"/>
    <w:qFormat/>
    <w:uiPriority w:val="0"/>
    <w:pPr>
      <w:ind w:left="100" w:leftChars="2500"/>
    </w:pPr>
    <w:rPr>
      <w:color w:val="auto"/>
      <w:kern w:val="2"/>
    </w:rPr>
  </w:style>
  <w:style w:type="paragraph" w:styleId="25">
    <w:name w:val="Body Text Indent 2"/>
    <w:basedOn w:val="1"/>
    <w:link w:val="67"/>
    <w:qFormat/>
    <w:uiPriority w:val="0"/>
    <w:pPr>
      <w:ind w:firstLine="630"/>
    </w:pPr>
    <w:rPr>
      <w:sz w:val="32"/>
      <w:szCs w:val="20"/>
    </w:rPr>
  </w:style>
  <w:style w:type="paragraph" w:styleId="26">
    <w:name w:val="Balloon Text"/>
    <w:basedOn w:val="1"/>
    <w:qFormat/>
    <w:uiPriority w:val="0"/>
    <w:rPr>
      <w:sz w:val="18"/>
      <w:szCs w:val="18"/>
    </w:rPr>
  </w:style>
  <w:style w:type="paragraph" w:styleId="27">
    <w:name w:val="footer"/>
    <w:basedOn w:val="1"/>
    <w:link w:val="68"/>
    <w:qFormat/>
    <w:uiPriority w:val="99"/>
    <w:pPr>
      <w:tabs>
        <w:tab w:val="center" w:pos="4153"/>
        <w:tab w:val="right" w:pos="8306"/>
      </w:tabs>
      <w:jc w:val="left"/>
    </w:pPr>
    <w:rPr>
      <w:sz w:val="18"/>
      <w:szCs w:val="18"/>
    </w:rPr>
  </w:style>
  <w:style w:type="paragraph" w:styleId="28">
    <w:name w:val="header"/>
    <w:basedOn w:val="1"/>
    <w:link w:val="69"/>
    <w:qFormat/>
    <w:uiPriority w:val="99"/>
    <w:pPr>
      <w:pBdr>
        <w:bottom w:val="single" w:color="000000" w:sz="6" w:space="1"/>
      </w:pBdr>
      <w:tabs>
        <w:tab w:val="center" w:pos="4153"/>
        <w:tab w:val="right" w:pos="8306"/>
      </w:tabs>
      <w:jc w:val="center"/>
    </w:pPr>
    <w:rPr>
      <w:sz w:val="18"/>
      <w:szCs w:val="18"/>
    </w:rPr>
  </w:style>
  <w:style w:type="paragraph" w:styleId="29">
    <w:name w:val="toc 4"/>
    <w:basedOn w:val="1"/>
    <w:next w:val="1"/>
    <w:qFormat/>
    <w:uiPriority w:val="0"/>
    <w:pPr>
      <w:ind w:left="630"/>
      <w:jc w:val="left"/>
    </w:pPr>
    <w:rPr>
      <w:color w:val="auto"/>
      <w:kern w:val="2"/>
      <w:sz w:val="18"/>
      <w:szCs w:val="18"/>
    </w:rPr>
  </w:style>
  <w:style w:type="paragraph" w:styleId="30">
    <w:name w:val="List"/>
    <w:basedOn w:val="1"/>
    <w:qFormat/>
    <w:uiPriority w:val="0"/>
    <w:pPr>
      <w:spacing w:line="340" w:lineRule="exact"/>
    </w:pPr>
    <w:rPr>
      <w:rFonts w:eastAsia="楷体_GB2312"/>
      <w:color w:val="auto"/>
      <w:kern w:val="2"/>
      <w:sz w:val="24"/>
      <w:szCs w:val="20"/>
    </w:rPr>
  </w:style>
  <w:style w:type="paragraph" w:styleId="31">
    <w:name w:val="toc 6"/>
    <w:basedOn w:val="1"/>
    <w:next w:val="1"/>
    <w:qFormat/>
    <w:uiPriority w:val="0"/>
    <w:pPr>
      <w:ind w:left="1050"/>
      <w:jc w:val="left"/>
    </w:pPr>
    <w:rPr>
      <w:color w:val="auto"/>
      <w:kern w:val="2"/>
      <w:sz w:val="18"/>
      <w:szCs w:val="18"/>
    </w:rPr>
  </w:style>
  <w:style w:type="paragraph" w:styleId="32">
    <w:name w:val="Body Text Indent 3"/>
    <w:basedOn w:val="1"/>
    <w:link w:val="70"/>
    <w:qFormat/>
    <w:uiPriority w:val="0"/>
    <w:pPr>
      <w:spacing w:line="480" w:lineRule="exact"/>
      <w:ind w:firstLine="420" w:firstLineChars="200"/>
    </w:pPr>
    <w:rPr>
      <w:rFonts w:ascii="宋体" w:hAnsi="Courier New"/>
      <w:color w:val="auto"/>
      <w:kern w:val="2"/>
    </w:rPr>
  </w:style>
  <w:style w:type="paragraph" w:styleId="33">
    <w:name w:val="toc 2"/>
    <w:basedOn w:val="1"/>
    <w:next w:val="1"/>
    <w:qFormat/>
    <w:uiPriority w:val="39"/>
    <w:pPr>
      <w:ind w:left="420" w:leftChars="200"/>
    </w:pPr>
  </w:style>
  <w:style w:type="paragraph" w:styleId="34">
    <w:name w:val="toc 9"/>
    <w:basedOn w:val="1"/>
    <w:next w:val="1"/>
    <w:qFormat/>
    <w:uiPriority w:val="0"/>
    <w:pPr>
      <w:ind w:left="1680"/>
      <w:jc w:val="left"/>
    </w:pPr>
    <w:rPr>
      <w:color w:val="auto"/>
      <w:kern w:val="2"/>
      <w:sz w:val="18"/>
      <w:szCs w:val="18"/>
    </w:rPr>
  </w:style>
  <w:style w:type="paragraph" w:styleId="35">
    <w:name w:val="Body Text 2"/>
    <w:basedOn w:val="1"/>
    <w:link w:val="71"/>
    <w:qFormat/>
    <w:uiPriority w:val="0"/>
    <w:pPr>
      <w:spacing w:line="280" w:lineRule="exact"/>
      <w:jc w:val="center"/>
    </w:pPr>
    <w:rPr>
      <w:color w:val="auto"/>
      <w:kern w:val="2"/>
    </w:rPr>
  </w:style>
  <w:style w:type="paragraph" w:styleId="36">
    <w:name w:val="Normal (Web)"/>
    <w:basedOn w:val="1"/>
    <w:qFormat/>
    <w:uiPriority w:val="99"/>
    <w:pPr>
      <w:widowControl/>
      <w:spacing w:before="100" w:beforeAutospacing="1" w:after="100" w:afterAutospacing="1"/>
      <w:jc w:val="left"/>
    </w:pPr>
    <w:rPr>
      <w:rFonts w:ascii="宋体" w:hAnsi="宋体"/>
      <w:color w:val="auto"/>
      <w:kern w:val="0"/>
      <w:sz w:val="24"/>
    </w:rPr>
  </w:style>
  <w:style w:type="paragraph" w:styleId="37">
    <w:name w:val="index 1"/>
    <w:basedOn w:val="1"/>
    <w:next w:val="1"/>
    <w:qFormat/>
    <w:uiPriority w:val="0"/>
    <w:pPr>
      <w:spacing w:line="400" w:lineRule="exact"/>
      <w:ind w:firstLine="420" w:firstLineChars="200"/>
    </w:pPr>
    <w:rPr>
      <w:rFonts w:ascii="宋体" w:hAnsi="Courier New"/>
      <w:b/>
      <w:szCs w:val="20"/>
    </w:rPr>
  </w:style>
  <w:style w:type="paragraph" w:styleId="38">
    <w:name w:val="Title"/>
    <w:basedOn w:val="1"/>
    <w:qFormat/>
    <w:uiPriority w:val="0"/>
    <w:pPr>
      <w:spacing w:before="240" w:after="60"/>
      <w:jc w:val="center"/>
      <w:outlineLvl w:val="0"/>
    </w:pPr>
    <w:rPr>
      <w:rFonts w:ascii="Arial" w:hAnsi="Arial"/>
      <w:b/>
      <w:sz w:val="32"/>
    </w:rPr>
  </w:style>
  <w:style w:type="paragraph" w:styleId="39">
    <w:name w:val="Body Text First Indent"/>
    <w:basedOn w:val="17"/>
    <w:qFormat/>
    <w:uiPriority w:val="0"/>
    <w:pPr>
      <w:spacing w:after="0" w:line="380" w:lineRule="exact"/>
      <w:ind w:firstLine="420" w:firstLineChars="100"/>
    </w:pPr>
    <w:rPr>
      <w:sz w:val="24"/>
    </w:rPr>
  </w:style>
  <w:style w:type="paragraph" w:styleId="40">
    <w:name w:val="Body Text First Indent 2"/>
    <w:basedOn w:val="18"/>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Emphasis"/>
    <w:qFormat/>
    <w:uiPriority w:val="0"/>
    <w:rPr>
      <w:i/>
    </w:rPr>
  </w:style>
  <w:style w:type="character" w:styleId="48">
    <w:name w:val="Hyperlink"/>
    <w:qFormat/>
    <w:uiPriority w:val="99"/>
    <w:rPr>
      <w:rFonts w:ascii="宋体" w:hAnsi="宋体" w:eastAsia="宋体" w:cs="宋体"/>
      <w:color w:val="0563C1"/>
      <w:spacing w:val="0"/>
      <w:w w:val="100"/>
      <w:kern w:val="0"/>
      <w:position w:val="0"/>
      <w:sz w:val="20"/>
      <w:szCs w:val="20"/>
      <w:u w:val="single"/>
      <w:shd w:val="clear" w:color="auto" w:fill="auto"/>
      <w:vertAlign w:val="baseline"/>
      <w:lang w:val="en-US" w:eastAsia="zh-CN" w:bidi="ar-SA"/>
    </w:rPr>
  </w:style>
  <w:style w:type="character" w:styleId="49">
    <w:name w:val="annotation reference"/>
    <w:qFormat/>
    <w:uiPriority w:val="0"/>
    <w:rPr>
      <w:sz w:val="21"/>
      <w:szCs w:val="21"/>
    </w:rPr>
  </w:style>
  <w:style w:type="character" w:styleId="50">
    <w:name w:val="HTML Sample"/>
    <w:unhideWhenUsed/>
    <w:qFormat/>
    <w:uiPriority w:val="99"/>
    <w:rPr>
      <w:rFonts w:ascii="宋体" w:hAnsi="宋体" w:eastAsia="宋体" w:cs="宋体"/>
    </w:rPr>
  </w:style>
  <w:style w:type="character" w:customStyle="1" w:styleId="51">
    <w:name w:val="标题 3 字符"/>
    <w:link w:val="5"/>
    <w:qFormat/>
    <w:uiPriority w:val="0"/>
    <w:rPr>
      <w:rFonts w:ascii="宋体" w:hAnsi="宋体"/>
      <w:bCs/>
      <w:sz w:val="30"/>
      <w:szCs w:val="32"/>
    </w:rPr>
  </w:style>
  <w:style w:type="character" w:customStyle="1" w:styleId="52">
    <w:name w:val="标题 2 字符"/>
    <w:link w:val="4"/>
    <w:qFormat/>
    <w:uiPriority w:val="0"/>
    <w:rPr>
      <w:rFonts w:ascii="Arial" w:hAnsi="Arial" w:eastAsia="黑体" w:cs="Arial"/>
      <w:b/>
      <w:color w:val="000000"/>
      <w:kern w:val="1"/>
      <w:sz w:val="32"/>
      <w:szCs w:val="32"/>
    </w:rPr>
  </w:style>
  <w:style w:type="character" w:customStyle="1" w:styleId="53">
    <w:name w:val="标题 4 字符"/>
    <w:link w:val="6"/>
    <w:qFormat/>
    <w:uiPriority w:val="0"/>
    <w:rPr>
      <w:rFonts w:ascii="Cambria" w:hAnsi="Cambria"/>
      <w:b/>
      <w:bCs/>
      <w:kern w:val="2"/>
      <w:sz w:val="28"/>
      <w:szCs w:val="28"/>
    </w:rPr>
  </w:style>
  <w:style w:type="character" w:customStyle="1" w:styleId="54">
    <w:name w:val="标题 5 字符"/>
    <w:link w:val="7"/>
    <w:qFormat/>
    <w:uiPriority w:val="0"/>
    <w:rPr>
      <w:b/>
      <w:bCs/>
      <w:kern w:val="2"/>
      <w:sz w:val="28"/>
      <w:szCs w:val="28"/>
    </w:rPr>
  </w:style>
  <w:style w:type="character" w:customStyle="1" w:styleId="55">
    <w:name w:val="标题 6 字符"/>
    <w:link w:val="8"/>
    <w:qFormat/>
    <w:uiPriority w:val="0"/>
    <w:rPr>
      <w:rFonts w:ascii="Arial" w:hAnsi="Arial" w:eastAsia="黑体"/>
      <w:b/>
      <w:bCs/>
      <w:sz w:val="24"/>
      <w:szCs w:val="24"/>
    </w:rPr>
  </w:style>
  <w:style w:type="character" w:customStyle="1" w:styleId="56">
    <w:name w:val="标题 7 字符"/>
    <w:link w:val="9"/>
    <w:qFormat/>
    <w:uiPriority w:val="0"/>
    <w:rPr>
      <w:b/>
      <w:bCs/>
      <w:sz w:val="24"/>
      <w:szCs w:val="24"/>
    </w:rPr>
  </w:style>
  <w:style w:type="character" w:customStyle="1" w:styleId="57">
    <w:name w:val="标题 8 字符"/>
    <w:link w:val="10"/>
    <w:qFormat/>
    <w:uiPriority w:val="0"/>
    <w:rPr>
      <w:rFonts w:ascii="Arial" w:hAnsi="Arial" w:eastAsia="黑体"/>
      <w:sz w:val="24"/>
      <w:szCs w:val="24"/>
    </w:rPr>
  </w:style>
  <w:style w:type="character" w:customStyle="1" w:styleId="58">
    <w:name w:val="标题 9 字符"/>
    <w:link w:val="11"/>
    <w:qFormat/>
    <w:uiPriority w:val="0"/>
    <w:rPr>
      <w:rFonts w:ascii="Arial" w:hAnsi="Arial" w:eastAsia="黑体"/>
      <w:sz w:val="21"/>
      <w:szCs w:val="21"/>
    </w:rPr>
  </w:style>
  <w:style w:type="character" w:customStyle="1" w:styleId="59">
    <w:name w:val="正文缩进 字符"/>
    <w:link w:val="14"/>
    <w:qFormat/>
    <w:uiPriority w:val="0"/>
    <w:rPr>
      <w:color w:val="000000"/>
      <w:kern w:val="1"/>
      <w:sz w:val="21"/>
    </w:rPr>
  </w:style>
  <w:style w:type="character" w:customStyle="1" w:styleId="60">
    <w:name w:val="文档结构图 字符"/>
    <w:link w:val="15"/>
    <w:qFormat/>
    <w:uiPriority w:val="0"/>
    <w:rPr>
      <w:kern w:val="2"/>
      <w:sz w:val="21"/>
      <w:szCs w:val="24"/>
      <w:shd w:val="clear" w:color="auto" w:fill="000080"/>
    </w:rPr>
  </w:style>
  <w:style w:type="character" w:customStyle="1" w:styleId="61">
    <w:name w:val="批注文字 字符"/>
    <w:link w:val="16"/>
    <w:qFormat/>
    <w:uiPriority w:val="0"/>
    <w:rPr>
      <w:color w:val="000000"/>
      <w:kern w:val="1"/>
      <w:sz w:val="21"/>
      <w:szCs w:val="24"/>
    </w:rPr>
  </w:style>
  <w:style w:type="character" w:customStyle="1" w:styleId="62">
    <w:name w:val="正文文本 字符"/>
    <w:link w:val="17"/>
    <w:qFormat/>
    <w:uiPriority w:val="0"/>
    <w:rPr>
      <w:color w:val="000000"/>
      <w:kern w:val="1"/>
      <w:sz w:val="21"/>
      <w:szCs w:val="24"/>
    </w:rPr>
  </w:style>
  <w:style w:type="character" w:customStyle="1" w:styleId="63">
    <w:name w:val="正文文本缩进 字符"/>
    <w:link w:val="18"/>
    <w:qFormat/>
    <w:uiPriority w:val="0"/>
    <w:rPr>
      <w:kern w:val="2"/>
      <w:sz w:val="21"/>
      <w:szCs w:val="24"/>
    </w:rPr>
  </w:style>
  <w:style w:type="character" w:customStyle="1" w:styleId="64">
    <w:name w:val="批注主题 字符"/>
    <w:link w:val="19"/>
    <w:semiHidden/>
    <w:qFormat/>
    <w:uiPriority w:val="0"/>
    <w:rPr>
      <w:b/>
      <w:bCs/>
      <w:color w:val="000000"/>
      <w:kern w:val="1"/>
      <w:sz w:val="21"/>
      <w:szCs w:val="24"/>
    </w:rPr>
  </w:style>
  <w:style w:type="character" w:customStyle="1" w:styleId="65">
    <w:name w:val="纯文本 字符"/>
    <w:link w:val="22"/>
    <w:qFormat/>
    <w:uiPriority w:val="0"/>
    <w:rPr>
      <w:rFonts w:ascii="宋体" w:hAnsi="宋体" w:eastAsia="宋体" w:cs="Courier New"/>
      <w:color w:val="000000"/>
      <w:kern w:val="1"/>
      <w:sz w:val="21"/>
      <w:szCs w:val="21"/>
      <w:lang w:val="en-US" w:eastAsia="zh-CN" w:bidi="ar-SA"/>
    </w:rPr>
  </w:style>
  <w:style w:type="character" w:customStyle="1" w:styleId="66">
    <w:name w:val="日期 字符"/>
    <w:link w:val="24"/>
    <w:qFormat/>
    <w:uiPriority w:val="0"/>
    <w:rPr>
      <w:kern w:val="2"/>
      <w:sz w:val="21"/>
      <w:szCs w:val="24"/>
    </w:rPr>
  </w:style>
  <w:style w:type="character" w:customStyle="1" w:styleId="67">
    <w:name w:val="正文文本缩进 2 字符"/>
    <w:link w:val="25"/>
    <w:qFormat/>
    <w:uiPriority w:val="0"/>
    <w:rPr>
      <w:color w:val="000000"/>
      <w:kern w:val="1"/>
      <w:sz w:val="32"/>
    </w:rPr>
  </w:style>
  <w:style w:type="character" w:customStyle="1" w:styleId="68">
    <w:name w:val="页脚 字符"/>
    <w:link w:val="27"/>
    <w:qFormat/>
    <w:uiPriority w:val="99"/>
    <w:rPr>
      <w:color w:val="000000"/>
      <w:kern w:val="1"/>
      <w:sz w:val="18"/>
      <w:szCs w:val="18"/>
    </w:rPr>
  </w:style>
  <w:style w:type="character" w:customStyle="1" w:styleId="69">
    <w:name w:val="页眉 字符"/>
    <w:link w:val="28"/>
    <w:qFormat/>
    <w:uiPriority w:val="99"/>
    <w:rPr>
      <w:color w:val="000000"/>
      <w:kern w:val="1"/>
      <w:sz w:val="18"/>
      <w:szCs w:val="18"/>
    </w:rPr>
  </w:style>
  <w:style w:type="character" w:customStyle="1" w:styleId="70">
    <w:name w:val="正文文本缩进 3 字符"/>
    <w:link w:val="32"/>
    <w:qFormat/>
    <w:uiPriority w:val="0"/>
    <w:rPr>
      <w:rFonts w:ascii="宋体" w:hAnsi="Courier New" w:cs="Courier New"/>
      <w:kern w:val="2"/>
      <w:sz w:val="21"/>
      <w:szCs w:val="24"/>
    </w:rPr>
  </w:style>
  <w:style w:type="character" w:customStyle="1" w:styleId="71">
    <w:name w:val="正文文本 2 字符"/>
    <w:link w:val="35"/>
    <w:qFormat/>
    <w:uiPriority w:val="0"/>
    <w:rPr>
      <w:kern w:val="2"/>
      <w:sz w:val="21"/>
      <w:szCs w:val="24"/>
    </w:rPr>
  </w:style>
  <w:style w:type="paragraph" w:customStyle="1" w:styleId="72">
    <w:name w:val="首行缩进"/>
    <w:basedOn w:val="1"/>
    <w:qFormat/>
    <w:uiPriority w:val="0"/>
    <w:pPr>
      <w:ind w:firstLine="480" w:firstLineChars="200"/>
    </w:pPr>
  </w:style>
  <w:style w:type="paragraph" w:customStyle="1" w:styleId="73">
    <w:name w:val="四级标题"/>
    <w:basedOn w:val="24"/>
    <w:qFormat/>
    <w:uiPriority w:val="0"/>
    <w:pPr>
      <w:spacing w:line="360" w:lineRule="auto"/>
    </w:pPr>
    <w:rPr>
      <w:rFonts w:ascii="Times New Roman" w:hAnsi="Calibri" w:eastAsia="黑体" w:cs="Times New Roman"/>
      <w:kern w:val="2"/>
    </w:rPr>
  </w:style>
  <w:style w:type="character" w:customStyle="1" w:styleId="74">
    <w:name w:val="正文文本缩进 Char"/>
    <w:qFormat/>
    <w:uiPriority w:val="0"/>
    <w:rPr>
      <w:rFonts w:ascii="仿宋_GB2312" w:hAnsi="仿宋_GB2312" w:eastAsia="仿宋_GB2312"/>
      <w:color w:val="000000"/>
      <w:kern w:val="1"/>
      <w:sz w:val="32"/>
    </w:rPr>
  </w:style>
  <w:style w:type="character" w:customStyle="1" w:styleId="75">
    <w:name w:val="NormalCharacter"/>
    <w:unhideWhenUsed/>
    <w:qFormat/>
    <w:uiPriority w:val="0"/>
    <w:rPr>
      <w:rFonts w:hint="default"/>
      <w:sz w:val="24"/>
      <w:szCs w:val="24"/>
    </w:rPr>
  </w:style>
  <w:style w:type="character" w:customStyle="1" w:styleId="76">
    <w:name w:val="bookmark-item uuid-1595940713919 code-am01400046 editdisable single-line-text-input-box-cls readonly"/>
    <w:qFormat/>
    <w:uiPriority w:val="0"/>
  </w:style>
  <w:style w:type="character" w:customStyle="1" w:styleId="77">
    <w:name w:val="Body text|3_"/>
    <w:link w:val="78"/>
    <w:qFormat/>
    <w:uiPriority w:val="0"/>
    <w:rPr>
      <w:rFonts w:ascii="宋体" w:hAnsi="宋体" w:eastAsia="宋体" w:cs="宋体"/>
      <w:sz w:val="34"/>
      <w:szCs w:val="34"/>
    </w:rPr>
  </w:style>
  <w:style w:type="paragraph" w:customStyle="1" w:styleId="78">
    <w:name w:val="Body text|3"/>
    <w:basedOn w:val="1"/>
    <w:link w:val="77"/>
    <w:qFormat/>
    <w:uiPriority w:val="0"/>
    <w:pPr>
      <w:spacing w:after="460"/>
      <w:jc w:val="center"/>
    </w:pPr>
    <w:rPr>
      <w:rFonts w:ascii="宋体" w:hAnsi="宋体"/>
      <w:color w:val="auto"/>
      <w:kern w:val="0"/>
      <w:sz w:val="34"/>
      <w:szCs w:val="34"/>
    </w:rPr>
  </w:style>
  <w:style w:type="character" w:customStyle="1" w:styleId="79">
    <w:name w:val="bookmark-item uuid-1589194982864 code-31006 addword multi-line-text-input-box-cls"/>
    <w:qFormat/>
    <w:uiPriority w:val="0"/>
  </w:style>
  <w:style w:type="character" w:customStyle="1" w:styleId="80">
    <w:name w:val="批注引用1"/>
    <w:qFormat/>
    <w:uiPriority w:val="0"/>
    <w:rPr>
      <w:rFonts w:ascii="Times New Roman" w:hAnsi="Times New Roman" w:eastAsia="宋体" w:cs="Times New Roman"/>
      <w:color w:val="000000"/>
      <w:spacing w:val="0"/>
      <w:w w:val="100"/>
      <w:kern w:val="0"/>
      <w:position w:val="0"/>
      <w:sz w:val="21"/>
      <w:szCs w:val="21"/>
      <w:u w:val="none"/>
      <w:shd w:val="clear" w:color="auto" w:fill="auto"/>
      <w:vertAlign w:val="baseline"/>
      <w:lang w:val="en-US" w:eastAsia="zh-CN" w:bidi="ar-SA"/>
    </w:rPr>
  </w:style>
  <w:style w:type="character" w:customStyle="1" w:styleId="81">
    <w:name w:val="bookmark-item uuid-1594624424199 code-23012 addword single-line-text-input-box-cls readonly"/>
    <w:qFormat/>
    <w:uiPriority w:val="0"/>
  </w:style>
  <w:style w:type="character" w:customStyle="1" w:styleId="82">
    <w:name w:val="标题 1 Char"/>
    <w:qFormat/>
    <w:uiPriority w:val="0"/>
    <w:rPr>
      <w:rFonts w:ascii="宋体" w:hAnsi="宋体" w:eastAsia="宋体" w:cs="宋体"/>
      <w:b/>
      <w:color w:val="000000"/>
      <w:spacing w:val="0"/>
      <w:w w:val="100"/>
      <w:kern w:val="1"/>
      <w:position w:val="0"/>
      <w:sz w:val="44"/>
      <w:szCs w:val="44"/>
      <w:u w:val="none"/>
      <w:shd w:val="clear" w:color="auto" w:fill="auto"/>
      <w:vertAlign w:val="baseline"/>
      <w:lang w:val="en-US" w:eastAsia="zh-CN" w:bidi="ar-SA"/>
    </w:rPr>
  </w:style>
  <w:style w:type="character" w:customStyle="1" w:styleId="83">
    <w:name w:val="Char Char10"/>
    <w:qFormat/>
    <w:uiPriority w:val="0"/>
    <w:rPr>
      <w:rFonts w:ascii="宋体" w:hAnsi="Courier New" w:eastAsia="宋体" w:cs="Courier New"/>
      <w:kern w:val="2"/>
      <w:sz w:val="21"/>
      <w:szCs w:val="21"/>
      <w:lang w:val="en-US" w:eastAsia="zh-CN" w:bidi="ar-SA"/>
    </w:rPr>
  </w:style>
  <w:style w:type="character" w:customStyle="1" w:styleId="84">
    <w:name w:val="列出段落 Char"/>
    <w:link w:val="85"/>
    <w:qFormat/>
    <w:locked/>
    <w:uiPriority w:val="0"/>
    <w:rPr>
      <w:rFonts w:ascii="宋体" w:hAnsi="宋体"/>
      <w:kern w:val="2"/>
      <w:sz w:val="21"/>
    </w:rPr>
  </w:style>
  <w:style w:type="paragraph" w:customStyle="1" w:styleId="85">
    <w:name w:val="列出段落1"/>
    <w:basedOn w:val="1"/>
    <w:link w:val="84"/>
    <w:qFormat/>
    <w:uiPriority w:val="0"/>
    <w:pPr>
      <w:ind w:firstLine="420" w:firstLineChars="200"/>
    </w:pPr>
    <w:rPr>
      <w:rFonts w:ascii="宋体" w:hAnsi="宋体"/>
      <w:color w:val="auto"/>
      <w:kern w:val="2"/>
      <w:szCs w:val="20"/>
    </w:rPr>
  </w:style>
  <w:style w:type="character" w:customStyle="1" w:styleId="86">
    <w:name w:val="日期 Char2"/>
    <w:qFormat/>
    <w:uiPriority w:val="0"/>
    <w:rPr>
      <w:color w:val="000000"/>
      <w:kern w:val="1"/>
      <w:sz w:val="21"/>
      <w:szCs w:val="24"/>
    </w:rPr>
  </w:style>
  <w:style w:type="character" w:customStyle="1" w:styleId="87">
    <w:name w:val="bookmark-item uuid-1594624265677 code-23006 addword afternoon-time-section-selection-cls"/>
    <w:qFormat/>
    <w:uiPriority w:val="0"/>
  </w:style>
  <w:style w:type="character" w:customStyle="1" w:styleId="88">
    <w:name w:val="普通文字 Char Char2"/>
    <w:qFormat/>
    <w:uiPriority w:val="0"/>
    <w:rPr>
      <w:rFonts w:ascii="宋体" w:hAnsi="宋体"/>
      <w:kern w:val="1"/>
      <w:sz w:val="21"/>
      <w:lang w:eastAsia="ar-SA"/>
    </w:rPr>
  </w:style>
  <w:style w:type="character" w:customStyle="1" w:styleId="89">
    <w:name w:val="bookmark-item"/>
    <w:qFormat/>
    <w:uiPriority w:val="0"/>
  </w:style>
  <w:style w:type="character" w:customStyle="1" w:styleId="90">
    <w:name w:val="Body text|1_"/>
    <w:link w:val="91"/>
    <w:qFormat/>
    <w:uiPriority w:val="0"/>
    <w:rPr>
      <w:rFonts w:ascii="宋体" w:hAnsi="宋体" w:eastAsia="宋体" w:cs="宋体"/>
      <w:sz w:val="30"/>
      <w:szCs w:val="30"/>
    </w:rPr>
  </w:style>
  <w:style w:type="paragraph" w:customStyle="1" w:styleId="91">
    <w:name w:val="Body text|1"/>
    <w:basedOn w:val="1"/>
    <w:link w:val="90"/>
    <w:qFormat/>
    <w:uiPriority w:val="0"/>
    <w:pPr>
      <w:spacing w:line="353" w:lineRule="auto"/>
      <w:ind w:firstLine="400"/>
      <w:jc w:val="left"/>
    </w:pPr>
    <w:rPr>
      <w:rFonts w:ascii="宋体" w:hAnsi="宋体"/>
      <w:color w:val="auto"/>
      <w:kern w:val="0"/>
      <w:sz w:val="30"/>
      <w:szCs w:val="30"/>
    </w:rPr>
  </w:style>
  <w:style w:type="character" w:customStyle="1" w:styleId="92">
    <w:name w:val="bookmark-item uuid-1588129635457 code-23007 addword single-line-text-input-box-cls readonly"/>
    <w:qFormat/>
    <w:uiPriority w:val="0"/>
  </w:style>
  <w:style w:type="character" w:customStyle="1" w:styleId="93">
    <w:name w:val="纯文本 Char"/>
    <w:qFormat/>
    <w:uiPriority w:val="0"/>
    <w:rPr>
      <w:rFonts w:ascii="宋体" w:hAnsi="宋体" w:eastAsia="宋体" w:cs="Courier New"/>
      <w:color w:val="000000"/>
      <w:spacing w:val="0"/>
      <w:w w:val="100"/>
      <w:kern w:val="1"/>
      <w:position w:val="0"/>
      <w:sz w:val="21"/>
      <w:szCs w:val="21"/>
      <w:u w:val="none"/>
      <w:shd w:val="clear" w:color="auto" w:fill="auto"/>
      <w:vertAlign w:val="baseline"/>
      <w:lang w:val="en-US" w:eastAsia="zh-CN" w:bidi="ar-SA"/>
    </w:rPr>
  </w:style>
  <w:style w:type="character" w:customStyle="1" w:styleId="94">
    <w:name w:val="样式 标题 3 + 五号 黑色 Char"/>
    <w:link w:val="95"/>
    <w:qFormat/>
    <w:uiPriority w:val="0"/>
    <w:rPr>
      <w:rFonts w:ascii="宋体" w:hAnsi="宋体"/>
      <w:bCs/>
      <w:color w:val="000000"/>
      <w:sz w:val="28"/>
      <w:szCs w:val="32"/>
    </w:rPr>
  </w:style>
  <w:style w:type="paragraph" w:customStyle="1" w:styleId="95">
    <w:name w:val="样式 标题 3 + 五号 黑色"/>
    <w:basedOn w:val="5"/>
    <w:link w:val="94"/>
    <w:qFormat/>
    <w:uiPriority w:val="0"/>
    <w:rPr>
      <w:color w:val="000000"/>
      <w:sz w:val="28"/>
    </w:rPr>
  </w:style>
  <w:style w:type="character" w:customStyle="1" w:styleId="96">
    <w:name w:val="bookmark-item uuid-1594624027756 code-23005 addword morning-time-section-selection-cls"/>
    <w:qFormat/>
    <w:uiPriority w:val="0"/>
  </w:style>
  <w:style w:type="character" w:customStyle="1" w:styleId="97">
    <w:name w:val="样式 标题 2 Char"/>
    <w:link w:val="98"/>
    <w:qFormat/>
    <w:uiPriority w:val="0"/>
    <w:rPr>
      <w:rFonts w:ascii="Arial" w:hAnsi="Arial" w:eastAsia="黑体"/>
      <w:bCs/>
      <w:sz w:val="32"/>
      <w:szCs w:val="32"/>
    </w:rPr>
  </w:style>
  <w:style w:type="paragraph" w:customStyle="1" w:styleId="98">
    <w:name w:val="样式 标题 2"/>
    <w:basedOn w:val="4"/>
    <w:link w:val="97"/>
    <w:qFormat/>
    <w:uiPriority w:val="0"/>
    <w:pPr>
      <w:spacing w:before="0" w:after="0" w:line="380" w:lineRule="atLeast"/>
      <w:jc w:val="center"/>
    </w:pPr>
    <w:rPr>
      <w:b w:val="0"/>
      <w:bCs/>
      <w:color w:val="auto"/>
      <w:kern w:val="0"/>
    </w:rPr>
  </w:style>
  <w:style w:type="character" w:customStyle="1" w:styleId="99">
    <w:name w:val="正文文本 2 Char1"/>
    <w:qFormat/>
    <w:uiPriority w:val="0"/>
    <w:rPr>
      <w:color w:val="000000"/>
      <w:kern w:val="1"/>
      <w:sz w:val="21"/>
      <w:szCs w:val="24"/>
    </w:rPr>
  </w:style>
  <w:style w:type="character" w:customStyle="1" w:styleId="100">
    <w:name w:val="bookmark-item uuid-1588129524349 code-23004 addword date-selection-cls readonly"/>
    <w:qFormat/>
    <w:uiPriority w:val="0"/>
  </w:style>
  <w:style w:type="character" w:customStyle="1" w:styleId="101">
    <w:name w:val="bookmark-item uuid-1588129973591 code-23015 addword single-line-text-input-box-cls readonly"/>
    <w:qFormat/>
    <w:uiPriority w:val="0"/>
  </w:style>
  <w:style w:type="character" w:customStyle="1" w:styleId="102">
    <w:name w:val="font61"/>
    <w:qFormat/>
    <w:uiPriority w:val="0"/>
    <w:rPr>
      <w:rFonts w:hint="eastAsia" w:ascii="宋体" w:hAnsi="宋体" w:eastAsia="宋体" w:cs="宋体"/>
      <w:color w:val="FF0000"/>
      <w:sz w:val="20"/>
      <w:szCs w:val="20"/>
      <w:u w:val="none"/>
    </w:rPr>
  </w:style>
  <w:style w:type="character" w:customStyle="1" w:styleId="103">
    <w:name w:val="正文文本缩进 3 Char1"/>
    <w:qFormat/>
    <w:uiPriority w:val="0"/>
    <w:rPr>
      <w:color w:val="000000"/>
      <w:kern w:val="1"/>
      <w:sz w:val="16"/>
      <w:szCs w:val="16"/>
    </w:rPr>
  </w:style>
  <w:style w:type="character" w:customStyle="1" w:styleId="104">
    <w:name w:val="标题 2 Char Char"/>
    <w:qFormat/>
    <w:uiPriority w:val="0"/>
    <w:rPr>
      <w:rFonts w:ascii="Arial" w:hAnsi="Arial" w:eastAsia="黑体"/>
      <w:bCs/>
      <w:sz w:val="32"/>
      <w:szCs w:val="32"/>
      <w:lang w:val="en-US" w:eastAsia="zh-CN" w:bidi="ar-SA"/>
    </w:rPr>
  </w:style>
  <w:style w:type="character" w:customStyle="1" w:styleId="105">
    <w:name w:val="正文文本首行缩进 2 字符"/>
    <w:qFormat/>
    <w:uiPriority w:val="0"/>
    <w:rPr>
      <w:kern w:val="2"/>
      <w:sz w:val="21"/>
      <w:szCs w:val="24"/>
    </w:rPr>
  </w:style>
  <w:style w:type="character" w:customStyle="1" w:styleId="106">
    <w:name w:val="font91"/>
    <w:qFormat/>
    <w:uiPriority w:val="0"/>
    <w:rPr>
      <w:rFonts w:hint="eastAsia" w:ascii="宋体" w:hAnsi="宋体" w:eastAsia="宋体" w:cs="宋体"/>
      <w:color w:val="000000"/>
      <w:sz w:val="20"/>
      <w:szCs w:val="20"/>
      <w:u w:val="none"/>
    </w:rPr>
  </w:style>
  <w:style w:type="character" w:customStyle="1" w:styleId="107">
    <w:name w:val="批注框文本 Char"/>
    <w:qFormat/>
    <w:uiPriority w:val="0"/>
    <w:rPr>
      <w:rFonts w:ascii="宋体" w:hAnsi="宋体" w:eastAsia="宋体" w:cs="宋体"/>
      <w:color w:val="000000"/>
      <w:spacing w:val="0"/>
      <w:w w:val="100"/>
      <w:kern w:val="1"/>
      <w:position w:val="0"/>
      <w:sz w:val="18"/>
      <w:szCs w:val="18"/>
      <w:u w:val="none"/>
      <w:shd w:val="clear" w:color="auto" w:fill="auto"/>
      <w:vertAlign w:val="baseline"/>
      <w:lang w:val="en-US" w:eastAsia="zh-CN" w:bidi="ar-SA"/>
    </w:rPr>
  </w:style>
  <w:style w:type="character" w:customStyle="1" w:styleId="108">
    <w:name w:val="纯文本 Char1"/>
    <w:qFormat/>
    <w:uiPriority w:val="0"/>
    <w:rPr>
      <w:rFonts w:ascii="宋体" w:hAnsi="宋体" w:eastAsia="宋体" w:cs="Courier New"/>
      <w:color w:val="000000"/>
      <w:spacing w:val="0"/>
      <w:w w:val="100"/>
      <w:kern w:val="1"/>
      <w:position w:val="0"/>
      <w:sz w:val="21"/>
      <w:szCs w:val="21"/>
      <w:u w:val="none"/>
      <w:shd w:val="clear" w:color="auto" w:fill="auto"/>
      <w:vertAlign w:val="baseline"/>
      <w:lang w:val="en-US" w:eastAsia="zh-CN" w:bidi="ar-SA"/>
    </w:rPr>
  </w:style>
  <w:style w:type="character" w:customStyle="1" w:styleId="109">
    <w:name w:val="Char Char2"/>
    <w:qFormat/>
    <w:uiPriority w:val="0"/>
    <w:rPr>
      <w:rFonts w:ascii="宋体" w:hAnsi="Courier New" w:eastAsia="宋体" w:cs="Courier New"/>
      <w:szCs w:val="21"/>
    </w:rPr>
  </w:style>
  <w:style w:type="character" w:customStyle="1" w:styleId="110">
    <w:name w:val="bookmark-item uuid-1587980024345 code-23003 addword date-selection-cls"/>
    <w:qFormat/>
    <w:uiPriority w:val="0"/>
  </w:style>
  <w:style w:type="character" w:customStyle="1" w:styleId="111">
    <w:name w:val="日期 Char1"/>
    <w:qFormat/>
    <w:uiPriority w:val="0"/>
    <w:rPr>
      <w:kern w:val="2"/>
      <w:sz w:val="21"/>
      <w:szCs w:val="24"/>
    </w:rPr>
  </w:style>
  <w:style w:type="character" w:customStyle="1" w:styleId="112">
    <w:name w:val="标题 2 Char"/>
    <w:qFormat/>
    <w:uiPriority w:val="0"/>
    <w:rPr>
      <w:rFonts w:ascii="Arial" w:hAnsi="Arial" w:eastAsia="黑体" w:cs="Arial"/>
      <w:b/>
      <w:color w:val="000000"/>
      <w:spacing w:val="0"/>
      <w:w w:val="100"/>
      <w:kern w:val="1"/>
      <w:position w:val="0"/>
      <w:sz w:val="32"/>
      <w:szCs w:val="32"/>
      <w:u w:val="none"/>
      <w:shd w:val="clear" w:color="auto" w:fill="auto"/>
      <w:vertAlign w:val="baseline"/>
      <w:lang w:val="en-US" w:eastAsia="zh-CN" w:bidi="ar-SA"/>
    </w:rPr>
  </w:style>
  <w:style w:type="character" w:customStyle="1" w:styleId="113">
    <w:name w:val="文档结构图 Char1"/>
    <w:qFormat/>
    <w:uiPriority w:val="0"/>
    <w:rPr>
      <w:rFonts w:ascii="宋体"/>
      <w:color w:val="000000"/>
      <w:kern w:val="1"/>
      <w:sz w:val="18"/>
      <w:szCs w:val="18"/>
    </w:rPr>
  </w:style>
  <w:style w:type="paragraph" w:customStyle="1" w:styleId="114">
    <w:name w:val="Char Char1 Char Char Char"/>
    <w:basedOn w:val="1"/>
    <w:qFormat/>
    <w:uiPriority w:val="0"/>
    <w:rPr>
      <w:color w:val="auto"/>
      <w:kern w:val="0"/>
      <w:sz w:val="20"/>
      <w:szCs w:val="20"/>
    </w:rPr>
  </w:style>
  <w:style w:type="paragraph" w:customStyle="1" w:styleId="115">
    <w:name w:val="p15"/>
    <w:basedOn w:val="1"/>
    <w:qFormat/>
    <w:uiPriority w:val="0"/>
    <w:pPr>
      <w:widowControl/>
    </w:pPr>
    <w:rPr>
      <w:rFonts w:ascii="宋体" w:hAnsi="宋体" w:cs="宋体"/>
      <w:color w:val="auto"/>
      <w:kern w:val="0"/>
      <w:szCs w:val="21"/>
    </w:rPr>
  </w:style>
  <w:style w:type="paragraph" w:customStyle="1" w:styleId="116">
    <w:name w:val="Char Char Char Char"/>
    <w:basedOn w:val="15"/>
    <w:qFormat/>
    <w:uiPriority w:val="0"/>
    <w:rPr>
      <w:rFonts w:ascii="宋体" w:hAnsi="Courier New"/>
      <w:szCs w:val="20"/>
    </w:rPr>
  </w:style>
  <w:style w:type="paragraph" w:customStyle="1" w:styleId="117">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8">
    <w:name w:val="List Paragraph1"/>
    <w:basedOn w:val="1"/>
    <w:qFormat/>
    <w:uiPriority w:val="0"/>
    <w:pPr>
      <w:ind w:firstLine="420"/>
    </w:pPr>
    <w:rPr>
      <w:szCs w:val="21"/>
    </w:rPr>
  </w:style>
  <w:style w:type="paragraph" w:customStyle="1" w:styleId="119">
    <w:name w:val="样式 样式 样式 样式 汉仪中宋简 (符号) 宋体 首行缩进:  2 字符 + 首行缩进:  2 字符 + 首行缩进:  2 字..."/>
    <w:basedOn w:val="1"/>
    <w:qFormat/>
    <w:uiPriority w:val="0"/>
    <w:pPr>
      <w:spacing w:line="440" w:lineRule="exact"/>
      <w:ind w:firstLine="488" w:firstLineChars="200"/>
    </w:pPr>
    <w:rPr>
      <w:rFonts w:ascii="汉仪中宋简" w:hAnsi="宋体" w:eastAsia="汉仪字典宋简"/>
      <w:b/>
      <w:color w:val="auto"/>
      <w:spacing w:val="2"/>
      <w:kern w:val="2"/>
      <w:sz w:val="24"/>
      <w:szCs w:val="20"/>
    </w:rPr>
  </w:style>
  <w:style w:type="paragraph" w:customStyle="1" w:styleId="120">
    <w:name w:val="Char Char Char2 Char"/>
    <w:basedOn w:val="1"/>
    <w:qFormat/>
    <w:uiPriority w:val="0"/>
    <w:pPr>
      <w:tabs>
        <w:tab w:val="left" w:pos="815"/>
      </w:tabs>
      <w:ind w:left="815" w:hanging="360"/>
    </w:pPr>
    <w:rPr>
      <w:color w:val="auto"/>
      <w:kern w:val="2"/>
    </w:rPr>
  </w:style>
  <w:style w:type="paragraph" w:customStyle="1" w:styleId="121">
    <w:name w:val="Char Char2 Char Char Char Char Char Char Char Char Char Char Char Char"/>
    <w:basedOn w:val="1"/>
    <w:qFormat/>
    <w:uiPriority w:val="0"/>
    <w:rPr>
      <w:rFonts w:ascii="Tahoma" w:hAnsi="Tahoma"/>
      <w:color w:val="auto"/>
      <w:kern w:val="2"/>
      <w:sz w:val="24"/>
      <w:szCs w:val="20"/>
    </w:rPr>
  </w:style>
  <w:style w:type="paragraph" w:customStyle="1" w:styleId="122">
    <w:name w:val="Char Char Char Char Char Char2 Char"/>
    <w:basedOn w:val="1"/>
    <w:qFormat/>
    <w:uiPriority w:val="0"/>
    <w:pPr>
      <w:spacing w:line="360" w:lineRule="auto"/>
      <w:ind w:firstLine="200" w:firstLineChars="200"/>
    </w:pPr>
    <w:rPr>
      <w:rFonts w:ascii="宋体" w:hAnsi="宋体" w:cs="宋体"/>
      <w:color w:val="auto"/>
      <w:kern w:val="2"/>
      <w:sz w:val="24"/>
    </w:rPr>
  </w:style>
  <w:style w:type="paragraph" w:customStyle="1" w:styleId="123">
    <w:name w:val="Char1 Char Char Char"/>
    <w:basedOn w:val="1"/>
    <w:qFormat/>
    <w:uiPriority w:val="0"/>
    <w:pPr>
      <w:ind w:left="420" w:hanging="420"/>
    </w:pPr>
    <w:rPr>
      <w:color w:val="auto"/>
      <w:kern w:val="2"/>
      <w:sz w:val="24"/>
    </w:rPr>
  </w:style>
  <w:style w:type="paragraph" w:styleId="124">
    <w:name w:val="List Paragraph"/>
    <w:basedOn w:val="1"/>
    <w:qFormat/>
    <w:uiPriority w:val="34"/>
    <w:pPr>
      <w:widowControl/>
      <w:adjustRightInd w:val="0"/>
      <w:snapToGrid w:val="0"/>
      <w:spacing w:after="200"/>
      <w:ind w:firstLine="420" w:firstLineChars="200"/>
      <w:jc w:val="left"/>
    </w:pPr>
    <w:rPr>
      <w:rFonts w:ascii="Tahoma" w:hAnsi="Tahoma" w:eastAsia="微软雅黑"/>
      <w:color w:val="auto"/>
      <w:kern w:val="0"/>
      <w:sz w:val="22"/>
      <w:szCs w:val="22"/>
    </w:rPr>
  </w:style>
  <w:style w:type="paragraph" w:customStyle="1" w:styleId="125">
    <w:name w:val="Char Char Char Char Char Char Char Char Char Char Char Char Char Char Char Char"/>
    <w:basedOn w:val="1"/>
    <w:qFormat/>
    <w:uiPriority w:val="0"/>
    <w:pPr>
      <w:tabs>
        <w:tab w:val="left" w:pos="360"/>
      </w:tabs>
    </w:pPr>
    <w:rPr>
      <w:color w:val="auto"/>
      <w:kern w:val="2"/>
      <w:sz w:val="24"/>
    </w:rPr>
  </w:style>
  <w:style w:type="paragraph" w:customStyle="1" w:styleId="126">
    <w:name w:val="批注文字1"/>
    <w:basedOn w:val="1"/>
    <w:qFormat/>
    <w:uiPriority w:val="0"/>
    <w:pPr>
      <w:jc w:val="left"/>
    </w:pPr>
  </w:style>
  <w:style w:type="paragraph" w:customStyle="1" w:styleId="127">
    <w:name w:val="1"/>
    <w:basedOn w:val="1"/>
    <w:next w:val="22"/>
    <w:qFormat/>
    <w:uiPriority w:val="0"/>
    <w:rPr>
      <w:rFonts w:ascii="宋体" w:hAnsi="宋体"/>
      <w:szCs w:val="20"/>
    </w:rPr>
  </w:style>
  <w:style w:type="paragraph" w:customStyle="1" w:styleId="128">
    <w:name w:val="Char"/>
    <w:basedOn w:val="1"/>
    <w:qFormat/>
    <w:uiPriority w:val="0"/>
    <w:pPr>
      <w:widowControl/>
      <w:spacing w:line="500" w:lineRule="exact"/>
      <w:outlineLvl w:val="2"/>
    </w:pPr>
    <w:rPr>
      <w:rFonts w:ascii="黑体" w:hAnsi="Verdana" w:eastAsia="黑体" w:cs="黑体"/>
      <w:color w:val="auto"/>
      <w:kern w:val="0"/>
      <w:sz w:val="28"/>
      <w:szCs w:val="28"/>
      <w:lang w:eastAsia="en-US"/>
    </w:rPr>
  </w:style>
  <w:style w:type="paragraph" w:customStyle="1" w:styleId="129">
    <w:name w:val="BodyText"/>
    <w:basedOn w:val="1"/>
    <w:qFormat/>
    <w:uiPriority w:val="0"/>
    <w:pPr>
      <w:spacing w:line="380" w:lineRule="exact"/>
      <w:textAlignment w:val="baseline"/>
    </w:pPr>
    <w:rPr>
      <w:sz w:val="24"/>
    </w:rPr>
  </w:style>
  <w:style w:type="paragraph" w:customStyle="1" w:styleId="130">
    <w:name w:val="样式3"/>
    <w:basedOn w:val="22"/>
    <w:qFormat/>
    <w:uiPriority w:val="0"/>
    <w:pPr>
      <w:adjustRightInd w:val="0"/>
      <w:spacing w:line="0" w:lineRule="atLeast"/>
      <w:textAlignment w:val="baseline"/>
      <w:outlineLvl w:val="0"/>
    </w:pPr>
    <w:rPr>
      <w:rFonts w:hAnsi="Courier New" w:cs="Times New Roman"/>
      <w:color w:val="auto"/>
      <w:kern w:val="2"/>
      <w:sz w:val="28"/>
      <w:szCs w:val="20"/>
    </w:rPr>
  </w:style>
  <w:style w:type="paragraph" w:customStyle="1" w:styleId="131">
    <w:name w:val="列出段落2"/>
    <w:basedOn w:val="1"/>
    <w:qFormat/>
    <w:uiPriority w:val="99"/>
    <w:pPr>
      <w:ind w:firstLine="420" w:firstLineChars="200"/>
    </w:pPr>
    <w:rPr>
      <w:color w:val="auto"/>
      <w:kern w:val="2"/>
    </w:rPr>
  </w:style>
  <w:style w:type="paragraph" w:customStyle="1" w:styleId="132">
    <w:name w:val="样式17"/>
    <w:basedOn w:val="1"/>
    <w:qFormat/>
    <w:uiPriority w:val="0"/>
    <w:pPr>
      <w:spacing w:line="500" w:lineRule="exact"/>
      <w:ind w:firstLine="200" w:firstLineChars="200"/>
    </w:pPr>
    <w:rPr>
      <w:rFonts w:ascii="汉仪中宋简" w:hAnsi="宋体" w:eastAsia="汉仪字典宋简"/>
      <w:b/>
      <w:color w:val="auto"/>
      <w:spacing w:val="2"/>
      <w:kern w:val="2"/>
      <w:sz w:val="24"/>
      <w:szCs w:val="20"/>
    </w:rPr>
  </w:style>
  <w:style w:type="paragraph" w:customStyle="1" w:styleId="133">
    <w:name w:val="样式 样式16 + 首行缩进:  2 字符"/>
    <w:basedOn w:val="1"/>
    <w:qFormat/>
    <w:uiPriority w:val="0"/>
    <w:pPr>
      <w:spacing w:line="400" w:lineRule="exact"/>
      <w:ind w:firstLine="200" w:firstLineChars="200"/>
    </w:pPr>
    <w:rPr>
      <w:rFonts w:ascii="汉仪中宋简" w:hAnsi="宋体" w:eastAsia="汉仪字典宋简"/>
      <w:b/>
      <w:bCs/>
      <w:color w:val="auto"/>
      <w:spacing w:val="2"/>
      <w:kern w:val="2"/>
      <w:sz w:val="24"/>
      <w:szCs w:val="20"/>
    </w:rPr>
  </w:style>
  <w:style w:type="paragraph" w:customStyle="1" w:styleId="134">
    <w:name w:val="Char1"/>
    <w:basedOn w:val="1"/>
    <w:qFormat/>
    <w:uiPriority w:val="0"/>
    <w:pPr>
      <w:widowControl/>
      <w:spacing w:after="160" w:line="240" w:lineRule="exact"/>
      <w:jc w:val="left"/>
    </w:pPr>
    <w:rPr>
      <w:rFonts w:ascii="Verdana" w:hAnsi="Verdana"/>
      <w:color w:val="auto"/>
      <w:kern w:val="0"/>
      <w:szCs w:val="20"/>
      <w:lang w:eastAsia="en-US"/>
    </w:rPr>
  </w:style>
  <w:style w:type="paragraph" w:customStyle="1" w:styleId="135">
    <w:name w:val="图"/>
    <w:basedOn w:val="1"/>
    <w:qFormat/>
    <w:uiPriority w:val="0"/>
    <w:pPr>
      <w:keepNext/>
      <w:adjustRightInd w:val="0"/>
      <w:snapToGrid w:val="0"/>
      <w:spacing w:before="60" w:after="60" w:line="300" w:lineRule="auto"/>
      <w:jc w:val="center"/>
    </w:pPr>
    <w:rPr>
      <w:color w:val="auto"/>
      <w:spacing w:val="20"/>
      <w:kern w:val="0"/>
      <w:sz w:val="24"/>
      <w:szCs w:val="20"/>
    </w:rPr>
  </w:style>
  <w:style w:type="paragraph" w:customStyle="1" w:styleId="136">
    <w:name w:val="样式5"/>
    <w:basedOn w:val="1"/>
    <w:qFormat/>
    <w:uiPriority w:val="0"/>
    <w:pPr>
      <w:spacing w:line="440" w:lineRule="exact"/>
    </w:pPr>
    <w:rPr>
      <w:rFonts w:ascii="汉仪中宋简" w:hAnsi="宋体" w:eastAsia="黑体"/>
      <w:color w:val="auto"/>
      <w:kern w:val="2"/>
      <w:sz w:val="28"/>
      <w:szCs w:val="21"/>
    </w:rPr>
  </w:style>
  <w:style w:type="paragraph" w:customStyle="1" w:styleId="137">
    <w:name w:val="默认段落字体 Para Char Char Char Char Char Char Char Char Char1 Char"/>
    <w:basedOn w:val="15"/>
    <w:qFormat/>
    <w:uiPriority w:val="0"/>
    <w:pPr>
      <w:adjustRightInd w:val="0"/>
      <w:spacing w:line="436" w:lineRule="exact"/>
      <w:ind w:left="357"/>
      <w:jc w:val="left"/>
      <w:outlineLvl w:val="3"/>
    </w:pPr>
    <w:rPr>
      <w:shd w:val="clear" w:color="auto" w:fill="000080"/>
    </w:rPr>
  </w:style>
  <w:style w:type="paragraph" w:customStyle="1" w:styleId="138">
    <w:name w:val="_Style 32"/>
    <w:basedOn w:val="1"/>
    <w:qFormat/>
    <w:uiPriority w:val="0"/>
    <w:rPr>
      <w:color w:val="auto"/>
      <w:kern w:val="0"/>
      <w:sz w:val="24"/>
      <w:szCs w:val="20"/>
    </w:rPr>
  </w:style>
  <w:style w:type="paragraph" w:customStyle="1" w:styleId="139">
    <w:name w:val="reader-word-layer"/>
    <w:basedOn w:val="1"/>
    <w:qFormat/>
    <w:uiPriority w:val="0"/>
    <w:pPr>
      <w:widowControl/>
      <w:spacing w:before="100" w:beforeAutospacing="1" w:after="100" w:afterAutospacing="1"/>
      <w:jc w:val="left"/>
    </w:pPr>
    <w:rPr>
      <w:rFonts w:ascii="宋体" w:hAnsi="宋体" w:cs="宋体"/>
      <w:color w:val="auto"/>
      <w:kern w:val="0"/>
      <w:sz w:val="24"/>
    </w:rPr>
  </w:style>
  <w:style w:type="paragraph" w:customStyle="1" w:styleId="14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1">
    <w:name w:val="Table Paragraph"/>
    <w:basedOn w:val="1"/>
    <w:qFormat/>
    <w:uiPriority w:val="1"/>
    <w:rPr>
      <w:rFonts w:ascii="仿宋" w:hAnsi="仿宋" w:eastAsia="仿宋" w:cs="仿宋"/>
      <w:color w:val="auto"/>
      <w:kern w:val="2"/>
      <w:lang w:val="zh-CN"/>
    </w:rPr>
  </w:style>
  <w:style w:type="paragraph" w:customStyle="1" w:styleId="142">
    <w:name w:val="表格文字"/>
    <w:basedOn w:val="1"/>
    <w:next w:val="17"/>
    <w:qFormat/>
    <w:uiPriority w:val="0"/>
    <w:pPr>
      <w:spacing w:before="25" w:after="25"/>
      <w:jc w:val="left"/>
    </w:pPr>
    <w:rPr>
      <w:bCs/>
      <w:spacing w:val="10"/>
      <w:kern w:val="0"/>
      <w:sz w:val="24"/>
    </w:rPr>
  </w:style>
  <w:style w:type="character" w:customStyle="1" w:styleId="143">
    <w:name w:val="bookmark-item uuid-1595987359344 code-00004 addword single-line-text-input-box-cls"/>
    <w:qFormat/>
    <w:uiPriority w:val="6"/>
  </w:style>
  <w:style w:type="paragraph" w:customStyle="1" w:styleId="144">
    <w:name w:val="*正文"/>
    <w:basedOn w:val="1"/>
    <w:qFormat/>
    <w:uiPriority w:val="0"/>
    <w:pPr>
      <w:spacing w:line="420" w:lineRule="exact"/>
      <w:ind w:firstLine="200" w:firstLineChars="200"/>
    </w:pPr>
    <w:rPr>
      <w:rFonts w:ascii="宋体" w:hAnsi="宋体"/>
      <w:bCs/>
      <w:szCs w:val="30"/>
    </w:rPr>
  </w:style>
  <w:style w:type="character" w:customStyle="1" w:styleId="145">
    <w:name w:val="15"/>
    <w:qFormat/>
    <w:uiPriority w:val="0"/>
    <w:rPr>
      <w:rFonts w:hint="default" w:ascii="Times New Roman" w:hAnsi="Times New Roman" w:cs="Times New Roman"/>
    </w:rPr>
  </w:style>
  <w:style w:type="character" w:customStyle="1" w:styleId="146">
    <w:name w:val="font41"/>
    <w:qFormat/>
    <w:uiPriority w:val="0"/>
    <w:rPr>
      <w:rFonts w:hint="default" w:ascii="仿宋_GB2312" w:eastAsia="仿宋_GB2312" w:cs="仿宋_GB2312"/>
      <w:color w:val="000000"/>
      <w:sz w:val="22"/>
      <w:szCs w:val="22"/>
      <w:u w:val="none"/>
    </w:rPr>
  </w:style>
  <w:style w:type="character" w:customStyle="1" w:styleId="147">
    <w:name w:val="font51"/>
    <w:qFormat/>
    <w:uiPriority w:val="0"/>
    <w:rPr>
      <w:rFonts w:hint="eastAsia" w:ascii="宋体" w:hAnsi="宋体" w:eastAsia="宋体" w:cs="宋体"/>
      <w:color w:val="000000"/>
      <w:sz w:val="22"/>
      <w:szCs w:val="22"/>
      <w:u w:val="none"/>
    </w:rPr>
  </w:style>
  <w:style w:type="paragraph" w:customStyle="1" w:styleId="148">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149">
    <w:name w:val="BodyTextIndent"/>
    <w:basedOn w:val="1"/>
    <w:qFormat/>
    <w:uiPriority w:val="0"/>
    <w:pPr>
      <w:widowControl/>
      <w:ind w:firstLine="830" w:firstLineChars="352"/>
      <w:textAlignment w:val="baseline"/>
    </w:pPr>
    <w:rPr>
      <w:rFonts w:ascii="仿宋_GB2312" w:hAnsi="宋体" w:eastAsia="仿宋_GB2312" w:cs="宋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采购中心</Company>
  <Pages>45</Pages>
  <Words>3395</Words>
  <Characters>3818</Characters>
  <Lines>192</Lines>
  <Paragraphs>54</Paragraphs>
  <TotalTime>0</TotalTime>
  <ScaleCrop>false</ScaleCrop>
  <LinksUpToDate>false</LinksUpToDate>
  <CharactersWithSpaces>4289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2021-04-17T10:11:00Z</dcterms:created>
  <dc:creator>任鹏</dc:creator>
  <cp:lastModifiedBy>gxxc</cp:lastModifiedBy>
  <cp:lastPrinted>2025-11-30T11:11:00Z</cp:lastPrinted>
  <dcterms:modified xsi:type="dcterms:W3CDTF">2025-12-18T10:19:47Z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A8BFF46AD5544DF5920E1F2E52BD59E1_13</vt:lpwstr>
  </property>
  <property fmtid="{D5CDD505-2E9C-101B-9397-08002B2CF9AE}" pid="4" name="KSOTemplateDocerSaveRecord">
    <vt:lpwstr>eyJoZGlkIjoiZGQzYmM4YTI1YzdmMGRhZjAyM2NlZGJmMmFjNzY5NDQiLCJ1c2VySWQiOiIxNDU3MzM4ODM5In0=</vt:lpwstr>
  </property>
</Properties>
</file>