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7D3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录音棚采购需求</w:t>
      </w:r>
    </w:p>
    <w:tbl>
      <w:tblPr>
        <w:tblW w:w="4803" w:type="pct"/>
        <w:tblInd w:w="2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35"/>
        <w:gridCol w:w="1014"/>
        <w:gridCol w:w="9319"/>
        <w:gridCol w:w="450"/>
        <w:gridCol w:w="615"/>
        <w:gridCol w:w="960"/>
        <w:gridCol w:w="823"/>
      </w:tblGrid>
      <w:tr w14:paraId="306D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59" w:type="pct"/>
            <w:tcBorders>
              <w:top w:val="single" w:color="000000" w:sz="4" w:space="0"/>
              <w:left w:val="single" w:color="000000" w:sz="4" w:space="0"/>
              <w:bottom w:val="single" w:color="000000" w:sz="4" w:space="0"/>
              <w:right w:val="single" w:color="000000" w:sz="4" w:space="0"/>
            </w:tcBorders>
            <w:shd w:val="clear"/>
            <w:noWrap/>
            <w:vAlign w:val="center"/>
          </w:tcPr>
          <w:p w14:paraId="3AE030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2FBD55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名称</w:t>
            </w:r>
          </w:p>
        </w:tc>
        <w:tc>
          <w:tcPr>
            <w:tcW w:w="3422" w:type="pct"/>
            <w:tcBorders>
              <w:top w:val="single" w:color="000000" w:sz="4" w:space="0"/>
              <w:left w:val="single" w:color="000000" w:sz="4" w:space="0"/>
              <w:bottom w:val="single" w:color="000000" w:sz="4" w:space="0"/>
              <w:right w:val="single" w:color="000000" w:sz="4" w:space="0"/>
            </w:tcBorders>
            <w:shd w:val="clear"/>
            <w:noWrap/>
            <w:vAlign w:val="center"/>
          </w:tcPr>
          <w:p w14:paraId="6D76AA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产品参数</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19AAE1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0630EA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p>
        </w:tc>
        <w:tc>
          <w:tcPr>
            <w:tcW w:w="352" w:type="pct"/>
            <w:tcBorders>
              <w:top w:val="single" w:color="000000" w:sz="4" w:space="0"/>
              <w:left w:val="single" w:color="000000" w:sz="4" w:space="0"/>
              <w:bottom w:val="single" w:color="000000" w:sz="4" w:space="0"/>
              <w:right w:val="single" w:color="000000" w:sz="4" w:space="0"/>
            </w:tcBorders>
            <w:shd w:val="clear"/>
            <w:noWrap/>
            <w:vAlign w:val="center"/>
          </w:tcPr>
          <w:p w14:paraId="0D18DB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5CBAB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总价</w:t>
            </w:r>
          </w:p>
        </w:tc>
      </w:tr>
      <w:tr w14:paraId="055C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5" w:hRule="atLeast"/>
        </w:trPr>
        <w:tc>
          <w:tcPr>
            <w:tcW w:w="159" w:type="pct"/>
            <w:tcBorders>
              <w:top w:val="nil"/>
              <w:left w:val="single" w:color="000000" w:sz="4" w:space="0"/>
              <w:bottom w:val="single" w:color="000000" w:sz="4" w:space="0"/>
              <w:right w:val="single" w:color="000000" w:sz="4" w:space="0"/>
            </w:tcBorders>
            <w:shd w:val="clear"/>
            <w:noWrap/>
            <w:vAlign w:val="center"/>
          </w:tcPr>
          <w:p w14:paraId="2D55C9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w:t>
            </w:r>
          </w:p>
        </w:tc>
        <w:tc>
          <w:tcPr>
            <w:tcW w:w="372" w:type="pct"/>
            <w:tcBorders>
              <w:top w:val="nil"/>
              <w:left w:val="single" w:color="000000" w:sz="4" w:space="0"/>
              <w:bottom w:val="single" w:color="000000" w:sz="4" w:space="0"/>
              <w:right w:val="single" w:color="000000" w:sz="4" w:space="0"/>
            </w:tcBorders>
            <w:shd w:val="clear"/>
            <w:vAlign w:val="center"/>
          </w:tcPr>
          <w:p w14:paraId="5F36F0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电脑Windows</w:t>
            </w:r>
          </w:p>
        </w:tc>
        <w:tc>
          <w:tcPr>
            <w:tcW w:w="3422" w:type="pct"/>
            <w:tcBorders>
              <w:top w:val="nil"/>
              <w:left w:val="single" w:color="000000" w:sz="4" w:space="0"/>
              <w:bottom w:val="single" w:color="000000" w:sz="4" w:space="0"/>
              <w:right w:val="single" w:color="000000" w:sz="4" w:space="0"/>
            </w:tcBorders>
            <w:shd w:val="clear"/>
            <w:vAlign w:val="center"/>
          </w:tcPr>
          <w:p w14:paraId="598CE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1" name="19"/>
                  <wp:cNvGraphicFramePr/>
                  <a:graphic xmlns:a="http://schemas.openxmlformats.org/drawingml/2006/main">
                    <a:graphicData uri="http://schemas.openxmlformats.org/drawingml/2006/picture">
                      <pic:pic xmlns:pic="http://schemas.openxmlformats.org/drawingml/2006/picture">
                        <pic:nvPicPr>
                          <pic:cNvPr id="1" name="19"/>
                          <pic:cNvPicPr/>
                        </pic:nvPicPr>
                        <pic:blipFill>
                          <a:blip r:embed="rId4"/>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2" name="19_SpCnt_1"/>
                  <wp:cNvGraphicFramePr/>
                  <a:graphic xmlns:a="http://schemas.openxmlformats.org/drawingml/2006/main">
                    <a:graphicData uri="http://schemas.openxmlformats.org/drawingml/2006/picture">
                      <pic:pic xmlns:pic="http://schemas.openxmlformats.org/drawingml/2006/picture">
                        <pic:nvPicPr>
                          <pic:cNvPr id="2" name="19_SpCnt_1"/>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4" name="19_SpCnt_2"/>
                  <wp:cNvGraphicFramePr/>
                  <a:graphic xmlns:a="http://schemas.openxmlformats.org/drawingml/2006/main">
                    <a:graphicData uri="http://schemas.openxmlformats.org/drawingml/2006/picture">
                      <pic:pic xmlns:pic="http://schemas.openxmlformats.org/drawingml/2006/picture">
                        <pic:nvPicPr>
                          <pic:cNvPr id="4" name="19_SpCnt_2"/>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3" name="19_SpCnt_3"/>
                  <wp:cNvGraphicFramePr/>
                  <a:graphic xmlns:a="http://schemas.openxmlformats.org/drawingml/2006/main">
                    <a:graphicData uri="http://schemas.openxmlformats.org/drawingml/2006/picture">
                      <pic:pic xmlns:pic="http://schemas.openxmlformats.org/drawingml/2006/picture">
                        <pic:nvPicPr>
                          <pic:cNvPr id="3" name="19_SpCnt_3"/>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9" name="19_SpCnt_4"/>
                  <wp:cNvGraphicFramePr/>
                  <a:graphic xmlns:a="http://schemas.openxmlformats.org/drawingml/2006/main">
                    <a:graphicData uri="http://schemas.openxmlformats.org/drawingml/2006/picture">
                      <pic:pic xmlns:pic="http://schemas.openxmlformats.org/drawingml/2006/picture">
                        <pic:nvPicPr>
                          <pic:cNvPr id="9" name="19_SpCnt_4"/>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5" name="19_SpCnt_5"/>
                  <wp:cNvGraphicFramePr/>
                  <a:graphic xmlns:a="http://schemas.openxmlformats.org/drawingml/2006/main">
                    <a:graphicData uri="http://schemas.openxmlformats.org/drawingml/2006/picture">
                      <pic:pic xmlns:pic="http://schemas.openxmlformats.org/drawingml/2006/picture">
                        <pic:nvPicPr>
                          <pic:cNvPr id="5" name="19_SpCnt_5"/>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6" name="19_SpCnt_6"/>
                  <wp:cNvGraphicFramePr/>
                  <a:graphic xmlns:a="http://schemas.openxmlformats.org/drawingml/2006/main">
                    <a:graphicData uri="http://schemas.openxmlformats.org/drawingml/2006/picture">
                      <pic:pic xmlns:pic="http://schemas.openxmlformats.org/drawingml/2006/picture">
                        <pic:nvPicPr>
                          <pic:cNvPr id="6" name="19_SpCnt_6"/>
                          <pic:cNvPicPr/>
                        </pic:nvPicPr>
                        <pic:blipFill>
                          <a:blip r:embed="rId6"/>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7" name="19_SpCnt_7"/>
                  <wp:cNvGraphicFramePr/>
                  <a:graphic xmlns:a="http://schemas.openxmlformats.org/drawingml/2006/main">
                    <a:graphicData uri="http://schemas.openxmlformats.org/drawingml/2006/picture">
                      <pic:pic xmlns:pic="http://schemas.openxmlformats.org/drawingml/2006/picture">
                        <pic:nvPicPr>
                          <pic:cNvPr id="7" name="19_SpCnt_7"/>
                          <pic:cNvPicPr/>
                        </pic:nvPicPr>
                        <pic:blipFill>
                          <a:blip r:embed="rId7"/>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8" name="19_SpCnt_8"/>
                  <wp:cNvGraphicFramePr/>
                  <a:graphic xmlns:a="http://schemas.openxmlformats.org/drawingml/2006/main">
                    <a:graphicData uri="http://schemas.openxmlformats.org/drawingml/2006/picture">
                      <pic:pic xmlns:pic="http://schemas.openxmlformats.org/drawingml/2006/picture">
                        <pic:nvPicPr>
                          <pic:cNvPr id="8" name="19_SpCnt_8"/>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10" name="19_SpCnt_9"/>
                  <wp:cNvGraphicFramePr/>
                  <a:graphic xmlns:a="http://schemas.openxmlformats.org/drawingml/2006/main">
                    <a:graphicData uri="http://schemas.openxmlformats.org/drawingml/2006/picture">
                      <pic:pic xmlns:pic="http://schemas.openxmlformats.org/drawingml/2006/picture">
                        <pic:nvPicPr>
                          <pic:cNvPr id="10" name="19_SpCnt_9"/>
                          <pic:cNvPicPr/>
                        </pic:nvPicPr>
                        <pic:blipFill>
                          <a:blip r:embed="rId8"/>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11" name="19_SpCnt_10"/>
                  <wp:cNvGraphicFramePr/>
                  <a:graphic xmlns:a="http://schemas.openxmlformats.org/drawingml/2006/main">
                    <a:graphicData uri="http://schemas.openxmlformats.org/drawingml/2006/picture">
                      <pic:pic xmlns:pic="http://schemas.openxmlformats.org/drawingml/2006/picture">
                        <pic:nvPicPr>
                          <pic:cNvPr id="11" name="19_SpCnt_10"/>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12" name="19_SpCnt_11"/>
                  <wp:cNvGraphicFramePr/>
                  <a:graphic xmlns:a="http://schemas.openxmlformats.org/drawingml/2006/main">
                    <a:graphicData uri="http://schemas.openxmlformats.org/drawingml/2006/picture">
                      <pic:pic xmlns:pic="http://schemas.openxmlformats.org/drawingml/2006/picture">
                        <pic:nvPicPr>
                          <pic:cNvPr id="12" name="19_SpCnt_11"/>
                          <pic:cNvPicPr/>
                        </pic:nvPicPr>
                        <pic:blipFill>
                          <a:blip r:embed="rId5"/>
                          <a:stretch>
                            <a:fillRect/>
                          </a:stretch>
                        </pic:blipFill>
                        <pic:spPr>
                          <a:xfrm>
                            <a:off x="0" y="0"/>
                            <a:ext cx="9525" cy="9525"/>
                          </a:xfrm>
                          <a:prstGeom prst="rect">
                            <a:avLst/>
                          </a:prstGeom>
                          <a:noFill/>
                          <a:ln>
                            <a:noFill/>
                          </a:ln>
                        </pic:spPr>
                      </pic:pic>
                    </a:graphicData>
                  </a:graphic>
                </wp:anchor>
              </w:drawing>
            </w:r>
            <w:r>
              <w:rPr>
                <w:rStyle w:val="4"/>
                <w:bdr w:val="none" w:color="auto" w:sz="0" w:space="0"/>
                <w:lang w:val="en-US" w:eastAsia="zh-CN" w:bidi="ar"/>
              </w:rPr>
              <w:t>cpu：</w:t>
            </w:r>
            <w:r>
              <w:rPr>
                <w:rStyle w:val="5"/>
                <w:bdr w:val="none" w:color="auto" w:sz="0" w:space="0"/>
                <w:lang w:val="en-US" w:eastAsia="zh-CN" w:bidi="ar"/>
              </w:rPr>
              <w:t>内核数≥14核心、总线程数≥14线程，主频≥3.6GHz，最大睿频频率≥5.2GHz，三级缓存≥24MB，TDP（基础）≥125W，TDP（最高）≥159W，支持最大内存大小≥192GB，内存支持类型：DDR5或者DDR4，PCIe 支持：PCIe5.0或者4.0，NPU算力≥13 TOPS</w:t>
            </w:r>
            <w:r>
              <w:rPr>
                <w:rStyle w:val="5"/>
                <w:bdr w:val="none" w:color="auto" w:sz="0" w:space="0"/>
                <w:lang w:val="en-US" w:eastAsia="zh-CN" w:bidi="ar"/>
              </w:rPr>
              <w:br w:type="textWrapping"/>
            </w:r>
            <w:r>
              <w:rPr>
                <w:rStyle w:val="4"/>
                <w:bdr w:val="none" w:color="auto" w:sz="0" w:space="0"/>
                <w:lang w:val="en-US" w:eastAsia="zh-CN" w:bidi="ar"/>
              </w:rPr>
              <w:t>显卡：</w:t>
            </w:r>
            <w:r>
              <w:rPr>
                <w:rStyle w:val="5"/>
                <w:bdr w:val="none" w:color="auto" w:sz="0" w:space="0"/>
                <w:lang w:val="en-US" w:eastAsia="zh-CN" w:bidi="ar"/>
              </w:rPr>
              <w:t>显存容量≥8GB GDDR7，显存位宽≥128bit，接口PCIe 5.0，加速频率≥2317MHz，CUDA 核心：≥3840个</w:t>
            </w:r>
            <w:r>
              <w:rPr>
                <w:rStyle w:val="5"/>
                <w:bdr w:val="none" w:color="auto" w:sz="0" w:space="0"/>
                <w:lang w:val="en-US" w:eastAsia="zh-CN" w:bidi="ar"/>
              </w:rPr>
              <w:br w:type="textWrapping"/>
            </w:r>
            <w:r>
              <w:rPr>
                <w:rStyle w:val="4"/>
                <w:bdr w:val="none" w:color="auto" w:sz="0" w:space="0"/>
                <w:lang w:val="en-US" w:eastAsia="zh-CN" w:bidi="ar"/>
              </w:rPr>
              <w:t>机械硬盘：</w:t>
            </w:r>
            <w:r>
              <w:rPr>
                <w:rStyle w:val="5"/>
                <w:bdr w:val="none" w:color="auto" w:sz="0" w:space="0"/>
                <w:lang w:val="en-US" w:eastAsia="zh-CN" w:bidi="ar"/>
              </w:rPr>
              <w:t>容量≥2TB，硬盘尺寸3.5寸，转速≥7200rpm</w:t>
            </w:r>
            <w:r>
              <w:rPr>
                <w:rStyle w:val="5"/>
                <w:bdr w:val="none" w:color="auto" w:sz="0" w:space="0"/>
                <w:lang w:val="en-US" w:eastAsia="zh-CN" w:bidi="ar"/>
              </w:rPr>
              <w:br w:type="textWrapping"/>
            </w:r>
            <w:r>
              <w:rPr>
                <w:rStyle w:val="4"/>
                <w:bdr w:val="none" w:color="auto" w:sz="0" w:space="0"/>
                <w:lang w:val="en-US" w:eastAsia="zh-CN" w:bidi="ar"/>
              </w:rPr>
              <w:t>固态硬盘：</w:t>
            </w:r>
            <w:r>
              <w:rPr>
                <w:rStyle w:val="5"/>
                <w:bdr w:val="none" w:color="auto" w:sz="0" w:space="0"/>
                <w:lang w:val="en-US" w:eastAsia="zh-CN" w:bidi="ar"/>
              </w:rPr>
              <w:t>闪存颗粒QLC，顺序读写≥3000MB/s，NVMe读速≥6000MB/s，容量≥512GB</w:t>
            </w:r>
            <w:r>
              <w:rPr>
                <w:rStyle w:val="5"/>
                <w:bdr w:val="none" w:color="auto" w:sz="0" w:space="0"/>
                <w:lang w:val="en-US" w:eastAsia="zh-CN" w:bidi="ar"/>
              </w:rPr>
              <w:br w:type="textWrapping"/>
            </w:r>
            <w:r>
              <w:rPr>
                <w:rStyle w:val="4"/>
                <w:bdr w:val="none" w:color="auto" w:sz="0" w:space="0"/>
                <w:lang w:val="en-US" w:eastAsia="zh-CN" w:bidi="ar"/>
              </w:rPr>
              <w:t>电源：</w:t>
            </w:r>
            <w:r>
              <w:rPr>
                <w:rStyle w:val="5"/>
                <w:bdr w:val="none" w:color="auto" w:sz="0" w:space="0"/>
                <w:lang w:val="en-US" w:eastAsia="zh-CN" w:bidi="ar"/>
              </w:rPr>
              <w:t>额定功率≥650W，转换效率≥90%，支持温控，接线类型-全模组化</w:t>
            </w:r>
          </w:p>
        </w:tc>
        <w:tc>
          <w:tcPr>
            <w:tcW w:w="165" w:type="pct"/>
            <w:tcBorders>
              <w:top w:val="nil"/>
              <w:left w:val="single" w:color="000000" w:sz="4" w:space="0"/>
              <w:bottom w:val="single" w:color="000000" w:sz="4" w:space="0"/>
              <w:right w:val="single" w:color="000000" w:sz="4" w:space="0"/>
            </w:tcBorders>
            <w:shd w:val="clear"/>
            <w:noWrap/>
            <w:vAlign w:val="center"/>
          </w:tcPr>
          <w:p w14:paraId="2F7F24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13" name="19_SpCnt_12"/>
                  <wp:cNvGraphicFramePr/>
                  <a:graphic xmlns:a="http://schemas.openxmlformats.org/drawingml/2006/main">
                    <a:graphicData uri="http://schemas.openxmlformats.org/drawingml/2006/picture">
                      <pic:pic xmlns:pic="http://schemas.openxmlformats.org/drawingml/2006/picture">
                        <pic:nvPicPr>
                          <pic:cNvPr id="13" name="19_SpCnt_12"/>
                          <pic:cNvPicPr/>
                        </pic:nvPicPr>
                        <pic:blipFill>
                          <a:blip r:embed="rId9"/>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14" name="19_SpCnt_13"/>
                  <wp:cNvGraphicFramePr/>
                  <a:graphic xmlns:a="http://schemas.openxmlformats.org/drawingml/2006/main">
                    <a:graphicData uri="http://schemas.openxmlformats.org/drawingml/2006/picture">
                      <pic:pic xmlns:pic="http://schemas.openxmlformats.org/drawingml/2006/picture">
                        <pic:nvPicPr>
                          <pic:cNvPr id="14" name="19_SpCnt_13"/>
                          <pic:cNvPicPr/>
                        </pic:nvPicPr>
                        <pic:blipFill>
                          <a:blip r:embed="rId10"/>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15" name="19_SpCnt_14"/>
                  <wp:cNvGraphicFramePr/>
                  <a:graphic xmlns:a="http://schemas.openxmlformats.org/drawingml/2006/main">
                    <a:graphicData uri="http://schemas.openxmlformats.org/drawingml/2006/picture">
                      <pic:pic xmlns:pic="http://schemas.openxmlformats.org/drawingml/2006/picture">
                        <pic:nvPicPr>
                          <pic:cNvPr id="15" name="19_SpCnt_14"/>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16" name="19_SpCnt_15"/>
                  <wp:cNvGraphicFramePr/>
                  <a:graphic xmlns:a="http://schemas.openxmlformats.org/drawingml/2006/main">
                    <a:graphicData uri="http://schemas.openxmlformats.org/drawingml/2006/picture">
                      <pic:pic xmlns:pic="http://schemas.openxmlformats.org/drawingml/2006/picture">
                        <pic:nvPicPr>
                          <pic:cNvPr id="16" name="19_SpCnt_15"/>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17" name="19_SpCnt_16"/>
                  <wp:cNvGraphicFramePr/>
                  <a:graphic xmlns:a="http://schemas.openxmlformats.org/drawingml/2006/main">
                    <a:graphicData uri="http://schemas.openxmlformats.org/drawingml/2006/picture">
                      <pic:pic xmlns:pic="http://schemas.openxmlformats.org/drawingml/2006/picture">
                        <pic:nvPicPr>
                          <pic:cNvPr id="17" name="19_SpCnt_16"/>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18" name="19_SpCnt_17"/>
                  <wp:cNvGraphicFramePr/>
                  <a:graphic xmlns:a="http://schemas.openxmlformats.org/drawingml/2006/main">
                    <a:graphicData uri="http://schemas.openxmlformats.org/drawingml/2006/picture">
                      <pic:pic xmlns:pic="http://schemas.openxmlformats.org/drawingml/2006/picture">
                        <pic:nvPicPr>
                          <pic:cNvPr id="18" name="19_SpCnt_17"/>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b/>
                <w:bCs/>
                <w:i w:val="0"/>
                <w:iCs w:val="0"/>
                <w:color w:val="000000"/>
                <w:kern w:val="0"/>
                <w:sz w:val="22"/>
                <w:szCs w:val="22"/>
                <w:u w:val="none"/>
                <w:bdr w:val="none" w:color="auto" w:sz="0" w:space="0"/>
                <w:lang w:val="en-US" w:eastAsia="zh-CN" w:bidi="ar"/>
              </w:rPr>
              <w:t>套</w:t>
            </w:r>
          </w:p>
        </w:tc>
        <w:tc>
          <w:tcPr>
            <w:tcW w:w="225" w:type="pct"/>
            <w:tcBorders>
              <w:top w:val="nil"/>
              <w:left w:val="single" w:color="000000" w:sz="4" w:space="0"/>
              <w:bottom w:val="single" w:color="000000" w:sz="4" w:space="0"/>
              <w:right w:val="single" w:color="000000" w:sz="4" w:space="0"/>
            </w:tcBorders>
            <w:shd w:val="clear"/>
            <w:noWrap/>
            <w:vAlign w:val="center"/>
          </w:tcPr>
          <w:p w14:paraId="262DD1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w:t>
            </w:r>
          </w:p>
        </w:tc>
        <w:tc>
          <w:tcPr>
            <w:tcW w:w="352" w:type="pct"/>
            <w:tcBorders>
              <w:top w:val="nil"/>
              <w:left w:val="single" w:color="000000" w:sz="4" w:space="0"/>
              <w:bottom w:val="single" w:color="000000" w:sz="4" w:space="0"/>
              <w:right w:val="single" w:color="000000" w:sz="4" w:space="0"/>
            </w:tcBorders>
            <w:shd w:val="clear"/>
            <w:noWrap/>
            <w:vAlign w:val="center"/>
          </w:tcPr>
          <w:p w14:paraId="3D9D86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12000</w:t>
            </w:r>
          </w:p>
        </w:tc>
        <w:tc>
          <w:tcPr>
            <w:tcW w:w="302" w:type="pct"/>
            <w:tcBorders>
              <w:top w:val="nil"/>
              <w:left w:val="single" w:color="000000" w:sz="4" w:space="0"/>
              <w:bottom w:val="single" w:color="000000" w:sz="4" w:space="0"/>
              <w:right w:val="nil"/>
            </w:tcBorders>
            <w:shd w:val="clear"/>
            <w:noWrap/>
            <w:vAlign w:val="center"/>
          </w:tcPr>
          <w:p w14:paraId="463284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12000</w:t>
            </w:r>
          </w:p>
        </w:tc>
      </w:tr>
      <w:tr w14:paraId="7C21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0" w:hRule="atLeast"/>
        </w:trPr>
        <w:tc>
          <w:tcPr>
            <w:tcW w:w="159" w:type="pct"/>
            <w:tcBorders>
              <w:top w:val="nil"/>
              <w:left w:val="single" w:color="000000" w:sz="4" w:space="0"/>
              <w:bottom w:val="nil"/>
              <w:right w:val="single" w:color="000000" w:sz="4" w:space="0"/>
            </w:tcBorders>
            <w:shd w:val="clear"/>
            <w:noWrap/>
            <w:vAlign w:val="center"/>
          </w:tcPr>
          <w:p w14:paraId="5D4784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w:t>
            </w:r>
          </w:p>
        </w:tc>
        <w:tc>
          <w:tcPr>
            <w:tcW w:w="372" w:type="pct"/>
            <w:tcBorders>
              <w:top w:val="single" w:color="000000" w:sz="4" w:space="0"/>
              <w:left w:val="single" w:color="000000" w:sz="4" w:space="0"/>
              <w:bottom w:val="nil"/>
              <w:right w:val="single" w:color="000000" w:sz="4" w:space="0"/>
            </w:tcBorders>
            <w:shd w:val="clear"/>
            <w:vAlign w:val="center"/>
          </w:tcPr>
          <w:p w14:paraId="40AD71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笔记本电脑</w:t>
            </w:r>
          </w:p>
        </w:tc>
        <w:tc>
          <w:tcPr>
            <w:tcW w:w="3422" w:type="pct"/>
            <w:tcBorders>
              <w:top w:val="single" w:color="000000" w:sz="4" w:space="0"/>
              <w:left w:val="single" w:color="000000" w:sz="4" w:space="0"/>
              <w:bottom w:val="nil"/>
              <w:right w:val="single" w:color="000000" w:sz="4" w:space="0"/>
            </w:tcBorders>
            <w:shd w:val="clear"/>
            <w:vAlign w:val="center"/>
          </w:tcPr>
          <w:p w14:paraId="0C943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cpu：</w:t>
            </w:r>
            <w:r>
              <w:rPr>
                <w:rStyle w:val="5"/>
                <w:bdr w:val="none" w:color="auto" w:sz="0" w:space="0"/>
                <w:lang w:val="en-US" w:eastAsia="zh-CN" w:bidi="ar"/>
              </w:rPr>
              <w:t>内核数≥12核心、总线程数≥24线程，主频≥3.3GHz，最大睿频频率≥5.1GHz，三级缓存≥24MB，默认热设计功耗TDP≥28W，支持最大内存大小≥256GB，内存支持类型：DDR5 (FP8)、LPDDR5X (FP8)，最高内存速度：2x2R，≥DDR5-5600，LPDDR5x-8000，支持：PCIe® 4.0</w:t>
            </w:r>
            <w:r>
              <w:rPr>
                <w:rStyle w:val="5"/>
                <w:bdr w:val="none" w:color="auto" w:sz="0" w:space="0"/>
                <w:lang w:val="en-US" w:eastAsia="zh-CN" w:bidi="ar"/>
              </w:rPr>
              <w:br w:type="textWrapping"/>
            </w:r>
            <w:r>
              <w:rPr>
                <w:rStyle w:val="4"/>
                <w:bdr w:val="none" w:color="auto" w:sz="0" w:space="0"/>
                <w:lang w:val="en-US" w:eastAsia="zh-CN" w:bidi="ar"/>
              </w:rPr>
              <w:t>集成显卡：</w:t>
            </w:r>
            <w:r>
              <w:rPr>
                <w:rStyle w:val="5"/>
                <w:bdr w:val="none" w:color="auto" w:sz="0" w:space="0"/>
                <w:lang w:val="en-US" w:eastAsia="zh-CN" w:bidi="ar"/>
              </w:rPr>
              <w:t>显卡核心数≥16个，显卡频率2900 MHz，HDMI®版本2.1，支持USB Type-C® DisplayPort™ 备用模式；</w:t>
            </w:r>
            <w:r>
              <w:rPr>
                <w:rStyle w:val="5"/>
                <w:bdr w:val="none" w:color="auto" w:sz="0" w:space="0"/>
                <w:lang w:val="en-US" w:eastAsia="zh-CN" w:bidi="ar"/>
              </w:rPr>
              <w:br w:type="textWrapping"/>
            </w:r>
            <w:r>
              <w:rPr>
                <w:rStyle w:val="5"/>
                <w:bdr w:val="none" w:color="auto" w:sz="0" w:space="0"/>
                <w:lang w:val="en-US" w:eastAsia="zh-CN" w:bidi="ar"/>
              </w:rPr>
              <w:t>最大视频编码带宽 (SDR)：1080p630 8bpc H.264, 1440p373 8bpc H.264, 2160p175 8bpc H.264, 1080p630 8bpc H.265, 1440p373 8bpc H.265, 2160p175 8bpc H.265, 4320p43 8bpc H.265, 1080p864 8/10bpc AV1, 1440p513 8/10bpc AV1, 2160p240 8/10bpc AV1, 4320p60 8/10bpc AV1</w:t>
            </w:r>
            <w:r>
              <w:rPr>
                <w:rStyle w:val="5"/>
                <w:bdr w:val="none" w:color="auto" w:sz="0" w:space="0"/>
                <w:lang w:val="en-US" w:eastAsia="zh-CN" w:bidi="ar"/>
              </w:rPr>
              <w:br w:type="textWrapping"/>
            </w:r>
            <w:r>
              <w:rPr>
                <w:rStyle w:val="5"/>
                <w:bdr w:val="none" w:color="auto" w:sz="0" w:space="0"/>
                <w:lang w:val="en-US" w:eastAsia="zh-CN" w:bidi="ar"/>
              </w:rPr>
              <w:t>最大视频解码带宽：1080p60 8bpc MPEG2, 1080p60 8bpc VC1, 1080p786 8/10bpc VP9, 2160p196 8/10bpc VP9, 4320p49 8/10bpc VP9, 1080p1200 8bpc H.264, 2160p300 8bpc H.264, 4320p75 8bpc H.264, 1080p786 8/10bpc H.265, 2160p196 8/10bpc H.265, 4320p49 8/10bpc H.265, 1080p960 8/10bpc</w:t>
            </w:r>
            <w:r>
              <w:rPr>
                <w:rStyle w:val="5"/>
                <w:bdr w:val="none" w:color="auto" w:sz="0" w:space="0"/>
                <w:lang w:val="en-US" w:eastAsia="zh-CN" w:bidi="ar"/>
              </w:rPr>
              <w:br w:type="textWrapping"/>
            </w:r>
            <w:r>
              <w:rPr>
                <w:rStyle w:val="4"/>
                <w:bdr w:val="none" w:color="auto" w:sz="0" w:space="0"/>
                <w:lang w:val="en-US" w:eastAsia="zh-CN" w:bidi="ar"/>
              </w:rPr>
              <w:t>屏幕参数：</w:t>
            </w:r>
            <w:r>
              <w:rPr>
                <w:rStyle w:val="5"/>
                <w:bdr w:val="none" w:color="auto" w:sz="0" w:space="0"/>
                <w:lang w:val="en-US" w:eastAsia="zh-CN" w:bidi="ar"/>
              </w:rPr>
              <w:t>分辨率2880*1800，屏幕类型OLED，屏幕刷新率≥120Hz，屏幕色域100% DCI-P3</w:t>
            </w:r>
            <w:r>
              <w:rPr>
                <w:rStyle w:val="5"/>
                <w:bdr w:val="none" w:color="auto" w:sz="0" w:space="0"/>
                <w:lang w:val="en-US" w:eastAsia="zh-CN" w:bidi="ar"/>
              </w:rPr>
              <w:br w:type="textWrapping"/>
            </w:r>
            <w:r>
              <w:rPr>
                <w:rStyle w:val="4"/>
                <w:bdr w:val="none" w:color="auto" w:sz="0" w:space="0"/>
                <w:lang w:val="en-US" w:eastAsia="zh-CN" w:bidi="ar"/>
              </w:rPr>
              <w:t>其他参数：</w:t>
            </w:r>
            <w:r>
              <w:rPr>
                <w:rStyle w:val="5"/>
                <w:bdr w:val="none" w:color="auto" w:sz="0" w:space="0"/>
                <w:lang w:val="en-US" w:eastAsia="zh-CN" w:bidi="ar"/>
              </w:rPr>
              <w:t>支持蓝牙，无线网卡：双天线Wi-Fi 7，支持HDMI2.0，内存容量≥32GB，硬盘容量≥1TB，电池容量≥78Wh</w:t>
            </w:r>
          </w:p>
        </w:tc>
        <w:tc>
          <w:tcPr>
            <w:tcW w:w="165" w:type="pct"/>
            <w:tcBorders>
              <w:top w:val="single" w:color="000000" w:sz="4" w:space="0"/>
              <w:left w:val="single" w:color="000000" w:sz="4" w:space="0"/>
              <w:bottom w:val="nil"/>
              <w:right w:val="single" w:color="000000" w:sz="4" w:space="0"/>
            </w:tcBorders>
            <w:shd w:val="clear"/>
            <w:noWrap/>
            <w:vAlign w:val="center"/>
          </w:tcPr>
          <w:p w14:paraId="66FA14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台</w:t>
            </w:r>
          </w:p>
        </w:tc>
        <w:tc>
          <w:tcPr>
            <w:tcW w:w="225" w:type="pct"/>
            <w:tcBorders>
              <w:top w:val="single" w:color="000000" w:sz="4" w:space="0"/>
              <w:left w:val="single" w:color="000000" w:sz="4" w:space="0"/>
              <w:bottom w:val="nil"/>
              <w:right w:val="single" w:color="000000" w:sz="4" w:space="0"/>
            </w:tcBorders>
            <w:shd w:val="clear"/>
            <w:noWrap/>
            <w:vAlign w:val="center"/>
          </w:tcPr>
          <w:p w14:paraId="05C99C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w:t>
            </w:r>
          </w:p>
        </w:tc>
        <w:tc>
          <w:tcPr>
            <w:tcW w:w="352" w:type="pct"/>
            <w:tcBorders>
              <w:top w:val="single" w:color="000000" w:sz="4" w:space="0"/>
              <w:left w:val="single" w:color="000000" w:sz="4" w:space="0"/>
              <w:bottom w:val="nil"/>
              <w:right w:val="single" w:color="000000" w:sz="4" w:space="0"/>
            </w:tcBorders>
            <w:shd w:val="clear"/>
            <w:noWrap/>
            <w:vAlign w:val="center"/>
          </w:tcPr>
          <w:p w14:paraId="318FA0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12000</w:t>
            </w:r>
          </w:p>
        </w:tc>
        <w:tc>
          <w:tcPr>
            <w:tcW w:w="302" w:type="pct"/>
            <w:tcBorders>
              <w:top w:val="single" w:color="000000" w:sz="4" w:space="0"/>
              <w:left w:val="single" w:color="000000" w:sz="4" w:space="0"/>
              <w:bottom w:val="nil"/>
              <w:right w:val="nil"/>
            </w:tcBorders>
            <w:shd w:val="clear"/>
            <w:noWrap/>
            <w:vAlign w:val="center"/>
          </w:tcPr>
          <w:p w14:paraId="44371B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12000</w:t>
            </w:r>
          </w:p>
        </w:tc>
      </w:tr>
      <w:tr w14:paraId="7C9E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trPr>
        <w:tc>
          <w:tcPr>
            <w:tcW w:w="159" w:type="pct"/>
            <w:tcBorders>
              <w:top w:val="single" w:color="000000" w:sz="4" w:space="0"/>
              <w:left w:val="single" w:color="000000" w:sz="4" w:space="0"/>
              <w:bottom w:val="single" w:color="000000" w:sz="4" w:space="0"/>
              <w:right w:val="single" w:color="000000" w:sz="4" w:space="0"/>
            </w:tcBorders>
            <w:shd w:val="clear"/>
            <w:noWrap/>
            <w:vAlign w:val="center"/>
          </w:tcPr>
          <w:p w14:paraId="5A7FD2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vAlign w:val="center"/>
          </w:tcPr>
          <w:p w14:paraId="492D4F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显示器</w:t>
            </w:r>
          </w:p>
        </w:tc>
        <w:tc>
          <w:tcPr>
            <w:tcW w:w="3422" w:type="pct"/>
            <w:tcBorders>
              <w:top w:val="single" w:color="000000" w:sz="4" w:space="0"/>
              <w:left w:val="single" w:color="000000" w:sz="4" w:space="0"/>
              <w:bottom w:val="single" w:color="000000" w:sz="4" w:space="0"/>
              <w:right w:val="single" w:color="000000" w:sz="4" w:space="0"/>
            </w:tcBorders>
            <w:shd w:val="clear"/>
            <w:vAlign w:val="center"/>
          </w:tcPr>
          <w:p w14:paraId="74010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类型</w:t>
            </w:r>
            <w:r>
              <w:rPr>
                <w:rStyle w:val="5"/>
                <w:bdr w:val="none" w:color="auto" w:sz="0" w:space="0"/>
                <w:lang w:val="en-US" w:eastAsia="zh-CN" w:bidi="ar"/>
              </w:rPr>
              <w:t>：27英寸直面屏</w:t>
            </w:r>
            <w:r>
              <w:rPr>
                <w:rStyle w:val="5"/>
                <w:bdr w:val="none" w:color="auto" w:sz="0" w:space="0"/>
                <w:lang w:val="en-US" w:eastAsia="zh-CN" w:bidi="ar"/>
              </w:rPr>
              <w:br w:type="textWrapping"/>
            </w:r>
            <w:r>
              <w:rPr>
                <w:rStyle w:val="4"/>
                <w:bdr w:val="none" w:color="auto" w:sz="0" w:space="0"/>
                <w:lang w:val="en-US" w:eastAsia="zh-CN" w:bidi="ar"/>
              </w:rPr>
              <w:t>分辨率：</w:t>
            </w:r>
            <w:r>
              <w:rPr>
                <w:rStyle w:val="5"/>
                <w:bdr w:val="none" w:color="auto" w:sz="0" w:space="0"/>
                <w:lang w:val="en-US" w:eastAsia="zh-CN" w:bidi="ar"/>
              </w:rPr>
              <w:t>3840*2160</w:t>
            </w:r>
            <w:r>
              <w:rPr>
                <w:rStyle w:val="5"/>
                <w:bdr w:val="none" w:color="auto" w:sz="0" w:space="0"/>
                <w:lang w:val="en-US" w:eastAsia="zh-CN" w:bidi="ar"/>
              </w:rPr>
              <w:br w:type="textWrapping"/>
            </w:r>
            <w:r>
              <w:rPr>
                <w:rStyle w:val="4"/>
                <w:bdr w:val="none" w:color="auto" w:sz="0" w:space="0"/>
                <w:lang w:val="en-US" w:eastAsia="zh-CN" w:bidi="ar"/>
              </w:rPr>
              <w:t>色域覆盖率：</w:t>
            </w:r>
            <w:r>
              <w:rPr>
                <w:rStyle w:val="5"/>
                <w:bdr w:val="none" w:color="auto" w:sz="0" w:space="0"/>
                <w:lang w:val="en-US" w:eastAsia="zh-CN" w:bidi="ar"/>
              </w:rPr>
              <w:t>100% sRGB，93% DCI-P3，10bit 色深，搭配IPS面板</w:t>
            </w:r>
            <w:r>
              <w:rPr>
                <w:rStyle w:val="5"/>
                <w:bdr w:val="none" w:color="auto" w:sz="0" w:space="0"/>
                <w:lang w:val="en-US" w:eastAsia="zh-CN" w:bidi="ar"/>
              </w:rPr>
              <w:br w:type="textWrapping"/>
            </w:r>
            <w:r>
              <w:rPr>
                <w:rStyle w:val="4"/>
                <w:bdr w:val="none" w:color="auto" w:sz="0" w:space="0"/>
                <w:lang w:val="en-US" w:eastAsia="zh-CN" w:bidi="ar"/>
              </w:rPr>
              <w:t>刷新率：</w:t>
            </w:r>
            <w:r>
              <w:rPr>
                <w:rStyle w:val="5"/>
                <w:bdr w:val="none" w:color="auto" w:sz="0" w:space="0"/>
                <w:lang w:val="en-US" w:eastAsia="zh-CN" w:bidi="ar"/>
              </w:rPr>
              <w:t>60Hz</w:t>
            </w:r>
            <w:r>
              <w:rPr>
                <w:rStyle w:val="5"/>
                <w:bdr w:val="none" w:color="auto" w:sz="0" w:space="0"/>
                <w:lang w:val="en-US" w:eastAsia="zh-CN" w:bidi="ar"/>
              </w:rPr>
              <w:br w:type="textWrapping"/>
            </w:r>
            <w:r>
              <w:rPr>
                <w:rStyle w:val="4"/>
                <w:bdr w:val="none" w:color="auto" w:sz="0" w:space="0"/>
                <w:lang w:val="en-US" w:eastAsia="zh-CN" w:bidi="ar"/>
              </w:rPr>
              <w:t>亮度：</w:t>
            </w:r>
            <w:r>
              <w:rPr>
                <w:rStyle w:val="5"/>
                <w:bdr w:val="none" w:color="auto" w:sz="0" w:space="0"/>
                <w:lang w:val="en-US" w:eastAsia="zh-CN" w:bidi="ar"/>
              </w:rPr>
              <w:t>400尼特</w:t>
            </w:r>
            <w:r>
              <w:rPr>
                <w:rStyle w:val="5"/>
                <w:bdr w:val="none" w:color="auto" w:sz="0" w:space="0"/>
                <w:lang w:val="en-US" w:eastAsia="zh-CN" w:bidi="ar"/>
              </w:rPr>
              <w:br w:type="textWrapping"/>
            </w:r>
            <w:r>
              <w:rPr>
                <w:rStyle w:val="4"/>
                <w:bdr w:val="none" w:color="auto" w:sz="0" w:space="0"/>
                <w:lang w:val="en-US" w:eastAsia="zh-CN" w:bidi="ar"/>
              </w:rPr>
              <w:t>能效等级：</w:t>
            </w:r>
            <w:r>
              <w:rPr>
                <w:rStyle w:val="5"/>
                <w:bdr w:val="none" w:color="auto" w:sz="0" w:space="0"/>
                <w:lang w:val="en-US" w:eastAsia="zh-CN" w:bidi="ar"/>
              </w:rPr>
              <w:t>二级能效</w:t>
            </w:r>
            <w:r>
              <w:rPr>
                <w:rStyle w:val="5"/>
                <w:bdr w:val="none" w:color="auto" w:sz="0" w:space="0"/>
                <w:lang w:val="en-US" w:eastAsia="zh-CN" w:bidi="ar"/>
              </w:rPr>
              <w:br w:type="textWrapping"/>
            </w:r>
            <w:r>
              <w:rPr>
                <w:rStyle w:val="4"/>
                <w:bdr w:val="none" w:color="auto" w:sz="0" w:space="0"/>
                <w:lang w:val="en-US" w:eastAsia="zh-CN" w:bidi="ar"/>
              </w:rPr>
              <w:t>接口支持：</w:t>
            </w:r>
            <w:r>
              <w:rPr>
                <w:rStyle w:val="5"/>
                <w:bdr w:val="none" w:color="auto" w:sz="0" w:space="0"/>
                <w:lang w:val="en-US" w:eastAsia="zh-CN" w:bidi="ar"/>
              </w:rPr>
              <w:t>USB扩展/充电，Type-C，2个HDMI2.0，DP1，4</w:t>
            </w:r>
            <w:r>
              <w:rPr>
                <w:rStyle w:val="5"/>
                <w:bdr w:val="none" w:color="auto" w:sz="0" w:space="0"/>
                <w:lang w:val="en-US" w:eastAsia="zh-CN" w:bidi="ar"/>
              </w:rPr>
              <w:br w:type="textWrapping"/>
            </w:r>
            <w:r>
              <w:rPr>
                <w:rStyle w:val="4"/>
                <w:bdr w:val="none" w:color="auto" w:sz="0" w:space="0"/>
                <w:lang w:val="en-US" w:eastAsia="zh-CN" w:bidi="ar"/>
              </w:rPr>
              <w:t>其他支持：</w:t>
            </w:r>
            <w:r>
              <w:rPr>
                <w:rStyle w:val="5"/>
                <w:bdr w:val="none" w:color="auto" w:sz="0" w:space="0"/>
                <w:lang w:val="en-US" w:eastAsia="zh-CN" w:bidi="ar"/>
              </w:rPr>
              <w:t>支持屏幕升降、竖屏、左右旋转、前后俯仰和壁挂；采用三微边设计；</w:t>
            </w: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0E887B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台</w:t>
            </w: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622ABD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w:t>
            </w:r>
          </w:p>
        </w:tc>
        <w:tc>
          <w:tcPr>
            <w:tcW w:w="352" w:type="pct"/>
            <w:tcBorders>
              <w:top w:val="single" w:color="000000" w:sz="4" w:space="0"/>
              <w:left w:val="single" w:color="000000" w:sz="4" w:space="0"/>
              <w:bottom w:val="single" w:color="000000" w:sz="4" w:space="0"/>
              <w:right w:val="single" w:color="000000" w:sz="4" w:space="0"/>
            </w:tcBorders>
            <w:shd w:val="clear"/>
            <w:noWrap/>
            <w:vAlign w:val="center"/>
          </w:tcPr>
          <w:p w14:paraId="120434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2000</w:t>
            </w: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180CFB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4000</w:t>
            </w:r>
          </w:p>
        </w:tc>
      </w:tr>
      <w:tr w14:paraId="4BC8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9" w:type="pct"/>
            <w:tcBorders>
              <w:top w:val="single" w:color="000000" w:sz="4" w:space="0"/>
              <w:left w:val="single" w:color="000000" w:sz="4" w:space="0"/>
              <w:bottom w:val="single" w:color="000000" w:sz="4" w:space="0"/>
              <w:right w:val="single" w:color="000000" w:sz="4" w:space="0"/>
            </w:tcBorders>
            <w:shd w:val="clear"/>
            <w:noWrap/>
            <w:vAlign w:val="center"/>
          </w:tcPr>
          <w:p w14:paraId="135217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noWrap/>
            <w:vAlign w:val="center"/>
          </w:tcPr>
          <w:p w14:paraId="35952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3422" w:type="pct"/>
            <w:tcBorders>
              <w:top w:val="single" w:color="000000" w:sz="4" w:space="0"/>
              <w:left w:val="single" w:color="000000" w:sz="4" w:space="0"/>
              <w:bottom w:val="single" w:color="000000" w:sz="4" w:space="0"/>
              <w:right w:val="single" w:color="000000" w:sz="4" w:space="0"/>
            </w:tcBorders>
            <w:shd w:val="clear"/>
            <w:noWrap/>
            <w:vAlign w:val="center"/>
          </w:tcPr>
          <w:p w14:paraId="300A134A">
            <w:pPr>
              <w:jc w:val="center"/>
              <w:rPr>
                <w:rFonts w:hint="eastAsia" w:ascii="宋体" w:hAnsi="宋体" w:eastAsia="宋体" w:cs="宋体"/>
                <w:i w:val="0"/>
                <w:iCs w:val="0"/>
                <w:color w:val="000000"/>
                <w:sz w:val="22"/>
                <w:szCs w:val="22"/>
                <w:u w:val="none"/>
              </w:rPr>
            </w:pPr>
          </w:p>
        </w:tc>
        <w:tc>
          <w:tcPr>
            <w:tcW w:w="165" w:type="pct"/>
            <w:tcBorders>
              <w:top w:val="single" w:color="000000" w:sz="4" w:space="0"/>
              <w:left w:val="single" w:color="000000" w:sz="4" w:space="0"/>
              <w:bottom w:val="single" w:color="000000" w:sz="4" w:space="0"/>
              <w:right w:val="single" w:color="000000" w:sz="4" w:space="0"/>
            </w:tcBorders>
            <w:shd w:val="clear"/>
            <w:noWrap/>
            <w:vAlign w:val="center"/>
          </w:tcPr>
          <w:p w14:paraId="72F4B706">
            <w:pP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noWrap/>
            <w:vAlign w:val="center"/>
          </w:tcPr>
          <w:p w14:paraId="4995148E">
            <w:pPr>
              <w:rPr>
                <w:rFonts w:hint="eastAsia" w:ascii="宋体" w:hAnsi="宋体" w:eastAsia="宋体" w:cs="宋体"/>
                <w:i w:val="0"/>
                <w:iCs w:val="0"/>
                <w:color w:val="000000"/>
                <w:sz w:val="22"/>
                <w:szCs w:val="22"/>
                <w:u w:val="none"/>
              </w:rPr>
            </w:pPr>
          </w:p>
        </w:tc>
        <w:tc>
          <w:tcPr>
            <w:tcW w:w="352" w:type="pct"/>
            <w:tcBorders>
              <w:top w:val="single" w:color="000000" w:sz="4" w:space="0"/>
              <w:left w:val="single" w:color="000000" w:sz="4" w:space="0"/>
              <w:bottom w:val="single" w:color="000000" w:sz="4" w:space="0"/>
              <w:right w:val="single" w:color="000000" w:sz="4" w:space="0"/>
            </w:tcBorders>
            <w:shd w:val="clear"/>
            <w:noWrap/>
            <w:vAlign w:val="center"/>
          </w:tcPr>
          <w:p w14:paraId="178E62C9">
            <w:pPr>
              <w:rPr>
                <w:rFonts w:hint="eastAsia" w:ascii="宋体" w:hAnsi="宋体" w:eastAsia="宋体" w:cs="宋体"/>
                <w:i w:val="0"/>
                <w:iCs w:val="0"/>
                <w:color w:val="000000"/>
                <w:sz w:val="22"/>
                <w:szCs w:val="22"/>
                <w:u w:val="none"/>
              </w:rPr>
            </w:pPr>
          </w:p>
        </w:tc>
        <w:tc>
          <w:tcPr>
            <w:tcW w:w="302" w:type="pct"/>
            <w:tcBorders>
              <w:top w:val="single" w:color="000000" w:sz="4" w:space="0"/>
              <w:left w:val="single" w:color="000000" w:sz="4" w:space="0"/>
              <w:bottom w:val="single" w:color="000000" w:sz="4" w:space="0"/>
              <w:right w:val="single" w:color="000000" w:sz="4" w:space="0"/>
            </w:tcBorders>
            <w:shd w:val="clear"/>
            <w:noWrap/>
            <w:vAlign w:val="center"/>
          </w:tcPr>
          <w:p w14:paraId="35D5F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28000</w:t>
            </w:r>
          </w:p>
        </w:tc>
      </w:tr>
    </w:tbl>
    <w:p w14:paraId="5B46700C"/>
    <w:tbl>
      <w:tblPr>
        <w:tblW w:w="4797" w:type="pc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195"/>
        <w:gridCol w:w="11404"/>
      </w:tblGrid>
      <w:tr w14:paraId="12A8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5FEF7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商务要求</w:t>
            </w:r>
          </w:p>
        </w:tc>
      </w:tr>
      <w:tr w14:paraId="78BA8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807" w:type="pct"/>
            <w:tcBorders>
              <w:top w:val="single" w:color="000000" w:sz="4" w:space="0"/>
              <w:left w:val="single" w:color="000000" w:sz="4" w:space="0"/>
              <w:bottom w:val="single" w:color="000000" w:sz="4" w:space="0"/>
              <w:right w:val="single" w:color="000000" w:sz="4" w:space="0"/>
            </w:tcBorders>
            <w:shd w:val="clear"/>
            <w:noWrap/>
            <w:vAlign w:val="center"/>
          </w:tcPr>
          <w:p w14:paraId="0E85F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免费保修</w:t>
            </w:r>
          </w:p>
        </w:tc>
        <w:tc>
          <w:tcPr>
            <w:tcW w:w="4192" w:type="pct"/>
            <w:tcBorders>
              <w:top w:val="single" w:color="000000" w:sz="4" w:space="0"/>
              <w:left w:val="single" w:color="000000" w:sz="4" w:space="0"/>
              <w:bottom w:val="single" w:color="000000" w:sz="4" w:space="0"/>
              <w:right w:val="single" w:color="000000" w:sz="4" w:space="0"/>
            </w:tcBorders>
            <w:shd w:val="clear"/>
            <w:vAlign w:val="center"/>
          </w:tcPr>
          <w:p w14:paraId="596D1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 电脑（Windows系统）：硬件质保≥3年（含CPU、内存、硬盘等核心部件），软件预装系统质保1年；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笔记本电脑：硬件质保≥3年（含电池，续航低于80%可免费更换），软件预装系统质保1年；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电脑显示器：质保≥2年（含屏幕无亮点、色彩偏差修复）；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 质保期自验收合格之日起计算</w:t>
            </w:r>
          </w:p>
        </w:tc>
      </w:tr>
      <w:tr w14:paraId="73D1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807" w:type="pct"/>
            <w:tcBorders>
              <w:top w:val="single" w:color="000000" w:sz="4" w:space="0"/>
              <w:left w:val="single" w:color="000000" w:sz="4" w:space="0"/>
              <w:bottom w:val="single" w:color="000000" w:sz="4" w:space="0"/>
              <w:right w:val="single" w:color="000000" w:sz="4" w:space="0"/>
            </w:tcBorders>
            <w:shd w:val="clear"/>
            <w:noWrap/>
            <w:vAlign w:val="center"/>
          </w:tcPr>
          <w:p w14:paraId="06E23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核心产品</w:t>
            </w:r>
          </w:p>
        </w:tc>
        <w:tc>
          <w:tcPr>
            <w:tcW w:w="4192" w:type="pct"/>
            <w:tcBorders>
              <w:top w:val="single" w:color="000000" w:sz="4" w:space="0"/>
              <w:left w:val="single" w:color="000000" w:sz="4" w:space="0"/>
              <w:bottom w:val="single" w:color="000000" w:sz="4" w:space="0"/>
              <w:right w:val="single" w:color="000000" w:sz="4" w:space="0"/>
            </w:tcBorders>
            <w:shd w:val="clear"/>
            <w:noWrap/>
            <w:vAlign w:val="center"/>
          </w:tcPr>
          <w:p w14:paraId="2EB87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电脑（Windows系统）、笔记本电脑、电脑显示器（均为本次采购关键设备，需100%满足参数要求）</w:t>
            </w:r>
          </w:p>
        </w:tc>
      </w:tr>
      <w:tr w14:paraId="1AF2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0" w:hRule="atLeast"/>
        </w:trPr>
        <w:tc>
          <w:tcPr>
            <w:tcW w:w="807" w:type="pct"/>
            <w:tcBorders>
              <w:top w:val="single" w:color="000000" w:sz="4" w:space="0"/>
              <w:left w:val="single" w:color="000000" w:sz="4" w:space="0"/>
              <w:bottom w:val="single" w:color="000000" w:sz="4" w:space="0"/>
              <w:right w:val="single" w:color="000000" w:sz="4" w:space="0"/>
            </w:tcBorders>
            <w:shd w:val="clear"/>
            <w:noWrap/>
            <w:vAlign w:val="center"/>
          </w:tcPr>
          <w:p w14:paraId="286E6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验收方式及标准</w:t>
            </w:r>
          </w:p>
        </w:tc>
        <w:tc>
          <w:tcPr>
            <w:tcW w:w="4192" w:type="pct"/>
            <w:tcBorders>
              <w:top w:val="single" w:color="000000" w:sz="4" w:space="0"/>
              <w:left w:val="single" w:color="000000" w:sz="4" w:space="0"/>
              <w:bottom w:val="single" w:color="000000" w:sz="4" w:space="0"/>
              <w:right w:val="single" w:color="000000" w:sz="4" w:space="0"/>
            </w:tcBorders>
            <w:shd w:val="clear"/>
            <w:vAlign w:val="center"/>
          </w:tcPr>
          <w:p w14:paraId="4D8A3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 到货验收：核对数量、规格、外观，查验产品合格证、3C认证、能效标识（显示器）、厂家售后服务承诺书；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 功能验收：电脑/笔记本开机测试CPU、内存、硬盘参数（需提供硬件检测报告），显示器测试分辨率、色域覆盖率（需现场演示）；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 验收不合格：供应商需3日内更换合格产品，逾期视为虚假应标</w:t>
            </w:r>
          </w:p>
        </w:tc>
      </w:tr>
      <w:tr w14:paraId="0655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0" w:hRule="atLeast"/>
        </w:trPr>
        <w:tc>
          <w:tcPr>
            <w:tcW w:w="807" w:type="pct"/>
            <w:tcBorders>
              <w:top w:val="single" w:color="000000" w:sz="4" w:space="0"/>
              <w:left w:val="single" w:color="000000" w:sz="4" w:space="0"/>
              <w:bottom w:val="single" w:color="000000" w:sz="4" w:space="0"/>
              <w:right w:val="single" w:color="000000" w:sz="4" w:space="0"/>
            </w:tcBorders>
            <w:shd w:val="clear"/>
            <w:noWrap/>
            <w:vAlign w:val="center"/>
          </w:tcPr>
          <w:p w14:paraId="2E907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其他要求1</w:t>
            </w:r>
          </w:p>
        </w:tc>
        <w:tc>
          <w:tcPr>
            <w:tcW w:w="4192" w:type="pct"/>
            <w:tcBorders>
              <w:top w:val="single" w:color="000000" w:sz="4" w:space="0"/>
              <w:left w:val="single" w:color="000000" w:sz="4" w:space="0"/>
              <w:bottom w:val="single" w:color="000000" w:sz="4" w:space="0"/>
              <w:right w:val="single" w:color="000000" w:sz="4" w:space="0"/>
            </w:tcBorders>
            <w:shd w:val="clear"/>
            <w:vAlign w:val="center"/>
          </w:tcPr>
          <w:p w14:paraId="69FC3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一、签订合同日期：自成交通知书发出之日起3日内。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二、交货期：合同签订之日起5日内交货。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三、交货地点：采购单位指定地点。</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付款方式：全部货物安装调试完毕并验收合格后，中标供应商提供发票后根据财政资金拨付情况进行支付。</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四、交货方式：现场交货（免费送货上门并调试安装）。</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五、项目实施要求：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1、本项目实施涵盖电脑（Windows 系统）、笔记本电脑、显示器等硬件设备的采购、运输、装卸、安装、调试、验收、人员培训及质保期内售后服务全流程，供应商需全程负责，确保设备正常投入使用。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2、免费送货上门并负责安装调试：包括设备开箱检验、硬件连接适配、系统安装激活（需预装正版 Windows 10/11 专业版）、驱动程序优化、网络适配；配备必要的核心零配件及备件（含显示器 HDMI/DP 连接线 2 套、电脑键鼠备用件 1 套、笔记本电源适配器应急接口 1 个、设备固定螺丝包）；安装完成后，需全面演示设备所有功能，清理场地至无包装垃圾、无设备污渍、无工具残留，设备摆放整齐符合办公需求。</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★3、投标产品必须是厂家原装未拆封全新正品，具备合法进货渠道</w:t>
            </w:r>
            <w:r>
              <w:rPr>
                <w:rFonts w:hint="eastAsia" w:ascii="宋体" w:hAnsi="宋体" w:eastAsia="宋体" w:cs="宋体"/>
                <w:i w:val="0"/>
                <w:iCs w:val="0"/>
                <w:color w:val="000000"/>
                <w:kern w:val="0"/>
                <w:sz w:val="22"/>
                <w:szCs w:val="22"/>
                <w:highlight w:val="yellow"/>
                <w:u w:val="none"/>
                <w:bdr w:val="none" w:color="auto" w:sz="0" w:space="0"/>
                <w:lang w:val="en-US" w:eastAsia="zh-CN" w:bidi="ar"/>
              </w:rPr>
              <w:t>（需提供厂家授权经销证明）</w:t>
            </w:r>
            <w:r>
              <w:rPr>
                <w:rFonts w:hint="eastAsia" w:ascii="宋体" w:hAnsi="宋体" w:eastAsia="宋体" w:cs="宋体"/>
                <w:i w:val="0"/>
                <w:iCs w:val="0"/>
                <w:color w:val="000000"/>
                <w:kern w:val="0"/>
                <w:sz w:val="22"/>
                <w:szCs w:val="22"/>
                <w:u w:val="none"/>
                <w:bdr w:val="none" w:color="auto" w:sz="0" w:space="0"/>
                <w:lang w:val="en-US" w:eastAsia="zh-CN" w:bidi="ar"/>
              </w:rPr>
              <w:t>，符合国家质量标准，严格实行 “三包” 政策（包修、包换、包退）；严禁提供翻新机、拼装机、假冒伪劣产品或串货产品，一经发现，采购单位有权解除合同，要求供应商退还全部货款，同时上报政采云平台记入诚信档案。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4、故障响应时间：中标供应商需提供 24 小时售后热线（需确保全年无休接通），收到甲方故障维修通知后，24 小时内必须派员到达现场；一般故障（如系统崩溃、接口失灵、简单硬件故障）48 小时内排除；复杂故障（如核心部件损坏）72 小时内排除；特殊故障（如厂家缺货、重大硬件故障）需在 2 小时内以书面形式（盖章扫描件 + 纸质文件）通知甲方，明确维修方案、所需周期及应急措施（如提供备用设备）；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w:t>
            </w:r>
            <w:r>
              <w:rPr>
                <w:rFonts w:hint="eastAsia" w:ascii="宋体" w:hAnsi="宋体" w:eastAsia="宋体" w:cs="宋体"/>
                <w:i w:val="0"/>
                <w:iCs w:val="0"/>
                <w:color w:val="000000"/>
                <w:kern w:val="0"/>
                <w:sz w:val="22"/>
                <w:szCs w:val="22"/>
                <w:highlight w:val="yellow"/>
                <w:u w:val="none"/>
                <w:bdr w:val="none" w:color="auto" w:sz="0" w:space="0"/>
                <w:lang w:val="en-US" w:eastAsia="zh-CN" w:bidi="ar"/>
              </w:rPr>
              <w:t>投标文件中需单独列明《质保服务方案》，明确：①各设备质保期（电脑 / 笔记本核心硬件、显示器屏幕等关键部件需单独标注）；②上门保修的响应时限、服务流程；③质保期内维修 / 更换的部件质保政策（需注明 “维修 / 更换后的部件质保期重新计算”）；④超保后的维修收费标准（需列明核心部件参考价、人工服务费）；⑤超保后紧急情况（如办公刚需设备故障）的应急方案（如免费提供备用设备，使用期限不低于维修周期）。</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为保障售后时效，中标供应商必须是桂林市本地注册的政采云供应商（需提供营业执照复印件，注册地址需在桂林市行政区域内），且在桂林市设有固定售后维修服务点（需提供服务点地址、联系人、联系电话、办公场地租赁合同或产权证明）；设备到货后，由供应商指派持厂家认证资质的专业技术工程师现场服务，完成：①硬件参数现场核验（需使用 CPU-Z、AIDA64、DisplayCAL 等专业工具，测试结果需甲方签字确认）；②设备连接调试（电脑与显示器适配、笔记本网络配置等）；③全功能演示（如电脑多核运算测试、显示器 4K 分辨率输出等）；④现场培训（提供书面培训资料，涵盖设备操作、日常维护、常见故障排查，培训后需甲方参训人员签字确认 “已完全掌握”）。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★7、在质保期内每年至少进行一次定期回访以及设备保养（含电脑硬件检测、系统优化清理、显示器灰尘清理及连接线紧固、电池健康度检测等），以上服务质保期内必须包含在报价中，甲方不额外支付费用。</w:t>
            </w:r>
          </w:p>
        </w:tc>
      </w:tr>
      <w:tr w14:paraId="0291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20" w:hRule="atLeast"/>
        </w:trPr>
        <w:tc>
          <w:tcPr>
            <w:tcW w:w="807" w:type="pct"/>
            <w:tcBorders>
              <w:top w:val="single" w:color="000000" w:sz="4" w:space="0"/>
              <w:left w:val="single" w:color="000000" w:sz="4" w:space="0"/>
              <w:bottom w:val="single" w:color="000000" w:sz="4" w:space="0"/>
              <w:right w:val="single" w:color="000000" w:sz="4" w:space="0"/>
            </w:tcBorders>
            <w:shd w:val="clear"/>
            <w:noWrap/>
            <w:vAlign w:val="center"/>
          </w:tcPr>
          <w:p w14:paraId="730D9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其他要求2</w:t>
            </w:r>
          </w:p>
        </w:tc>
        <w:tc>
          <w:tcPr>
            <w:tcW w:w="4192" w:type="pct"/>
            <w:tcBorders>
              <w:top w:val="single" w:color="000000" w:sz="4" w:space="0"/>
              <w:left w:val="single" w:color="000000" w:sz="4" w:space="0"/>
              <w:bottom w:val="single" w:color="000000" w:sz="4" w:space="0"/>
              <w:right w:val="single" w:color="000000" w:sz="4" w:space="0"/>
            </w:tcBorders>
            <w:shd w:val="clear"/>
            <w:vAlign w:val="center"/>
          </w:tcPr>
          <w:p w14:paraId="26B81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在质量保证期内设备非人为或不可抗拒因素的原因而引起损坏或质量问题（如硬件故障、屏幕亮点、系统崩溃等），中标供应商免费予以技术服务、维修或设备更换，并承担相应人工费用和零部件费用。特殊情况无法修复的，质保期内中标供应商无条件更换同型号新设备或提供功能相当的代用设备，确保甲方办公不受影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9、设备到货后，供应商需配合甲方完成双重验收：①到货验收（当日完成）：核对设备型号、数量、外观（无划痕、无破损）、配件完整性，查验 3C 认证、产品合格证、厂家授权书、能效标识（显示器）等文件（所有文件需加盖厂家及供应商公章，复印件需注明 “与原件一致” 并签字）；②功能验收（安装调试后 3 日内完成）：测试硬件参数是否符合招标要求、系统是否正版激活、设备运行是否稳定、显示器色域 / 分辨率是否达标等，验收合格后签署《验收合格确认书》；验收不合格的，供应商需在 3 日内无条件更换，逾期未更换或更换后仍不合格的，按虚假应标处理。</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★10、验收时，采购方将严格按照采购文件要求及产品参数进行验收。验收分两步：①到货验收（核对数量、规格、外观，查验相关认证文件）；②功能验收（测试硬件参数、系统稳定性、显示器色域 / 分辨率等）。验收不合格的，按虚假应标处理，成交供应商需承担被采购人终止合同的一切风险和费用。甲方有权按政采云平台违约处理规则提请处罚，记入政府采购诚信档案。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★11、</w:t>
            </w:r>
            <w:r>
              <w:rPr>
                <w:rFonts w:hint="eastAsia" w:ascii="宋体" w:hAnsi="宋体" w:eastAsia="宋体" w:cs="宋体"/>
                <w:i w:val="0"/>
                <w:iCs w:val="0"/>
                <w:color w:val="000000"/>
                <w:kern w:val="0"/>
                <w:sz w:val="22"/>
                <w:szCs w:val="22"/>
                <w:highlight w:val="yellow"/>
                <w:u w:val="none"/>
                <w:bdr w:val="none" w:color="auto" w:sz="0" w:space="0"/>
                <w:lang w:val="en-US" w:eastAsia="zh-CN" w:bidi="ar"/>
              </w:rPr>
              <w:t>投标供应商必须完全响应或优于采购文件的参数及商务要求，需在投标文件中提供《参数响应表》，逐一对应招标参数列明 “响应情况（完全响应 / 优于）”“证明材料（厂家参数表 / 检测报告编号）”</w:t>
            </w:r>
            <w:r>
              <w:rPr>
                <w:rFonts w:hint="eastAsia" w:ascii="宋体" w:hAnsi="宋体" w:eastAsia="宋体" w:cs="宋体"/>
                <w:i w:val="0"/>
                <w:iCs w:val="0"/>
                <w:color w:val="000000"/>
                <w:kern w:val="0"/>
                <w:sz w:val="22"/>
                <w:szCs w:val="22"/>
                <w:u w:val="none"/>
                <w:bdr w:val="none" w:color="auto" w:sz="0" w:space="0"/>
                <w:lang w:val="en-US" w:eastAsia="zh-CN" w:bidi="ar"/>
              </w:rPr>
              <w:t>；供货时需提供全套合规证明文件（电脑、笔记本、显示器的 3C 认证证书原件复印件、产品合格证、厂家授权经销证明、能效标识原件（显示器）、售后服务承诺书原件），且设备序列号需与认证文件一致（可官网查验）；若存在参数虚假响应、认证文件伪造 / 过期、序列号无法查验等情况，视为废标，供应商需承担由此造成的一切损失，采购单位有权追究其法律责任。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12、请供应商在报价前仔细评估自身履约能力，谢绝恶意低价、不按要求报价、中标后无故放弃、不按合同履行等违约行为。对出现此类行为的预中标供应商，将根据在线竞价违约处理规则，依法依规提请政采云平台进行处罚，处罚内容包括停止推送报价信息、禁止报价等，并记入政府采购诚信档案。采购单位有权将询价单中的商务要求列入合同条款，供应商无异议方可签订合同，否则甲方有权拒签合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13、供应商要求：标注 “★” 部分</w:t>
            </w:r>
            <w:bookmarkStart w:id="0" w:name="_GoBack"/>
            <w:bookmarkEnd w:id="0"/>
            <w:r>
              <w:rPr>
                <w:rFonts w:hint="eastAsia" w:ascii="宋体" w:hAnsi="宋体" w:eastAsia="宋体" w:cs="宋体"/>
                <w:i w:val="0"/>
                <w:iCs w:val="0"/>
                <w:color w:val="000000"/>
                <w:kern w:val="0"/>
                <w:sz w:val="22"/>
                <w:szCs w:val="22"/>
                <w:u w:val="none"/>
                <w:bdr w:val="none" w:color="auto" w:sz="0" w:space="0"/>
                <w:lang w:val="en-US" w:eastAsia="zh-CN" w:bidi="ar"/>
              </w:rPr>
              <w:t>必须满足。参数如有任意一项负偏离的，视为实质不响应文件要求，其竞标无效（设备详细配置及配件详见附件参数明细表）。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14、补充要求：①设备包装需符合运输标准，到货时包装完好无损，否则甲方有权拒收；②质保期内，供应商需每月通过电话 / 线上方式进行 1 次简易回访（确认设备运行状态），每季度提供 1 次设备运行状态报告；③若设备需厂家召回维修，供应商需第一时间通知甲方，并协助完成召回及维修，期间提供备用设备保障办公。</w:t>
            </w:r>
          </w:p>
        </w:tc>
      </w:tr>
    </w:tbl>
    <w:p w14:paraId="45A57BF8"/>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113FB"/>
    <w:rsid w:val="660563A3"/>
    <w:rsid w:val="7126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b/>
      <w:bCs/>
      <w:color w:val="000000"/>
      <w:sz w:val="22"/>
      <w:szCs w:val="22"/>
      <w:u w:val="none"/>
    </w:rPr>
  </w:style>
  <w:style w:type="character" w:customStyle="1" w:styleId="5">
    <w:name w:val="font4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2025-12-17T07:01:25Z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eyJoZGlkIjoiM2YxNjY3MjEwZjFhOWFkNmJmMTE5MmEyNTRlZmM0ZTYifQ==</vt:lpwstr>
  </property>
  <property fmtid="{D5CDD505-2E9C-101B-9397-08002B2CF9AE}" pid="4" name="ICV">
    <vt:lpwstr>8CEE83039E9349E5AB5B4B86FE877325_12</vt:lpwstr>
  </property>
</Properties>
</file>