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55BEA">
      <w:pPr>
        <w:jc w:val="center"/>
        <w:rPr>
          <w:rFonts w:hint="eastAsia"/>
          <w:lang w:eastAsia="zh-CN"/>
        </w:rPr>
      </w:pPr>
      <w:r>
        <w:rPr>
          <w:rFonts w:hint="eastAsia"/>
          <w:lang w:eastAsia="zh-CN"/>
        </w:rPr>
        <w:t>采购需求</w:t>
      </w:r>
    </w:p>
    <w:p w14:paraId="5BB63298">
      <w:pPr>
        <w:numPr>
          <w:ilvl w:val="0"/>
          <w:numId w:val="0"/>
        </w:numPr>
        <w:jc w:val="left"/>
        <w:rPr>
          <w:rFonts w:hint="eastAsia"/>
          <w:lang w:val="en-US" w:eastAsia="zh-CN"/>
        </w:rPr>
      </w:pPr>
      <w:r>
        <w:rPr>
          <w:rFonts w:hint="eastAsia"/>
          <w:lang w:val="en-US" w:eastAsia="zh-CN"/>
        </w:rPr>
        <w:t>一、采购需求清单</w:t>
      </w:r>
    </w:p>
    <w:tbl>
      <w:tblPr>
        <w:tblStyle w:val="7"/>
        <w:tblpPr w:leftFromText="180" w:rightFromText="180" w:vertAnchor="text" w:horzAnchor="page" w:tblpX="1601" w:tblpY="282"/>
        <w:tblOverlap w:val="never"/>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99"/>
        <w:gridCol w:w="3961"/>
        <w:gridCol w:w="954"/>
        <w:gridCol w:w="1419"/>
        <w:gridCol w:w="1118"/>
      </w:tblGrid>
      <w:tr w14:paraId="30BF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45D47CBE">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799" w:type="dxa"/>
            <w:vAlign w:val="center"/>
          </w:tcPr>
          <w:p w14:paraId="2529005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商品名称</w:t>
            </w:r>
          </w:p>
        </w:tc>
        <w:tc>
          <w:tcPr>
            <w:tcW w:w="3961" w:type="dxa"/>
            <w:vAlign w:val="center"/>
          </w:tcPr>
          <w:p w14:paraId="651A9032">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参数要求</w:t>
            </w:r>
          </w:p>
        </w:tc>
        <w:tc>
          <w:tcPr>
            <w:tcW w:w="954" w:type="dxa"/>
            <w:vAlign w:val="center"/>
          </w:tcPr>
          <w:p w14:paraId="1CFB7B9E">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购买数量</w:t>
            </w:r>
          </w:p>
        </w:tc>
        <w:tc>
          <w:tcPr>
            <w:tcW w:w="1419" w:type="dxa"/>
            <w:vAlign w:val="center"/>
          </w:tcPr>
          <w:p w14:paraId="5DDCCF3A">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控制金额（元）</w:t>
            </w:r>
          </w:p>
        </w:tc>
        <w:tc>
          <w:tcPr>
            <w:tcW w:w="1118" w:type="dxa"/>
            <w:vAlign w:val="center"/>
          </w:tcPr>
          <w:p w14:paraId="294AD499">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意向品牌</w:t>
            </w:r>
          </w:p>
        </w:tc>
      </w:tr>
      <w:tr w14:paraId="143D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639" w:type="dxa"/>
            <w:vAlign w:val="center"/>
          </w:tcPr>
          <w:p w14:paraId="538D5D2F">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99" w:type="dxa"/>
            <w:vAlign w:val="center"/>
          </w:tcPr>
          <w:p w14:paraId="4B76461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cs="宋体"/>
                <w:b w:val="0"/>
                <w:bCs w:val="0"/>
                <w:color w:val="000000"/>
                <w:sz w:val="21"/>
                <w:szCs w:val="21"/>
                <w:lang w:eastAsia="zh-CN"/>
              </w:rPr>
              <w:t>医用</w:t>
            </w:r>
            <w:r>
              <w:rPr>
                <w:rFonts w:hint="eastAsia" w:ascii="宋体" w:hAnsi="宋体" w:eastAsia="宋体" w:cs="宋体"/>
                <w:b w:val="0"/>
                <w:bCs w:val="0"/>
                <w:color w:val="000000"/>
                <w:sz w:val="21"/>
                <w:szCs w:val="21"/>
              </w:rPr>
              <w:t>电梯 （有 机房）</w:t>
            </w:r>
          </w:p>
        </w:tc>
        <w:tc>
          <w:tcPr>
            <w:tcW w:w="3961" w:type="dxa"/>
            <w:vAlign w:val="center"/>
          </w:tcPr>
          <w:p w14:paraId="260103E9">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bookmarkStart w:id="2" w:name="_GoBack"/>
            <w:bookmarkEnd w:id="2"/>
            <w:r>
              <w:rPr>
                <w:rFonts w:hint="eastAsia" w:ascii="宋体" w:hAnsi="宋体" w:eastAsia="宋体" w:cs="宋体"/>
                <w:b w:val="0"/>
                <w:bCs w:val="0"/>
                <w:color w:val="000000"/>
                <w:sz w:val="21"/>
                <w:szCs w:val="21"/>
              </w:rPr>
              <w:t>参数：井道尺寸：</w:t>
            </w:r>
            <w:r>
              <w:rPr>
                <w:rFonts w:hint="eastAsia" w:ascii="宋体" w:hAnsi="宋体" w:cs="宋体"/>
                <w:b w:val="0"/>
                <w:bCs w:val="0"/>
                <w:color w:val="000000"/>
                <w:sz w:val="21"/>
                <w:szCs w:val="21"/>
                <w:lang w:val="en-US" w:eastAsia="zh-CN"/>
              </w:rPr>
              <w:t>2450</w:t>
            </w:r>
            <w:r>
              <w:rPr>
                <w:rFonts w:hint="eastAsia" w:ascii="宋体" w:hAnsi="宋体" w:eastAsia="宋体" w:cs="宋体"/>
                <w:b w:val="0"/>
                <w:bCs w:val="0"/>
                <w:color w:val="000000"/>
                <w:sz w:val="21"/>
                <w:szCs w:val="21"/>
              </w:rPr>
              <w:t>mm× 2</w:t>
            </w:r>
            <w:r>
              <w:rPr>
                <w:rFonts w:hint="eastAsia" w:ascii="宋体" w:hAnsi="宋体" w:cs="宋体"/>
                <w:b w:val="0"/>
                <w:bCs w:val="0"/>
                <w:color w:val="000000"/>
                <w:sz w:val="21"/>
                <w:szCs w:val="21"/>
                <w:lang w:val="en-US" w:eastAsia="zh-CN"/>
              </w:rPr>
              <w:t>9</w:t>
            </w:r>
            <w:r>
              <w:rPr>
                <w:rFonts w:hint="eastAsia" w:ascii="宋体" w:hAnsi="宋体" w:eastAsia="宋体" w:cs="宋体"/>
                <w:b w:val="0"/>
                <w:bCs w:val="0"/>
                <w:color w:val="000000"/>
                <w:sz w:val="21"/>
                <w:szCs w:val="21"/>
              </w:rPr>
              <w:t xml:space="preserve">00mm（以现场井道尺寸为准） </w:t>
            </w:r>
          </w:p>
          <w:p w14:paraId="5E393F6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底坑深度：1</w:t>
            </w:r>
            <w:r>
              <w:rPr>
                <w:rFonts w:hint="eastAsia" w:ascii="宋体" w:hAnsi="宋体" w:cs="宋体"/>
                <w:b w:val="0"/>
                <w:bCs w:val="0"/>
                <w:color w:val="000000"/>
                <w:sz w:val="21"/>
                <w:szCs w:val="21"/>
                <w:lang w:val="en-US" w:eastAsia="zh-CN"/>
              </w:rPr>
              <w:t>6</w:t>
            </w:r>
            <w:r>
              <w:rPr>
                <w:rFonts w:hint="eastAsia" w:ascii="宋体" w:hAnsi="宋体" w:eastAsia="宋体" w:cs="宋体"/>
                <w:b w:val="0"/>
                <w:bCs w:val="0"/>
                <w:color w:val="000000"/>
                <w:sz w:val="21"/>
                <w:szCs w:val="21"/>
              </w:rPr>
              <w:t xml:space="preserve">00mm（以现场井道 实际尺寸为准） 提升高度：18300mm（以现场井道 实际尺寸为准） </w:t>
            </w:r>
          </w:p>
          <w:p w14:paraId="494EC0D9">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顶层高度：4400mm（以现场井道 实际尺寸为准）</w:t>
            </w:r>
          </w:p>
          <w:p w14:paraId="79DED85C">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★载重：</w:t>
            </w:r>
            <w:r>
              <w:rPr>
                <w:rFonts w:hint="eastAsia" w:ascii="宋体" w:hAnsi="宋体" w:cs="宋体"/>
                <w:b w:val="0"/>
                <w:bCs w:val="0"/>
                <w:color w:val="000000"/>
                <w:sz w:val="21"/>
                <w:szCs w:val="21"/>
                <w:lang w:val="en-US" w:eastAsia="zh-CN"/>
              </w:rPr>
              <w:t>1600</w:t>
            </w:r>
            <w:r>
              <w:rPr>
                <w:rFonts w:hint="eastAsia" w:ascii="宋体" w:hAnsi="宋体" w:eastAsia="宋体" w:cs="宋体"/>
                <w:b w:val="0"/>
                <w:bCs w:val="0"/>
                <w:color w:val="000000"/>
                <w:sz w:val="21"/>
                <w:szCs w:val="21"/>
              </w:rPr>
              <w:t xml:space="preserve">kg </w:t>
            </w:r>
          </w:p>
          <w:p w14:paraId="5E0A2F56">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★速度：1.</w:t>
            </w:r>
            <w:r>
              <w:rPr>
                <w:rFonts w:hint="eastAsia" w:ascii="宋体" w:hAnsi="宋体" w:cs="宋体"/>
                <w:b w:val="0"/>
                <w:bCs w:val="0"/>
                <w:color w:val="000000"/>
                <w:sz w:val="21"/>
                <w:szCs w:val="21"/>
                <w:lang w:val="en-US" w:eastAsia="zh-CN"/>
              </w:rPr>
              <w:t>5</w:t>
            </w:r>
            <w:r>
              <w:rPr>
                <w:rFonts w:hint="eastAsia" w:ascii="宋体" w:hAnsi="宋体" w:eastAsia="宋体" w:cs="宋体"/>
                <w:b w:val="0"/>
                <w:bCs w:val="0"/>
                <w:color w:val="000000"/>
                <w:sz w:val="21"/>
                <w:szCs w:val="21"/>
              </w:rPr>
              <w:t xml:space="preserve"> 米/秒 </w:t>
            </w:r>
          </w:p>
          <w:p w14:paraId="667FAD2E">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停靠层站：1F-6F 开门尺寸：</w:t>
            </w:r>
            <w:r>
              <w:rPr>
                <w:rFonts w:hint="eastAsia" w:ascii="宋体" w:hAnsi="宋体" w:cs="宋体"/>
                <w:b w:val="0"/>
                <w:bCs w:val="0"/>
                <w:color w:val="000000"/>
                <w:sz w:val="21"/>
                <w:szCs w:val="21"/>
                <w:lang w:val="en-US" w:eastAsia="zh-CN"/>
              </w:rPr>
              <w:t>11</w:t>
            </w:r>
            <w:r>
              <w:rPr>
                <w:rFonts w:hint="eastAsia" w:ascii="宋体" w:hAnsi="宋体" w:eastAsia="宋体" w:cs="宋体"/>
                <w:b w:val="0"/>
                <w:bCs w:val="0"/>
                <w:color w:val="000000"/>
                <w:sz w:val="21"/>
                <w:szCs w:val="21"/>
              </w:rPr>
              <w:t xml:space="preserve">00mm 宽×2100mm 高 </w:t>
            </w:r>
          </w:p>
          <w:p w14:paraId="4018A6F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轿厢尺寸：1</w:t>
            </w:r>
            <w:r>
              <w:rPr>
                <w:rFonts w:hint="eastAsia" w:ascii="宋体" w:hAnsi="宋体" w:cs="宋体"/>
                <w:b w:val="0"/>
                <w:bCs w:val="0"/>
                <w:color w:val="000000"/>
                <w:sz w:val="21"/>
                <w:szCs w:val="21"/>
                <w:lang w:val="en-US" w:eastAsia="zh-CN"/>
              </w:rPr>
              <w:t>4</w:t>
            </w:r>
            <w:r>
              <w:rPr>
                <w:rFonts w:hint="eastAsia" w:ascii="宋体" w:hAnsi="宋体" w:eastAsia="宋体" w:cs="宋体"/>
                <w:b w:val="0"/>
                <w:bCs w:val="0"/>
                <w:color w:val="000000"/>
                <w:sz w:val="21"/>
                <w:szCs w:val="21"/>
              </w:rPr>
              <w:t>00mm 宽×</w:t>
            </w:r>
            <w:r>
              <w:rPr>
                <w:rFonts w:hint="eastAsia" w:ascii="宋体" w:hAnsi="宋体" w:cs="宋体"/>
                <w:b w:val="0"/>
                <w:bCs w:val="0"/>
                <w:color w:val="000000"/>
                <w:sz w:val="21"/>
                <w:szCs w:val="21"/>
                <w:lang w:val="en-US" w:eastAsia="zh-CN"/>
              </w:rPr>
              <w:t>240</w:t>
            </w:r>
            <w:r>
              <w:rPr>
                <w:rFonts w:hint="eastAsia" w:ascii="宋体" w:hAnsi="宋体" w:eastAsia="宋体" w:cs="宋体"/>
                <w:b w:val="0"/>
                <w:bCs w:val="0"/>
                <w:color w:val="000000"/>
                <w:sz w:val="21"/>
                <w:szCs w:val="21"/>
              </w:rPr>
              <w:t xml:space="preserve">0mm 深×2500mm 净高 </w:t>
            </w:r>
          </w:p>
          <w:p w14:paraId="165DF235">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制造标准：符合国家 GB7588 标准 </w:t>
            </w:r>
          </w:p>
          <w:p w14:paraId="3AAADE11">
            <w:pPr>
              <w:keepNext w:val="0"/>
              <w:keepLines w:val="0"/>
              <w:pageBreakBefore w:val="0"/>
              <w:widowControl/>
              <w:shd w:val="clear" w:color="auto" w:fill="FFFFFF"/>
              <w:wordWrap/>
              <w:topLinePunct w:val="0"/>
              <w:bidi w:val="0"/>
              <w:snapToGrid/>
              <w:spacing w:line="240" w:lineRule="auto"/>
              <w:textAlignment w:val="auto"/>
              <w:rPr>
                <w:rFonts w:hint="eastAsia" w:ascii="宋体" w:hAnsi="宋体" w:cs="宋体"/>
                <w:b w:val="0"/>
                <w:bCs w:val="0"/>
                <w:color w:val="000000"/>
                <w:sz w:val="21"/>
                <w:szCs w:val="21"/>
                <w:lang w:eastAsia="zh-CN"/>
              </w:rPr>
            </w:pPr>
            <w:r>
              <w:rPr>
                <w:rFonts w:hint="eastAsia" w:ascii="宋体" w:hAnsi="宋体" w:eastAsia="宋体" w:cs="宋体"/>
                <w:b w:val="0"/>
                <w:bCs w:val="0"/>
                <w:color w:val="000000"/>
                <w:sz w:val="21"/>
                <w:szCs w:val="21"/>
              </w:rPr>
              <w:t>开门方式：</w:t>
            </w:r>
            <w:r>
              <w:rPr>
                <w:rFonts w:hint="eastAsia" w:ascii="宋体" w:hAnsi="宋体" w:cs="宋体"/>
                <w:b w:val="0"/>
                <w:bCs w:val="0"/>
                <w:color w:val="000000"/>
                <w:sz w:val="21"/>
                <w:szCs w:val="21"/>
                <w:lang w:eastAsia="zh-CN"/>
              </w:rPr>
              <w:t>中分门</w:t>
            </w:r>
          </w:p>
          <w:p w14:paraId="2028F7EA">
            <w:pPr>
              <w:keepNext w:val="0"/>
              <w:keepLines w:val="0"/>
              <w:pageBreakBefore w:val="0"/>
              <w:widowControl/>
              <w:shd w:val="clear" w:color="auto" w:fill="FFFFFF"/>
              <w:wordWrap/>
              <w:topLinePunct w:val="0"/>
              <w:bidi w:val="0"/>
              <w:snapToGrid/>
              <w:spacing w:line="240" w:lineRule="auto"/>
              <w:textAlignment w:val="auto"/>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eastAsia="zh-CN"/>
              </w:rPr>
              <w:t>开门状态：单通</w:t>
            </w:r>
          </w:p>
          <w:p w14:paraId="47CE6A5F">
            <w:pPr>
              <w:keepNext w:val="0"/>
              <w:keepLines w:val="0"/>
              <w:pageBreakBefore w:val="0"/>
              <w:widowControl/>
              <w:shd w:val="clear" w:color="auto" w:fill="FFFFFF"/>
              <w:wordWrap/>
              <w:topLinePunct w:val="0"/>
              <w:bidi w:val="0"/>
              <w:snapToGrid/>
              <w:spacing w:line="240" w:lineRule="auto"/>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eastAsia="zh-CN"/>
              </w:rPr>
              <w:t>动力电源：</w:t>
            </w:r>
            <w:r>
              <w:rPr>
                <w:rFonts w:hint="eastAsia" w:ascii="宋体" w:hAnsi="宋体" w:cs="宋体"/>
                <w:b w:val="0"/>
                <w:bCs w:val="0"/>
                <w:color w:val="000000"/>
                <w:sz w:val="21"/>
                <w:szCs w:val="21"/>
                <w:lang w:val="en-US" w:eastAsia="zh-CN"/>
              </w:rPr>
              <w:t>380V，50HZ（三相五线制，零线和地线始终分开）</w:t>
            </w:r>
          </w:p>
          <w:p w14:paraId="00F67D12">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照明电源：220V，50HZ</w:t>
            </w:r>
            <w:r>
              <w:rPr>
                <w:rFonts w:hint="eastAsia" w:ascii="宋体" w:hAnsi="宋体" w:eastAsia="宋体" w:cs="宋体"/>
                <w:b w:val="0"/>
                <w:bCs w:val="0"/>
                <w:color w:val="000000"/>
                <w:sz w:val="21"/>
                <w:szCs w:val="21"/>
              </w:rPr>
              <w:t xml:space="preserve"> </w:t>
            </w:r>
          </w:p>
          <w:p w14:paraId="5D09896A">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1、主要技术： </w:t>
            </w:r>
          </w:p>
          <w:p w14:paraId="3ACEC45D">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b w:val="0"/>
                <w:bCs w:val="0"/>
                <w:color w:val="000000"/>
                <w:spacing w:val="0"/>
                <w:w w:val="100"/>
                <w:sz w:val="21"/>
                <w:szCs w:val="21"/>
                <w:lang w:val="en-US" w:eastAsia="zh-CN"/>
              </w:rPr>
            </w:pPr>
            <w:r>
              <w:rPr>
                <w:rFonts w:hint="eastAsia" w:ascii="宋体" w:hAnsi="宋体" w:eastAsia="宋体"/>
                <w:b w:val="0"/>
                <w:bCs w:val="0"/>
                <w:color w:val="000000"/>
                <w:spacing w:val="0"/>
                <w:w w:val="100"/>
                <w:sz w:val="21"/>
                <w:szCs w:val="21"/>
                <w:lang w:eastAsia="zh-CN"/>
              </w:rPr>
              <w:t>核心部件：（1）所投产品的</w:t>
            </w:r>
            <w:r>
              <w:rPr>
                <w:rFonts w:hint="eastAsia" w:ascii="宋体" w:hAnsi="宋体"/>
                <w:b w:val="0"/>
                <w:bCs w:val="0"/>
                <w:color w:val="000000"/>
                <w:spacing w:val="0"/>
                <w:w w:val="100"/>
                <w:sz w:val="21"/>
                <w:szCs w:val="21"/>
                <w:lang w:eastAsia="zh-CN"/>
              </w:rPr>
              <w:t>①</w:t>
            </w:r>
            <w:r>
              <w:rPr>
                <w:rFonts w:hint="eastAsia" w:ascii="宋体" w:hAnsi="宋体" w:eastAsia="宋体"/>
                <w:b w:val="0"/>
                <w:bCs w:val="0"/>
                <w:color w:val="000000"/>
                <w:spacing w:val="0"/>
                <w:w w:val="100"/>
                <w:sz w:val="21"/>
                <w:szCs w:val="21"/>
                <w:lang w:eastAsia="zh-CN"/>
              </w:rPr>
              <w:t>曳引机</w:t>
            </w:r>
            <w:r>
              <w:rPr>
                <w:rFonts w:hint="eastAsia" w:ascii="宋体" w:hAnsi="宋体"/>
                <w:b w:val="0"/>
                <w:bCs w:val="0"/>
                <w:color w:val="000000"/>
                <w:spacing w:val="0"/>
                <w:w w:val="100"/>
                <w:sz w:val="21"/>
                <w:szCs w:val="21"/>
                <w:lang w:eastAsia="zh-CN"/>
              </w:rPr>
              <w:t>②制动器</w:t>
            </w:r>
            <w:r>
              <w:rPr>
                <w:rFonts w:hint="eastAsia" w:ascii="宋体" w:hAnsi="宋体" w:eastAsia="宋体"/>
                <w:b w:val="0"/>
                <w:bCs w:val="0"/>
                <w:color w:val="000000"/>
                <w:spacing w:val="0"/>
                <w:w w:val="100"/>
                <w:sz w:val="21"/>
                <w:szCs w:val="21"/>
                <w:lang w:eastAsia="zh-CN"/>
              </w:rPr>
              <w:t>为电梯原厂原品牌。</w:t>
            </w:r>
            <w:r>
              <w:rPr>
                <w:rFonts w:hint="eastAsia" w:ascii="宋体" w:hAnsi="宋体"/>
                <w:b w:val="0"/>
                <w:bCs w:val="0"/>
                <w:color w:val="000000"/>
                <w:spacing w:val="0"/>
                <w:w w:val="100"/>
                <w:sz w:val="21"/>
                <w:szCs w:val="21"/>
                <w:lang w:val="en-US" w:eastAsia="zh-CN"/>
              </w:rPr>
              <w:t xml:space="preserve">                                                                                                                                                                                                                                                                                           </w:t>
            </w:r>
          </w:p>
          <w:p w14:paraId="3E18539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val="0"/>
                <w:bCs w:val="0"/>
                <w:color w:val="000000"/>
                <w:spacing w:val="0"/>
                <w:w w:val="100"/>
                <w:sz w:val="21"/>
                <w:szCs w:val="21"/>
                <w:lang w:eastAsia="zh-CN"/>
              </w:rPr>
            </w:pPr>
            <w:r>
              <w:rPr>
                <w:rFonts w:hint="eastAsia" w:ascii="宋体" w:hAnsi="宋体" w:eastAsia="宋体"/>
                <w:b w:val="0"/>
                <w:bCs w:val="0"/>
                <w:color w:val="000000"/>
                <w:spacing w:val="0"/>
                <w:w w:val="100"/>
                <w:sz w:val="21"/>
                <w:szCs w:val="21"/>
                <w:lang w:eastAsia="zh-CN"/>
              </w:rPr>
              <w:t>（2）所投产品的控制柜</w:t>
            </w:r>
            <w:r>
              <w:rPr>
                <w:rFonts w:hint="eastAsia" w:ascii="宋体" w:hAnsi="宋体"/>
                <w:b w:val="0"/>
                <w:bCs w:val="0"/>
                <w:color w:val="000000"/>
                <w:spacing w:val="0"/>
                <w:w w:val="100"/>
                <w:sz w:val="21"/>
                <w:szCs w:val="21"/>
                <w:lang w:eastAsia="zh-CN"/>
              </w:rPr>
              <w:t>（</w:t>
            </w:r>
            <w:r>
              <w:rPr>
                <w:rFonts w:hint="eastAsia" w:ascii="宋体" w:hAnsi="宋体" w:eastAsia="宋体"/>
                <w:b w:val="0"/>
                <w:bCs w:val="0"/>
                <w:color w:val="000000"/>
                <w:spacing w:val="0"/>
                <w:w w:val="100"/>
                <w:sz w:val="21"/>
                <w:szCs w:val="21"/>
                <w:lang w:eastAsia="zh-CN"/>
              </w:rPr>
              <w:t>调速器、控制装置、安全电路）为电梯原厂原品牌。</w:t>
            </w:r>
          </w:p>
          <w:p w14:paraId="7700A38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val="0"/>
                <w:bCs w:val="0"/>
                <w:color w:val="000000"/>
                <w:spacing w:val="0"/>
                <w:w w:val="100"/>
                <w:sz w:val="21"/>
                <w:szCs w:val="21"/>
                <w:lang w:eastAsia="zh-CN"/>
              </w:rPr>
            </w:pPr>
            <w:r>
              <w:rPr>
                <w:rFonts w:hint="eastAsia" w:ascii="宋体" w:hAnsi="宋体" w:eastAsia="宋体"/>
                <w:b w:val="0"/>
                <w:bCs w:val="0"/>
                <w:color w:val="000000"/>
                <w:spacing w:val="0"/>
                <w:w w:val="100"/>
                <w:sz w:val="21"/>
                <w:szCs w:val="21"/>
                <w:lang w:eastAsia="zh-CN"/>
              </w:rPr>
              <w:t>（3）所投产品的门机为电梯原厂原品牌的</w:t>
            </w:r>
            <w:r>
              <w:rPr>
                <w:rFonts w:hint="eastAsia" w:ascii="宋体" w:hAnsi="宋体"/>
                <w:b w:val="0"/>
                <w:bCs w:val="0"/>
                <w:color w:val="000000"/>
                <w:spacing w:val="0"/>
                <w:w w:val="100"/>
                <w:sz w:val="21"/>
                <w:szCs w:val="21"/>
                <w:lang w:eastAsia="zh-CN"/>
              </w:rPr>
              <w:t>且可靠性测试不小于</w:t>
            </w:r>
            <w:r>
              <w:rPr>
                <w:rFonts w:hint="eastAsia" w:ascii="宋体" w:hAnsi="宋体"/>
                <w:b w:val="0"/>
                <w:bCs w:val="0"/>
                <w:color w:val="000000"/>
                <w:spacing w:val="0"/>
                <w:w w:val="100"/>
                <w:sz w:val="21"/>
                <w:szCs w:val="21"/>
                <w:lang w:val="en-US" w:eastAsia="zh-CN"/>
              </w:rPr>
              <w:t>300万次、运行稳定性最早噪音≤40db</w:t>
            </w:r>
            <w:r>
              <w:rPr>
                <w:rFonts w:hint="eastAsia" w:ascii="宋体" w:hAnsi="宋体" w:eastAsia="宋体"/>
                <w:b w:val="0"/>
                <w:bCs w:val="0"/>
                <w:color w:val="000000"/>
                <w:spacing w:val="0"/>
                <w:w w:val="100"/>
                <w:sz w:val="21"/>
                <w:szCs w:val="21"/>
                <w:lang w:eastAsia="zh-CN"/>
              </w:rPr>
              <w:t>。</w:t>
            </w:r>
          </w:p>
          <w:p w14:paraId="22361BC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val="0"/>
                <w:bCs w:val="0"/>
                <w:color w:val="000000"/>
                <w:spacing w:val="0"/>
                <w:w w:val="100"/>
                <w:sz w:val="21"/>
                <w:szCs w:val="21"/>
                <w:lang w:eastAsia="zh-CN"/>
              </w:rPr>
            </w:pPr>
            <w:r>
              <w:rPr>
                <w:rFonts w:hint="eastAsia" w:ascii="宋体" w:hAnsi="宋体" w:eastAsia="宋体"/>
                <w:b w:val="0"/>
                <w:bCs w:val="0"/>
                <w:color w:val="000000"/>
                <w:spacing w:val="0"/>
                <w:w w:val="100"/>
                <w:sz w:val="21"/>
                <w:szCs w:val="21"/>
                <w:lang w:eastAsia="zh-CN"/>
              </w:rPr>
              <w:t>（4）所投产品的限速器为电梯原厂原品牌的。</w:t>
            </w:r>
          </w:p>
          <w:p w14:paraId="23A70B6D">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b w:val="0"/>
                <w:bCs w:val="0"/>
                <w:color w:val="000000"/>
                <w:spacing w:val="0"/>
                <w:w w:val="100"/>
                <w:sz w:val="21"/>
                <w:szCs w:val="21"/>
                <w:lang w:eastAsia="zh-CN"/>
              </w:rPr>
            </w:pPr>
            <w:r>
              <w:rPr>
                <w:rFonts w:hint="eastAsia" w:ascii="宋体" w:hAnsi="宋体" w:eastAsia="宋体"/>
                <w:b w:val="0"/>
                <w:bCs w:val="0"/>
                <w:color w:val="000000"/>
                <w:spacing w:val="0"/>
                <w:w w:val="100"/>
                <w:sz w:val="21"/>
                <w:szCs w:val="21"/>
                <w:lang w:eastAsia="zh-CN"/>
              </w:rPr>
              <w:t>（</w:t>
            </w:r>
            <w:r>
              <w:rPr>
                <w:rFonts w:hint="eastAsia" w:ascii="宋体" w:hAnsi="宋体" w:eastAsia="宋体"/>
                <w:b w:val="0"/>
                <w:bCs w:val="0"/>
                <w:color w:val="000000"/>
                <w:spacing w:val="0"/>
                <w:w w:val="100"/>
                <w:sz w:val="21"/>
                <w:szCs w:val="21"/>
                <w:lang w:val="en-US" w:eastAsia="zh-CN"/>
              </w:rPr>
              <w:t>5</w:t>
            </w:r>
            <w:r>
              <w:rPr>
                <w:rFonts w:hint="eastAsia" w:ascii="宋体" w:hAnsi="宋体" w:eastAsia="宋体"/>
                <w:b w:val="0"/>
                <w:bCs w:val="0"/>
                <w:color w:val="000000"/>
                <w:spacing w:val="0"/>
                <w:w w:val="100"/>
                <w:sz w:val="21"/>
                <w:szCs w:val="21"/>
                <w:lang w:eastAsia="zh-CN"/>
              </w:rPr>
              <w:t>）所投产品的缓冲器为电梯原厂原品牌。</w:t>
            </w:r>
          </w:p>
          <w:p w14:paraId="6170F3D7">
            <w:pPr>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r>
              <w:rPr>
                <w:rFonts w:hint="eastAsia" w:ascii="宋体" w:hAnsi="宋体"/>
                <w:b w:val="0"/>
                <w:bCs w:val="0"/>
                <w:color w:val="000000"/>
                <w:spacing w:val="0"/>
                <w:w w:val="100"/>
                <w:sz w:val="21"/>
                <w:szCs w:val="21"/>
                <w:lang w:eastAsia="zh-CN"/>
              </w:rPr>
              <w:t>安全钳拉杆：</w:t>
            </w:r>
            <w:r>
              <w:rPr>
                <w:rFonts w:hint="eastAsia" w:ascii="宋体" w:hAnsi="宋体" w:eastAsia="宋体"/>
                <w:b w:val="0"/>
                <w:bCs w:val="0"/>
                <w:color w:val="000000"/>
                <w:spacing w:val="0"/>
                <w:w w:val="100"/>
                <w:sz w:val="21"/>
                <w:szCs w:val="21"/>
                <w:lang w:eastAsia="zh-CN"/>
              </w:rPr>
              <w:t>所投产品的安全钳且</w:t>
            </w:r>
            <w:r>
              <w:rPr>
                <w:rFonts w:hint="eastAsia"/>
                <w:b w:val="0"/>
                <w:bCs w:val="0"/>
                <w:color w:val="000000"/>
                <w:vertAlign w:val="baseline"/>
                <w:lang w:eastAsia="zh-CN"/>
              </w:rPr>
              <w:t>安全钳拉杆（屈服强度》235 MPa、抗拉强度500-550 MPa）</w:t>
            </w:r>
            <w:r>
              <w:rPr>
                <w:rFonts w:hint="eastAsia" w:ascii="宋体" w:hAnsi="宋体" w:eastAsia="宋体"/>
                <w:b w:val="0"/>
                <w:bCs w:val="0"/>
                <w:color w:val="000000"/>
                <w:spacing w:val="0"/>
                <w:w w:val="100"/>
                <w:sz w:val="21"/>
                <w:szCs w:val="21"/>
                <w:lang w:eastAsia="zh-CN"/>
              </w:rPr>
              <w:t>为电梯原厂原品牌。</w:t>
            </w:r>
          </w:p>
          <w:p w14:paraId="70A60C05">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b w:val="0"/>
                <w:bCs w:val="0"/>
                <w:color w:val="000000"/>
                <w:spacing w:val="0"/>
                <w:w w:val="100"/>
                <w:sz w:val="21"/>
                <w:szCs w:val="21"/>
                <w:lang w:eastAsia="zh-CN"/>
              </w:rPr>
            </w:pPr>
            <w:r>
              <w:rPr>
                <w:rFonts w:hint="eastAsia" w:ascii="宋体" w:hAnsi="宋体" w:eastAsia="宋体"/>
                <w:b w:val="0"/>
                <w:bCs w:val="0"/>
                <w:color w:val="000000"/>
                <w:spacing w:val="0"/>
                <w:w w:val="100"/>
                <w:sz w:val="21"/>
                <w:szCs w:val="21"/>
                <w:lang w:eastAsia="zh-CN"/>
              </w:rPr>
              <w:t>多扇滑动门的直接机械连接结构）：所投产品具有多扇滑动门的直接机械连接结构（原厂原品牌）。</w:t>
            </w:r>
          </w:p>
          <w:p w14:paraId="30E19EA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val="0"/>
                <w:color w:val="000000"/>
                <w:spacing w:val="0"/>
                <w:w w:val="100"/>
                <w:sz w:val="21"/>
                <w:szCs w:val="21"/>
                <w:lang w:eastAsia="zh-CN"/>
              </w:rPr>
            </w:pPr>
            <w:r>
              <w:rPr>
                <w:rFonts w:hint="eastAsia" w:ascii="宋体" w:hAnsi="宋体"/>
                <w:b w:val="0"/>
                <w:bCs w:val="0"/>
                <w:color w:val="000000"/>
                <w:spacing w:val="0"/>
                <w:w w:val="100"/>
                <w:sz w:val="21"/>
                <w:szCs w:val="21"/>
                <w:lang w:eastAsia="zh-CN"/>
              </w:rPr>
              <w:t>门系统：</w:t>
            </w:r>
            <w:r>
              <w:rPr>
                <w:rFonts w:hint="eastAsia" w:ascii="宋体" w:hAnsi="宋体" w:eastAsia="宋体"/>
                <w:b w:val="0"/>
                <w:bCs w:val="0"/>
                <w:color w:val="000000"/>
                <w:spacing w:val="0"/>
                <w:w w:val="100"/>
                <w:sz w:val="21"/>
                <w:szCs w:val="21"/>
                <w:lang w:eastAsia="zh-CN"/>
              </w:rPr>
              <w:t>门机变频器及门电机具有</w:t>
            </w:r>
            <w:r>
              <w:rPr>
                <w:rFonts w:hint="eastAsia" w:ascii="宋体" w:hAnsi="宋体"/>
                <w:b w:val="0"/>
                <w:bCs w:val="0"/>
                <w:color w:val="000000"/>
                <w:spacing w:val="0"/>
                <w:w w:val="100"/>
                <w:sz w:val="21"/>
                <w:szCs w:val="21"/>
                <w:lang w:val="en-US" w:eastAsia="zh-CN"/>
              </w:rPr>
              <w:t>EMC</w:t>
            </w:r>
            <w:r>
              <w:rPr>
                <w:rFonts w:hint="eastAsia" w:ascii="宋体" w:hAnsi="宋体" w:eastAsia="宋体"/>
                <w:b w:val="0"/>
                <w:bCs w:val="0"/>
                <w:color w:val="000000"/>
                <w:spacing w:val="0"/>
                <w:w w:val="100"/>
                <w:sz w:val="21"/>
                <w:szCs w:val="21"/>
                <w:lang w:eastAsia="zh-CN"/>
              </w:rPr>
              <w:t>测试报告，且检测项目&gt;10</w:t>
            </w:r>
            <w:r>
              <w:rPr>
                <w:rFonts w:hint="eastAsia" w:ascii="宋体" w:hAnsi="宋体"/>
                <w:b w:val="0"/>
                <w:bCs w:val="0"/>
                <w:color w:val="000000"/>
                <w:spacing w:val="0"/>
                <w:w w:val="100"/>
                <w:sz w:val="21"/>
                <w:szCs w:val="21"/>
                <w:lang w:eastAsia="zh-CN"/>
              </w:rPr>
              <w:t>。</w:t>
            </w:r>
          </w:p>
          <w:p w14:paraId="1925AE18">
            <w:pPr>
              <w:pStyle w:val="2"/>
              <w:rPr>
                <w:rFonts w:hint="eastAsia" w:hAnsi="宋体"/>
                <w:b w:val="0"/>
                <w:bCs w:val="0"/>
                <w:color w:val="000000"/>
                <w:spacing w:val="0"/>
                <w:w w:val="100"/>
                <w:sz w:val="21"/>
                <w:szCs w:val="21"/>
                <w:lang w:eastAsia="zh-CN"/>
              </w:rPr>
            </w:pPr>
            <w:r>
              <w:rPr>
                <w:rFonts w:hint="eastAsia" w:ascii="宋体" w:hAnsi="宋体" w:eastAsia="宋体"/>
                <w:b w:val="0"/>
                <w:bCs w:val="0"/>
                <w:color w:val="000000"/>
                <w:spacing w:val="0"/>
                <w:w w:val="100"/>
                <w:sz w:val="21"/>
                <w:szCs w:val="21"/>
                <w:lang w:eastAsia="zh-CN"/>
              </w:rPr>
              <w:t>轿门门锁装置</w:t>
            </w:r>
            <w:r>
              <w:rPr>
                <w:rFonts w:hint="eastAsia" w:hAnsi="宋体"/>
                <w:b w:val="0"/>
                <w:bCs w:val="0"/>
                <w:color w:val="000000"/>
                <w:spacing w:val="0"/>
                <w:w w:val="100"/>
                <w:sz w:val="21"/>
                <w:szCs w:val="21"/>
                <w:lang w:eastAsia="zh-CN"/>
              </w:rPr>
              <w:t>：</w:t>
            </w:r>
            <w:r>
              <w:rPr>
                <w:rFonts w:hint="eastAsia" w:ascii="宋体" w:hAnsi="宋体" w:eastAsia="宋体"/>
                <w:b w:val="0"/>
                <w:bCs w:val="0"/>
                <w:color w:val="000000"/>
                <w:spacing w:val="0"/>
                <w:w w:val="100"/>
                <w:sz w:val="21"/>
                <w:szCs w:val="21"/>
                <w:lang w:eastAsia="zh-CN"/>
              </w:rPr>
              <w:t>所投产品轿门门锁装置（原厂原品牌）机械耐久试验≥500万且啮合尺寸≥</w:t>
            </w:r>
            <w:r>
              <w:rPr>
                <w:rFonts w:hint="eastAsia" w:ascii="宋体" w:hAnsi="宋体" w:eastAsia="宋体"/>
                <w:b w:val="0"/>
                <w:bCs w:val="0"/>
                <w:color w:val="000000"/>
                <w:spacing w:val="0"/>
                <w:w w:val="100"/>
                <w:sz w:val="21"/>
                <w:szCs w:val="21"/>
                <w:lang w:val="en-US" w:eastAsia="zh-CN"/>
              </w:rPr>
              <w:t>9</w:t>
            </w:r>
            <w:r>
              <w:rPr>
                <w:rFonts w:hint="eastAsia" w:ascii="宋体" w:hAnsi="宋体" w:eastAsia="宋体"/>
                <w:b w:val="0"/>
                <w:bCs w:val="0"/>
                <w:color w:val="000000"/>
                <w:spacing w:val="0"/>
                <w:w w:val="100"/>
                <w:sz w:val="21"/>
                <w:szCs w:val="21"/>
                <w:lang w:eastAsia="zh-CN"/>
              </w:rPr>
              <w:t>。</w:t>
            </w:r>
          </w:p>
          <w:p w14:paraId="08EF8836">
            <w:pPr>
              <w:rPr>
                <w:rFonts w:hint="eastAsia" w:ascii="宋体" w:hAnsi="宋体" w:eastAsia="宋体"/>
                <w:b w:val="0"/>
                <w:bCs w:val="0"/>
                <w:color w:val="000000"/>
                <w:spacing w:val="0"/>
                <w:w w:val="100"/>
                <w:sz w:val="21"/>
                <w:szCs w:val="21"/>
                <w:lang w:eastAsia="zh-CN"/>
              </w:rPr>
            </w:pPr>
            <w:r>
              <w:rPr>
                <w:rFonts w:hint="eastAsia" w:ascii="宋体" w:hAnsi="宋体"/>
                <w:b w:val="0"/>
                <w:bCs w:val="0"/>
                <w:color w:val="000000"/>
                <w:spacing w:val="0"/>
                <w:w w:val="100"/>
                <w:sz w:val="21"/>
                <w:szCs w:val="21"/>
                <w:lang w:eastAsia="zh-CN"/>
              </w:rPr>
              <w:t>层门门锁装置：</w:t>
            </w:r>
            <w:r>
              <w:rPr>
                <w:rFonts w:hint="eastAsia" w:ascii="宋体" w:hAnsi="宋体" w:eastAsia="宋体"/>
                <w:b w:val="0"/>
                <w:bCs w:val="0"/>
                <w:color w:val="000000"/>
                <w:spacing w:val="0"/>
                <w:w w:val="100"/>
                <w:sz w:val="21"/>
                <w:szCs w:val="21"/>
                <w:lang w:eastAsia="zh-CN"/>
              </w:rPr>
              <w:t>所投产品层门门锁装置（原厂原品牌）机械耐久试验≥</w:t>
            </w:r>
            <w:r>
              <w:rPr>
                <w:rFonts w:hint="eastAsia" w:ascii="宋体" w:hAnsi="宋体" w:eastAsia="宋体"/>
                <w:b w:val="0"/>
                <w:bCs w:val="0"/>
                <w:color w:val="000000"/>
                <w:spacing w:val="0"/>
                <w:w w:val="100"/>
                <w:sz w:val="21"/>
                <w:szCs w:val="21"/>
                <w:lang w:val="en-US" w:eastAsia="zh-CN"/>
              </w:rPr>
              <w:t>600</w:t>
            </w:r>
            <w:r>
              <w:rPr>
                <w:rFonts w:hint="eastAsia" w:ascii="宋体" w:hAnsi="宋体" w:eastAsia="宋体"/>
                <w:b w:val="0"/>
                <w:bCs w:val="0"/>
                <w:color w:val="000000"/>
                <w:spacing w:val="0"/>
                <w:w w:val="100"/>
                <w:sz w:val="21"/>
                <w:szCs w:val="21"/>
                <w:lang w:eastAsia="zh-CN"/>
              </w:rPr>
              <w:t>万且啮合尺寸≥</w:t>
            </w:r>
            <w:r>
              <w:rPr>
                <w:rFonts w:hint="eastAsia" w:ascii="宋体" w:hAnsi="宋体" w:eastAsia="宋体"/>
                <w:b w:val="0"/>
                <w:bCs w:val="0"/>
                <w:color w:val="000000"/>
                <w:spacing w:val="0"/>
                <w:w w:val="100"/>
                <w:sz w:val="21"/>
                <w:szCs w:val="21"/>
                <w:lang w:val="en-US" w:eastAsia="zh-CN"/>
              </w:rPr>
              <w:t>9</w:t>
            </w:r>
            <w:r>
              <w:rPr>
                <w:rFonts w:hint="eastAsia" w:ascii="宋体" w:hAnsi="宋体" w:eastAsia="宋体"/>
                <w:b w:val="0"/>
                <w:bCs w:val="0"/>
                <w:color w:val="000000"/>
                <w:spacing w:val="0"/>
                <w:w w:val="100"/>
                <w:sz w:val="21"/>
                <w:szCs w:val="21"/>
                <w:lang w:eastAsia="zh-CN"/>
              </w:rPr>
              <w:t>。</w:t>
            </w:r>
          </w:p>
          <w:p w14:paraId="4B9C3061">
            <w:pPr>
              <w:keepNext w:val="0"/>
              <w:keepLines w:val="0"/>
              <w:widowControl/>
              <w:suppressLineNumbers w:val="0"/>
              <w:spacing w:line="240" w:lineRule="auto"/>
              <w:jc w:val="both"/>
              <w:rPr>
                <w:rFonts w:hint="eastAsia" w:ascii="宋体" w:hAnsi="宋体"/>
                <w:b w:val="0"/>
                <w:bCs w:val="0"/>
                <w:color w:val="000000"/>
                <w:spacing w:val="0"/>
                <w:w w:val="100"/>
                <w:sz w:val="21"/>
                <w:szCs w:val="21"/>
                <w:lang w:eastAsia="zh-CN"/>
              </w:rPr>
            </w:pPr>
            <w:r>
              <w:rPr>
                <w:rFonts w:hint="eastAsia" w:ascii="宋体" w:hAnsi="宋体" w:eastAsia="宋体"/>
                <w:b w:val="0"/>
                <w:bCs w:val="0"/>
                <w:color w:val="000000"/>
                <w:kern w:val="0"/>
                <w:sz w:val="21"/>
                <w:szCs w:val="21"/>
                <w:lang w:val="en-US" w:eastAsia="zh-CN" w:bidi="ar"/>
              </w:rPr>
              <w:t>电梯按钮</w:t>
            </w:r>
            <w:r>
              <w:rPr>
                <w:rFonts w:hint="eastAsia" w:ascii="宋体" w:hAnsi="宋体"/>
                <w:b w:val="0"/>
                <w:bCs w:val="0"/>
                <w:color w:val="000000"/>
                <w:kern w:val="0"/>
                <w:sz w:val="21"/>
                <w:szCs w:val="21"/>
                <w:lang w:val="en-US" w:eastAsia="zh-CN" w:bidi="ar"/>
              </w:rPr>
              <w:t>：</w:t>
            </w:r>
            <w:r>
              <w:rPr>
                <w:rFonts w:hint="eastAsia" w:ascii="宋体" w:hAnsi="宋体" w:eastAsia="宋体"/>
                <w:b w:val="0"/>
                <w:bCs w:val="0"/>
                <w:color w:val="000000"/>
                <w:spacing w:val="0"/>
                <w:w w:val="100"/>
                <w:sz w:val="21"/>
                <w:szCs w:val="21"/>
                <w:lang w:eastAsia="zh-CN"/>
              </w:rPr>
              <w:t>对电梯按钮的动作寿命次数</w:t>
            </w:r>
            <w:r>
              <w:rPr>
                <w:rFonts w:hint="eastAsia" w:ascii="宋体" w:hAnsi="宋体"/>
                <w:b w:val="0"/>
                <w:bCs w:val="0"/>
                <w:color w:val="000000"/>
                <w:spacing w:val="0"/>
                <w:w w:val="100"/>
                <w:sz w:val="21"/>
                <w:szCs w:val="21"/>
                <w:lang w:eastAsia="zh-CN"/>
              </w:rPr>
              <w:t>≥</w:t>
            </w:r>
            <w:r>
              <w:rPr>
                <w:rFonts w:hint="eastAsia" w:ascii="宋体" w:hAnsi="宋体"/>
                <w:b w:val="0"/>
                <w:bCs w:val="0"/>
                <w:color w:val="000000"/>
                <w:spacing w:val="0"/>
                <w:w w:val="100"/>
                <w:sz w:val="21"/>
                <w:szCs w:val="21"/>
                <w:lang w:val="en-US" w:eastAsia="zh-CN"/>
              </w:rPr>
              <w:t>2000</w:t>
            </w:r>
            <w:r>
              <w:rPr>
                <w:rFonts w:hint="eastAsia" w:ascii="宋体" w:hAnsi="宋体" w:eastAsia="宋体"/>
                <w:b w:val="0"/>
                <w:bCs w:val="0"/>
                <w:color w:val="000000"/>
                <w:spacing w:val="0"/>
                <w:w w:val="100"/>
                <w:sz w:val="21"/>
                <w:szCs w:val="21"/>
                <w:lang w:eastAsia="zh-CN"/>
              </w:rPr>
              <w:t>万</w:t>
            </w:r>
            <w:r>
              <w:rPr>
                <w:rFonts w:hint="eastAsia" w:ascii="宋体" w:hAnsi="宋体"/>
                <w:b w:val="0"/>
                <w:bCs w:val="0"/>
                <w:color w:val="000000"/>
                <w:spacing w:val="0"/>
                <w:w w:val="100"/>
                <w:sz w:val="21"/>
                <w:szCs w:val="21"/>
                <w:lang w:eastAsia="zh-CN"/>
              </w:rPr>
              <w:t>。</w:t>
            </w:r>
          </w:p>
          <w:p w14:paraId="16710628">
            <w:pPr>
              <w:spacing w:line="240" w:lineRule="auto"/>
              <w:jc w:val="both"/>
              <w:rPr>
                <w:rFonts w:hint="eastAsia" w:ascii="宋体" w:hAnsi="宋体" w:eastAsia="宋体"/>
                <w:b w:val="0"/>
                <w:bCs w:val="0"/>
                <w:color w:val="000000"/>
                <w:spacing w:val="0"/>
                <w:w w:val="100"/>
                <w:sz w:val="21"/>
                <w:szCs w:val="21"/>
                <w:lang w:eastAsia="zh-CN"/>
              </w:rPr>
            </w:pPr>
            <w:r>
              <w:rPr>
                <w:rFonts w:hint="eastAsia" w:ascii="宋体" w:hAnsi="宋体" w:eastAsia="宋体"/>
                <w:b w:val="0"/>
                <w:bCs w:val="0"/>
                <w:color w:val="000000"/>
                <w:spacing w:val="0"/>
                <w:w w:val="100"/>
                <w:sz w:val="21"/>
                <w:szCs w:val="21"/>
                <w:lang w:eastAsia="zh-CN"/>
              </w:rPr>
              <w:t>自动救援操作装置</w:t>
            </w:r>
            <w:r>
              <w:rPr>
                <w:rFonts w:hint="eastAsia" w:ascii="宋体" w:hAnsi="宋体"/>
                <w:b w:val="0"/>
                <w:bCs w:val="0"/>
                <w:color w:val="000000"/>
                <w:spacing w:val="0"/>
                <w:w w:val="100"/>
                <w:sz w:val="21"/>
                <w:szCs w:val="21"/>
                <w:lang w:eastAsia="zh-CN"/>
              </w:rPr>
              <w:t>：</w:t>
            </w:r>
            <w:r>
              <w:rPr>
                <w:rFonts w:hint="eastAsia" w:ascii="宋体" w:hAnsi="宋体" w:eastAsia="宋体"/>
                <w:b w:val="0"/>
                <w:bCs w:val="0"/>
                <w:color w:val="000000"/>
                <w:spacing w:val="0"/>
                <w:w w:val="100"/>
                <w:sz w:val="21"/>
                <w:szCs w:val="21"/>
                <w:lang w:eastAsia="zh-CN"/>
              </w:rPr>
              <w:t>所投产品</w:t>
            </w:r>
            <w:r>
              <w:rPr>
                <w:rFonts w:hint="eastAsia" w:ascii="宋体" w:hAnsi="宋体" w:eastAsia="宋体"/>
                <w:b w:val="0"/>
                <w:bCs w:val="0"/>
                <w:color w:val="000000"/>
                <w:spacing w:val="0"/>
                <w:w w:val="100"/>
                <w:sz w:val="21"/>
                <w:szCs w:val="21"/>
                <w:lang w:val="en-US" w:eastAsia="zh-CN"/>
              </w:rPr>
              <w:t>配置</w:t>
            </w:r>
            <w:r>
              <w:rPr>
                <w:rFonts w:hint="eastAsia" w:ascii="宋体" w:hAnsi="宋体" w:eastAsia="宋体"/>
                <w:b w:val="0"/>
                <w:bCs w:val="0"/>
                <w:color w:val="000000"/>
                <w:spacing w:val="0"/>
                <w:w w:val="100"/>
                <w:sz w:val="21"/>
                <w:szCs w:val="21"/>
                <w:lang w:eastAsia="zh-CN"/>
              </w:rPr>
              <w:t>自动救援操作装置，安全保护装置</w:t>
            </w:r>
            <w:r>
              <w:rPr>
                <w:rFonts w:hint="eastAsia" w:ascii="宋体" w:hAnsi="宋体" w:eastAsia="宋体"/>
                <w:b w:val="0"/>
                <w:bCs w:val="0"/>
                <w:color w:val="000000"/>
                <w:spacing w:val="0"/>
                <w:w w:val="100"/>
                <w:sz w:val="21"/>
                <w:szCs w:val="21"/>
                <w:lang w:val="en-US" w:eastAsia="zh-CN"/>
              </w:rPr>
              <w:t>的</w:t>
            </w:r>
            <w:r>
              <w:rPr>
                <w:rFonts w:hint="eastAsia" w:ascii="宋体" w:hAnsi="宋体" w:eastAsia="宋体"/>
                <w:b w:val="0"/>
                <w:bCs w:val="0"/>
                <w:color w:val="000000"/>
                <w:spacing w:val="0"/>
                <w:w w:val="100"/>
                <w:sz w:val="21"/>
                <w:szCs w:val="21"/>
                <w:lang w:eastAsia="zh-CN"/>
              </w:rPr>
              <w:t>技术先进、安全可靠，符合以下要求：①原厂原品牌；②绝缘电阻＞1000MΩ；③外壳防护等级IP2X。</w:t>
            </w:r>
          </w:p>
          <w:p w14:paraId="0C5A8F12">
            <w:pPr>
              <w:pStyle w:val="2"/>
              <w:rPr>
                <w:rFonts w:hint="eastAsia" w:ascii="宋体" w:hAnsi="宋体" w:eastAsia="宋体"/>
                <w:b w:val="0"/>
                <w:bCs w:val="0"/>
                <w:color w:val="000000"/>
                <w:spacing w:val="0"/>
                <w:w w:val="100"/>
                <w:sz w:val="21"/>
                <w:szCs w:val="21"/>
                <w:lang w:eastAsia="zh-CN"/>
              </w:rPr>
            </w:pPr>
            <w:r>
              <w:rPr>
                <w:rFonts w:hint="eastAsia" w:ascii="宋体" w:hAnsi="宋体" w:eastAsia="宋体"/>
                <w:b w:val="0"/>
                <w:bCs w:val="0"/>
                <w:color w:val="000000"/>
                <w:spacing w:val="0"/>
                <w:w w:val="100"/>
                <w:sz w:val="21"/>
                <w:szCs w:val="21"/>
                <w:lang w:eastAsia="zh-CN"/>
              </w:rPr>
              <w:t>电梯安全保护装置</w:t>
            </w:r>
            <w:r>
              <w:rPr>
                <w:rFonts w:hint="eastAsia" w:hAnsi="宋体"/>
                <w:b w:val="0"/>
                <w:bCs w:val="0"/>
                <w:color w:val="000000"/>
                <w:spacing w:val="0"/>
                <w:w w:val="100"/>
                <w:sz w:val="21"/>
                <w:szCs w:val="21"/>
                <w:lang w:eastAsia="zh-CN"/>
              </w:rPr>
              <w:t>：</w:t>
            </w:r>
            <w:r>
              <w:rPr>
                <w:rFonts w:hint="eastAsia" w:ascii="宋体" w:hAnsi="宋体" w:eastAsia="宋体"/>
                <w:b w:val="0"/>
                <w:bCs w:val="0"/>
                <w:color w:val="000000"/>
                <w:spacing w:val="0"/>
                <w:w w:val="100"/>
                <w:sz w:val="21"/>
                <w:szCs w:val="21"/>
                <w:lang w:eastAsia="zh-CN"/>
              </w:rPr>
              <w:t>所投产品</w:t>
            </w:r>
            <w:r>
              <w:rPr>
                <w:rFonts w:hint="eastAsia" w:ascii="宋体" w:hAnsi="宋体" w:eastAsia="宋体"/>
                <w:b w:val="0"/>
                <w:bCs w:val="0"/>
                <w:color w:val="000000"/>
                <w:spacing w:val="0"/>
                <w:w w:val="100"/>
                <w:sz w:val="21"/>
                <w:szCs w:val="21"/>
                <w:lang w:val="en-US" w:eastAsia="zh-CN"/>
              </w:rPr>
              <w:t>配置</w:t>
            </w:r>
            <w:r>
              <w:rPr>
                <w:rFonts w:hint="eastAsia" w:ascii="宋体" w:hAnsi="宋体" w:eastAsia="宋体"/>
                <w:b w:val="0"/>
                <w:bCs w:val="0"/>
                <w:color w:val="000000"/>
                <w:spacing w:val="0"/>
                <w:w w:val="100"/>
                <w:sz w:val="21"/>
                <w:szCs w:val="21"/>
                <w:lang w:eastAsia="zh-CN"/>
              </w:rPr>
              <w:t>自动救援操作装置，安全保护装置</w:t>
            </w:r>
            <w:r>
              <w:rPr>
                <w:rFonts w:hint="eastAsia" w:ascii="宋体" w:hAnsi="宋体" w:eastAsia="宋体"/>
                <w:b w:val="0"/>
                <w:bCs w:val="0"/>
                <w:color w:val="000000"/>
                <w:spacing w:val="0"/>
                <w:w w:val="100"/>
                <w:sz w:val="21"/>
                <w:szCs w:val="21"/>
                <w:lang w:val="en-US" w:eastAsia="zh-CN"/>
              </w:rPr>
              <w:t>的</w:t>
            </w:r>
            <w:r>
              <w:rPr>
                <w:rFonts w:hint="eastAsia" w:ascii="宋体" w:hAnsi="宋体" w:eastAsia="宋体"/>
                <w:b w:val="0"/>
                <w:bCs w:val="0"/>
                <w:color w:val="000000"/>
                <w:spacing w:val="0"/>
                <w:w w:val="100"/>
                <w:sz w:val="21"/>
                <w:szCs w:val="21"/>
                <w:lang w:eastAsia="zh-CN"/>
              </w:rPr>
              <w:t>技术先进、安全可靠，符合以下要求：①原厂原品牌；②含检测门开启情况下轿厢的意外移动</w:t>
            </w:r>
            <w:r>
              <w:rPr>
                <w:rFonts w:hint="eastAsia" w:ascii="宋体" w:hAnsi="宋体" w:eastAsia="宋体"/>
                <w:b w:val="0"/>
                <w:bCs w:val="0"/>
                <w:color w:val="000000"/>
                <w:kern w:val="0"/>
                <w:sz w:val="21"/>
                <w:szCs w:val="21"/>
                <w:lang w:val="en-US" w:eastAsia="zh-CN" w:bidi="ar"/>
              </w:rPr>
              <w:t>SIL 2</w:t>
            </w:r>
            <w:r>
              <w:rPr>
                <w:rFonts w:hint="eastAsia" w:ascii="宋体" w:hAnsi="宋体"/>
                <w:b w:val="0"/>
                <w:bCs w:val="0"/>
                <w:color w:val="000000"/>
                <w:kern w:val="0"/>
                <w:sz w:val="21"/>
                <w:szCs w:val="21"/>
                <w:lang w:val="en-US" w:eastAsia="zh-CN" w:bidi="ar"/>
              </w:rPr>
              <w:t>、</w:t>
            </w:r>
            <w:r>
              <w:rPr>
                <w:rFonts w:hint="eastAsia" w:ascii="宋体" w:hAnsi="宋体" w:eastAsia="宋体"/>
                <w:b w:val="0"/>
                <w:bCs w:val="0"/>
                <w:color w:val="000000"/>
                <w:spacing w:val="0"/>
                <w:w w:val="100"/>
                <w:sz w:val="21"/>
                <w:szCs w:val="21"/>
                <w:lang w:eastAsia="zh-CN"/>
              </w:rPr>
              <w:t>检查平层和再平层和预备操作功能</w:t>
            </w:r>
            <w:r>
              <w:rPr>
                <w:rFonts w:hint="eastAsia" w:ascii="宋体" w:hAnsi="宋体" w:eastAsia="宋体"/>
                <w:b w:val="0"/>
                <w:bCs w:val="0"/>
                <w:color w:val="000000"/>
                <w:kern w:val="0"/>
                <w:sz w:val="21"/>
                <w:szCs w:val="21"/>
                <w:lang w:val="en-US" w:eastAsia="zh-CN" w:bidi="ar"/>
              </w:rPr>
              <w:t>SIL 2</w:t>
            </w:r>
            <w:r>
              <w:rPr>
                <w:rFonts w:hint="eastAsia" w:ascii="宋体" w:hAnsi="宋体"/>
                <w:b w:val="0"/>
                <w:bCs w:val="0"/>
                <w:color w:val="000000"/>
                <w:kern w:val="0"/>
                <w:sz w:val="21"/>
                <w:szCs w:val="21"/>
                <w:lang w:val="en-US" w:eastAsia="zh-CN" w:bidi="ar"/>
              </w:rPr>
              <w:t>、</w:t>
            </w:r>
            <w:r>
              <w:rPr>
                <w:rFonts w:hint="eastAsia" w:ascii="宋体" w:hAnsi="宋体" w:eastAsia="宋体"/>
                <w:b w:val="0"/>
                <w:bCs w:val="0"/>
                <w:color w:val="000000"/>
                <w:spacing w:val="0"/>
                <w:w w:val="100"/>
                <w:sz w:val="21"/>
                <w:szCs w:val="21"/>
                <w:lang w:eastAsia="zh-CN"/>
              </w:rPr>
              <w:t>门回路检测；③</w:t>
            </w:r>
            <w:r>
              <w:rPr>
                <w:rFonts w:hint="eastAsia" w:ascii="宋体" w:hAnsi="宋体" w:eastAsia="宋体"/>
                <w:b w:val="0"/>
                <w:bCs w:val="0"/>
                <w:color w:val="000000"/>
                <w:kern w:val="0"/>
                <w:sz w:val="21"/>
                <w:szCs w:val="21"/>
                <w:lang w:val="en-US" w:eastAsia="zh-CN" w:bidi="ar"/>
              </w:rPr>
              <w:t>响应时间≤10 ms</w:t>
            </w:r>
            <w:r>
              <w:rPr>
                <w:rFonts w:hint="eastAsia" w:ascii="宋体" w:hAnsi="宋体" w:eastAsia="宋体"/>
                <w:b w:val="0"/>
                <w:bCs w:val="0"/>
                <w:color w:val="000000"/>
                <w:spacing w:val="0"/>
                <w:w w:val="100"/>
                <w:sz w:val="21"/>
                <w:szCs w:val="21"/>
                <w:lang w:eastAsia="zh-CN"/>
              </w:rPr>
              <w:t>。</w:t>
            </w:r>
          </w:p>
          <w:p w14:paraId="536AFCE3">
            <w:pPr>
              <w:rPr>
                <w:rFonts w:hint="eastAsia"/>
                <w:b w:val="0"/>
                <w:bCs w:val="0"/>
                <w:color w:val="000000"/>
                <w:vertAlign w:val="baseline"/>
              </w:rPr>
            </w:pPr>
            <w:r>
              <w:rPr>
                <w:rFonts w:hint="eastAsia" w:ascii="宋体" w:hAnsi="宋体"/>
                <w:b w:val="0"/>
                <w:bCs w:val="0"/>
                <w:color w:val="000000"/>
                <w:spacing w:val="0"/>
                <w:w w:val="100"/>
                <w:sz w:val="21"/>
                <w:szCs w:val="21"/>
                <w:lang w:eastAsia="zh-CN"/>
              </w:rPr>
              <w:t>光幕：</w:t>
            </w:r>
            <w:r>
              <w:rPr>
                <w:rFonts w:hint="eastAsia"/>
                <w:b w:val="0"/>
                <w:bCs w:val="0"/>
                <w:color w:val="000000"/>
                <w:vertAlign w:val="baseline"/>
              </w:rPr>
              <w:t>所投品牌制造商的电梯光幕，采用红外线光幕，防护等级</w:t>
            </w:r>
            <w:r>
              <w:rPr>
                <w:rFonts w:hint="eastAsia"/>
                <w:b w:val="0"/>
                <w:bCs w:val="0"/>
                <w:color w:val="000000"/>
                <w:vertAlign w:val="baseline"/>
                <w:lang w:eastAsia="zh-CN"/>
              </w:rPr>
              <w:t>≥</w:t>
            </w:r>
            <w:r>
              <w:rPr>
                <w:rFonts w:hint="eastAsia"/>
                <w:b w:val="0"/>
                <w:bCs w:val="0"/>
                <w:color w:val="000000"/>
                <w:vertAlign w:val="baseline"/>
              </w:rPr>
              <w:t xml:space="preserve"> IP54，扫描光束</w:t>
            </w:r>
            <w:r>
              <w:rPr>
                <w:rFonts w:hint="eastAsia"/>
                <w:b w:val="0"/>
                <w:bCs w:val="0"/>
                <w:color w:val="000000"/>
                <w:vertAlign w:val="baseline"/>
                <w:lang w:eastAsia="zh-CN"/>
              </w:rPr>
              <w:t>≥</w:t>
            </w:r>
            <w:r>
              <w:rPr>
                <w:rFonts w:hint="eastAsia"/>
                <w:b w:val="0"/>
                <w:bCs w:val="0"/>
                <w:color w:val="000000"/>
                <w:vertAlign w:val="baseline"/>
                <w:lang w:val="en-US" w:eastAsia="zh-CN"/>
              </w:rPr>
              <w:t>234</w:t>
            </w:r>
            <w:r>
              <w:rPr>
                <w:rFonts w:hint="eastAsia"/>
                <w:b w:val="0"/>
                <w:bCs w:val="0"/>
                <w:color w:val="000000"/>
                <w:vertAlign w:val="baseline"/>
              </w:rPr>
              <w:t xml:space="preserve"> 束，</w:t>
            </w:r>
            <w:r>
              <w:rPr>
                <w:rFonts w:hint="eastAsia" w:ascii="宋体" w:hAnsi="宋体" w:eastAsia="宋体"/>
                <w:b w:val="0"/>
                <w:bCs w:val="0"/>
                <w:color w:val="000000"/>
                <w:kern w:val="0"/>
                <w:sz w:val="24"/>
                <w:szCs w:val="24"/>
                <w:lang w:val="en-US" w:eastAsia="zh-CN" w:bidi="ar"/>
              </w:rPr>
              <w:t>耐久试验</w:t>
            </w:r>
            <w:r>
              <w:rPr>
                <w:rFonts w:hint="eastAsia"/>
                <w:b w:val="0"/>
                <w:bCs w:val="0"/>
                <w:color w:val="000000"/>
                <w:vertAlign w:val="baseline"/>
                <w:lang w:eastAsia="zh-CN"/>
              </w:rPr>
              <w:t>≥</w:t>
            </w:r>
            <w:r>
              <w:rPr>
                <w:rFonts w:hint="eastAsia"/>
                <w:b w:val="0"/>
                <w:bCs w:val="0"/>
                <w:color w:val="000000"/>
                <w:vertAlign w:val="baseline"/>
                <w:lang w:val="en-US" w:eastAsia="zh-CN"/>
              </w:rPr>
              <w:t>12万次，</w:t>
            </w:r>
            <w:r>
              <w:rPr>
                <w:rFonts w:hint="eastAsia"/>
                <w:b w:val="0"/>
                <w:bCs w:val="0"/>
                <w:color w:val="000000"/>
                <w:vertAlign w:val="baseline"/>
              </w:rPr>
              <w:t>原厂原品牌。</w:t>
            </w:r>
          </w:p>
          <w:p w14:paraId="1D99B0F6">
            <w:pPr>
              <w:spacing w:line="240" w:lineRule="auto"/>
              <w:jc w:val="both"/>
              <w:rPr>
                <w:rFonts w:hint="eastAsia" w:ascii="宋体" w:hAnsi="宋体" w:eastAsia="宋体"/>
                <w:b w:val="0"/>
                <w:bCs w:val="0"/>
                <w:color w:val="000000"/>
                <w:spacing w:val="0"/>
                <w:w w:val="100"/>
                <w:sz w:val="22"/>
                <w:szCs w:val="22"/>
                <w:lang w:val="en-US" w:eastAsia="zh-CN"/>
              </w:rPr>
            </w:pPr>
            <w:r>
              <w:rPr>
                <w:rFonts w:hint="eastAsia" w:ascii="宋体" w:hAnsi="宋体" w:eastAsia="宋体"/>
                <w:b w:val="0"/>
                <w:bCs w:val="0"/>
                <w:color w:val="000000"/>
                <w:spacing w:val="0"/>
                <w:w w:val="100"/>
                <w:sz w:val="21"/>
                <w:szCs w:val="21"/>
                <w:lang w:eastAsia="zh-CN"/>
              </w:rPr>
              <w:t>门机</w:t>
            </w:r>
            <w:r>
              <w:rPr>
                <w:rFonts w:hint="eastAsia" w:ascii="宋体" w:hAnsi="宋体" w:eastAsia="宋体"/>
                <w:b w:val="0"/>
                <w:bCs w:val="0"/>
                <w:color w:val="000000"/>
                <w:spacing w:val="0"/>
                <w:w w:val="100"/>
                <w:sz w:val="21"/>
                <w:szCs w:val="21"/>
                <w:lang w:val="en-US" w:eastAsia="zh-CN"/>
              </w:rPr>
              <w:t>配置</w:t>
            </w:r>
            <w:r>
              <w:rPr>
                <w:rFonts w:hint="eastAsia" w:ascii="宋体" w:hAnsi="宋体"/>
                <w:b w:val="0"/>
                <w:bCs w:val="0"/>
                <w:color w:val="000000"/>
                <w:spacing w:val="0"/>
                <w:w w:val="100"/>
                <w:sz w:val="21"/>
                <w:szCs w:val="21"/>
                <w:lang w:val="en-US" w:eastAsia="zh-CN"/>
              </w:rPr>
              <w:t>：</w:t>
            </w:r>
            <w:r>
              <w:rPr>
                <w:rFonts w:hint="eastAsia" w:ascii="宋体" w:hAnsi="宋体" w:eastAsia="宋体"/>
                <w:b w:val="0"/>
                <w:bCs w:val="0"/>
                <w:color w:val="000000"/>
                <w:spacing w:val="0"/>
                <w:w w:val="100"/>
                <w:sz w:val="21"/>
                <w:szCs w:val="21"/>
                <w:lang w:val="en-US" w:eastAsia="zh-CN"/>
              </w:rPr>
              <w:t>所投产品的门机配置，在技术先进性、安全防护方面，符合以下要求：①</w:t>
            </w:r>
            <w:r>
              <w:rPr>
                <w:rFonts w:hint="eastAsia" w:ascii="宋体" w:hAnsi="宋体"/>
                <w:b w:val="0"/>
                <w:bCs w:val="0"/>
                <w:color w:val="000000"/>
                <w:spacing w:val="0"/>
                <w:w w:val="100"/>
                <w:sz w:val="21"/>
                <w:szCs w:val="21"/>
                <w:lang w:val="en-US" w:eastAsia="zh-CN"/>
              </w:rPr>
              <w:t>原厂原品牌</w:t>
            </w:r>
            <w:r>
              <w:rPr>
                <w:rFonts w:hint="eastAsia" w:ascii="宋体" w:hAnsi="宋体" w:eastAsia="宋体"/>
                <w:b w:val="0"/>
                <w:bCs w:val="0"/>
                <w:color w:val="000000"/>
                <w:spacing w:val="0"/>
                <w:w w:val="100"/>
                <w:sz w:val="21"/>
                <w:szCs w:val="21"/>
                <w:lang w:val="en-US" w:eastAsia="zh-CN"/>
              </w:rPr>
              <w:t>；②采用永磁同步门机；③</w:t>
            </w:r>
            <w:r>
              <w:rPr>
                <w:rFonts w:hint="eastAsia" w:ascii="宋体" w:hAnsi="宋体"/>
                <w:b w:val="0"/>
                <w:bCs w:val="0"/>
                <w:color w:val="000000"/>
                <w:spacing w:val="0"/>
                <w:w w:val="100"/>
                <w:sz w:val="21"/>
                <w:szCs w:val="21"/>
                <w:lang w:val="en-US" w:eastAsia="zh-CN"/>
              </w:rPr>
              <w:t>门锁装置、变频器、电机</w:t>
            </w:r>
            <w:r>
              <w:rPr>
                <w:rFonts w:hint="eastAsia" w:ascii="宋体" w:hAnsi="宋体" w:eastAsia="宋体"/>
                <w:b w:val="0"/>
                <w:bCs w:val="0"/>
                <w:color w:val="000000"/>
                <w:spacing w:val="0"/>
                <w:w w:val="100"/>
                <w:sz w:val="21"/>
                <w:szCs w:val="21"/>
                <w:lang w:val="en-US" w:eastAsia="zh-CN"/>
              </w:rPr>
              <w:t>外壳防护等级IP66</w:t>
            </w:r>
            <w:r>
              <w:rPr>
                <w:rFonts w:hint="eastAsia" w:ascii="宋体" w:hAnsi="宋体"/>
                <w:b w:val="0"/>
                <w:bCs w:val="0"/>
                <w:color w:val="000000"/>
                <w:spacing w:val="0"/>
                <w:w w:val="100"/>
                <w:sz w:val="21"/>
                <w:szCs w:val="21"/>
                <w:lang w:val="en-US" w:eastAsia="zh-CN"/>
              </w:rPr>
              <w:t>；④</w:t>
            </w:r>
            <w:r>
              <w:rPr>
                <w:rFonts w:hint="eastAsia" w:ascii="宋体" w:hAnsi="宋体" w:eastAsia="宋体"/>
                <w:b w:val="0"/>
                <w:bCs w:val="0"/>
                <w:color w:val="000000"/>
                <w:kern w:val="0"/>
                <w:sz w:val="24"/>
                <w:szCs w:val="24"/>
                <w:lang w:val="en-US" w:eastAsia="zh-CN" w:bidi="ar"/>
              </w:rPr>
              <w:t>双稳态开关</w:t>
            </w:r>
            <w:r>
              <w:rPr>
                <w:rFonts w:hint="eastAsia" w:ascii="宋体" w:hAnsi="宋体" w:eastAsia="宋体"/>
                <w:b w:val="0"/>
                <w:bCs w:val="0"/>
                <w:color w:val="000000"/>
                <w:spacing w:val="0"/>
                <w:w w:val="100"/>
                <w:sz w:val="21"/>
                <w:szCs w:val="21"/>
                <w:lang w:val="en-US" w:eastAsia="zh-CN"/>
              </w:rPr>
              <w:t>外壳防护等级IP68。</w:t>
            </w:r>
            <w:r>
              <w:rPr>
                <w:rFonts w:hint="eastAsia" w:ascii="宋体" w:hAnsi="宋体" w:eastAsia="宋体"/>
                <w:b w:val="0"/>
                <w:bCs w:val="0"/>
                <w:color w:val="000000"/>
                <w:spacing w:val="0"/>
                <w:w w:val="100"/>
                <w:sz w:val="21"/>
                <w:szCs w:val="21"/>
                <w:lang w:val="en-US" w:eastAsia="zh-CN"/>
              </w:rPr>
              <w:br w:type="textWrapping"/>
            </w:r>
            <w:r>
              <w:rPr>
                <w:rFonts w:hint="eastAsia" w:ascii="宋体" w:hAnsi="宋体"/>
                <w:b w:val="0"/>
                <w:bCs w:val="0"/>
                <w:color w:val="000000"/>
                <w:spacing w:val="0"/>
                <w:w w:val="100"/>
                <w:sz w:val="21"/>
                <w:szCs w:val="21"/>
                <w:lang w:eastAsia="zh-CN"/>
              </w:rPr>
              <w:t>层门装置：</w:t>
            </w:r>
            <w:r>
              <w:rPr>
                <w:rFonts w:hint="eastAsia" w:ascii="宋体" w:hAnsi="宋体" w:eastAsia="宋体"/>
                <w:b w:val="0"/>
                <w:bCs w:val="0"/>
                <w:color w:val="000000"/>
                <w:spacing w:val="0"/>
                <w:w w:val="100"/>
                <w:sz w:val="21"/>
                <w:szCs w:val="21"/>
                <w:lang w:val="en-US" w:eastAsia="zh-CN"/>
              </w:rPr>
              <w:t>所投产品的</w:t>
            </w:r>
            <w:r>
              <w:rPr>
                <w:rFonts w:hint="eastAsia" w:ascii="宋体" w:hAnsi="宋体" w:eastAsia="宋体"/>
                <w:b w:val="0"/>
                <w:bCs w:val="0"/>
                <w:color w:val="000000"/>
                <w:kern w:val="0"/>
                <w:sz w:val="22"/>
                <w:szCs w:val="22"/>
                <w:lang w:val="en-US" w:eastAsia="zh-CN" w:bidi="ar"/>
              </w:rPr>
              <w:t>门锁装置及安全触点防护等级</w:t>
            </w:r>
            <w:r>
              <w:rPr>
                <w:rFonts w:hint="eastAsia" w:ascii="宋体" w:hAnsi="宋体" w:eastAsia="宋体"/>
                <w:b w:val="0"/>
                <w:bCs w:val="0"/>
                <w:color w:val="000000"/>
                <w:spacing w:val="0"/>
                <w:w w:val="100"/>
                <w:sz w:val="22"/>
                <w:szCs w:val="22"/>
                <w:lang w:val="en-US" w:eastAsia="zh-CN"/>
              </w:rPr>
              <w:t>IP66（原厂原品牌）</w:t>
            </w:r>
          </w:p>
          <w:p w14:paraId="6D58A2E6">
            <w:pPr>
              <w:spacing w:line="240" w:lineRule="auto"/>
              <w:jc w:val="both"/>
              <w:rPr>
                <w:rFonts w:hint="eastAsia" w:ascii="宋体" w:hAnsi="宋体" w:eastAsia="宋体"/>
                <w:b w:val="0"/>
                <w:bCs w:val="0"/>
                <w:color w:val="000000"/>
                <w:sz w:val="21"/>
                <w:szCs w:val="21"/>
                <w:lang w:eastAsia="zh-CN"/>
              </w:rPr>
            </w:pPr>
            <w:r>
              <w:rPr>
                <w:rFonts w:hint="eastAsia" w:ascii="宋体" w:hAnsi="宋体" w:eastAsia="宋体"/>
                <w:b w:val="0"/>
                <w:bCs w:val="0"/>
                <w:color w:val="000000"/>
                <w:sz w:val="21"/>
                <w:szCs w:val="21"/>
              </w:rPr>
              <w:t>电磁兼容性</w:t>
            </w:r>
            <w:r>
              <w:rPr>
                <w:rFonts w:hint="eastAsia" w:ascii="宋体" w:hAnsi="宋体"/>
                <w:b w:val="0"/>
                <w:bCs w:val="0"/>
                <w:color w:val="000000"/>
                <w:sz w:val="21"/>
                <w:szCs w:val="21"/>
                <w:lang w:eastAsia="zh-CN"/>
              </w:rPr>
              <w:t>：</w:t>
            </w:r>
            <w:r>
              <w:rPr>
                <w:rFonts w:hint="eastAsia" w:ascii="宋体" w:hAnsi="宋体" w:eastAsia="宋体"/>
                <w:b w:val="0"/>
                <w:bCs w:val="0"/>
                <w:color w:val="000000"/>
                <w:sz w:val="21"/>
                <w:szCs w:val="21"/>
                <w:lang w:eastAsia="zh-CN"/>
              </w:rPr>
              <w:t>投标制造商编码器、光电开门、称重装置</w:t>
            </w:r>
            <w:r>
              <w:rPr>
                <w:rFonts w:hint="eastAsia" w:ascii="宋体" w:hAnsi="宋体" w:eastAsia="宋体"/>
                <w:b w:val="0"/>
                <w:bCs w:val="0"/>
                <w:color w:val="000000"/>
                <w:sz w:val="21"/>
                <w:szCs w:val="21"/>
              </w:rPr>
              <w:t>满足的特定标准，确保电磁兼容性和安全性</w:t>
            </w:r>
            <w:r>
              <w:rPr>
                <w:rFonts w:hint="eastAsia" w:ascii="宋体" w:hAnsi="宋体" w:eastAsia="宋体"/>
                <w:b w:val="0"/>
                <w:bCs w:val="0"/>
                <w:color w:val="000000"/>
                <w:sz w:val="21"/>
                <w:szCs w:val="21"/>
                <w:lang w:eastAsia="zh-CN"/>
              </w:rPr>
              <w:t>。</w:t>
            </w:r>
          </w:p>
          <w:p w14:paraId="7134809B">
            <w:pPr>
              <w:pStyle w:val="2"/>
              <w:rPr>
                <w:rFonts w:hint="eastAsia" w:ascii="宋体" w:hAnsi="宋体" w:eastAsia="宋体"/>
                <w:b w:val="0"/>
                <w:bCs w:val="0"/>
                <w:color w:val="000000"/>
                <w:spacing w:val="0"/>
                <w:w w:val="100"/>
                <w:sz w:val="21"/>
                <w:szCs w:val="21"/>
                <w:lang w:eastAsia="zh-CN"/>
              </w:rPr>
            </w:pPr>
            <w:r>
              <w:rPr>
                <w:rFonts w:hint="eastAsia" w:ascii="宋体" w:hAnsi="宋体"/>
                <w:b w:val="0"/>
                <w:bCs w:val="0"/>
                <w:color w:val="000000"/>
                <w:sz w:val="21"/>
                <w:szCs w:val="21"/>
                <w:lang w:eastAsia="zh-CN"/>
              </w:rPr>
              <w:t>井道部件</w:t>
            </w:r>
            <w:r>
              <w:rPr>
                <w:rFonts w:hint="eastAsia" w:hAnsi="宋体"/>
                <w:b w:val="0"/>
                <w:bCs w:val="0"/>
                <w:color w:val="000000"/>
                <w:sz w:val="21"/>
                <w:szCs w:val="21"/>
                <w:lang w:eastAsia="zh-CN"/>
              </w:rPr>
              <w:t>：</w:t>
            </w:r>
            <w:r>
              <w:rPr>
                <w:rFonts w:hint="eastAsia" w:ascii="宋体" w:hAnsi="宋体" w:eastAsia="宋体"/>
                <w:b w:val="0"/>
                <w:bCs w:val="0"/>
                <w:color w:val="000000"/>
                <w:spacing w:val="0"/>
                <w:w w:val="100"/>
                <w:sz w:val="21"/>
                <w:szCs w:val="21"/>
                <w:lang w:eastAsia="zh-CN"/>
              </w:rPr>
              <w:t>所投产品的导轨和绳头组合为电梯原厂原品牌。</w:t>
            </w:r>
          </w:p>
          <w:p w14:paraId="0ABF386C">
            <w:pPr>
              <w:rPr>
                <w:rFonts w:hint="eastAsia"/>
                <w:b w:val="0"/>
                <w:bCs w:val="0"/>
                <w:color w:val="000000"/>
              </w:rPr>
            </w:pPr>
            <w:r>
              <w:rPr>
                <w:rFonts w:hint="eastAsia"/>
                <w:b w:val="0"/>
                <w:bCs w:val="0"/>
                <w:color w:val="000000"/>
              </w:rPr>
              <w:t>钢丝绳</w:t>
            </w:r>
            <w:r>
              <w:rPr>
                <w:rFonts w:hint="eastAsia"/>
                <w:b w:val="0"/>
                <w:bCs w:val="0"/>
                <w:color w:val="000000"/>
                <w:lang w:eastAsia="zh-CN"/>
              </w:rPr>
              <w:t>：</w:t>
            </w:r>
            <w:r>
              <w:rPr>
                <w:rFonts w:hint="eastAsia"/>
                <w:b w:val="0"/>
                <w:bCs w:val="0"/>
                <w:color w:val="000000"/>
              </w:rPr>
              <w:t>钢丝绳满足疲劳试验测试合格次数大于或等于 300 万次。</w:t>
            </w:r>
          </w:p>
          <w:p w14:paraId="585B46A3">
            <w:pPr>
              <w:pStyle w:val="2"/>
              <w:rPr>
                <w:rFonts w:hint="eastAsia"/>
                <w:lang w:eastAsia="zh-CN"/>
              </w:rPr>
            </w:pPr>
            <w:r>
              <w:rPr>
                <w:rFonts w:hint="eastAsia" w:ascii="宋体" w:hAnsi="宋体" w:eastAsia="宋体" w:cs="宋体"/>
                <w:b/>
                <w:bCs/>
                <w:color w:val="auto"/>
                <w:spacing w:val="0"/>
                <w:w w:val="100"/>
                <w:sz w:val="21"/>
                <w:szCs w:val="21"/>
                <w:lang w:eastAsia="zh-CN"/>
              </w:rPr>
              <w:t>安全功能配置</w:t>
            </w:r>
            <w:r>
              <w:rPr>
                <w:rFonts w:hint="eastAsia" w:hAnsi="宋体" w:cs="宋体"/>
                <w:b/>
                <w:bCs/>
                <w:color w:val="auto"/>
                <w:spacing w:val="0"/>
                <w:w w:val="100"/>
                <w:sz w:val="21"/>
                <w:szCs w:val="21"/>
                <w:lang w:eastAsia="zh-CN"/>
              </w:rPr>
              <w:t>：</w:t>
            </w:r>
            <w:r>
              <w:rPr>
                <w:rFonts w:hint="eastAsia" w:ascii="宋体" w:hAnsi="宋体" w:eastAsia="宋体" w:cs="宋体"/>
                <w:kern w:val="2"/>
                <w:sz w:val="21"/>
                <w:szCs w:val="21"/>
              </w:rPr>
              <w:t>所投品牌电梯</w:t>
            </w:r>
            <w:r>
              <w:rPr>
                <w:rFonts w:hint="eastAsia" w:ascii="宋体" w:hAnsi="宋体" w:eastAsia="宋体" w:cs="宋体"/>
                <w:b w:val="0"/>
                <w:bCs w:val="0"/>
                <w:color w:val="auto"/>
                <w:spacing w:val="0"/>
                <w:w w:val="100"/>
                <w:kern w:val="0"/>
                <w:sz w:val="21"/>
                <w:szCs w:val="21"/>
                <w:lang w:eastAsia="zh-CN"/>
              </w:rPr>
              <w:t>具有智能解困功能</w:t>
            </w:r>
            <w:r>
              <w:rPr>
                <w:rFonts w:hint="eastAsia" w:hAnsi="宋体" w:cs="宋体"/>
                <w:b w:val="0"/>
                <w:bCs w:val="0"/>
                <w:color w:val="auto"/>
                <w:spacing w:val="0"/>
                <w:w w:val="100"/>
                <w:kern w:val="0"/>
                <w:sz w:val="21"/>
                <w:szCs w:val="21"/>
                <w:lang w:eastAsia="zh-CN"/>
              </w:rPr>
              <w:t>。</w:t>
            </w:r>
          </w:p>
          <w:p w14:paraId="36271F81">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2、电梯装饰：</w:t>
            </w:r>
          </w:p>
          <w:p w14:paraId="03370814">
            <w:pPr>
              <w:keepNext w:val="0"/>
              <w:keepLines w:val="0"/>
              <w:pageBreakBefore w:val="0"/>
              <w:widowControl/>
              <w:shd w:val="clear" w:color="auto" w:fill="FFFFFF"/>
              <w:wordWrap/>
              <w:topLinePunct w:val="0"/>
              <w:bidi w:val="0"/>
              <w:snapToGrid/>
              <w:spacing w:line="240" w:lineRule="auto"/>
              <w:textAlignment w:val="auto"/>
              <w:rPr>
                <w:rFonts w:hint="eastAsia" w:eastAsia="宋体"/>
                <w:color w:val="000000"/>
                <w:kern w:val="0"/>
                <w:sz w:val="21"/>
                <w:szCs w:val="21"/>
                <w:lang w:val="en-US" w:eastAsia="zh-CN" w:bidi="ar"/>
              </w:rPr>
            </w:pPr>
            <w:r>
              <w:rPr>
                <w:rFonts w:hint="eastAsia" w:eastAsia="宋体"/>
                <w:color w:val="000000"/>
                <w:kern w:val="0"/>
                <w:sz w:val="21"/>
                <w:szCs w:val="21"/>
                <w:lang w:val="en-US" w:eastAsia="zh-CN" w:bidi="ar"/>
              </w:rPr>
              <w:t>1.轿厢</w:t>
            </w:r>
          </w:p>
          <w:p w14:paraId="79D021C3">
            <w:pPr>
              <w:pStyle w:val="2"/>
              <w:rPr>
                <w:rFonts w:hint="eastAsia" w:hAnsi="Tahoma"/>
                <w:color w:val="000000"/>
                <w:sz w:val="21"/>
                <w:szCs w:val="21"/>
                <w:lang w:eastAsia="zh-CN"/>
              </w:rPr>
            </w:pPr>
            <w:r>
              <w:rPr>
                <w:rFonts w:hAnsi="Tahoma"/>
                <w:color w:val="000000"/>
                <w:sz w:val="21"/>
                <w:szCs w:val="21"/>
              </w:rPr>
              <w:t>轿厢壁板</w:t>
            </w:r>
            <w:r>
              <w:rPr>
                <w:rFonts w:hint="eastAsia" w:hAnsi="Tahoma"/>
                <w:color w:val="000000"/>
                <w:sz w:val="21"/>
                <w:szCs w:val="21"/>
                <w:lang w:eastAsia="zh-CN"/>
              </w:rPr>
              <w:t>：</w:t>
            </w:r>
          </w:p>
          <w:p w14:paraId="2E2396DF">
            <w:pPr>
              <w:rPr>
                <w:rFonts w:hint="eastAsia" w:hAnsi="Tahoma"/>
                <w:color w:val="000000"/>
                <w:sz w:val="21"/>
                <w:szCs w:val="21"/>
                <w:lang w:val="en-US" w:eastAsia="zh-CN"/>
              </w:rPr>
            </w:pPr>
            <w:r>
              <w:rPr>
                <w:rFonts w:hAnsi="Tahoma"/>
                <w:color w:val="000000"/>
                <w:sz w:val="21"/>
                <w:szCs w:val="21"/>
              </w:rPr>
              <w:t>前壁、门楣</w:t>
            </w:r>
            <w:r>
              <w:rPr>
                <w:rFonts w:hint="eastAsia" w:hAnsi="Tahoma"/>
                <w:color w:val="000000"/>
                <w:sz w:val="21"/>
                <w:szCs w:val="21"/>
                <w:lang w:eastAsia="zh-CN"/>
              </w:rPr>
              <w:t>：</w:t>
            </w:r>
            <w:r>
              <w:rPr>
                <w:rFonts w:hint="eastAsia" w:hAnsi="Tahoma"/>
                <w:color w:val="000000"/>
                <w:sz w:val="21"/>
                <w:szCs w:val="21"/>
                <w:lang w:val="en-US" w:eastAsia="zh-CN"/>
              </w:rPr>
              <w:t>304</w:t>
            </w:r>
            <w:r>
              <w:rPr>
                <w:rFonts w:hint="eastAsia" w:hAnsi="Tahoma"/>
                <w:color w:val="000000"/>
                <w:sz w:val="21"/>
                <w:szCs w:val="21"/>
                <w:lang w:eastAsia="zh-CN"/>
              </w:rPr>
              <w:t>发纹不锈钢，</w:t>
            </w:r>
            <w:r>
              <w:rPr>
                <w:rFonts w:hint="eastAsia" w:hAnsi="Tahoma"/>
                <w:color w:val="000000"/>
                <w:sz w:val="21"/>
                <w:szCs w:val="21"/>
                <w:lang w:val="en-US" w:eastAsia="zh-CN"/>
              </w:rPr>
              <w:t>厚度1.5mm（注：已提供投标产品的生产厂家出具的技术参数说明证明作为佐证。）</w:t>
            </w:r>
          </w:p>
          <w:p w14:paraId="13797165">
            <w:pPr>
              <w:pStyle w:val="2"/>
              <w:rPr>
                <w:rFonts w:hint="eastAsia" w:hAnsi="Tahoma"/>
                <w:color w:val="000000"/>
                <w:sz w:val="21"/>
                <w:szCs w:val="21"/>
                <w:lang w:val="en-US" w:eastAsia="zh-CN"/>
              </w:rPr>
            </w:pPr>
            <w:r>
              <w:rPr>
                <w:rFonts w:hint="eastAsia" w:hAnsi="Tahoma"/>
                <w:color w:val="000000"/>
                <w:sz w:val="21"/>
                <w:szCs w:val="21"/>
              </w:rPr>
              <w:t>侧壁</w:t>
            </w:r>
            <w:r>
              <w:rPr>
                <w:rFonts w:hint="eastAsia" w:hAnsi="Tahoma"/>
                <w:color w:val="000000"/>
                <w:sz w:val="21"/>
                <w:szCs w:val="21"/>
                <w:lang w:eastAsia="zh-CN"/>
              </w:rPr>
              <w:t>：</w:t>
            </w:r>
            <w:r>
              <w:rPr>
                <w:rFonts w:hint="eastAsia" w:hAnsi="Tahoma"/>
                <w:color w:val="000000"/>
                <w:sz w:val="21"/>
                <w:szCs w:val="21"/>
                <w:lang w:val="en-US" w:eastAsia="zh-CN"/>
              </w:rPr>
              <w:t>304</w:t>
            </w:r>
            <w:r>
              <w:rPr>
                <w:rFonts w:hint="eastAsia" w:hAnsi="Tahoma"/>
                <w:color w:val="000000"/>
                <w:sz w:val="21"/>
                <w:szCs w:val="21"/>
                <w:lang w:eastAsia="zh-CN"/>
              </w:rPr>
              <w:t>发纹不锈钢，</w:t>
            </w:r>
            <w:r>
              <w:rPr>
                <w:rFonts w:hint="eastAsia" w:hAnsi="Tahoma"/>
                <w:color w:val="000000"/>
                <w:sz w:val="21"/>
                <w:szCs w:val="21"/>
                <w:lang w:val="en-US" w:eastAsia="zh-CN"/>
              </w:rPr>
              <w:t>厚度1.5mm（注：已提供投标产品的生产厂家出具的技术参数说明证明作为佐证。）</w:t>
            </w:r>
          </w:p>
          <w:p w14:paraId="04604831">
            <w:pPr>
              <w:rPr>
                <w:rFonts w:hint="eastAsia" w:hAnsi="Tahoma"/>
                <w:color w:val="000000"/>
                <w:sz w:val="21"/>
                <w:szCs w:val="21"/>
                <w:lang w:val="en-US" w:eastAsia="zh-CN"/>
              </w:rPr>
            </w:pPr>
            <w:r>
              <w:rPr>
                <w:rFonts w:hint="eastAsia" w:hAnsi="Tahoma"/>
                <w:color w:val="000000"/>
                <w:sz w:val="21"/>
                <w:szCs w:val="21"/>
              </w:rPr>
              <w:t>后壁</w:t>
            </w:r>
            <w:r>
              <w:rPr>
                <w:rFonts w:hint="eastAsia" w:hAnsi="Tahoma"/>
                <w:color w:val="000000"/>
                <w:sz w:val="21"/>
                <w:szCs w:val="21"/>
                <w:lang w:eastAsia="zh-CN"/>
              </w:rPr>
              <w:t>：</w:t>
            </w:r>
            <w:r>
              <w:rPr>
                <w:rFonts w:hint="eastAsia" w:ascii="Times New Roman" w:hAnsi="Tahoma" w:eastAsia="宋体"/>
                <w:color w:val="000000"/>
                <w:sz w:val="21"/>
                <w:szCs w:val="21"/>
                <w:lang w:eastAsia="zh-CN"/>
              </w:rPr>
              <w:t>中间</w:t>
            </w:r>
            <w:r>
              <w:rPr>
                <w:rFonts w:hint="eastAsia" w:ascii="Times New Roman" w:hAnsi="Tahoma" w:eastAsia="宋体"/>
                <w:color w:val="000000"/>
                <w:sz w:val="21"/>
                <w:szCs w:val="21"/>
                <w:lang w:val="en-US" w:eastAsia="zh-CN"/>
              </w:rPr>
              <w:t>304</w:t>
            </w:r>
            <w:r>
              <w:rPr>
                <w:rFonts w:hint="eastAsia" w:ascii="Times New Roman" w:hAnsi="Tahoma" w:eastAsia="宋体"/>
                <w:color w:val="000000"/>
                <w:sz w:val="21"/>
                <w:szCs w:val="21"/>
                <w:lang w:eastAsia="zh-CN"/>
              </w:rPr>
              <w:t>镜面不锈钢</w:t>
            </w:r>
            <w:r>
              <w:rPr>
                <w:rFonts w:hint="eastAsia" w:hAnsi="Tahoma"/>
                <w:color w:val="000000"/>
                <w:sz w:val="21"/>
                <w:szCs w:val="21"/>
                <w:lang w:eastAsia="zh-CN"/>
              </w:rPr>
              <w:t>，</w:t>
            </w:r>
            <w:r>
              <w:rPr>
                <w:rFonts w:hint="eastAsia" w:hAnsi="Tahoma"/>
                <w:color w:val="000000"/>
                <w:sz w:val="21"/>
                <w:szCs w:val="21"/>
                <w:lang w:val="en-US" w:eastAsia="zh-CN"/>
              </w:rPr>
              <w:t>厚度1.5mm（注：已提供投标产品的生产厂家出具的技术参数说明证明作为佐证。）</w:t>
            </w:r>
          </w:p>
          <w:p w14:paraId="07A4D044">
            <w:pPr>
              <w:pStyle w:val="2"/>
              <w:rPr>
                <w:rFonts w:hint="eastAsia" w:hAnsi="Tahoma"/>
                <w:color w:val="000000"/>
                <w:sz w:val="21"/>
                <w:szCs w:val="21"/>
                <w:lang w:val="en-US" w:eastAsia="zh-CN"/>
              </w:rPr>
            </w:pPr>
            <w:r>
              <w:rPr>
                <w:rFonts w:hint="eastAsia" w:hAnsi="Tahoma"/>
                <w:color w:val="000000"/>
                <w:sz w:val="21"/>
                <w:szCs w:val="21"/>
              </w:rPr>
              <w:t>其余</w:t>
            </w:r>
            <w:r>
              <w:rPr>
                <w:rFonts w:hint="eastAsia" w:hAnsi="Tahoma"/>
                <w:color w:val="000000"/>
                <w:sz w:val="21"/>
                <w:szCs w:val="21"/>
                <w:lang w:eastAsia="zh-CN"/>
              </w:rPr>
              <w:t>：</w:t>
            </w:r>
            <w:r>
              <w:rPr>
                <w:rFonts w:hint="eastAsia" w:hAnsi="Tahoma"/>
                <w:color w:val="000000"/>
                <w:sz w:val="21"/>
                <w:szCs w:val="21"/>
                <w:lang w:val="en-US" w:eastAsia="zh-CN"/>
              </w:rPr>
              <w:t>304</w:t>
            </w:r>
            <w:r>
              <w:rPr>
                <w:rFonts w:hint="eastAsia" w:hAnsi="Tahoma"/>
                <w:color w:val="000000"/>
                <w:sz w:val="21"/>
                <w:szCs w:val="21"/>
                <w:lang w:eastAsia="zh-CN"/>
              </w:rPr>
              <w:t>发纹不锈钢，</w:t>
            </w:r>
            <w:r>
              <w:rPr>
                <w:rFonts w:hint="eastAsia" w:hAnsi="Tahoma"/>
                <w:color w:val="000000"/>
                <w:sz w:val="21"/>
                <w:szCs w:val="21"/>
                <w:lang w:val="en-US" w:eastAsia="zh-CN"/>
              </w:rPr>
              <w:t>厚度1.5mm（注：已提供投标产品的生产厂家出具的技术参数说明证明作为佐证。）</w:t>
            </w:r>
          </w:p>
          <w:p w14:paraId="4A3427BD">
            <w:pPr>
              <w:rPr>
                <w:rFonts w:hint="eastAsia" w:hAnsi="Tahoma"/>
                <w:color w:val="000000"/>
                <w:sz w:val="21"/>
                <w:szCs w:val="21"/>
                <w:lang w:val="en-US" w:eastAsia="zh-CN"/>
              </w:rPr>
            </w:pPr>
            <w:r>
              <w:rPr>
                <w:rFonts w:hAnsi="Tahoma"/>
                <w:color w:val="000000"/>
                <w:sz w:val="21"/>
                <w:szCs w:val="21"/>
              </w:rPr>
              <w:t>轿门板</w:t>
            </w:r>
            <w:r>
              <w:rPr>
                <w:rFonts w:hint="eastAsia" w:hAnsi="Tahoma"/>
                <w:color w:val="000000"/>
                <w:sz w:val="21"/>
                <w:szCs w:val="21"/>
                <w:lang w:eastAsia="zh-CN"/>
              </w:rPr>
              <w:t>：</w:t>
            </w:r>
            <w:r>
              <w:rPr>
                <w:rFonts w:hint="eastAsia" w:hAnsi="Tahoma"/>
                <w:color w:val="000000"/>
                <w:sz w:val="21"/>
                <w:szCs w:val="21"/>
                <w:lang w:val="en-US" w:eastAsia="zh-CN"/>
              </w:rPr>
              <w:t>304</w:t>
            </w:r>
            <w:r>
              <w:rPr>
                <w:rFonts w:hint="eastAsia" w:hAnsi="Tahoma"/>
                <w:color w:val="000000"/>
                <w:sz w:val="21"/>
                <w:szCs w:val="21"/>
                <w:lang w:eastAsia="zh-CN"/>
              </w:rPr>
              <w:t>发纹不锈钢，</w:t>
            </w:r>
            <w:r>
              <w:rPr>
                <w:rFonts w:hint="eastAsia" w:hAnsi="Tahoma"/>
                <w:color w:val="000000"/>
                <w:sz w:val="21"/>
                <w:szCs w:val="21"/>
                <w:lang w:val="en-US" w:eastAsia="zh-CN"/>
              </w:rPr>
              <w:t>厚度1.5mm（注：已提供投标产品的生产厂家出具的技术参数说明证明作为佐证。）</w:t>
            </w:r>
          </w:p>
          <w:p w14:paraId="4689F444">
            <w:pPr>
              <w:pStyle w:val="2"/>
              <w:rPr>
                <w:rFonts w:hint="eastAsia" w:hAnsi="Tahoma"/>
                <w:color w:val="000000"/>
                <w:sz w:val="21"/>
                <w:szCs w:val="21"/>
                <w:lang w:val="en-US" w:eastAsia="zh-CN"/>
              </w:rPr>
            </w:pPr>
            <w:r>
              <w:rPr>
                <w:rFonts w:hAnsi="Tahoma"/>
                <w:color w:val="000000"/>
                <w:sz w:val="21"/>
                <w:szCs w:val="21"/>
              </w:rPr>
              <w:t>扶手</w:t>
            </w:r>
            <w:r>
              <w:rPr>
                <w:rFonts w:hint="eastAsia" w:hAnsi="Tahoma"/>
                <w:color w:val="000000"/>
                <w:sz w:val="21"/>
                <w:szCs w:val="21"/>
                <w:lang w:eastAsia="zh-CN"/>
              </w:rPr>
              <w:t>：</w:t>
            </w:r>
            <w:r>
              <w:rPr>
                <w:rFonts w:hint="eastAsia" w:hAnsi="Tahoma"/>
                <w:color w:val="000000"/>
                <w:sz w:val="21"/>
                <w:szCs w:val="21"/>
                <w:lang w:val="en-US" w:eastAsia="zh-CN"/>
              </w:rPr>
              <w:t>发纹</w:t>
            </w:r>
            <w:r>
              <w:rPr>
                <w:rFonts w:hint="eastAsia" w:hAnsi="Tahoma"/>
                <w:color w:val="000000"/>
                <w:sz w:val="21"/>
                <w:szCs w:val="21"/>
                <w:lang w:eastAsia="zh-CN"/>
              </w:rPr>
              <w:t>不锈钢扁扶手</w:t>
            </w:r>
            <w:r>
              <w:rPr>
                <w:rFonts w:hint="eastAsia" w:hAnsi="Tahoma"/>
                <w:color w:val="000000"/>
                <w:sz w:val="21"/>
                <w:szCs w:val="21"/>
              </w:rPr>
              <w:t>，数量：</w:t>
            </w:r>
            <w:r>
              <w:rPr>
                <w:rFonts w:hint="eastAsia" w:hAnsi="Tahoma"/>
                <w:color w:val="000000"/>
                <w:sz w:val="21"/>
                <w:szCs w:val="21"/>
                <w:lang w:val="en-US" w:eastAsia="zh-CN"/>
              </w:rPr>
              <w:t>3条。</w:t>
            </w:r>
          </w:p>
          <w:p w14:paraId="65DCF0CF">
            <w:pPr>
              <w:rPr>
                <w:rFonts w:hint="eastAsia" w:ascii="Times New Roman" w:hAnsi="Tahoma" w:eastAsia="宋体"/>
                <w:color w:val="000000"/>
                <w:sz w:val="21"/>
                <w:szCs w:val="21"/>
                <w:lang w:val="en-US" w:eastAsia="zh-CN"/>
              </w:rPr>
            </w:pPr>
            <w:r>
              <w:rPr>
                <w:rFonts w:hAnsi="Tahoma"/>
                <w:color w:val="000000"/>
                <w:sz w:val="21"/>
                <w:szCs w:val="21"/>
              </w:rPr>
              <w:t>轿厢吊顶</w:t>
            </w:r>
            <w:r>
              <w:rPr>
                <w:rFonts w:hint="eastAsia" w:hAnsi="Tahoma"/>
                <w:color w:val="000000"/>
                <w:sz w:val="21"/>
                <w:szCs w:val="21"/>
                <w:lang w:eastAsia="zh-CN"/>
              </w:rPr>
              <w:t>：</w:t>
            </w:r>
            <w:r>
              <w:rPr>
                <w:rFonts w:hint="eastAsia" w:ascii="Times New Roman" w:hAnsi="Tahoma" w:eastAsia="宋体"/>
                <w:color w:val="000000"/>
                <w:sz w:val="21"/>
                <w:szCs w:val="21"/>
                <w:lang w:eastAsia="zh-CN"/>
              </w:rPr>
              <w:t>一体式，中间镜面不锈钢</w:t>
            </w:r>
            <w:r>
              <w:rPr>
                <w:rFonts w:hint="eastAsia" w:ascii="Times New Roman" w:hAnsi="Tahoma" w:eastAsia="宋体"/>
                <w:color w:val="000000"/>
                <w:sz w:val="21"/>
                <w:szCs w:val="21"/>
                <w:lang w:val="en-US" w:eastAsia="zh-CN"/>
              </w:rPr>
              <w:t>+两侧发纹不锈钢，透光板+筒灯</w:t>
            </w:r>
            <w:r>
              <w:rPr>
                <w:rFonts w:hint="eastAsia" w:hAnsi="Tahoma"/>
                <w:color w:val="000000"/>
                <w:sz w:val="21"/>
                <w:szCs w:val="21"/>
                <w:lang w:val="en-US" w:eastAsia="zh-CN"/>
              </w:rPr>
              <w:t>。</w:t>
            </w:r>
          </w:p>
          <w:p w14:paraId="49712A7F">
            <w:pPr>
              <w:pStyle w:val="2"/>
              <w:rPr>
                <w:rFonts w:hint="eastAsia" w:ascii="Times New Roman" w:hAnsi="Tahoma" w:eastAsia="宋体"/>
                <w:color w:val="000000"/>
                <w:sz w:val="21"/>
                <w:szCs w:val="21"/>
                <w:lang w:eastAsia="zh-CN"/>
              </w:rPr>
            </w:pPr>
            <w:r>
              <w:rPr>
                <w:rFonts w:hAnsi="Tahoma"/>
                <w:color w:val="000000"/>
                <w:sz w:val="21"/>
                <w:szCs w:val="21"/>
              </w:rPr>
              <w:t>轿厢地板</w:t>
            </w:r>
            <w:r>
              <w:rPr>
                <w:rFonts w:hint="eastAsia" w:hAnsi="Tahoma"/>
                <w:color w:val="000000"/>
                <w:sz w:val="21"/>
                <w:szCs w:val="21"/>
                <w:lang w:eastAsia="zh-CN"/>
              </w:rPr>
              <w:t>：</w:t>
            </w:r>
            <w:r>
              <w:rPr>
                <w:rFonts w:hint="eastAsia" w:ascii="Times New Roman" w:hAnsi="Tahoma" w:eastAsia="宋体"/>
                <w:color w:val="000000"/>
                <w:sz w:val="21"/>
                <w:szCs w:val="21"/>
                <w:lang w:eastAsia="zh-CN"/>
              </w:rPr>
              <w:t>PVC仿大理石</w:t>
            </w:r>
            <w:r>
              <w:rPr>
                <w:rFonts w:hint="eastAsia" w:ascii="Times New Roman" w:hAnsi="Tahoma" w:eastAsia="宋体"/>
                <w:color w:val="000000"/>
                <w:sz w:val="21"/>
                <w:szCs w:val="21"/>
                <w:lang w:val="en-US" w:eastAsia="zh-CN"/>
              </w:rPr>
              <w:t>耐磨</w:t>
            </w:r>
            <w:r>
              <w:rPr>
                <w:rFonts w:hint="eastAsia" w:ascii="Times New Roman" w:hAnsi="Tahoma" w:eastAsia="宋体"/>
                <w:color w:val="000000"/>
                <w:sz w:val="21"/>
                <w:szCs w:val="21"/>
                <w:lang w:eastAsia="zh-CN"/>
              </w:rPr>
              <w:t>地板</w:t>
            </w:r>
            <w:r>
              <w:rPr>
                <w:rFonts w:hint="eastAsia" w:ascii="Times New Roman" w:hAnsi="Tahoma"/>
                <w:color w:val="000000"/>
                <w:sz w:val="21"/>
                <w:szCs w:val="21"/>
                <w:lang w:eastAsia="zh-CN"/>
              </w:rPr>
              <w:t>。</w:t>
            </w:r>
          </w:p>
          <w:p w14:paraId="763E5036">
            <w:pPr>
              <w:rPr>
                <w:rFonts w:hAnsi="宋体"/>
                <w:color w:val="000000"/>
                <w:kern w:val="0"/>
                <w:sz w:val="21"/>
                <w:szCs w:val="21"/>
                <w:lang w:bidi="ar"/>
              </w:rPr>
            </w:pPr>
            <w:r>
              <w:rPr>
                <w:rFonts w:eastAsia="Tahoma"/>
                <w:color w:val="000000"/>
                <w:kern w:val="0"/>
                <w:sz w:val="21"/>
                <w:szCs w:val="21"/>
                <w:lang w:bidi="ar"/>
              </w:rPr>
              <w:t>2</w:t>
            </w:r>
            <w:r>
              <w:rPr>
                <w:rFonts w:hint="eastAsia"/>
                <w:color w:val="000000"/>
                <w:kern w:val="0"/>
                <w:sz w:val="21"/>
                <w:szCs w:val="21"/>
                <w:lang w:bidi="ar"/>
              </w:rPr>
              <w:t>.</w:t>
            </w:r>
            <w:r>
              <w:rPr>
                <w:rFonts w:hAnsi="宋体"/>
                <w:color w:val="000000"/>
                <w:kern w:val="0"/>
                <w:sz w:val="21"/>
                <w:szCs w:val="21"/>
                <w:lang w:bidi="ar"/>
              </w:rPr>
              <w:t>层门</w:t>
            </w:r>
          </w:p>
          <w:p w14:paraId="3E41C4D5">
            <w:pPr>
              <w:pStyle w:val="2"/>
              <w:rPr>
                <w:rFonts w:hint="eastAsia" w:hAnsi="Tahoma"/>
                <w:color w:val="000000"/>
                <w:sz w:val="21"/>
                <w:szCs w:val="21"/>
                <w:lang w:val="en-US" w:eastAsia="zh-CN"/>
              </w:rPr>
            </w:pPr>
            <w:r>
              <w:rPr>
                <w:rFonts w:hint="eastAsia" w:hAnsi="Tahoma"/>
                <w:color w:val="000000"/>
                <w:sz w:val="21"/>
                <w:szCs w:val="21"/>
              </w:rPr>
              <w:t>层门板</w:t>
            </w:r>
            <w:r>
              <w:rPr>
                <w:rFonts w:hint="eastAsia" w:hAnsi="Tahoma"/>
                <w:color w:val="000000"/>
                <w:sz w:val="21"/>
                <w:szCs w:val="21"/>
                <w:lang w:eastAsia="zh-CN"/>
              </w:rPr>
              <w:t>：</w:t>
            </w:r>
            <w:r>
              <w:rPr>
                <w:rFonts w:hint="eastAsia" w:hAnsi="Tahoma"/>
                <w:color w:val="000000"/>
                <w:sz w:val="21"/>
                <w:szCs w:val="21"/>
                <w:lang w:val="en-US" w:eastAsia="zh-CN"/>
              </w:rPr>
              <w:t>304</w:t>
            </w:r>
            <w:r>
              <w:rPr>
                <w:rFonts w:hint="eastAsia" w:hAnsi="Tahoma"/>
                <w:color w:val="000000"/>
                <w:sz w:val="21"/>
                <w:szCs w:val="21"/>
                <w:lang w:eastAsia="zh-CN"/>
              </w:rPr>
              <w:t>发纹不锈钢，</w:t>
            </w:r>
            <w:r>
              <w:rPr>
                <w:rFonts w:hint="eastAsia" w:hAnsi="Tahoma"/>
                <w:color w:val="000000"/>
                <w:sz w:val="21"/>
                <w:szCs w:val="21"/>
                <w:lang w:val="en-US" w:eastAsia="zh-CN"/>
              </w:rPr>
              <w:t>厚度1.5mm（注：已提供投标产品的生产厂家出具的技术参数说明证明作为佐证。）</w:t>
            </w:r>
          </w:p>
          <w:p w14:paraId="6DF61980">
            <w:pPr>
              <w:rPr>
                <w:rFonts w:hint="eastAsia" w:hAnsi="Tahoma"/>
                <w:color w:val="000000"/>
                <w:sz w:val="21"/>
                <w:szCs w:val="21"/>
                <w:lang w:val="en-US" w:eastAsia="zh-CN"/>
              </w:rPr>
            </w:pPr>
            <w:r>
              <w:rPr>
                <w:rFonts w:hAnsi="Tahoma"/>
                <w:color w:val="000000"/>
                <w:sz w:val="21"/>
                <w:szCs w:val="21"/>
              </w:rPr>
              <w:t>门套</w:t>
            </w:r>
            <w:r>
              <w:rPr>
                <w:rFonts w:hint="eastAsia" w:hAnsi="Tahoma"/>
                <w:color w:val="000000"/>
                <w:sz w:val="21"/>
                <w:szCs w:val="21"/>
                <w:lang w:eastAsia="zh-CN"/>
              </w:rPr>
              <w:t>：</w:t>
            </w:r>
            <w:r>
              <w:rPr>
                <w:rFonts w:hint="eastAsia" w:hAnsi="Tahoma"/>
                <w:color w:val="000000"/>
                <w:sz w:val="21"/>
                <w:szCs w:val="21"/>
                <w:lang w:val="en-US" w:eastAsia="zh-CN"/>
              </w:rPr>
              <w:t>304</w:t>
            </w:r>
            <w:r>
              <w:rPr>
                <w:rFonts w:hint="eastAsia" w:hAnsi="Tahoma"/>
                <w:color w:val="000000"/>
                <w:sz w:val="21"/>
                <w:szCs w:val="21"/>
                <w:lang w:eastAsia="zh-CN"/>
              </w:rPr>
              <w:t>发纹不锈钢，</w:t>
            </w:r>
            <w:r>
              <w:rPr>
                <w:rFonts w:hint="eastAsia" w:hAnsi="Tahoma"/>
                <w:color w:val="000000"/>
                <w:sz w:val="21"/>
                <w:szCs w:val="21"/>
                <w:lang w:val="en-US" w:eastAsia="zh-CN"/>
              </w:rPr>
              <w:t>厚度1.5mm（注：已提供投标产品的生产厂家出具的技术参数说明证明作为佐证。）</w:t>
            </w:r>
          </w:p>
          <w:p w14:paraId="534FEEC7">
            <w:pPr>
              <w:widowControl/>
              <w:spacing w:line="300" w:lineRule="exact"/>
              <w:jc w:val="both"/>
              <w:rPr>
                <w:rFonts w:hAnsi="宋体"/>
                <w:color w:val="000000"/>
                <w:kern w:val="0"/>
                <w:sz w:val="21"/>
                <w:szCs w:val="21"/>
                <w:lang w:bidi="ar"/>
              </w:rPr>
            </w:pPr>
            <w:r>
              <w:rPr>
                <w:rFonts w:eastAsia="Tahoma"/>
                <w:color w:val="000000"/>
                <w:kern w:val="0"/>
                <w:sz w:val="21"/>
                <w:szCs w:val="21"/>
                <w:lang w:bidi="ar"/>
              </w:rPr>
              <w:t>3</w:t>
            </w:r>
            <w:r>
              <w:rPr>
                <w:rFonts w:hint="eastAsia"/>
                <w:color w:val="000000"/>
                <w:kern w:val="0"/>
                <w:sz w:val="21"/>
                <w:szCs w:val="21"/>
                <w:lang w:bidi="ar"/>
              </w:rPr>
              <w:t>.</w:t>
            </w:r>
            <w:r>
              <w:rPr>
                <w:rFonts w:hAnsi="宋体"/>
                <w:color w:val="000000"/>
                <w:kern w:val="0"/>
                <w:sz w:val="21"/>
                <w:szCs w:val="21"/>
                <w:lang w:bidi="ar"/>
              </w:rPr>
              <w:t>呼梯部件</w:t>
            </w:r>
          </w:p>
          <w:p w14:paraId="22B95CDE">
            <w:pPr>
              <w:pStyle w:val="2"/>
              <w:rPr>
                <w:rFonts w:hint="eastAsia" w:ascii="Times New Roman" w:hAnsi="Tahoma" w:eastAsia="宋体"/>
                <w:color w:val="000000"/>
                <w:sz w:val="21"/>
                <w:szCs w:val="21"/>
                <w:lang w:eastAsia="zh-CN"/>
              </w:rPr>
            </w:pPr>
            <w:r>
              <w:rPr>
                <w:rFonts w:hAnsi="Tahoma"/>
                <w:color w:val="000000"/>
                <w:sz w:val="21"/>
                <w:szCs w:val="21"/>
              </w:rPr>
              <w:t>操纵箱</w:t>
            </w:r>
            <w:r>
              <w:rPr>
                <w:rFonts w:hint="eastAsia" w:hAnsi="Tahoma"/>
                <w:color w:val="000000"/>
                <w:sz w:val="21"/>
                <w:szCs w:val="21"/>
                <w:lang w:eastAsia="zh-CN"/>
              </w:rPr>
              <w:t>：</w:t>
            </w:r>
            <w:r>
              <w:rPr>
                <w:rFonts w:hint="eastAsia" w:ascii="Times New Roman" w:hAnsi="Tahoma" w:eastAsia="宋体"/>
                <w:color w:val="000000"/>
                <w:sz w:val="21"/>
                <w:szCs w:val="21"/>
                <w:lang w:eastAsia="zh-CN"/>
              </w:rPr>
              <w:t>一体式，发纹不锈钢面板（</w:t>
            </w:r>
            <w:r>
              <w:rPr>
                <w:rFonts w:hint="eastAsia" w:ascii="Times New Roman" w:hAnsi="Tahoma" w:eastAsia="宋体"/>
                <w:color w:val="000000"/>
                <w:sz w:val="21"/>
                <w:szCs w:val="21"/>
                <w:lang w:val="en-US" w:eastAsia="zh-CN"/>
              </w:rPr>
              <w:t>白色</w:t>
            </w:r>
            <w:r>
              <w:rPr>
                <w:rFonts w:hint="eastAsia" w:ascii="Times New Roman" w:hAnsi="Tahoma" w:eastAsia="宋体"/>
                <w:color w:val="000000"/>
                <w:sz w:val="21"/>
                <w:szCs w:val="21"/>
                <w:lang w:eastAsia="zh-CN"/>
              </w:rPr>
              <w:t>断码显示，可显示轿厢所处楼层、运行方向、电梯状态等信息），按钮采用白色发光字体（按钮带盲文）</w:t>
            </w:r>
          </w:p>
          <w:p w14:paraId="568348FB">
            <w:pPr>
              <w:rPr>
                <w:rFonts w:hint="eastAsia" w:hAnsi="Tahoma"/>
                <w:color w:val="000000"/>
                <w:sz w:val="21"/>
                <w:szCs w:val="21"/>
                <w:lang w:eastAsia="zh-CN"/>
              </w:rPr>
            </w:pPr>
            <w:r>
              <w:rPr>
                <w:rFonts w:hAnsi="Tahoma"/>
                <w:color w:val="000000"/>
                <w:sz w:val="21"/>
                <w:szCs w:val="21"/>
              </w:rPr>
              <w:t>召唤箱</w:t>
            </w:r>
            <w:r>
              <w:rPr>
                <w:rFonts w:hint="eastAsia" w:hAnsi="Tahoma"/>
                <w:color w:val="000000"/>
                <w:sz w:val="21"/>
                <w:szCs w:val="21"/>
                <w:lang w:eastAsia="zh-CN"/>
              </w:rPr>
              <w:t>：</w:t>
            </w:r>
            <w:r>
              <w:rPr>
                <w:rFonts w:hint="eastAsia" w:hAnsi="Tahoma"/>
                <w:color w:val="000000"/>
                <w:sz w:val="21"/>
                <w:szCs w:val="21"/>
              </w:rPr>
              <w:t>无底盒式，</w:t>
            </w:r>
            <w:r>
              <w:rPr>
                <w:rFonts w:hint="eastAsia" w:hAnsi="Tahoma"/>
                <w:color w:val="000000"/>
                <w:sz w:val="21"/>
                <w:szCs w:val="21"/>
                <w:lang w:val="en-US" w:eastAsia="zh-CN"/>
              </w:rPr>
              <w:t>豪华玻璃黑金</w:t>
            </w:r>
            <w:r>
              <w:rPr>
                <w:rFonts w:hint="eastAsia" w:hAnsi="Tahoma"/>
                <w:color w:val="000000"/>
                <w:sz w:val="21"/>
                <w:szCs w:val="21"/>
              </w:rPr>
              <w:t>钢面板</w:t>
            </w:r>
            <w:r>
              <w:rPr>
                <w:rFonts w:hint="eastAsia" w:hAnsi="Tahoma"/>
                <w:color w:val="000000"/>
                <w:sz w:val="21"/>
                <w:szCs w:val="21"/>
                <w:lang w:eastAsia="zh-CN"/>
              </w:rPr>
              <w:t>（</w:t>
            </w:r>
            <w:r>
              <w:rPr>
                <w:rFonts w:hint="eastAsia" w:hAnsi="Tahoma"/>
                <w:color w:val="000000"/>
                <w:sz w:val="21"/>
                <w:szCs w:val="21"/>
              </w:rPr>
              <w:t>白色</w:t>
            </w:r>
            <w:r>
              <w:rPr>
                <w:rFonts w:hint="eastAsia" w:hAnsi="Tahoma"/>
                <w:color w:val="000000"/>
                <w:sz w:val="21"/>
                <w:szCs w:val="21"/>
                <w:lang w:eastAsia="zh-CN"/>
              </w:rPr>
              <w:t>段</w:t>
            </w:r>
            <w:r>
              <w:rPr>
                <w:rFonts w:hint="eastAsia" w:hAnsi="Tahoma"/>
                <w:color w:val="000000"/>
                <w:sz w:val="21"/>
                <w:szCs w:val="21"/>
              </w:rPr>
              <w:t>码显示</w:t>
            </w:r>
            <w:r>
              <w:rPr>
                <w:rFonts w:hint="eastAsia" w:hAnsi="Tahoma"/>
                <w:color w:val="000000"/>
                <w:sz w:val="21"/>
                <w:szCs w:val="21"/>
                <w:lang w:eastAsia="zh-CN"/>
              </w:rPr>
              <w:t>，可显示电梯运行楼层、方向等信息），按钮采用白色发光字体（按钮带盲文）</w:t>
            </w:r>
          </w:p>
          <w:p w14:paraId="3CABAEF0">
            <w:pPr>
              <w:widowControl/>
              <w:spacing w:line="300" w:lineRule="exact"/>
              <w:jc w:val="both"/>
              <w:rPr>
                <w:rFonts w:hint="eastAsia" w:hAnsi="宋体"/>
                <w:color w:val="000000"/>
                <w:kern w:val="0"/>
                <w:sz w:val="21"/>
                <w:szCs w:val="21"/>
                <w:lang w:bidi="ar"/>
              </w:rPr>
            </w:pPr>
            <w:r>
              <w:rPr>
                <w:rFonts w:eastAsia="Tahoma"/>
                <w:color w:val="000000"/>
                <w:kern w:val="0"/>
                <w:sz w:val="21"/>
                <w:szCs w:val="21"/>
                <w:lang w:bidi="ar"/>
              </w:rPr>
              <w:t>4</w:t>
            </w:r>
            <w:r>
              <w:rPr>
                <w:rFonts w:hint="eastAsia" w:eastAsia="宋体"/>
                <w:color w:val="000000"/>
                <w:kern w:val="0"/>
                <w:sz w:val="21"/>
                <w:szCs w:val="21"/>
                <w:lang w:val="en-US" w:eastAsia="zh-CN" w:bidi="ar"/>
              </w:rPr>
              <w:t>.</w:t>
            </w:r>
            <w:r>
              <w:rPr>
                <w:rFonts w:hAnsi="宋体"/>
                <w:color w:val="000000"/>
                <w:kern w:val="0"/>
                <w:sz w:val="21"/>
                <w:szCs w:val="21"/>
                <w:lang w:bidi="ar"/>
              </w:rPr>
              <w:t>选配</w:t>
            </w:r>
            <w:r>
              <w:rPr>
                <w:rFonts w:hint="eastAsia" w:hAnsi="宋体"/>
                <w:color w:val="000000"/>
                <w:kern w:val="0"/>
                <w:sz w:val="21"/>
                <w:szCs w:val="21"/>
                <w:lang w:bidi="ar"/>
              </w:rPr>
              <w:t>部件</w:t>
            </w:r>
          </w:p>
          <w:p w14:paraId="642070A1">
            <w:pPr>
              <w:pStyle w:val="2"/>
              <w:rPr>
                <w:rFonts w:hint="eastAsia" w:ascii="Times New Roman" w:hAnsi="Tahoma" w:eastAsia="宋体"/>
                <w:color w:val="000000"/>
                <w:sz w:val="21"/>
                <w:szCs w:val="21"/>
                <w:lang w:eastAsia="zh-CN"/>
              </w:rPr>
            </w:pPr>
            <w:r>
              <w:rPr>
                <w:rFonts w:hint="eastAsia" w:hAnsi="Tahoma"/>
                <w:color w:val="000000"/>
                <w:sz w:val="21"/>
                <w:szCs w:val="21"/>
              </w:rPr>
              <w:t>无障碍功能</w:t>
            </w:r>
            <w:r>
              <w:rPr>
                <w:rFonts w:hint="eastAsia" w:hAnsi="Tahoma"/>
                <w:color w:val="000000"/>
                <w:sz w:val="21"/>
                <w:szCs w:val="21"/>
                <w:lang w:eastAsia="zh-CN"/>
              </w:rPr>
              <w:t>：</w:t>
            </w:r>
            <w:r>
              <w:rPr>
                <w:rFonts w:hint="eastAsia" w:ascii="Times New Roman" w:hAnsi="Tahoma" w:eastAsia="宋体"/>
                <w:color w:val="000000"/>
                <w:sz w:val="21"/>
                <w:szCs w:val="21"/>
                <w:lang w:val="en-US" w:eastAsia="zh-CN"/>
              </w:rPr>
              <w:t>配备</w:t>
            </w:r>
            <w:r>
              <w:rPr>
                <w:rFonts w:hint="eastAsia" w:ascii="Times New Roman" w:hAnsi="Tahoma" w:eastAsia="宋体"/>
                <w:color w:val="000000"/>
                <w:sz w:val="21"/>
                <w:szCs w:val="21"/>
                <w:lang w:eastAsia="zh-CN"/>
              </w:rPr>
              <w:t>（</w:t>
            </w:r>
            <w:r>
              <w:rPr>
                <w:rFonts w:hint="eastAsia" w:ascii="Times New Roman" w:hAnsi="Tahoma" w:eastAsia="宋体"/>
                <w:color w:val="000000"/>
                <w:sz w:val="21"/>
                <w:szCs w:val="21"/>
                <w:lang w:val="en-US" w:eastAsia="zh-CN"/>
              </w:rPr>
              <w:t>残疾人操纵盘、盲</w:t>
            </w:r>
            <w:r>
              <w:rPr>
                <w:rFonts w:hint="eastAsia" w:hAnsi="Tahoma"/>
                <w:color w:val="000000"/>
                <w:sz w:val="21"/>
                <w:szCs w:val="21"/>
                <w:lang w:eastAsia="zh-CN"/>
              </w:rPr>
              <w:t>文</w:t>
            </w:r>
            <w:r>
              <w:rPr>
                <w:rFonts w:hint="eastAsia" w:ascii="Times New Roman" w:hAnsi="Tahoma" w:eastAsia="宋体"/>
                <w:color w:val="000000"/>
                <w:sz w:val="21"/>
                <w:szCs w:val="21"/>
                <w:lang w:val="en-US" w:eastAsia="zh-CN"/>
              </w:rPr>
              <w:t>按钮、语音报站</w:t>
            </w:r>
            <w:r>
              <w:rPr>
                <w:rFonts w:hint="eastAsia" w:ascii="Times New Roman" w:hAnsi="Tahoma" w:eastAsia="宋体"/>
                <w:color w:val="000000"/>
                <w:sz w:val="21"/>
                <w:szCs w:val="21"/>
                <w:lang w:eastAsia="zh-CN"/>
              </w:rPr>
              <w:t>）</w:t>
            </w:r>
          </w:p>
          <w:p w14:paraId="68925B7F">
            <w:pPr>
              <w:rPr>
                <w:rFonts w:hint="eastAsia" w:ascii="宋体" w:hAnsi="宋体"/>
                <w:color w:val="000000"/>
                <w:kern w:val="0"/>
                <w:sz w:val="21"/>
                <w:szCs w:val="21"/>
                <w:lang w:val="en-US" w:eastAsia="zh-CN" w:bidi="ar"/>
              </w:rPr>
            </w:pPr>
            <w:r>
              <w:rPr>
                <w:rFonts w:hint="eastAsia" w:hAnsi="Tahoma"/>
                <w:color w:val="000000"/>
                <w:sz w:val="21"/>
                <w:szCs w:val="21"/>
              </w:rPr>
              <w:t>停电应急平层装置</w:t>
            </w:r>
            <w:r>
              <w:rPr>
                <w:rFonts w:hint="eastAsia" w:hAnsi="Tahoma"/>
                <w:color w:val="000000"/>
                <w:sz w:val="21"/>
                <w:szCs w:val="21"/>
                <w:lang w:eastAsia="zh-CN"/>
              </w:rPr>
              <w:t>：</w:t>
            </w:r>
            <w:r>
              <w:rPr>
                <w:rFonts w:hint="eastAsia" w:ascii="宋体" w:hAnsi="宋体"/>
                <w:color w:val="000000"/>
                <w:kern w:val="0"/>
                <w:sz w:val="21"/>
                <w:szCs w:val="21"/>
                <w:lang w:val="en-US" w:eastAsia="zh-CN" w:bidi="ar"/>
              </w:rPr>
              <w:t>配备</w:t>
            </w:r>
          </w:p>
          <w:p w14:paraId="22C3F244">
            <w:pPr>
              <w:pStyle w:val="2"/>
              <w:rPr>
                <w:rFonts w:hint="eastAsia" w:eastAsia="宋体"/>
                <w:lang w:val="en-US" w:eastAsia="zh-CN"/>
              </w:rPr>
            </w:pPr>
            <w:r>
              <w:rPr>
                <w:rFonts w:hint="eastAsia" w:ascii="Tahoma" w:hAnsi="Tahoma"/>
                <w:color w:val="000000"/>
                <w:sz w:val="21"/>
                <w:szCs w:val="21"/>
              </w:rPr>
              <w:t>其它</w:t>
            </w:r>
            <w:r>
              <w:rPr>
                <w:rFonts w:hint="eastAsia" w:ascii="Tahoma" w:hAnsi="Tahoma"/>
                <w:color w:val="000000"/>
                <w:sz w:val="21"/>
                <w:szCs w:val="21"/>
                <w:lang w:eastAsia="zh-CN"/>
              </w:rPr>
              <w:t>：</w:t>
            </w:r>
            <w:r>
              <w:rPr>
                <w:rFonts w:hint="eastAsia" w:ascii="宋体" w:hAnsi="宋体"/>
                <w:color w:val="000000"/>
                <w:kern w:val="0"/>
                <w:sz w:val="21"/>
                <w:szCs w:val="21"/>
                <w:lang w:val="en-US" w:eastAsia="zh-CN" w:bidi="ar"/>
              </w:rPr>
              <w:t>物联网、</w:t>
            </w:r>
            <w:r>
              <w:rPr>
                <w:rFonts w:hint="eastAsia" w:hAnsi="宋体"/>
                <w:color w:val="000000"/>
                <w:kern w:val="0"/>
                <w:sz w:val="21"/>
                <w:szCs w:val="21"/>
                <w:lang w:val="en-US" w:eastAsia="zh-CN" w:bidi="ar"/>
              </w:rPr>
              <w:t>轿厢</w:t>
            </w:r>
            <w:r>
              <w:rPr>
                <w:rFonts w:hint="eastAsia" w:ascii="宋体" w:hAnsi="宋体"/>
                <w:color w:val="000000"/>
                <w:kern w:val="0"/>
                <w:sz w:val="21"/>
                <w:szCs w:val="21"/>
                <w:lang w:val="en-US" w:eastAsia="zh-CN" w:bidi="ar"/>
              </w:rPr>
              <w:t>配备有空调</w:t>
            </w:r>
          </w:p>
          <w:p w14:paraId="3FA73E92">
            <w:pPr>
              <w:pStyle w:val="2"/>
              <w:rPr>
                <w:rFonts w:hint="eastAsia"/>
              </w:rPr>
            </w:pPr>
          </w:p>
          <w:p w14:paraId="19385EBE">
            <w:pPr>
              <w:keepNext w:val="0"/>
              <w:keepLines w:val="0"/>
              <w:pageBreakBefore w:val="0"/>
              <w:widowControl/>
              <w:numPr>
                <w:ilvl w:val="0"/>
                <w:numId w:val="2"/>
              </w:numPr>
              <w:shd w:val="clear" w:color="auto" w:fill="FFFFFF"/>
              <w:wordWrap/>
              <w:topLinePunct w:val="0"/>
              <w:bidi w:val="0"/>
              <w:snapToGrid/>
              <w:spacing w:line="24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电梯</w:t>
            </w:r>
            <w:r>
              <w:rPr>
                <w:rFonts w:hint="eastAsia" w:ascii="宋体" w:hAnsi="宋体" w:cs="宋体"/>
                <w:b/>
                <w:bCs/>
                <w:color w:val="000000"/>
                <w:sz w:val="21"/>
                <w:szCs w:val="21"/>
                <w:lang w:eastAsia="zh-CN"/>
              </w:rPr>
              <w:t>标准</w:t>
            </w:r>
            <w:r>
              <w:rPr>
                <w:rFonts w:hint="eastAsia" w:ascii="宋体" w:hAnsi="宋体" w:eastAsia="宋体" w:cs="宋体"/>
                <w:b/>
                <w:bCs/>
                <w:color w:val="000000"/>
                <w:sz w:val="21"/>
                <w:szCs w:val="21"/>
              </w:rPr>
              <w:t>功能配置：</w:t>
            </w:r>
          </w:p>
          <w:p w14:paraId="126A2BAC">
            <w:pPr>
              <w:keepNext w:val="0"/>
              <w:keepLines w:val="0"/>
              <w:pageBreakBefore w:val="0"/>
              <w:widowControl/>
              <w:numPr>
                <w:ilvl w:val="0"/>
                <w:numId w:val="0"/>
              </w:numPr>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szCs w:val="21"/>
              </w:rPr>
              <w:t>全集选控制</w:t>
            </w:r>
            <w:r>
              <w:rPr>
                <w:rFonts w:hint="eastAsia" w:ascii="宋体" w:hAnsi="宋体" w:eastAsia="宋体" w:cs="宋体"/>
                <w:b w:val="0"/>
                <w:bCs w:val="0"/>
                <w:color w:val="000000"/>
                <w:sz w:val="21"/>
                <w:szCs w:val="21"/>
              </w:rPr>
              <w:t xml:space="preserve"> </w:t>
            </w:r>
          </w:p>
          <w:p w14:paraId="2C1AB656">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w:t>
            </w:r>
            <w:r>
              <w:rPr>
                <w:szCs w:val="21"/>
              </w:rPr>
              <w:t>变频器多重保护</w:t>
            </w:r>
            <w:r>
              <w:rPr>
                <w:rFonts w:hint="eastAsia" w:ascii="宋体" w:hAnsi="宋体" w:eastAsia="宋体" w:cs="宋体"/>
                <w:b w:val="0"/>
                <w:bCs w:val="0"/>
                <w:color w:val="000000"/>
                <w:sz w:val="21"/>
                <w:szCs w:val="21"/>
              </w:rPr>
              <w:t xml:space="preserve"> </w:t>
            </w:r>
          </w:p>
          <w:p w14:paraId="71CBDFE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w:t>
            </w:r>
            <w:r>
              <w:rPr>
                <w:szCs w:val="21"/>
              </w:rPr>
              <w:t>检修运行方式</w:t>
            </w:r>
            <w:r>
              <w:rPr>
                <w:rFonts w:hint="eastAsia" w:ascii="宋体" w:hAnsi="宋体" w:eastAsia="宋体" w:cs="宋体"/>
                <w:b w:val="0"/>
                <w:bCs w:val="0"/>
                <w:color w:val="000000"/>
                <w:sz w:val="21"/>
                <w:szCs w:val="21"/>
              </w:rPr>
              <w:t xml:space="preserve"> </w:t>
            </w:r>
          </w:p>
          <w:p w14:paraId="0264E365">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w:t>
            </w:r>
            <w:r>
              <w:rPr>
                <w:szCs w:val="21"/>
              </w:rPr>
              <w:t>轿内照明、风扇的节能控制</w:t>
            </w:r>
            <w:r>
              <w:rPr>
                <w:rFonts w:hint="eastAsia" w:ascii="宋体" w:hAnsi="宋体" w:eastAsia="宋体" w:cs="宋体"/>
                <w:b w:val="0"/>
                <w:bCs w:val="0"/>
                <w:color w:val="000000"/>
                <w:sz w:val="21"/>
                <w:szCs w:val="21"/>
              </w:rPr>
              <w:t xml:space="preserve"> </w:t>
            </w:r>
          </w:p>
          <w:p w14:paraId="4458BD0B">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w:t>
            </w:r>
            <w:r>
              <w:rPr>
                <w:szCs w:val="21"/>
              </w:rPr>
              <w:t>召唤功能</w:t>
            </w:r>
          </w:p>
          <w:p w14:paraId="1A899A58">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6.</w:t>
            </w:r>
            <w:r>
              <w:rPr>
                <w:szCs w:val="21"/>
              </w:rPr>
              <w:t>停电应急照明</w:t>
            </w:r>
          </w:p>
          <w:p w14:paraId="4EFF2172">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w:t>
            </w:r>
            <w:r>
              <w:rPr>
                <w:szCs w:val="21"/>
              </w:rPr>
              <w:t>自救运行</w:t>
            </w:r>
            <w:r>
              <w:rPr>
                <w:rFonts w:hint="eastAsia" w:ascii="宋体" w:hAnsi="宋体" w:eastAsia="宋体" w:cs="宋体"/>
                <w:b w:val="0"/>
                <w:bCs w:val="0"/>
                <w:color w:val="000000"/>
                <w:sz w:val="21"/>
                <w:szCs w:val="21"/>
              </w:rPr>
              <w:t xml:space="preserve"> </w:t>
            </w:r>
          </w:p>
          <w:p w14:paraId="68F3784B">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w:t>
            </w:r>
            <w:r>
              <w:rPr>
                <w:szCs w:val="21"/>
              </w:rPr>
              <w:t>运行超时保护</w:t>
            </w:r>
            <w:r>
              <w:rPr>
                <w:rFonts w:hint="eastAsia" w:ascii="宋体" w:hAnsi="宋体" w:eastAsia="宋体" w:cs="宋体"/>
                <w:b w:val="0"/>
                <w:bCs w:val="0"/>
                <w:color w:val="000000"/>
                <w:sz w:val="21"/>
                <w:szCs w:val="21"/>
              </w:rPr>
              <w:t xml:space="preserve"> </w:t>
            </w:r>
          </w:p>
          <w:p w14:paraId="5BD4A5B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9.</w:t>
            </w:r>
            <w:r>
              <w:rPr>
                <w:szCs w:val="21"/>
              </w:rPr>
              <w:t>到站自动开</w:t>
            </w:r>
          </w:p>
          <w:p w14:paraId="43B4C6B9">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10.</w:t>
            </w:r>
            <w:r>
              <w:rPr>
                <w:szCs w:val="21"/>
              </w:rPr>
              <w:t>超速保护</w:t>
            </w:r>
            <w:r>
              <w:rPr>
                <w:rFonts w:hint="eastAsia" w:ascii="宋体" w:hAnsi="宋体" w:eastAsia="宋体" w:cs="宋体"/>
                <w:b w:val="0"/>
                <w:bCs w:val="0"/>
                <w:color w:val="000000"/>
                <w:sz w:val="21"/>
                <w:szCs w:val="21"/>
              </w:rPr>
              <w:t xml:space="preserve"> </w:t>
            </w:r>
          </w:p>
          <w:p w14:paraId="139524C4">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w:t>
            </w:r>
            <w:r>
              <w:rPr>
                <w:szCs w:val="21"/>
              </w:rPr>
              <w:t>自动</w:t>
            </w:r>
            <w:r>
              <w:rPr>
                <w:rFonts w:eastAsia="宋体-方正超大字符集"/>
                <w:szCs w:val="21"/>
              </w:rPr>
              <w:t>关门</w:t>
            </w:r>
            <w:r>
              <w:rPr>
                <w:rFonts w:hint="eastAsia" w:ascii="宋体" w:hAnsi="宋体" w:eastAsia="宋体" w:cs="宋体"/>
                <w:b w:val="0"/>
                <w:bCs w:val="0"/>
                <w:color w:val="000000"/>
                <w:sz w:val="21"/>
                <w:szCs w:val="21"/>
              </w:rPr>
              <w:t xml:space="preserve"> </w:t>
            </w:r>
          </w:p>
          <w:p w14:paraId="742EBBF7">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12.</w:t>
            </w:r>
            <w:r>
              <w:rPr>
                <w:szCs w:val="21"/>
              </w:rPr>
              <w:t>电梯运行次数记录</w:t>
            </w:r>
            <w:r>
              <w:rPr>
                <w:rFonts w:hint="eastAsia" w:ascii="宋体" w:hAnsi="宋体" w:eastAsia="宋体" w:cs="宋体"/>
                <w:b w:val="0"/>
                <w:bCs w:val="0"/>
                <w:color w:val="000000"/>
                <w:sz w:val="21"/>
                <w:szCs w:val="21"/>
              </w:rPr>
              <w:t xml:space="preserve"> </w:t>
            </w:r>
          </w:p>
          <w:p w14:paraId="59005C00">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13.</w:t>
            </w:r>
            <w:r>
              <w:rPr>
                <w:szCs w:val="21"/>
              </w:rPr>
              <w:t>即时关门</w:t>
            </w:r>
            <w:r>
              <w:rPr>
                <w:rFonts w:hint="eastAsia" w:ascii="宋体" w:hAnsi="宋体" w:eastAsia="宋体" w:cs="宋体"/>
                <w:b w:val="0"/>
                <w:bCs w:val="0"/>
                <w:color w:val="000000"/>
                <w:sz w:val="21"/>
                <w:szCs w:val="21"/>
              </w:rPr>
              <w:t xml:space="preserve"> </w:t>
            </w:r>
          </w:p>
          <w:p w14:paraId="0EEA697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14.</w:t>
            </w:r>
            <w:r>
              <w:rPr>
                <w:szCs w:val="21"/>
              </w:rPr>
              <w:t>故障码显示</w:t>
            </w:r>
            <w:r>
              <w:rPr>
                <w:rFonts w:hint="eastAsia" w:ascii="宋体" w:hAnsi="宋体" w:eastAsia="宋体" w:cs="宋体"/>
                <w:b w:val="0"/>
                <w:bCs w:val="0"/>
                <w:color w:val="000000"/>
                <w:sz w:val="21"/>
                <w:szCs w:val="21"/>
              </w:rPr>
              <w:t xml:space="preserve"> </w:t>
            </w:r>
          </w:p>
          <w:p w14:paraId="439C6CEA">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15.</w:t>
            </w:r>
            <w:r>
              <w:rPr>
                <w:szCs w:val="21"/>
              </w:rPr>
              <w:t>开门按钮开门</w:t>
            </w:r>
            <w:r>
              <w:rPr>
                <w:rFonts w:hint="eastAsia" w:ascii="宋体" w:hAnsi="宋体" w:eastAsia="宋体" w:cs="宋体"/>
                <w:b w:val="0"/>
                <w:bCs w:val="0"/>
                <w:color w:val="000000"/>
                <w:sz w:val="21"/>
                <w:szCs w:val="21"/>
              </w:rPr>
              <w:t xml:space="preserve"> </w:t>
            </w:r>
          </w:p>
          <w:p w14:paraId="4375CE41">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16.</w:t>
            </w:r>
            <w:r>
              <w:rPr>
                <w:szCs w:val="21"/>
              </w:rPr>
              <w:t>故障历史记录</w:t>
            </w:r>
            <w:r>
              <w:rPr>
                <w:rFonts w:hint="eastAsia" w:ascii="宋体" w:hAnsi="宋体" w:eastAsia="宋体" w:cs="宋体"/>
                <w:b w:val="0"/>
                <w:bCs w:val="0"/>
                <w:color w:val="000000"/>
                <w:sz w:val="21"/>
                <w:szCs w:val="21"/>
              </w:rPr>
              <w:t xml:space="preserve"> </w:t>
            </w:r>
          </w:p>
          <w:p w14:paraId="2E5482CB">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17.</w:t>
            </w:r>
            <w:r>
              <w:rPr>
                <w:szCs w:val="21"/>
              </w:rPr>
              <w:t>故障重开门</w:t>
            </w:r>
            <w:r>
              <w:rPr>
                <w:rFonts w:hint="eastAsia" w:ascii="宋体" w:hAnsi="宋体" w:eastAsia="宋体" w:cs="宋体"/>
                <w:b w:val="0"/>
                <w:bCs w:val="0"/>
                <w:color w:val="000000"/>
                <w:sz w:val="21"/>
                <w:szCs w:val="21"/>
              </w:rPr>
              <w:t xml:space="preserve"> </w:t>
            </w:r>
          </w:p>
          <w:p w14:paraId="249D379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18.</w:t>
            </w:r>
            <w:r>
              <w:rPr>
                <w:szCs w:val="21"/>
              </w:rPr>
              <w:t>关门按钮响应指示</w:t>
            </w:r>
            <w:r>
              <w:rPr>
                <w:rFonts w:hint="eastAsia" w:ascii="宋体" w:hAnsi="宋体" w:eastAsia="宋体" w:cs="宋体"/>
                <w:b w:val="0"/>
                <w:bCs w:val="0"/>
                <w:color w:val="000000"/>
                <w:sz w:val="21"/>
                <w:szCs w:val="21"/>
              </w:rPr>
              <w:t xml:space="preserve"> </w:t>
            </w:r>
          </w:p>
          <w:p w14:paraId="28D3ABD5">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19.</w:t>
            </w:r>
            <w:r>
              <w:rPr>
                <w:szCs w:val="21"/>
              </w:rPr>
              <w:t>司机操作</w:t>
            </w:r>
            <w:r>
              <w:rPr>
                <w:rFonts w:hint="eastAsia" w:ascii="宋体" w:hAnsi="宋体" w:eastAsia="宋体" w:cs="宋体"/>
                <w:b w:val="0"/>
                <w:bCs w:val="0"/>
                <w:color w:val="000000"/>
                <w:sz w:val="21"/>
                <w:szCs w:val="21"/>
              </w:rPr>
              <w:t xml:space="preserve"> </w:t>
            </w:r>
          </w:p>
          <w:p w14:paraId="1E757BA1">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20.</w:t>
            </w:r>
            <w:r>
              <w:rPr>
                <w:szCs w:val="21"/>
              </w:rPr>
              <w:t>开门按钮响应指示</w:t>
            </w:r>
            <w:r>
              <w:rPr>
                <w:rFonts w:hint="eastAsia" w:ascii="宋体" w:hAnsi="宋体" w:eastAsia="宋体" w:cs="宋体"/>
                <w:b w:val="0"/>
                <w:bCs w:val="0"/>
                <w:color w:val="000000"/>
                <w:sz w:val="21"/>
                <w:szCs w:val="21"/>
              </w:rPr>
              <w:t xml:space="preserve"> </w:t>
            </w:r>
          </w:p>
          <w:p w14:paraId="6EEDE18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21.</w:t>
            </w:r>
            <w:r>
              <w:rPr>
                <w:szCs w:val="21"/>
              </w:rPr>
              <w:t>贵宾专用直驶服务</w:t>
            </w:r>
            <w:r>
              <w:rPr>
                <w:rFonts w:hint="eastAsia" w:ascii="宋体" w:hAnsi="宋体" w:eastAsia="宋体" w:cs="宋体"/>
                <w:b w:val="0"/>
                <w:bCs w:val="0"/>
                <w:color w:val="000000"/>
                <w:sz w:val="21"/>
                <w:szCs w:val="21"/>
              </w:rPr>
              <w:t xml:space="preserve"> </w:t>
            </w:r>
          </w:p>
          <w:p w14:paraId="618A4E0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22.</w:t>
            </w:r>
            <w:r>
              <w:rPr>
                <w:szCs w:val="21"/>
              </w:rPr>
              <w:t>开门保护时间自动调整</w:t>
            </w:r>
            <w:r>
              <w:rPr>
                <w:rFonts w:hint="eastAsia" w:ascii="宋体" w:hAnsi="宋体" w:eastAsia="宋体" w:cs="宋体"/>
                <w:b w:val="0"/>
                <w:bCs w:val="0"/>
                <w:color w:val="000000"/>
                <w:sz w:val="21"/>
                <w:szCs w:val="21"/>
              </w:rPr>
              <w:t xml:space="preserve"> </w:t>
            </w:r>
          </w:p>
          <w:p w14:paraId="3ED7DF1E">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23.</w:t>
            </w:r>
            <w:r>
              <w:rPr>
                <w:szCs w:val="21"/>
              </w:rPr>
              <w:t>火灾紧急返回运行</w:t>
            </w:r>
            <w:r>
              <w:rPr>
                <w:rFonts w:hint="eastAsia" w:ascii="宋体" w:hAnsi="宋体" w:eastAsia="宋体" w:cs="宋体"/>
                <w:b w:val="0"/>
                <w:bCs w:val="0"/>
                <w:color w:val="000000"/>
                <w:sz w:val="21"/>
                <w:szCs w:val="21"/>
              </w:rPr>
              <w:t xml:space="preserve"> </w:t>
            </w:r>
          </w:p>
          <w:p w14:paraId="13F6D381">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24.</w:t>
            </w:r>
            <w:r>
              <w:rPr>
                <w:szCs w:val="21"/>
              </w:rPr>
              <w:t>本层厅外开门</w:t>
            </w:r>
            <w:r>
              <w:rPr>
                <w:rFonts w:hint="eastAsia" w:ascii="宋体" w:hAnsi="宋体" w:eastAsia="宋体" w:cs="宋体"/>
                <w:b w:val="0"/>
                <w:bCs w:val="0"/>
                <w:color w:val="000000"/>
                <w:sz w:val="21"/>
                <w:szCs w:val="21"/>
              </w:rPr>
              <w:t xml:space="preserve"> </w:t>
            </w:r>
          </w:p>
          <w:p w14:paraId="040BDF32">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25.</w:t>
            </w:r>
            <w:r>
              <w:rPr>
                <w:rFonts w:hint="eastAsia"/>
                <w:szCs w:val="21"/>
              </w:rPr>
              <w:t>换层停靠功能</w:t>
            </w:r>
            <w:r>
              <w:rPr>
                <w:rFonts w:hint="eastAsia" w:ascii="宋体" w:hAnsi="宋体" w:eastAsia="宋体" w:cs="宋体"/>
                <w:b w:val="0"/>
                <w:bCs w:val="0"/>
                <w:color w:val="000000"/>
                <w:sz w:val="21"/>
                <w:szCs w:val="21"/>
              </w:rPr>
              <w:t xml:space="preserve"> </w:t>
            </w:r>
          </w:p>
          <w:p w14:paraId="403EF33D">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26.</w:t>
            </w:r>
            <w:r>
              <w:rPr>
                <w:szCs w:val="21"/>
              </w:rPr>
              <w:t>轿内反向指令消除</w:t>
            </w:r>
          </w:p>
          <w:p w14:paraId="2BF32F3D">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27.</w:t>
            </w:r>
            <w:r>
              <w:rPr>
                <w:szCs w:val="21"/>
              </w:rPr>
              <w:t>点阵式层楼显示</w:t>
            </w:r>
            <w:r>
              <w:rPr>
                <w:rFonts w:hint="eastAsia" w:ascii="宋体" w:hAnsi="宋体" w:eastAsia="宋体" w:cs="宋体"/>
                <w:b w:val="0"/>
                <w:bCs w:val="0"/>
                <w:color w:val="000000"/>
                <w:sz w:val="21"/>
                <w:szCs w:val="21"/>
              </w:rPr>
              <w:t xml:space="preserve"> </w:t>
            </w:r>
          </w:p>
          <w:p w14:paraId="74E83D6D">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28.</w:t>
            </w:r>
            <w:r>
              <w:rPr>
                <w:szCs w:val="21"/>
              </w:rPr>
              <w:t>超载报警</w:t>
            </w:r>
            <w:r>
              <w:rPr>
                <w:rFonts w:hint="eastAsia" w:ascii="宋体" w:hAnsi="宋体" w:eastAsia="宋体" w:cs="宋体"/>
                <w:b w:val="0"/>
                <w:bCs w:val="0"/>
                <w:color w:val="000000"/>
                <w:sz w:val="21"/>
                <w:szCs w:val="21"/>
              </w:rPr>
              <w:t xml:space="preserve"> </w:t>
            </w:r>
          </w:p>
          <w:p w14:paraId="050C05EF">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29.</w:t>
            </w:r>
            <w:r>
              <w:rPr>
                <w:szCs w:val="21"/>
              </w:rPr>
              <w:t>井道层楼数据自学习</w:t>
            </w:r>
            <w:r>
              <w:rPr>
                <w:rFonts w:hint="eastAsia" w:ascii="宋体" w:hAnsi="宋体" w:eastAsia="宋体" w:cs="宋体"/>
                <w:b w:val="0"/>
                <w:bCs w:val="0"/>
                <w:color w:val="000000"/>
                <w:sz w:val="21"/>
                <w:szCs w:val="21"/>
              </w:rPr>
              <w:t xml:space="preserve"> </w:t>
            </w:r>
          </w:p>
          <w:p w14:paraId="0EBEBD07">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30.</w:t>
            </w:r>
            <w:r>
              <w:rPr>
                <w:szCs w:val="21"/>
              </w:rPr>
              <w:t>泊梯功能</w:t>
            </w:r>
            <w:r>
              <w:rPr>
                <w:rFonts w:hint="eastAsia" w:ascii="宋体" w:hAnsi="宋体" w:eastAsia="宋体" w:cs="宋体"/>
                <w:b w:val="0"/>
                <w:bCs w:val="0"/>
                <w:color w:val="000000"/>
                <w:sz w:val="21"/>
                <w:szCs w:val="21"/>
              </w:rPr>
              <w:t xml:space="preserve"> </w:t>
            </w:r>
          </w:p>
          <w:p w14:paraId="59076AE6">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31.</w:t>
            </w:r>
            <w:r>
              <w:rPr>
                <w:szCs w:val="21"/>
              </w:rPr>
              <w:t>层楼位置信号的自动修正</w:t>
            </w:r>
            <w:r>
              <w:rPr>
                <w:rFonts w:hint="eastAsia" w:ascii="宋体" w:hAnsi="宋体" w:eastAsia="宋体" w:cs="宋体"/>
                <w:b w:val="0"/>
                <w:bCs w:val="0"/>
                <w:color w:val="000000"/>
                <w:sz w:val="21"/>
                <w:szCs w:val="21"/>
              </w:rPr>
              <w:t xml:space="preserve"> </w:t>
            </w:r>
          </w:p>
          <w:p w14:paraId="25988120">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32.</w:t>
            </w:r>
            <w:r>
              <w:rPr>
                <w:szCs w:val="21"/>
              </w:rPr>
              <w:t>开关门受阻保护</w:t>
            </w:r>
            <w:r>
              <w:rPr>
                <w:rFonts w:hint="eastAsia" w:ascii="宋体" w:hAnsi="宋体" w:eastAsia="宋体" w:cs="宋体"/>
                <w:b w:val="0"/>
                <w:bCs w:val="0"/>
                <w:color w:val="000000"/>
                <w:sz w:val="21"/>
                <w:szCs w:val="21"/>
              </w:rPr>
              <w:t xml:space="preserve"> </w:t>
            </w:r>
          </w:p>
          <w:p w14:paraId="09E7D690">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33.</w:t>
            </w:r>
            <w:r>
              <w:rPr>
                <w:szCs w:val="21"/>
              </w:rPr>
              <w:t>对讲机通讯、警铃</w:t>
            </w:r>
            <w:r>
              <w:rPr>
                <w:rFonts w:hint="eastAsia" w:ascii="宋体" w:hAnsi="宋体" w:eastAsia="宋体" w:cs="宋体"/>
                <w:b w:val="0"/>
                <w:bCs w:val="0"/>
                <w:color w:val="000000"/>
                <w:sz w:val="21"/>
                <w:szCs w:val="21"/>
              </w:rPr>
              <w:t xml:space="preserve"> </w:t>
            </w:r>
          </w:p>
          <w:p w14:paraId="4EFE2A5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34.</w:t>
            </w:r>
            <w:r>
              <w:rPr>
                <w:szCs w:val="21"/>
              </w:rPr>
              <w:t>光幕保护</w:t>
            </w:r>
            <w:r>
              <w:rPr>
                <w:rFonts w:hint="eastAsia" w:ascii="宋体" w:hAnsi="宋体" w:eastAsia="宋体" w:cs="宋体"/>
                <w:b w:val="0"/>
                <w:bCs w:val="0"/>
                <w:color w:val="000000"/>
                <w:sz w:val="21"/>
                <w:szCs w:val="21"/>
              </w:rPr>
              <w:t xml:space="preserve"> </w:t>
            </w:r>
          </w:p>
          <w:p w14:paraId="0B3D1450">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35.</w:t>
            </w:r>
            <w:r>
              <w:rPr>
                <w:rFonts w:hint="eastAsia"/>
                <w:szCs w:val="21"/>
              </w:rPr>
              <w:t>直接停靠</w:t>
            </w:r>
            <w:r>
              <w:rPr>
                <w:rFonts w:hint="eastAsia" w:ascii="宋体" w:hAnsi="宋体" w:eastAsia="宋体" w:cs="宋体"/>
                <w:b w:val="0"/>
                <w:bCs w:val="0"/>
                <w:color w:val="000000"/>
                <w:sz w:val="21"/>
                <w:szCs w:val="21"/>
              </w:rPr>
              <w:t xml:space="preserve"> </w:t>
            </w:r>
          </w:p>
          <w:p w14:paraId="12252616">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36.</w:t>
            </w:r>
            <w:r>
              <w:rPr>
                <w:szCs w:val="21"/>
              </w:rPr>
              <w:t>门区外不能开门保护</w:t>
            </w:r>
            <w:r>
              <w:rPr>
                <w:rFonts w:hint="eastAsia" w:ascii="宋体" w:hAnsi="宋体" w:eastAsia="宋体" w:cs="宋体"/>
                <w:b w:val="0"/>
                <w:bCs w:val="0"/>
                <w:color w:val="000000"/>
                <w:sz w:val="21"/>
                <w:szCs w:val="21"/>
              </w:rPr>
              <w:t xml:space="preserve"> </w:t>
            </w:r>
          </w:p>
          <w:p w14:paraId="6055EE23">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37.</w:t>
            </w:r>
            <w:r>
              <w:rPr>
                <w:szCs w:val="21"/>
              </w:rPr>
              <w:t>满载直驶</w:t>
            </w:r>
            <w:r>
              <w:rPr>
                <w:rFonts w:hint="eastAsia" w:ascii="宋体" w:hAnsi="宋体" w:eastAsia="宋体" w:cs="宋体"/>
                <w:b w:val="0"/>
                <w:bCs w:val="0"/>
                <w:color w:val="000000"/>
                <w:sz w:val="21"/>
                <w:szCs w:val="21"/>
              </w:rPr>
              <w:t xml:space="preserve"> </w:t>
            </w:r>
          </w:p>
          <w:p w14:paraId="47EFFBD8">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38.</w:t>
            </w:r>
            <w:r>
              <w:rPr>
                <w:szCs w:val="21"/>
              </w:rPr>
              <w:t>防溜车保护</w:t>
            </w:r>
            <w:r>
              <w:rPr>
                <w:rFonts w:hint="eastAsia" w:ascii="宋体" w:hAnsi="宋体" w:eastAsia="宋体" w:cs="宋体"/>
                <w:b w:val="0"/>
                <w:bCs w:val="0"/>
                <w:color w:val="000000"/>
                <w:sz w:val="21"/>
                <w:szCs w:val="21"/>
              </w:rPr>
              <w:t xml:space="preserve"> </w:t>
            </w:r>
          </w:p>
          <w:p w14:paraId="5D16B8D8">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39.</w:t>
            </w:r>
            <w:r>
              <w:rPr>
                <w:szCs w:val="21"/>
              </w:rPr>
              <w:t>超载保护</w:t>
            </w:r>
            <w:r>
              <w:rPr>
                <w:rFonts w:hint="eastAsia" w:ascii="宋体" w:hAnsi="宋体" w:eastAsia="宋体" w:cs="宋体"/>
                <w:b w:val="0"/>
                <w:bCs w:val="0"/>
                <w:color w:val="000000"/>
                <w:sz w:val="21"/>
                <w:szCs w:val="21"/>
              </w:rPr>
              <w:t xml:space="preserve"> </w:t>
            </w:r>
          </w:p>
          <w:p w14:paraId="24E2AEAF">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40.</w:t>
            </w:r>
            <w:r>
              <w:rPr>
                <w:szCs w:val="21"/>
              </w:rPr>
              <w:t>缺相保护</w:t>
            </w:r>
            <w:r>
              <w:rPr>
                <w:rFonts w:hint="eastAsia" w:ascii="宋体" w:hAnsi="宋体" w:eastAsia="宋体" w:cs="宋体"/>
                <w:b w:val="0"/>
                <w:bCs w:val="0"/>
                <w:color w:val="000000"/>
                <w:sz w:val="21"/>
                <w:szCs w:val="21"/>
              </w:rPr>
              <w:t xml:space="preserve"> </w:t>
            </w:r>
          </w:p>
          <w:p w14:paraId="4C992C2C">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41.</w:t>
            </w:r>
            <w:r>
              <w:rPr>
                <w:szCs w:val="21"/>
              </w:rPr>
              <w:t>防门锁短接保护</w:t>
            </w:r>
            <w:r>
              <w:rPr>
                <w:rFonts w:hint="eastAsia" w:ascii="宋体" w:hAnsi="宋体" w:eastAsia="宋体" w:cs="宋体"/>
                <w:b w:val="0"/>
                <w:bCs w:val="0"/>
                <w:color w:val="000000"/>
                <w:sz w:val="21"/>
                <w:szCs w:val="21"/>
              </w:rPr>
              <w:t xml:space="preserve"> </w:t>
            </w:r>
          </w:p>
          <w:p w14:paraId="2D19409A">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42.</w:t>
            </w:r>
            <w:r>
              <w:rPr>
                <w:szCs w:val="21"/>
              </w:rPr>
              <w:t>抱闸接触器点检测保护</w:t>
            </w:r>
          </w:p>
          <w:p w14:paraId="067F16B8">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43.</w:t>
            </w:r>
            <w:r>
              <w:rPr>
                <w:szCs w:val="21"/>
              </w:rPr>
              <w:t>防终端越程保护</w:t>
            </w:r>
            <w:r>
              <w:rPr>
                <w:rFonts w:hint="eastAsia" w:ascii="宋体" w:hAnsi="宋体" w:eastAsia="宋体" w:cs="宋体"/>
                <w:b w:val="0"/>
                <w:bCs w:val="0"/>
                <w:color w:val="000000"/>
                <w:sz w:val="21"/>
                <w:szCs w:val="21"/>
              </w:rPr>
              <w:t xml:space="preserve"> </w:t>
            </w:r>
          </w:p>
          <w:p w14:paraId="146A4AA6">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44.</w:t>
            </w:r>
            <w:r>
              <w:rPr>
                <w:szCs w:val="21"/>
              </w:rPr>
              <w:t>运行接触器点检测保护</w:t>
            </w:r>
            <w:r>
              <w:rPr>
                <w:rFonts w:hint="eastAsia" w:ascii="宋体" w:hAnsi="宋体" w:eastAsia="宋体" w:cs="宋体"/>
                <w:b w:val="0"/>
                <w:bCs w:val="0"/>
                <w:color w:val="000000"/>
                <w:sz w:val="21"/>
                <w:szCs w:val="21"/>
              </w:rPr>
              <w:t xml:space="preserve"> </w:t>
            </w:r>
          </w:p>
          <w:p w14:paraId="5893432A">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45.</w:t>
            </w:r>
            <w:r>
              <w:rPr>
                <w:rFonts w:hint="eastAsia"/>
                <w:szCs w:val="21"/>
              </w:rPr>
              <w:t>误指令删除功能</w:t>
            </w:r>
            <w:r>
              <w:rPr>
                <w:rFonts w:hint="eastAsia" w:ascii="宋体" w:hAnsi="宋体" w:eastAsia="宋体" w:cs="宋体"/>
                <w:b w:val="0"/>
                <w:bCs w:val="0"/>
                <w:color w:val="000000"/>
                <w:sz w:val="21"/>
                <w:szCs w:val="21"/>
              </w:rPr>
              <w:t xml:space="preserve"> </w:t>
            </w:r>
          </w:p>
          <w:p w14:paraId="6ABC3BFB">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46.</w:t>
            </w:r>
            <w:r>
              <w:rPr>
                <w:szCs w:val="21"/>
              </w:rPr>
              <w:t>层站显示数字的任意设定</w:t>
            </w:r>
            <w:r>
              <w:rPr>
                <w:rFonts w:hint="eastAsia" w:ascii="宋体" w:hAnsi="宋体" w:eastAsia="宋体" w:cs="宋体"/>
                <w:b w:val="0"/>
                <w:bCs w:val="0"/>
                <w:color w:val="000000"/>
                <w:sz w:val="21"/>
                <w:szCs w:val="21"/>
              </w:rPr>
              <w:t xml:space="preserve"> </w:t>
            </w:r>
          </w:p>
          <w:p w14:paraId="2BA892E1">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47.</w:t>
            </w:r>
            <w:r>
              <w:rPr>
                <w:szCs w:val="21"/>
              </w:rPr>
              <w:t>防打滑保护</w:t>
            </w:r>
            <w:r>
              <w:rPr>
                <w:rFonts w:hint="eastAsia" w:ascii="宋体" w:hAnsi="宋体" w:eastAsia="宋体" w:cs="宋体"/>
                <w:b w:val="0"/>
                <w:bCs w:val="0"/>
                <w:color w:val="000000"/>
                <w:sz w:val="21"/>
                <w:szCs w:val="21"/>
              </w:rPr>
              <w:t xml:space="preserve"> </w:t>
            </w:r>
          </w:p>
          <w:p w14:paraId="007F5EF8">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48.</w:t>
            </w:r>
            <w:r>
              <w:rPr>
                <w:szCs w:val="21"/>
              </w:rPr>
              <w:t>逆向运行保护</w:t>
            </w:r>
            <w:r>
              <w:rPr>
                <w:rFonts w:hint="eastAsia" w:ascii="宋体" w:hAnsi="宋体" w:eastAsia="宋体" w:cs="宋体"/>
                <w:b w:val="0"/>
                <w:bCs w:val="0"/>
                <w:color w:val="000000"/>
                <w:sz w:val="21"/>
                <w:szCs w:val="21"/>
              </w:rPr>
              <w:t xml:space="preserve"> </w:t>
            </w:r>
          </w:p>
          <w:p w14:paraId="1674EA4D">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49.</w:t>
            </w:r>
            <w:r>
              <w:rPr>
                <w:rFonts w:hint="eastAsia"/>
                <w:szCs w:val="21"/>
              </w:rPr>
              <w:t>防捣乱功能</w:t>
            </w:r>
            <w:r>
              <w:rPr>
                <w:rFonts w:hint="eastAsia" w:ascii="宋体" w:hAnsi="宋体" w:eastAsia="宋体" w:cs="宋体"/>
                <w:b w:val="0"/>
                <w:bCs w:val="0"/>
                <w:color w:val="000000"/>
                <w:sz w:val="21"/>
                <w:szCs w:val="21"/>
              </w:rPr>
              <w:t xml:space="preserve"> </w:t>
            </w:r>
          </w:p>
          <w:p w14:paraId="0FBAC298">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50.</w:t>
            </w:r>
            <w:r>
              <w:rPr>
                <w:rFonts w:hint="eastAsia"/>
                <w:szCs w:val="21"/>
              </w:rPr>
              <w:t>轿厢节能功能</w:t>
            </w:r>
          </w:p>
          <w:p w14:paraId="03129C04">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51.</w:t>
            </w:r>
            <w:r>
              <w:rPr>
                <w:rFonts w:hint="eastAsia"/>
                <w:szCs w:val="21"/>
              </w:rPr>
              <w:t>按钮粘连检查</w:t>
            </w:r>
            <w:r>
              <w:rPr>
                <w:rFonts w:hint="eastAsia" w:ascii="宋体" w:hAnsi="宋体" w:eastAsia="宋体" w:cs="宋体"/>
                <w:b w:val="0"/>
                <w:bCs w:val="0"/>
                <w:color w:val="000000"/>
                <w:sz w:val="21"/>
                <w:szCs w:val="21"/>
              </w:rPr>
              <w:t xml:space="preserve"> </w:t>
            </w:r>
          </w:p>
          <w:p w14:paraId="5F7B5AFC">
            <w:pPr>
              <w:keepNext w:val="0"/>
              <w:keepLines w:val="0"/>
              <w:pageBreakBefore w:val="0"/>
              <w:widowControl/>
              <w:shd w:val="clear" w:color="auto" w:fill="FFFFFF"/>
              <w:wordWrap/>
              <w:topLinePunct w:val="0"/>
              <w:bidi w:val="0"/>
              <w:snapToGrid/>
              <w:spacing w:line="24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52.</w:t>
            </w:r>
            <w:r>
              <w:rPr>
                <w:rFonts w:hint="eastAsia"/>
                <w:szCs w:val="21"/>
              </w:rPr>
              <w:t>微动平层</w:t>
            </w:r>
            <w:r>
              <w:rPr>
                <w:rFonts w:hint="eastAsia" w:ascii="宋体" w:hAnsi="宋体" w:eastAsia="宋体" w:cs="宋体"/>
                <w:b w:val="0"/>
                <w:bCs w:val="0"/>
                <w:color w:val="000000"/>
                <w:sz w:val="21"/>
                <w:szCs w:val="21"/>
              </w:rPr>
              <w:t xml:space="preserve"> </w:t>
            </w:r>
          </w:p>
          <w:p w14:paraId="2F523370">
            <w:pPr>
              <w:pStyle w:val="5"/>
              <w:rPr>
                <w:rFonts w:hint="eastAsia"/>
                <w:lang w:val="en-US" w:eastAsia="zh-CN"/>
              </w:rPr>
            </w:pPr>
          </w:p>
          <w:p w14:paraId="7E0E68F4">
            <w:pPr>
              <w:pStyle w:val="5"/>
              <w:ind w:left="0" w:leftChars="0" w:firstLine="0" w:firstLineChars="0"/>
              <w:rPr>
                <w:rFonts w:hint="eastAsia"/>
                <w:lang w:val="en-US" w:eastAsia="zh-CN"/>
              </w:rPr>
            </w:pPr>
          </w:p>
          <w:p w14:paraId="63CE297C">
            <w:pPr>
              <w:pStyle w:val="5"/>
              <w:ind w:left="0" w:leftChars="0" w:firstLine="0" w:firstLineChars="0"/>
              <w:rPr>
                <w:rFonts w:hint="eastAsia"/>
                <w:lang w:val="en-US" w:eastAsia="zh-CN"/>
              </w:rPr>
            </w:pPr>
          </w:p>
        </w:tc>
        <w:tc>
          <w:tcPr>
            <w:tcW w:w="954" w:type="dxa"/>
            <w:vAlign w:val="center"/>
          </w:tcPr>
          <w:p w14:paraId="15CFF120">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419" w:type="dxa"/>
            <w:vAlign w:val="center"/>
          </w:tcPr>
          <w:p w14:paraId="643A4ED7">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280000.00</w:t>
            </w:r>
          </w:p>
        </w:tc>
        <w:tc>
          <w:tcPr>
            <w:tcW w:w="1118" w:type="dxa"/>
            <w:vAlign w:val="center"/>
          </w:tcPr>
          <w:p w14:paraId="4DE93365">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辛格林</w:t>
            </w:r>
          </w:p>
        </w:tc>
      </w:tr>
    </w:tbl>
    <w:p w14:paraId="48AE0074">
      <w:pPr>
        <w:jc w:val="center"/>
        <w:rPr>
          <w:rFonts w:hint="eastAsia" w:ascii="宋体" w:hAnsi="宋体" w:eastAsia="宋体"/>
          <w:b/>
          <w:bCs/>
          <w:color w:val="auto"/>
          <w:sz w:val="24"/>
          <w:szCs w:val="24"/>
          <w:highlight w:val="none"/>
        </w:rPr>
      </w:pPr>
    </w:p>
    <w:p w14:paraId="4DE2B3AA">
      <w:pPr>
        <w:widowControl/>
        <w:tabs>
          <w:tab w:val="left" w:pos="2132"/>
        </w:tabs>
        <w:jc w:val="center"/>
        <w:rPr>
          <w:rFonts w:hint="eastAsia" w:ascii="宋体" w:hAnsi="宋体" w:eastAsia="宋体"/>
          <w:b/>
          <w:bCs/>
          <w:color w:val="auto"/>
          <w:kern w:val="0"/>
          <w:sz w:val="21"/>
          <w:szCs w:val="21"/>
          <w:highlight w:val="none"/>
          <w:lang w:bidi="ar"/>
        </w:rPr>
      </w:pPr>
    </w:p>
    <w:p w14:paraId="382BED8A">
      <w:pPr>
        <w:pStyle w:val="5"/>
        <w:rPr>
          <w:rFonts w:hint="eastAsia"/>
        </w:rPr>
      </w:pPr>
    </w:p>
    <w:tbl>
      <w:tblPr>
        <w:tblStyle w:val="6"/>
        <w:tblpPr w:leftFromText="180" w:rightFromText="180" w:vertAnchor="text" w:tblpY="1"/>
        <w:tblOverlap w:val="never"/>
        <w:tblW w:w="10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405"/>
      </w:tblGrid>
      <w:tr w14:paraId="2344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2"/>
            <w:vAlign w:val="top"/>
          </w:tcPr>
          <w:p w14:paraId="38D0A331">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二、商务要求</w:t>
            </w:r>
          </w:p>
        </w:tc>
      </w:tr>
      <w:tr w14:paraId="7BFA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14:paraId="2EBD55E4">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竞标报价要求</w:t>
            </w:r>
          </w:p>
        </w:tc>
        <w:tc>
          <w:tcPr>
            <w:tcW w:w="9405" w:type="dxa"/>
            <w:vAlign w:val="center"/>
          </w:tcPr>
          <w:p w14:paraId="56DEF69B">
            <w:pPr>
              <w:rPr>
                <w:rFonts w:hint="eastAsia" w:ascii="宋体" w:hAnsi="宋体" w:eastAsia="宋体"/>
                <w:b w:val="0"/>
                <w:color w:val="auto"/>
                <w:kern w:val="2"/>
                <w:sz w:val="21"/>
                <w:szCs w:val="21"/>
                <w:highlight w:val="none"/>
                <w:lang w:val="en-US" w:eastAsia="zh-CN" w:bidi="ar-SA"/>
              </w:rPr>
            </w:pPr>
            <w:r>
              <w:rPr>
                <w:rFonts w:hint="eastAsia" w:ascii="宋体" w:hAnsi="宋体" w:eastAsia="宋体"/>
                <w:b w:val="0"/>
                <w:color w:val="auto"/>
                <w:kern w:val="2"/>
                <w:sz w:val="21"/>
                <w:szCs w:val="21"/>
                <w:highlight w:val="none"/>
                <w:lang w:val="en-US" w:eastAsia="zh-CN" w:bidi="ar-SA"/>
              </w:rPr>
              <w:t>本项目报价包括：电梯、随配附件、备品备件、易损件、专用工具、以及检测和运杂费、保险费、售后服务、税金</w:t>
            </w:r>
            <w:r>
              <w:rPr>
                <w:rFonts w:hint="eastAsia" w:ascii="宋体" w:hAnsi="宋体"/>
                <w:b w:val="0"/>
                <w:color w:val="auto"/>
                <w:kern w:val="2"/>
                <w:sz w:val="21"/>
                <w:szCs w:val="21"/>
                <w:highlight w:val="none"/>
                <w:lang w:val="en-US" w:eastAsia="zh-CN" w:bidi="ar-SA"/>
              </w:rPr>
              <w:t>，以</w:t>
            </w:r>
            <w:r>
              <w:rPr>
                <w:rFonts w:hint="eastAsia" w:ascii="宋体" w:hAnsi="宋体" w:eastAsia="宋体"/>
                <w:b w:val="0"/>
                <w:color w:val="auto"/>
                <w:kern w:val="2"/>
                <w:sz w:val="21"/>
                <w:szCs w:val="21"/>
                <w:highlight w:val="none"/>
                <w:lang w:val="en-US" w:eastAsia="zh-CN" w:bidi="ar-SA"/>
              </w:rPr>
              <w:t>及其他所有成本费用等运抵指定交货地点安装、调试、验收（含报装、报验）</w:t>
            </w:r>
            <w:r>
              <w:rPr>
                <w:rFonts w:hint="eastAsia" w:ascii="宋体" w:hAnsi="宋体"/>
                <w:b w:val="0"/>
                <w:color w:val="auto"/>
                <w:kern w:val="2"/>
                <w:sz w:val="21"/>
                <w:szCs w:val="21"/>
                <w:highlight w:val="none"/>
                <w:lang w:val="en-US" w:eastAsia="zh-CN" w:bidi="ar-SA"/>
              </w:rPr>
              <w:t>。</w:t>
            </w:r>
          </w:p>
          <w:p w14:paraId="72B0AF53">
            <w:pPr>
              <w:rPr>
                <w:rFonts w:hint="eastAsia" w:ascii="宋体" w:hAnsi="宋体" w:eastAsia="宋体"/>
                <w:b w:val="0"/>
                <w:color w:val="auto"/>
                <w:kern w:val="2"/>
                <w:sz w:val="21"/>
                <w:szCs w:val="21"/>
                <w:highlight w:val="none"/>
                <w:lang w:val="en-US" w:eastAsia="zh-CN" w:bidi="ar-SA"/>
              </w:rPr>
            </w:pPr>
            <w:r>
              <w:rPr>
                <w:rFonts w:hint="eastAsia" w:ascii="宋体" w:hAnsi="宋体" w:eastAsia="宋体"/>
                <w:b w:val="0"/>
                <w:color w:val="auto"/>
                <w:kern w:val="2"/>
                <w:sz w:val="21"/>
                <w:szCs w:val="21"/>
                <w:highlight w:val="none"/>
                <w:lang w:val="en-US" w:eastAsia="zh-CN" w:bidi="ar-SA"/>
              </w:rPr>
              <w:t>（1）竞标供应商自行考虑完成项目所需的辅材、杂配件等数量，投标报价中应包含全部内容，成交后采购人不再另行支付额外费用。</w:t>
            </w:r>
          </w:p>
          <w:p w14:paraId="09F781FB">
            <w:pPr>
              <w:rPr>
                <w:rFonts w:hint="eastAsia" w:ascii="宋体" w:hAnsi="宋体" w:eastAsia="宋体"/>
                <w:b w:val="0"/>
                <w:color w:val="auto"/>
                <w:kern w:val="2"/>
                <w:sz w:val="21"/>
                <w:szCs w:val="21"/>
                <w:highlight w:val="none"/>
                <w:lang w:val="en-US" w:eastAsia="zh-CN" w:bidi="ar-SA"/>
              </w:rPr>
            </w:pPr>
            <w:r>
              <w:rPr>
                <w:rFonts w:hint="eastAsia" w:ascii="宋体" w:hAnsi="宋体" w:eastAsia="宋体"/>
                <w:b w:val="0"/>
                <w:color w:val="auto"/>
                <w:kern w:val="2"/>
                <w:sz w:val="21"/>
                <w:szCs w:val="21"/>
                <w:highlight w:val="none"/>
                <w:lang w:val="en-US" w:eastAsia="zh-CN" w:bidi="ar-SA"/>
              </w:rPr>
              <w:t>（2）竞标供应商的投标总报价≤采购预算。</w:t>
            </w:r>
          </w:p>
        </w:tc>
      </w:tr>
      <w:tr w14:paraId="572B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715EE9F9">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竞标人资格要求</w:t>
            </w:r>
          </w:p>
        </w:tc>
        <w:tc>
          <w:tcPr>
            <w:tcW w:w="9405" w:type="dxa"/>
            <w:vAlign w:val="center"/>
          </w:tcPr>
          <w:p w14:paraId="53CB2F0E">
            <w:pPr>
              <w:rPr>
                <w:rFonts w:hint="eastAsia" w:ascii="宋体" w:hAnsi="宋体" w:eastAsia="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符合《中华人民共和国政府采购法》第二十二条的规定。</w:t>
            </w:r>
          </w:p>
          <w:p w14:paraId="1B59A799">
            <w:pPr>
              <w:rPr>
                <w:rFonts w:hint="eastAsia" w:ascii="宋体" w:hAnsi="宋体" w:eastAsia="宋体"/>
                <w:color w:val="auto"/>
                <w:sz w:val="21"/>
                <w:szCs w:val="21"/>
                <w:highlight w:val="none"/>
              </w:rPr>
            </w:pPr>
            <w:r>
              <w:rPr>
                <w:rFonts w:hint="eastAsia" w:ascii="宋体" w:hAnsi="宋体" w:eastAsia="宋体"/>
                <w:b w:val="0"/>
                <w:color w:val="auto"/>
                <w:kern w:val="2"/>
                <w:sz w:val="21"/>
                <w:szCs w:val="21"/>
                <w:highlight w:val="none"/>
                <w:lang w:val="en-US" w:eastAsia="zh-CN" w:bidi="ar-SA"/>
              </w:rPr>
              <w:t>（2）</w:t>
            </w:r>
            <w:r>
              <w:rPr>
                <w:rFonts w:hint="eastAsia" w:ascii="宋体" w:hAnsi="宋体" w:eastAsia="宋体"/>
                <w:color w:val="auto"/>
                <w:sz w:val="21"/>
                <w:szCs w:val="21"/>
                <w:highlight w:val="none"/>
              </w:rPr>
              <w:t>已在政采云平台系统注册。</w:t>
            </w:r>
          </w:p>
          <w:p w14:paraId="273350BB">
            <w:pPr>
              <w:rPr>
                <w:rFonts w:hint="eastAsia" w:ascii="宋体" w:hAnsi="宋体" w:eastAsia="宋体"/>
                <w:color w:val="auto"/>
                <w:sz w:val="21"/>
                <w:szCs w:val="21"/>
                <w:highlight w:val="none"/>
              </w:rPr>
            </w:pPr>
            <w:r>
              <w:rPr>
                <w:rFonts w:hint="eastAsia" w:ascii="宋体" w:hAnsi="宋体" w:eastAsia="宋体"/>
                <w:b w:val="0"/>
                <w:color w:val="auto"/>
                <w:kern w:val="2"/>
                <w:sz w:val="21"/>
                <w:szCs w:val="21"/>
                <w:highlight w:val="none"/>
                <w:lang w:val="en-US" w:eastAsia="zh-CN" w:bidi="ar-SA"/>
              </w:rPr>
              <w:t>（</w:t>
            </w:r>
            <w:r>
              <w:rPr>
                <w:rFonts w:hint="eastAsia" w:ascii="宋体" w:hAnsi="宋体"/>
                <w:b w:val="0"/>
                <w:color w:val="auto"/>
                <w:kern w:val="2"/>
                <w:sz w:val="21"/>
                <w:szCs w:val="21"/>
                <w:highlight w:val="none"/>
                <w:lang w:val="en-US" w:eastAsia="zh-CN" w:bidi="ar-SA"/>
              </w:rPr>
              <w:t>3</w:t>
            </w:r>
            <w:r>
              <w:rPr>
                <w:rFonts w:hint="eastAsia" w:ascii="宋体" w:hAnsi="宋体" w:eastAsia="宋体"/>
                <w:b w:val="0"/>
                <w:color w:val="auto"/>
                <w:kern w:val="2"/>
                <w:sz w:val="21"/>
                <w:szCs w:val="21"/>
                <w:highlight w:val="none"/>
                <w:lang w:val="en-US" w:eastAsia="zh-CN" w:bidi="ar-SA"/>
              </w:rPr>
              <w:t>）</w:t>
            </w:r>
            <w:r>
              <w:rPr>
                <w:rFonts w:hint="eastAsia" w:ascii="宋体" w:hAnsi="宋体" w:eastAsia="宋体"/>
                <w:color w:val="auto"/>
                <w:sz w:val="21"/>
                <w:szCs w:val="21"/>
                <w:highlight w:val="none"/>
              </w:rPr>
              <w:t>对在“信用中国”网站(www.creditchina.gov.cn)、中国政府采购网(www.ccgp.gov.cn)等渠道列入失信被执行人、重大税收违法案件当事人名单、政府采购严重违法失信行为记录名单的供应商，不得参与本项目政府采购活动。</w:t>
            </w:r>
          </w:p>
          <w:p w14:paraId="4A025B0A">
            <w:pPr>
              <w:rPr>
                <w:rFonts w:hint="eastAsia" w:ascii="宋体" w:hAnsi="宋体" w:eastAsia="宋体"/>
                <w:color w:val="auto"/>
                <w:sz w:val="21"/>
                <w:szCs w:val="21"/>
                <w:highlight w:val="none"/>
              </w:rPr>
            </w:pPr>
            <w:r>
              <w:rPr>
                <w:rFonts w:hint="eastAsia" w:ascii="宋体" w:hAnsi="宋体" w:eastAsia="宋体"/>
                <w:b w:val="0"/>
                <w:color w:val="auto"/>
                <w:kern w:val="2"/>
                <w:sz w:val="21"/>
                <w:szCs w:val="21"/>
                <w:highlight w:val="none"/>
                <w:lang w:val="en-US" w:eastAsia="zh-CN" w:bidi="ar-SA"/>
              </w:rPr>
              <w:t>（</w:t>
            </w:r>
            <w:r>
              <w:rPr>
                <w:rFonts w:hint="eastAsia" w:ascii="宋体" w:hAnsi="宋体"/>
                <w:b w:val="0"/>
                <w:color w:val="auto"/>
                <w:kern w:val="2"/>
                <w:sz w:val="21"/>
                <w:szCs w:val="21"/>
                <w:highlight w:val="none"/>
                <w:lang w:val="en-US" w:eastAsia="zh-CN" w:bidi="ar-SA"/>
              </w:rPr>
              <w:t>4</w:t>
            </w:r>
            <w:r>
              <w:rPr>
                <w:rFonts w:hint="eastAsia" w:ascii="宋体" w:hAnsi="宋体" w:eastAsia="宋体"/>
                <w:b w:val="0"/>
                <w:color w:val="auto"/>
                <w:kern w:val="2"/>
                <w:sz w:val="21"/>
                <w:szCs w:val="21"/>
                <w:highlight w:val="none"/>
                <w:lang w:val="en-US" w:eastAsia="zh-CN" w:bidi="ar-SA"/>
              </w:rPr>
              <w:t>）</w:t>
            </w:r>
            <w:r>
              <w:rPr>
                <w:rFonts w:hint="eastAsia" w:ascii="宋体" w:hAnsi="宋体" w:eastAsia="宋体"/>
                <w:b/>
                <w:bCs/>
                <w:color w:val="auto"/>
                <w:sz w:val="21"/>
                <w:szCs w:val="21"/>
                <w:highlight w:val="none"/>
              </w:rPr>
              <w:t>符合实施本项目的特定资质：</w:t>
            </w:r>
          </w:p>
          <w:p w14:paraId="299EECEB">
            <w:pPr>
              <w:numPr>
                <w:ilvl w:val="0"/>
                <w:numId w:val="3"/>
              </w:numPr>
              <w:ind w:left="0" w:leftChars="0" w:firstLine="422" w:firstLineChars="200"/>
              <w:rPr>
                <w:rFonts w:hint="eastAsia" w:ascii="宋体" w:hAnsi="宋体" w:eastAsia="宋体"/>
                <w:b/>
                <w:bCs/>
                <w:i w:val="0"/>
                <w:iCs w:val="0"/>
                <w:color w:val="auto"/>
                <w:sz w:val="21"/>
                <w:szCs w:val="21"/>
                <w:highlight w:val="none"/>
              </w:rPr>
            </w:pPr>
            <w:r>
              <w:rPr>
                <w:rFonts w:hint="eastAsia" w:ascii="宋体" w:hAnsi="宋体" w:eastAsia="宋体"/>
                <w:b/>
                <w:bCs/>
                <w:i w:val="0"/>
                <w:iCs w:val="0"/>
                <w:color w:val="auto"/>
                <w:sz w:val="21"/>
                <w:szCs w:val="21"/>
                <w:highlight w:val="none"/>
              </w:rPr>
              <w:t>投标人必须具有《中华人民共和国特种设备安装改造维修许可证（电梯）》安装、维修</w:t>
            </w:r>
            <w:r>
              <w:rPr>
                <w:rFonts w:hint="eastAsia" w:ascii="宋体" w:hAnsi="宋体" w:eastAsia="宋体"/>
                <w:b/>
                <w:bCs/>
                <w:i w:val="0"/>
                <w:iCs w:val="0"/>
                <w:color w:val="auto"/>
                <w:sz w:val="21"/>
                <w:szCs w:val="21"/>
                <w:highlight w:val="none"/>
                <w:lang w:val="en-US" w:eastAsia="zh-CN"/>
              </w:rPr>
              <w:t>B</w:t>
            </w:r>
            <w:r>
              <w:rPr>
                <w:rFonts w:hint="eastAsia" w:ascii="宋体" w:hAnsi="宋体" w:eastAsia="宋体"/>
                <w:b/>
                <w:bCs/>
                <w:i w:val="0"/>
                <w:iCs w:val="0"/>
                <w:color w:val="auto"/>
                <w:sz w:val="21"/>
                <w:szCs w:val="21"/>
                <w:highlight w:val="none"/>
              </w:rPr>
              <w:t>级</w:t>
            </w:r>
            <w:r>
              <w:rPr>
                <w:rFonts w:hint="eastAsia" w:ascii="宋体" w:hAnsi="宋体"/>
                <w:b/>
                <w:bCs/>
                <w:i w:val="0"/>
                <w:iCs w:val="0"/>
                <w:color w:val="auto"/>
                <w:sz w:val="21"/>
                <w:szCs w:val="21"/>
                <w:highlight w:val="none"/>
                <w:lang w:val="en-US" w:eastAsia="zh-CN"/>
              </w:rPr>
              <w:t>及以上</w:t>
            </w:r>
            <w:r>
              <w:rPr>
                <w:rFonts w:hint="eastAsia" w:ascii="宋体" w:hAnsi="宋体" w:eastAsia="宋体"/>
                <w:b/>
                <w:bCs/>
                <w:i w:val="0"/>
                <w:iCs w:val="0"/>
                <w:color w:val="auto"/>
                <w:sz w:val="21"/>
                <w:szCs w:val="21"/>
                <w:highlight w:val="none"/>
              </w:rPr>
              <w:t>证书或《中华人民共和国特种设备生产许可证》证书。投标产品生产厂家必须具有《中华人民共和国特种设备制造许可证（电梯）》</w:t>
            </w:r>
            <w:r>
              <w:rPr>
                <w:rFonts w:hint="eastAsia" w:ascii="宋体" w:hAnsi="宋体" w:eastAsia="宋体"/>
                <w:b/>
                <w:bCs/>
                <w:i w:val="0"/>
                <w:iCs w:val="0"/>
                <w:color w:val="auto"/>
                <w:sz w:val="21"/>
                <w:szCs w:val="21"/>
                <w:highlight w:val="none"/>
                <w:lang w:val="en-US" w:eastAsia="zh-CN"/>
              </w:rPr>
              <w:t>B</w:t>
            </w:r>
            <w:r>
              <w:rPr>
                <w:rFonts w:hint="eastAsia" w:ascii="宋体" w:hAnsi="宋体" w:eastAsia="宋体"/>
                <w:b/>
                <w:bCs/>
                <w:i w:val="0"/>
                <w:iCs w:val="0"/>
                <w:color w:val="auto"/>
                <w:sz w:val="21"/>
                <w:szCs w:val="21"/>
                <w:highlight w:val="none"/>
              </w:rPr>
              <w:t>级证书或《中华人民共和国特种设备生产许可证》证书（含电梯制造）。签订合同前需提供</w:t>
            </w:r>
            <w:r>
              <w:rPr>
                <w:rFonts w:hint="eastAsia" w:ascii="宋体" w:hAnsi="宋体" w:eastAsia="宋体"/>
                <w:b/>
                <w:bCs/>
                <w:i w:val="0"/>
                <w:iCs w:val="0"/>
                <w:color w:val="auto"/>
                <w:sz w:val="21"/>
                <w:szCs w:val="21"/>
                <w:highlight w:val="none"/>
                <w:lang w:eastAsia="zh-CN"/>
              </w:rPr>
              <w:t>资质</w:t>
            </w:r>
            <w:r>
              <w:rPr>
                <w:rFonts w:hint="eastAsia" w:ascii="宋体" w:hAnsi="宋体" w:eastAsia="宋体"/>
                <w:b/>
                <w:bCs/>
                <w:i w:val="0"/>
                <w:iCs w:val="0"/>
                <w:color w:val="auto"/>
                <w:sz w:val="21"/>
                <w:szCs w:val="21"/>
                <w:highlight w:val="none"/>
              </w:rPr>
              <w:t>复印件并加盖竞标人公章，原件备查。</w:t>
            </w:r>
          </w:p>
          <w:p w14:paraId="3116ADE1">
            <w:pPr>
              <w:numPr>
                <w:ilvl w:val="0"/>
                <w:numId w:val="3"/>
              </w:numPr>
              <w:ind w:left="0" w:leftChars="0"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竞标人若为代理商的，货到工地时必须提供生产厂家盖章的针对本项目出具的供货证明原件及厂家盖章确认的针对本项目的售后服务承诺书原件。成交供应商未按上述要求提交资料的，采购单位可视为其</w:t>
            </w:r>
            <w:r>
              <w:rPr>
                <w:rFonts w:hint="eastAsia" w:ascii="宋体" w:hAnsi="宋体" w:eastAsia="宋体"/>
                <w:b/>
                <w:bCs/>
                <w:color w:val="auto"/>
                <w:sz w:val="21"/>
                <w:szCs w:val="21"/>
                <w:highlight w:val="none"/>
                <w:lang w:eastAsia="zh-CN"/>
              </w:rPr>
              <w:t>货物不满足采购需求</w:t>
            </w:r>
            <w:r>
              <w:rPr>
                <w:rFonts w:hint="eastAsia" w:ascii="宋体" w:hAnsi="宋体" w:eastAsia="宋体"/>
                <w:b/>
                <w:bCs/>
                <w:color w:val="auto"/>
                <w:sz w:val="21"/>
                <w:szCs w:val="21"/>
                <w:highlight w:val="none"/>
              </w:rPr>
              <w:t>不予</w:t>
            </w:r>
            <w:r>
              <w:rPr>
                <w:rFonts w:hint="eastAsia" w:ascii="宋体" w:hAnsi="宋体" w:eastAsia="宋体"/>
                <w:b/>
                <w:bCs/>
                <w:color w:val="auto"/>
                <w:sz w:val="21"/>
                <w:szCs w:val="21"/>
                <w:highlight w:val="none"/>
                <w:lang w:eastAsia="zh-CN"/>
              </w:rPr>
              <w:t>验收</w:t>
            </w:r>
            <w:r>
              <w:rPr>
                <w:rFonts w:hint="eastAsia" w:ascii="宋体" w:hAnsi="宋体" w:eastAsia="宋体"/>
                <w:b/>
                <w:bCs/>
                <w:color w:val="auto"/>
                <w:sz w:val="21"/>
                <w:szCs w:val="21"/>
                <w:highlight w:val="none"/>
              </w:rPr>
              <w:t>，采购单位有权追偿成交供应商所造成的损失。</w:t>
            </w:r>
          </w:p>
          <w:p w14:paraId="5E014D22">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备注：签订合同前成交供应商必须向采购人提交提供特定资质相关有效证明材料并加盖其单位公章，否则不予签订合同。</w:t>
            </w:r>
          </w:p>
        </w:tc>
      </w:tr>
      <w:tr w14:paraId="185F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5733D1AC">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合同签订期及地点</w:t>
            </w:r>
          </w:p>
        </w:tc>
        <w:tc>
          <w:tcPr>
            <w:tcW w:w="9405" w:type="dxa"/>
            <w:vAlign w:val="center"/>
          </w:tcPr>
          <w:p w14:paraId="28774AB4">
            <w:pPr>
              <w:rPr>
                <w:rFonts w:hint="eastAsia" w:ascii="宋体" w:hAnsi="宋体" w:eastAsia="宋体"/>
                <w:color w:val="auto"/>
                <w:sz w:val="21"/>
                <w:szCs w:val="21"/>
                <w:highlight w:val="none"/>
              </w:rPr>
            </w:pPr>
            <w:r>
              <w:rPr>
                <w:rFonts w:hint="eastAsia" w:ascii="宋体" w:hAnsi="宋体" w:eastAsia="宋体"/>
                <w:b w:val="0"/>
                <w:color w:val="auto"/>
                <w:kern w:val="2"/>
                <w:sz w:val="21"/>
                <w:szCs w:val="21"/>
                <w:highlight w:val="none"/>
                <w:lang w:val="en-US" w:eastAsia="zh-CN" w:bidi="ar-SA"/>
              </w:rPr>
              <w:t>（</w:t>
            </w:r>
            <w:r>
              <w:rPr>
                <w:rFonts w:hint="eastAsia" w:ascii="宋体" w:hAnsi="宋体"/>
                <w:b w:val="0"/>
                <w:color w:val="auto"/>
                <w:kern w:val="2"/>
                <w:sz w:val="21"/>
                <w:szCs w:val="21"/>
                <w:highlight w:val="none"/>
                <w:lang w:val="en-US" w:eastAsia="zh-CN" w:bidi="ar-SA"/>
              </w:rPr>
              <w:t>1</w:t>
            </w:r>
            <w:r>
              <w:rPr>
                <w:rFonts w:hint="eastAsia" w:ascii="宋体" w:hAnsi="宋体" w:eastAsia="宋体"/>
                <w:b w:val="0"/>
                <w:color w:val="auto"/>
                <w:kern w:val="2"/>
                <w:sz w:val="21"/>
                <w:szCs w:val="21"/>
                <w:highlight w:val="none"/>
                <w:lang w:val="en-US" w:eastAsia="zh-CN" w:bidi="ar-SA"/>
              </w:rPr>
              <w:t>）</w:t>
            </w:r>
            <w:r>
              <w:rPr>
                <w:rFonts w:hint="eastAsia" w:ascii="宋体" w:hAnsi="宋体" w:eastAsia="宋体"/>
                <w:color w:val="auto"/>
                <w:sz w:val="21"/>
                <w:szCs w:val="21"/>
                <w:highlight w:val="none"/>
              </w:rPr>
              <w:t>合同签订期：成交通知书发出之日起</w:t>
            </w:r>
            <w:r>
              <w:rPr>
                <w:rFonts w:hint="eastAsia" w:ascii="宋体" w:hAnsi="宋体"/>
                <w:color w:val="auto"/>
                <w:sz w:val="21"/>
                <w:szCs w:val="21"/>
                <w:highlight w:val="none"/>
                <w:lang w:val="en-US" w:eastAsia="zh-CN"/>
              </w:rPr>
              <w:t>15</w:t>
            </w:r>
            <w:r>
              <w:rPr>
                <w:rFonts w:hint="eastAsia" w:ascii="宋体" w:hAnsi="宋体" w:eastAsia="宋体"/>
                <w:color w:val="auto"/>
                <w:sz w:val="21"/>
                <w:szCs w:val="21"/>
                <w:highlight w:val="none"/>
              </w:rPr>
              <w:t>个自然日内。</w:t>
            </w:r>
          </w:p>
          <w:p w14:paraId="5EDB095C">
            <w:pPr>
              <w:rPr>
                <w:rFonts w:hint="eastAsia" w:ascii="宋体" w:hAnsi="宋体" w:eastAsia="宋体"/>
                <w:color w:val="auto"/>
                <w:sz w:val="21"/>
                <w:szCs w:val="21"/>
                <w:highlight w:val="none"/>
              </w:rPr>
            </w:pPr>
            <w:r>
              <w:rPr>
                <w:rFonts w:hint="eastAsia" w:ascii="宋体" w:hAnsi="宋体" w:eastAsia="宋体"/>
                <w:b w:val="0"/>
                <w:color w:val="auto"/>
                <w:kern w:val="2"/>
                <w:sz w:val="21"/>
                <w:szCs w:val="21"/>
                <w:highlight w:val="none"/>
                <w:lang w:val="en-US" w:eastAsia="zh-CN" w:bidi="ar-SA"/>
              </w:rPr>
              <w:t>（2）</w:t>
            </w:r>
            <w:r>
              <w:rPr>
                <w:rFonts w:hint="eastAsia" w:ascii="宋体" w:hAnsi="宋体" w:eastAsia="宋体"/>
                <w:color w:val="auto"/>
                <w:sz w:val="21"/>
                <w:szCs w:val="21"/>
                <w:highlight w:val="none"/>
              </w:rPr>
              <w:t>合同签订地点：采购人指定地点。</w:t>
            </w:r>
          </w:p>
        </w:tc>
      </w:tr>
      <w:tr w14:paraId="0A1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2E29F5E3">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交付使用期及交货地点</w:t>
            </w:r>
          </w:p>
        </w:tc>
        <w:tc>
          <w:tcPr>
            <w:tcW w:w="9405" w:type="dxa"/>
            <w:vAlign w:val="center"/>
          </w:tcPr>
          <w:p w14:paraId="1F5778EF">
            <w:pPr>
              <w:rPr>
                <w:rFonts w:hint="eastAsia" w:ascii="宋体" w:hAnsi="宋体" w:eastAsia="宋体" w:cs="Times New Roman"/>
                <w:color w:val="auto"/>
                <w:sz w:val="21"/>
                <w:szCs w:val="21"/>
                <w:highlight w:val="none"/>
              </w:rPr>
            </w:pPr>
            <w:r>
              <w:rPr>
                <w:rFonts w:hint="eastAsia" w:ascii="宋体" w:hAnsi="宋体" w:eastAsia="宋体"/>
                <w:b w:val="0"/>
                <w:color w:val="auto"/>
                <w:kern w:val="2"/>
                <w:sz w:val="21"/>
                <w:szCs w:val="21"/>
                <w:highlight w:val="none"/>
                <w:lang w:val="en-US" w:eastAsia="zh-CN" w:bidi="ar-SA"/>
              </w:rPr>
              <w:t>（</w:t>
            </w:r>
            <w:r>
              <w:rPr>
                <w:rFonts w:hint="eastAsia" w:ascii="宋体" w:hAnsi="宋体"/>
                <w:b w:val="0"/>
                <w:color w:val="auto"/>
                <w:kern w:val="2"/>
                <w:sz w:val="21"/>
                <w:szCs w:val="21"/>
                <w:highlight w:val="none"/>
                <w:lang w:val="en-US" w:eastAsia="zh-CN" w:bidi="ar-SA"/>
              </w:rPr>
              <w:t>1</w:t>
            </w:r>
            <w:r>
              <w:rPr>
                <w:rFonts w:hint="eastAsia" w:ascii="宋体" w:hAnsi="宋体" w:eastAsia="宋体"/>
                <w:b w:val="0"/>
                <w:color w:val="auto"/>
                <w:kern w:val="2"/>
                <w:sz w:val="21"/>
                <w:szCs w:val="21"/>
                <w:highlight w:val="none"/>
                <w:lang w:val="en-US" w:eastAsia="zh-CN" w:bidi="ar-SA"/>
              </w:rPr>
              <w:t>）</w:t>
            </w:r>
            <w:r>
              <w:rPr>
                <w:rFonts w:hint="eastAsia" w:ascii="宋体" w:hAnsi="宋体" w:eastAsia="宋体" w:cs="Times New Roman"/>
                <w:color w:val="auto"/>
                <w:sz w:val="21"/>
                <w:szCs w:val="21"/>
                <w:highlight w:val="none"/>
              </w:rPr>
              <w:t>交付使用时间：</w:t>
            </w:r>
            <w:r>
              <w:rPr>
                <w:rFonts w:hint="eastAsia" w:ascii="宋体" w:hAnsi="宋体" w:eastAsia="宋体" w:cs="Times New Roman"/>
                <w:color w:val="auto"/>
                <w:sz w:val="21"/>
                <w:szCs w:val="21"/>
                <w:highlight w:val="none"/>
                <w:lang w:val="en-US" w:eastAsia="zh-CN"/>
              </w:rPr>
              <w:t>签订合同后现场符合安装条件下</w:t>
            </w:r>
            <w:r>
              <w:rPr>
                <w:rFonts w:hint="eastAsia" w:ascii="宋体" w:hAnsi="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lang w:val="en-US" w:eastAsia="zh-CN"/>
              </w:rPr>
              <w:t>个日历天内完成电梯供货，供货完成后15个日历天内完成安装并启动报验手续</w:t>
            </w:r>
            <w:r>
              <w:rPr>
                <w:rFonts w:hint="eastAsia" w:ascii="宋体" w:hAnsi="宋体" w:eastAsia="宋体" w:cs="Times New Roman"/>
                <w:color w:val="auto"/>
                <w:sz w:val="21"/>
                <w:szCs w:val="21"/>
                <w:highlight w:val="none"/>
              </w:rPr>
              <w:t>。</w:t>
            </w:r>
          </w:p>
          <w:p w14:paraId="5B14EF07">
            <w:pPr>
              <w:rPr>
                <w:rFonts w:hint="eastAsia" w:ascii="宋体" w:hAnsi="宋体" w:eastAsia="宋体"/>
                <w:color w:val="auto"/>
                <w:sz w:val="21"/>
                <w:szCs w:val="21"/>
                <w:highlight w:val="none"/>
              </w:rPr>
            </w:pPr>
            <w:r>
              <w:rPr>
                <w:rFonts w:hint="eastAsia" w:ascii="宋体" w:hAnsi="宋体" w:eastAsia="宋体"/>
                <w:b w:val="0"/>
                <w:color w:val="auto"/>
                <w:kern w:val="2"/>
                <w:sz w:val="21"/>
                <w:szCs w:val="21"/>
                <w:highlight w:val="none"/>
                <w:lang w:val="en-US" w:eastAsia="zh-CN" w:bidi="ar-SA"/>
              </w:rPr>
              <w:t>（2）</w:t>
            </w:r>
            <w:r>
              <w:rPr>
                <w:rFonts w:hint="eastAsia" w:ascii="宋体" w:hAnsi="宋体" w:eastAsia="宋体"/>
                <w:color w:val="auto"/>
                <w:sz w:val="21"/>
                <w:szCs w:val="21"/>
                <w:highlight w:val="none"/>
              </w:rPr>
              <w:t>交货地点：采购人指定地点。</w:t>
            </w:r>
          </w:p>
        </w:tc>
      </w:tr>
      <w:tr w14:paraId="254D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59751E19">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踏勘</w:t>
            </w:r>
            <w:r>
              <w:rPr>
                <w:rFonts w:hint="eastAsia" w:ascii="宋体" w:hAnsi="宋体" w:eastAsia="宋体"/>
                <w:color w:val="auto"/>
                <w:sz w:val="21"/>
                <w:szCs w:val="21"/>
                <w:highlight w:val="none"/>
                <w:lang w:eastAsia="zh-CN"/>
              </w:rPr>
              <w:t>要求</w:t>
            </w:r>
          </w:p>
        </w:tc>
        <w:tc>
          <w:tcPr>
            <w:tcW w:w="9405" w:type="dxa"/>
            <w:vAlign w:val="center"/>
          </w:tcPr>
          <w:p w14:paraId="69DE3A51">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现场踏勘：</w:t>
            </w:r>
          </w:p>
          <w:p w14:paraId="774A6D0C">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为保证供应商对整个项目有全面的了解，供应商自行现场踏勘，否则由于了解不</w:t>
            </w:r>
            <w:r>
              <w:rPr>
                <w:rFonts w:hint="eastAsia" w:ascii="宋体" w:hAnsi="宋体"/>
                <w:color w:val="auto"/>
                <w:sz w:val="21"/>
                <w:szCs w:val="21"/>
                <w:highlight w:val="none"/>
                <w:lang w:eastAsia="zh-CN"/>
              </w:rPr>
              <w:t>透彻</w:t>
            </w:r>
            <w:r>
              <w:rPr>
                <w:rFonts w:hint="eastAsia" w:ascii="宋体" w:hAnsi="宋体" w:eastAsia="宋体"/>
                <w:color w:val="auto"/>
                <w:sz w:val="21"/>
                <w:szCs w:val="21"/>
                <w:highlight w:val="none"/>
              </w:rPr>
              <w:t>导致投标失误的后果由供应商自行承担，现场踏勘所发生的一切费用均由供应商自行承担。</w:t>
            </w:r>
          </w:p>
        </w:tc>
      </w:tr>
      <w:tr w14:paraId="210A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072F76E2">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付款条件（付款方式）</w:t>
            </w:r>
          </w:p>
        </w:tc>
        <w:tc>
          <w:tcPr>
            <w:tcW w:w="9405" w:type="dxa"/>
            <w:vAlign w:val="center"/>
          </w:tcPr>
          <w:p w14:paraId="7753F96B">
            <w:pPr>
              <w:rPr>
                <w:rFonts w:hint="eastAsia" w:ascii="宋体" w:hAnsi="宋体" w:eastAsia="宋体" w:cs="Times New Roman"/>
                <w:color w:val="auto"/>
                <w:sz w:val="21"/>
                <w:szCs w:val="21"/>
                <w:highlight w:val="none"/>
              </w:rPr>
            </w:pPr>
            <w:r>
              <w:rPr>
                <w:rFonts w:hint="eastAsia" w:ascii="宋体" w:hAnsi="宋体" w:eastAsia="宋体"/>
                <w:b w:val="0"/>
                <w:color w:val="auto"/>
                <w:kern w:val="2"/>
                <w:sz w:val="21"/>
                <w:szCs w:val="21"/>
                <w:highlight w:val="none"/>
                <w:lang w:val="en-US" w:eastAsia="zh-CN" w:bidi="ar-SA"/>
              </w:rPr>
              <w:t>（</w:t>
            </w:r>
            <w:r>
              <w:rPr>
                <w:rFonts w:hint="eastAsia" w:ascii="宋体" w:hAnsi="宋体"/>
                <w:b w:val="0"/>
                <w:color w:val="auto"/>
                <w:kern w:val="2"/>
                <w:sz w:val="21"/>
                <w:szCs w:val="21"/>
                <w:highlight w:val="none"/>
                <w:lang w:val="en-US" w:eastAsia="zh-CN" w:bidi="ar-SA"/>
              </w:rPr>
              <w:t>1</w:t>
            </w:r>
            <w:r>
              <w:rPr>
                <w:rFonts w:hint="eastAsia" w:ascii="宋体" w:hAnsi="宋体" w:eastAsia="宋体"/>
                <w:b w:val="0"/>
                <w:color w:val="auto"/>
                <w:kern w:val="2"/>
                <w:sz w:val="21"/>
                <w:szCs w:val="21"/>
                <w:highlight w:val="none"/>
                <w:lang w:val="en-US" w:eastAsia="zh-CN" w:bidi="ar-SA"/>
              </w:rPr>
              <w:t>）</w:t>
            </w:r>
            <w:r>
              <w:rPr>
                <w:rFonts w:hint="default" w:ascii="宋体" w:hAnsi="宋体" w:eastAsia="宋体" w:cs="Times New Roman"/>
                <w:color w:val="auto"/>
                <w:sz w:val="21"/>
                <w:szCs w:val="21"/>
                <w:highlight w:val="none"/>
                <w:lang w:val="en-US" w:eastAsia="zh-CN"/>
              </w:rPr>
              <w:t>付款方式</w:t>
            </w:r>
            <w:r>
              <w:rPr>
                <w:rFonts w:hint="eastAsia" w:ascii="宋体" w:hAnsi="宋体" w:cs="Times New Roman"/>
                <w:color w:val="auto"/>
                <w:sz w:val="21"/>
                <w:szCs w:val="21"/>
                <w:highlight w:val="none"/>
                <w:lang w:val="en-US" w:eastAsia="zh-CN"/>
              </w:rPr>
              <w:t>：</w:t>
            </w:r>
          </w:p>
          <w:p w14:paraId="1EB08776">
            <w:pP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第一期：设备安装调试完毕进行验收后，供应商开具有效的普通完税发票，30天内支付成交金额的50%货款；</w:t>
            </w:r>
          </w:p>
          <w:p w14:paraId="5422126A">
            <w:pP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第二期：验收合格后并办理完成使用前一切手续及证件第3个月支付合同金额的40%；</w:t>
            </w:r>
          </w:p>
          <w:p w14:paraId="554D2474">
            <w:pP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第三期：履约期满后30天内凭成交人提供的请款函支付合同金额的10%。</w:t>
            </w:r>
          </w:p>
          <w:p w14:paraId="796C1EBA">
            <w:pP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付款前中标人须向采购人开具全额发票并提供质保期满验收凭证，结算方式采用对公凭票结算，转账支付。</w:t>
            </w:r>
          </w:p>
          <w:p w14:paraId="6B59D40F">
            <w:pPr>
              <w:rPr>
                <w:rFonts w:hint="default" w:ascii="宋体" w:hAnsi="宋体" w:eastAsia="宋体" w:cs="Times New Roman"/>
                <w:color w:val="auto"/>
                <w:sz w:val="21"/>
                <w:szCs w:val="21"/>
                <w:highlight w:val="none"/>
              </w:rPr>
            </w:pPr>
            <w:r>
              <w:rPr>
                <w:rFonts w:hint="eastAsia" w:ascii="宋体" w:hAnsi="宋体" w:eastAsia="宋体"/>
                <w:b w:val="0"/>
                <w:color w:val="auto"/>
                <w:kern w:val="2"/>
                <w:sz w:val="21"/>
                <w:szCs w:val="21"/>
                <w:highlight w:val="none"/>
                <w:lang w:val="en-US" w:eastAsia="zh-CN" w:bidi="ar-SA"/>
              </w:rPr>
              <w:t>（2）</w:t>
            </w:r>
            <w:r>
              <w:rPr>
                <w:rFonts w:hint="default" w:ascii="宋体" w:hAnsi="宋体" w:eastAsia="宋体" w:cs="Times New Roman"/>
                <w:color w:val="auto"/>
                <w:sz w:val="21"/>
                <w:szCs w:val="21"/>
                <w:highlight w:val="none"/>
                <w:lang w:val="en-US" w:eastAsia="zh-CN"/>
              </w:rPr>
              <w:t>发票及违约</w:t>
            </w:r>
            <w:r>
              <w:rPr>
                <w:rFonts w:hint="eastAsia" w:ascii="宋体" w:hAnsi="宋体" w:cs="Times New Roman"/>
                <w:color w:val="auto"/>
                <w:sz w:val="21"/>
                <w:szCs w:val="21"/>
                <w:highlight w:val="none"/>
                <w:lang w:val="en-US" w:eastAsia="zh-CN"/>
              </w:rPr>
              <w:t>：</w:t>
            </w:r>
            <w:r>
              <w:rPr>
                <w:rFonts w:hint="default" w:ascii="宋体" w:hAnsi="宋体" w:eastAsia="宋体" w:cs="Times New Roman"/>
                <w:color w:val="auto"/>
                <w:sz w:val="21"/>
                <w:szCs w:val="21"/>
                <w:highlight w:val="none"/>
                <w:lang w:val="en-US" w:eastAsia="zh-CN"/>
              </w:rPr>
              <w:t>​</w:t>
            </w:r>
          </w:p>
          <w:p w14:paraId="36881BC0">
            <w:pPr>
              <w:rPr>
                <w:rFonts w:hint="eastAsia" w:ascii="宋体" w:hAnsi="宋体" w:eastAsia="宋体"/>
                <w:color w:val="auto"/>
                <w:sz w:val="21"/>
                <w:szCs w:val="21"/>
                <w:highlight w:val="none"/>
              </w:rPr>
            </w:pPr>
            <w:r>
              <w:rPr>
                <w:rFonts w:hint="default" w:ascii="宋体" w:hAnsi="宋体" w:eastAsia="宋体"/>
                <w:color w:val="auto"/>
                <w:sz w:val="21"/>
                <w:szCs w:val="21"/>
                <w:highlight w:val="none"/>
                <w:lang w:val="en-US" w:eastAsia="zh-CN"/>
              </w:rPr>
              <w:t>供应商须提供合法发票。若为假票，须补开并赔偿票面金额一倍违约金，承担全部损失。</w:t>
            </w:r>
          </w:p>
        </w:tc>
      </w:tr>
      <w:tr w14:paraId="084B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75" w:type="dxa"/>
            <w:vAlign w:val="center"/>
          </w:tcPr>
          <w:p w14:paraId="094FD940">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售后服务要求</w:t>
            </w:r>
          </w:p>
        </w:tc>
        <w:tc>
          <w:tcPr>
            <w:tcW w:w="9405" w:type="dxa"/>
            <w:vAlign w:val="center"/>
          </w:tcPr>
          <w:p w14:paraId="3DE4FAFA">
            <w:pPr>
              <w:rPr>
                <w:rFonts w:hint="eastAsia" w:ascii="宋体" w:hAnsi="宋体" w:eastAsia="宋体" w:cs="Times New Roman"/>
                <w:color w:val="auto"/>
                <w:sz w:val="21"/>
                <w:szCs w:val="21"/>
                <w:highlight w:val="none"/>
                <w:lang w:val="en-US" w:eastAsia="zh-CN"/>
              </w:rPr>
            </w:pPr>
            <w:r>
              <w:rPr>
                <w:rFonts w:hint="eastAsia" w:ascii="宋体" w:hAnsi="宋体" w:eastAsia="宋体"/>
                <w:b w:val="0"/>
                <w:color w:val="auto"/>
                <w:kern w:val="2"/>
                <w:sz w:val="21"/>
                <w:szCs w:val="21"/>
                <w:highlight w:val="none"/>
                <w:lang w:val="en-US" w:eastAsia="zh-CN" w:bidi="ar-SA"/>
              </w:rPr>
              <w:t>（</w:t>
            </w:r>
            <w:r>
              <w:rPr>
                <w:rFonts w:hint="eastAsia" w:ascii="宋体" w:hAnsi="宋体"/>
                <w:b w:val="0"/>
                <w:color w:val="auto"/>
                <w:kern w:val="2"/>
                <w:sz w:val="21"/>
                <w:szCs w:val="21"/>
                <w:highlight w:val="none"/>
                <w:lang w:val="en-US" w:eastAsia="zh-CN" w:bidi="ar-SA"/>
              </w:rPr>
              <w:t>1</w:t>
            </w:r>
            <w:r>
              <w:rPr>
                <w:rFonts w:hint="eastAsia" w:ascii="宋体" w:hAnsi="宋体" w:eastAsia="宋体"/>
                <w:b w:val="0"/>
                <w:color w:val="auto"/>
                <w:kern w:val="2"/>
                <w:sz w:val="21"/>
                <w:szCs w:val="21"/>
                <w:highlight w:val="none"/>
                <w:lang w:val="en-US" w:eastAsia="zh-CN" w:bidi="ar-SA"/>
              </w:rPr>
              <w:t>）</w:t>
            </w:r>
            <w:r>
              <w:rPr>
                <w:rFonts w:hint="eastAsia" w:ascii="宋体" w:hAnsi="宋体" w:eastAsia="宋体" w:cs="Times New Roman"/>
                <w:color w:val="auto"/>
                <w:sz w:val="21"/>
                <w:szCs w:val="21"/>
                <w:highlight w:val="none"/>
                <w:lang w:val="en-US" w:eastAsia="zh-CN"/>
              </w:rPr>
              <w:t>质量保证期1年（自交货并验收合格之日起计）。所有产品按国家有关产品“三包”规定执行“三包”，其他产品质量保证期以竞标人承诺为准，但不得低于1年的质量保证期。</w:t>
            </w:r>
          </w:p>
          <w:p w14:paraId="2E986BA5">
            <w:pPr>
              <w:rPr>
                <w:rFonts w:hint="eastAsia" w:ascii="宋体" w:hAnsi="宋体" w:eastAsia="宋体" w:cs="Times New Roman"/>
                <w:color w:val="auto"/>
                <w:sz w:val="21"/>
                <w:szCs w:val="21"/>
                <w:highlight w:val="none"/>
                <w:lang w:val="en-US" w:eastAsia="zh-CN"/>
              </w:rPr>
            </w:pPr>
            <w:r>
              <w:rPr>
                <w:rFonts w:hint="eastAsia" w:ascii="宋体" w:hAnsi="宋体" w:eastAsia="宋体"/>
                <w:b w:val="0"/>
                <w:color w:val="auto"/>
                <w:kern w:val="2"/>
                <w:sz w:val="21"/>
                <w:szCs w:val="21"/>
                <w:highlight w:val="none"/>
                <w:lang w:val="en-US" w:eastAsia="zh-CN" w:bidi="ar-SA"/>
              </w:rPr>
              <w:t>（2）</w:t>
            </w:r>
            <w:r>
              <w:rPr>
                <w:rFonts w:hint="eastAsia" w:ascii="宋体" w:hAnsi="宋体" w:eastAsia="宋体" w:cs="Times New Roman"/>
                <w:color w:val="auto"/>
                <w:sz w:val="21"/>
                <w:szCs w:val="21"/>
                <w:highlight w:val="none"/>
                <w:lang w:val="en-US" w:eastAsia="zh-CN"/>
              </w:rPr>
              <w:t>免费送货上门、免费安装调试至验收合格。要求竞标产品是全新的、满足本项目需要的技术参数及性能（配置）要求的产品；质量保证期以竞标人承诺为准，按厂家承诺实行“三包”。供应商必须具有安装维修资质，质保期内每季度进行一次全面的检修，每月两次免费保养服务（检测、清洁、加油、调整、校正），提供24小时的急修服务，一旦电梯出现故障，接到报修电话后30分钟内有维修人员到达现场排除故障；一般故障修复时间不超过4小时，重大故障修复时间不超过48小时；质保期内发生故障需更换零配件的，必须保证零配件为原厂配件；质保期满后，需提供终身有偿维护保养服务，并承诺以优于市场价格收取维保费。</w:t>
            </w:r>
          </w:p>
          <w:p w14:paraId="1C561005">
            <w:pPr>
              <w:rPr>
                <w:rFonts w:hint="eastAsia" w:ascii="宋体" w:hAnsi="宋体" w:eastAsia="宋体" w:cs="Times New Roman"/>
                <w:color w:val="auto"/>
                <w:sz w:val="21"/>
                <w:szCs w:val="21"/>
                <w:highlight w:val="none"/>
                <w:lang w:val="en-US" w:eastAsia="zh-CN"/>
              </w:rPr>
            </w:pPr>
            <w:r>
              <w:rPr>
                <w:rFonts w:hint="eastAsia" w:ascii="宋体" w:hAnsi="宋体" w:eastAsia="宋体"/>
                <w:b w:val="0"/>
                <w:color w:val="auto"/>
                <w:kern w:val="2"/>
                <w:sz w:val="21"/>
                <w:szCs w:val="21"/>
                <w:highlight w:val="none"/>
                <w:lang w:val="en-US" w:eastAsia="zh-CN" w:bidi="ar-SA"/>
              </w:rPr>
              <w:t>（</w:t>
            </w:r>
            <w:r>
              <w:rPr>
                <w:rFonts w:hint="eastAsia" w:ascii="宋体" w:hAnsi="宋体"/>
                <w:b w:val="0"/>
                <w:color w:val="auto"/>
                <w:kern w:val="2"/>
                <w:sz w:val="21"/>
                <w:szCs w:val="21"/>
                <w:highlight w:val="none"/>
                <w:lang w:val="en-US" w:eastAsia="zh-CN" w:bidi="ar-SA"/>
              </w:rPr>
              <w:t>3</w:t>
            </w:r>
            <w:r>
              <w:rPr>
                <w:rFonts w:hint="eastAsia" w:ascii="宋体" w:hAnsi="宋体" w:eastAsia="宋体"/>
                <w:b w:val="0"/>
                <w:color w:val="auto"/>
                <w:kern w:val="2"/>
                <w:sz w:val="21"/>
                <w:szCs w:val="21"/>
                <w:highlight w:val="none"/>
                <w:lang w:val="en-US" w:eastAsia="zh-CN" w:bidi="ar-SA"/>
              </w:rPr>
              <w:t>）</w:t>
            </w:r>
            <w:r>
              <w:rPr>
                <w:rFonts w:hint="eastAsia" w:ascii="宋体" w:hAnsi="宋体" w:eastAsia="宋体" w:cs="Times New Roman"/>
                <w:color w:val="auto"/>
                <w:sz w:val="21"/>
                <w:szCs w:val="21"/>
                <w:highlight w:val="none"/>
                <w:lang w:val="en-US" w:eastAsia="zh-CN"/>
              </w:rPr>
              <w:t>保修期内不收取任何费用(人为损坏和自然灾害除外），保修期外，供货方仍将提供终身维修服务，只收取合理的费用，并提供零配件优惠服务方案。</w:t>
            </w:r>
          </w:p>
          <w:p w14:paraId="62EC6F3E">
            <w:pPr>
              <w:numPr>
                <w:ilvl w:val="0"/>
                <w:numId w:val="0"/>
              </w:numPr>
              <w:rPr>
                <w:rFonts w:hint="eastAsia" w:ascii="宋体" w:hAnsi="宋体" w:eastAsia="宋体"/>
                <w:color w:val="auto"/>
                <w:sz w:val="21"/>
                <w:szCs w:val="21"/>
                <w:highlight w:val="none"/>
              </w:rPr>
            </w:pPr>
            <w:r>
              <w:rPr>
                <w:rFonts w:hint="eastAsia" w:ascii="宋体" w:hAnsi="宋体" w:eastAsia="宋体"/>
                <w:b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b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b w:val="0"/>
                <w:color w:val="000000" w:themeColor="text1"/>
                <w:kern w:val="2"/>
                <w:sz w:val="21"/>
                <w:szCs w:val="21"/>
                <w:highlight w:val="none"/>
                <w:lang w:val="en-US" w:eastAsia="zh-CN" w:bidi="ar-SA"/>
                <w14:textFill>
                  <w14:solidFill>
                    <w14:schemeClr w14:val="tx1"/>
                  </w14:solidFill>
                </w14:textFill>
              </w:rPr>
              <w:t>）</w:t>
            </w:r>
            <w:r>
              <w:rPr>
                <w:rFonts w:hint="eastAsia"/>
                <w:color w:val="000000" w:themeColor="text1"/>
                <w:sz w:val="22"/>
                <w:szCs w:val="22"/>
                <w:highlight w:val="none"/>
                <w:lang w:eastAsia="zh-CN"/>
                <w14:textFill>
                  <w14:solidFill>
                    <w14:schemeClr w14:val="tx1"/>
                  </w14:solidFill>
                </w14:textFill>
              </w:rPr>
              <w:t>负责为采购人免费培训电梯司机及电梯维修人员</w:t>
            </w:r>
            <w:r>
              <w:rPr>
                <w:color w:val="000000" w:themeColor="text1"/>
                <w:sz w:val="22"/>
                <w:szCs w:val="22"/>
                <w:highlight w:val="none"/>
                <w:lang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名</w:t>
            </w:r>
            <w:r>
              <w:rPr>
                <w:rFonts w:hint="eastAsia" w:ascii="宋体" w:hAnsi="宋体" w:eastAsia="宋体"/>
                <w:color w:val="000000" w:themeColor="text1"/>
                <w:sz w:val="21"/>
                <w:szCs w:val="21"/>
                <w:highlight w:val="none"/>
                <w14:textFill>
                  <w14:solidFill>
                    <w14:schemeClr w14:val="tx1"/>
                  </w14:solidFill>
                </w14:textFill>
              </w:rPr>
              <w:t>。</w:t>
            </w:r>
          </w:p>
        </w:tc>
      </w:tr>
      <w:tr w14:paraId="3329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0E9507A4">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售后技术要求</w:t>
            </w:r>
          </w:p>
        </w:tc>
        <w:tc>
          <w:tcPr>
            <w:tcW w:w="9405" w:type="dxa"/>
            <w:vAlign w:val="center"/>
          </w:tcPr>
          <w:p w14:paraId="4C1EFE71">
            <w:pPr>
              <w:rPr>
                <w:rFonts w:hint="eastAsia" w:ascii="宋体" w:hAnsi="宋体" w:eastAsia="宋体"/>
                <w:color w:val="auto"/>
                <w:sz w:val="21"/>
                <w:szCs w:val="21"/>
                <w:highlight w:val="none"/>
              </w:rPr>
            </w:pPr>
            <w:r>
              <w:rPr>
                <w:rFonts w:hint="eastAsia" w:ascii="宋体" w:hAnsi="宋体" w:eastAsia="宋体"/>
                <w:b w:val="0"/>
                <w:color w:val="auto"/>
                <w:kern w:val="2"/>
                <w:sz w:val="21"/>
                <w:szCs w:val="21"/>
                <w:highlight w:val="none"/>
                <w:lang w:val="en-US" w:eastAsia="zh-CN" w:bidi="ar-SA"/>
              </w:rPr>
              <w:t>（</w:t>
            </w:r>
            <w:r>
              <w:rPr>
                <w:rFonts w:hint="eastAsia" w:ascii="宋体" w:hAnsi="宋体"/>
                <w:b w:val="0"/>
                <w:color w:val="auto"/>
                <w:kern w:val="2"/>
                <w:sz w:val="21"/>
                <w:szCs w:val="21"/>
                <w:highlight w:val="none"/>
                <w:lang w:val="en-US" w:eastAsia="zh-CN" w:bidi="ar-SA"/>
              </w:rPr>
              <w:t>1</w:t>
            </w:r>
            <w:r>
              <w:rPr>
                <w:rFonts w:hint="eastAsia" w:ascii="宋体" w:hAnsi="宋体" w:eastAsia="宋体"/>
                <w:b w:val="0"/>
                <w:color w:val="auto"/>
                <w:kern w:val="2"/>
                <w:sz w:val="21"/>
                <w:szCs w:val="21"/>
                <w:highlight w:val="none"/>
                <w:lang w:val="en-US" w:eastAsia="zh-CN" w:bidi="ar-SA"/>
              </w:rPr>
              <w:t>）</w:t>
            </w:r>
            <w:r>
              <w:rPr>
                <w:rFonts w:hint="eastAsia" w:ascii="宋体" w:hAnsi="宋体" w:eastAsia="宋体"/>
                <w:color w:val="auto"/>
                <w:sz w:val="21"/>
                <w:szCs w:val="21"/>
                <w:highlight w:val="none"/>
              </w:rPr>
              <w:t>整机由设备</w:t>
            </w:r>
            <w:r>
              <w:rPr>
                <w:rFonts w:hint="eastAsia" w:ascii="宋体" w:hAnsi="宋体" w:eastAsia="宋体"/>
                <w:color w:val="auto"/>
                <w:sz w:val="21"/>
                <w:szCs w:val="21"/>
                <w:highlight w:val="none"/>
                <w:lang w:val="en-US" w:eastAsia="zh-CN"/>
              </w:rPr>
              <w:t>供应</w:t>
            </w:r>
            <w:r>
              <w:rPr>
                <w:rFonts w:hint="eastAsia" w:ascii="宋体" w:hAnsi="宋体" w:eastAsia="宋体"/>
                <w:color w:val="auto"/>
                <w:sz w:val="21"/>
                <w:szCs w:val="21"/>
                <w:highlight w:val="none"/>
              </w:rPr>
              <w:t>商提供原厂有限免费上门维修服务（节假日不休），终身移动和固定电话均可免费拨打的呼叫中心热线7×24小时免费技术支持服务。</w:t>
            </w:r>
          </w:p>
          <w:p w14:paraId="25349345">
            <w:pPr>
              <w:rPr>
                <w:rFonts w:hint="eastAsia" w:ascii="宋体" w:hAnsi="宋体" w:eastAsia="宋体"/>
                <w:color w:val="auto"/>
                <w:sz w:val="21"/>
                <w:szCs w:val="21"/>
                <w:highlight w:val="none"/>
              </w:rPr>
            </w:pPr>
            <w:r>
              <w:rPr>
                <w:rFonts w:hint="eastAsia" w:ascii="宋体" w:hAnsi="宋体" w:eastAsia="宋体"/>
                <w:b w:val="0"/>
                <w:color w:val="auto"/>
                <w:kern w:val="2"/>
                <w:sz w:val="21"/>
                <w:szCs w:val="21"/>
                <w:highlight w:val="none"/>
                <w:lang w:val="en-US" w:eastAsia="zh-CN" w:bidi="ar-SA"/>
              </w:rPr>
              <w:t>（2）</w:t>
            </w:r>
            <w:r>
              <w:rPr>
                <w:rFonts w:hint="eastAsia" w:ascii="宋体" w:hAnsi="宋体" w:eastAsia="宋体"/>
                <w:color w:val="auto"/>
                <w:sz w:val="21"/>
                <w:szCs w:val="21"/>
                <w:highlight w:val="none"/>
              </w:rPr>
              <w:t>其余按国家标准执行。</w:t>
            </w:r>
          </w:p>
        </w:tc>
      </w:tr>
      <w:tr w14:paraId="228F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275" w:type="dxa"/>
            <w:vAlign w:val="center"/>
          </w:tcPr>
          <w:p w14:paraId="2A7FCEAE">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履约保证金收取及退付</w:t>
            </w:r>
          </w:p>
        </w:tc>
        <w:tc>
          <w:tcPr>
            <w:tcW w:w="9405" w:type="dxa"/>
            <w:vAlign w:val="center"/>
          </w:tcPr>
          <w:p w14:paraId="3651368E">
            <w:pPr>
              <w:numPr>
                <w:ilvl w:val="0"/>
                <w:numId w:val="4"/>
              </w:numPr>
              <w:spacing w:line="360" w:lineRule="exact"/>
              <w:ind w:left="105" w:leftChars="0" w:firstLine="0" w:firstLineChars="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履约保证金收取</w:t>
            </w:r>
            <w:r>
              <w:rPr>
                <w:rFonts w:hint="eastAsia" w:ascii="宋体" w:hAnsi="宋体" w:eastAsia="宋体"/>
                <w:color w:val="000000" w:themeColor="text1"/>
                <w:sz w:val="21"/>
                <w:szCs w:val="21"/>
                <w:highlight w:val="none"/>
                <w:lang w:val="en-US" w:eastAsia="zh-CN"/>
                <w14:textFill>
                  <w14:solidFill>
                    <w14:schemeClr w14:val="tx1"/>
                  </w14:solidFill>
                </w14:textFill>
              </w:rPr>
              <w:t>与退付</w:t>
            </w:r>
            <w:r>
              <w:rPr>
                <w:rFonts w:hint="eastAsia" w:ascii="宋体" w:hAnsi="宋体" w:eastAsia="宋体"/>
                <w:color w:val="000000" w:themeColor="text1"/>
                <w:sz w:val="21"/>
                <w:szCs w:val="21"/>
                <w:highlight w:val="none"/>
                <w14:textFill>
                  <w14:solidFill>
                    <w14:schemeClr w14:val="tx1"/>
                  </w14:solidFill>
                </w14:textFill>
              </w:rPr>
              <w:t>：签订合同前，成交供应商按合同金额的</w:t>
            </w:r>
            <w:r>
              <w:rPr>
                <w:rFonts w:hint="eastAsia" w:ascii="宋体" w:hAnsi="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b w:val="0"/>
                <w:bCs w:val="0"/>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向采购人支付履约保证金或银行、担保机构出具的同等额度的履约保函，履约结束后，如无质量纠纷，三十个工作日内免息退回履约保证金（按合同约定被扣除的除外。成交供应商若不能完全履行合同，履约保证金不返还</w:t>
            </w:r>
            <w:r>
              <w:rPr>
                <w:rFonts w:hint="eastAsia" w:ascii="宋体" w:hAnsi="宋体" w:eastAsia="宋体"/>
                <w:color w:val="000000" w:themeColor="text1"/>
                <w:sz w:val="21"/>
                <w:szCs w:val="21"/>
                <w:highlight w:val="none"/>
                <w:lang w:eastAsia="zh-CN"/>
                <w14:textFill>
                  <w14:solidFill>
                    <w14:schemeClr w14:val="tx1"/>
                  </w14:solidFill>
                </w14:textFill>
              </w:rPr>
              <w:t>。</w:t>
            </w:r>
          </w:p>
          <w:p w14:paraId="0F019418">
            <w:pPr>
              <w:numPr>
                <w:ilvl w:val="0"/>
                <w:numId w:val="4"/>
              </w:numPr>
              <w:spacing w:line="360" w:lineRule="exact"/>
              <w:ind w:left="105" w:leftChars="0" w:firstLine="0" w:firstLineChars="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履约保证金递交方式：以电汇、转账、汇票等非现金形式提交。由成交供应商在签订合同前按规定的金额直接缴入以下采购人账户。凭履约保证金缴纳凭证签订合同。</w:t>
            </w:r>
          </w:p>
          <w:p w14:paraId="135E0C91">
            <w:pPr>
              <w:numPr>
                <w:ilvl w:val="0"/>
                <w:numId w:val="4"/>
              </w:numPr>
              <w:spacing w:line="360" w:lineRule="exact"/>
              <w:ind w:left="105" w:leftChars="0" w:firstLine="0" w:firstLineChars="0"/>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开户名称：</w:t>
            </w:r>
            <w:r>
              <w:rPr>
                <w:rFonts w:hint="eastAsia" w:ascii="宋体" w:hAnsi="宋体" w:eastAsia="宋体"/>
                <w:color w:val="000000" w:themeColor="text1"/>
                <w:sz w:val="21"/>
                <w:szCs w:val="21"/>
                <w:highlight w:val="none"/>
                <w14:textFill>
                  <w14:solidFill>
                    <w14:schemeClr w14:val="tx1"/>
                  </w14:solidFill>
                </w14:textFill>
              </w:rPr>
              <w:t>藤县第二人民医院</w:t>
            </w:r>
          </w:p>
          <w:p w14:paraId="7DBBEEB6">
            <w:pPr>
              <w:numPr>
                <w:ilvl w:val="0"/>
                <w:numId w:val="4"/>
              </w:numPr>
              <w:spacing w:line="360" w:lineRule="exact"/>
              <w:ind w:left="105" w:leftChars="0" w:firstLine="0" w:firstLineChars="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账号：20 3231 0104 0010 346</w:t>
            </w:r>
          </w:p>
          <w:p w14:paraId="5C9277B4">
            <w:pPr>
              <w:numPr>
                <w:ilvl w:val="0"/>
                <w:numId w:val="4"/>
              </w:numPr>
              <w:spacing w:line="360" w:lineRule="exact"/>
              <w:ind w:left="105" w:leftChars="0" w:firstLine="0" w:firstLineChars="0"/>
              <w:rPr>
                <w:rFonts w:hint="eastAsia" w:ascii="宋体" w:hAnsi="宋体" w:eastAsia="宋体"/>
                <w:color w:val="auto"/>
                <w:sz w:val="21"/>
                <w:szCs w:val="21"/>
                <w:highlight w:val="none"/>
              </w:rPr>
            </w:pPr>
            <w:r>
              <w:rPr>
                <w:rFonts w:hint="eastAsia" w:ascii="宋体" w:hAnsi="宋体" w:eastAsia="宋体"/>
                <w:color w:val="000000" w:themeColor="text1"/>
                <w:sz w:val="21"/>
                <w:szCs w:val="21"/>
                <w:highlight w:val="none"/>
                <w14:textFill>
                  <w14:solidFill>
                    <w14:schemeClr w14:val="tx1"/>
                  </w14:solidFill>
                </w14:textFill>
              </w:rPr>
              <w:t>开户行：中国农业银行藤县太平支行</w:t>
            </w:r>
          </w:p>
        </w:tc>
      </w:tr>
      <w:tr w14:paraId="463A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6F30C1B2">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验收条件及标准</w:t>
            </w:r>
          </w:p>
        </w:tc>
        <w:tc>
          <w:tcPr>
            <w:tcW w:w="9405" w:type="dxa"/>
            <w:vAlign w:val="center"/>
          </w:tcPr>
          <w:p w14:paraId="5C6B3CA8">
            <w:pPr>
              <w:pStyle w:val="11"/>
              <w:pageBreakBefore w:val="0"/>
              <w:widowControl w:val="0"/>
              <w:numPr>
                <w:ilvl w:val="0"/>
                <w:numId w:val="0"/>
              </w:numPr>
              <w:kinsoku/>
              <w:wordWrap/>
              <w:overflowPunct/>
              <w:topLinePunct w:val="0"/>
              <w:autoSpaceDE/>
              <w:autoSpaceDN/>
              <w:bidi w:val="0"/>
              <w:snapToGrid/>
              <w:spacing w:before="0" w:after="0" w:line="240" w:lineRule="auto"/>
              <w:ind w:leftChars="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安装、验收及其它要求：</w:t>
            </w:r>
          </w:p>
          <w:p w14:paraId="3980F591">
            <w:pPr>
              <w:pStyle w:val="11"/>
              <w:pageBreakBefore w:val="0"/>
              <w:widowControl w:val="0"/>
              <w:numPr>
                <w:ilvl w:val="0"/>
                <w:numId w:val="0"/>
              </w:numPr>
              <w:kinsoku/>
              <w:wordWrap/>
              <w:overflowPunct/>
              <w:topLinePunct w:val="0"/>
              <w:autoSpaceDE/>
              <w:autoSpaceDN/>
              <w:bidi w:val="0"/>
              <w:snapToGrid/>
              <w:spacing w:before="0" w:after="0" w:line="240" w:lineRule="auto"/>
              <w:ind w:leftChars="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安装、调试要求：</w:t>
            </w:r>
          </w:p>
          <w:p w14:paraId="65C4145B">
            <w:pPr>
              <w:pStyle w:val="11"/>
              <w:pageBreakBefore w:val="0"/>
              <w:widowControl w:val="0"/>
              <w:numPr>
                <w:ilvl w:val="0"/>
                <w:numId w:val="0"/>
              </w:numPr>
              <w:kinsoku/>
              <w:wordWrap/>
              <w:overflowPunct/>
              <w:topLinePunct w:val="0"/>
              <w:autoSpaceDE/>
              <w:autoSpaceDN/>
              <w:bidi w:val="0"/>
              <w:snapToGrid/>
              <w:spacing w:before="0" w:after="0" w:line="240" w:lineRule="auto"/>
              <w:ind w:leftChars="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1、竞标产品及零部件、供应商所供货物必须是全新整套按国家或国际有关质量标准制造，且能满足本项目技术指标。配线材质、规格、敷设方式:满足电梯安装及使用要求，满足GB7588—2003新国家标准。</w:t>
            </w:r>
          </w:p>
          <w:p w14:paraId="5444977B">
            <w:pPr>
              <w:pStyle w:val="11"/>
              <w:pageBreakBefore w:val="0"/>
              <w:widowControl w:val="0"/>
              <w:numPr>
                <w:ilvl w:val="0"/>
                <w:numId w:val="0"/>
              </w:numPr>
              <w:kinsoku/>
              <w:wordWrap/>
              <w:overflowPunct/>
              <w:topLinePunct w:val="0"/>
              <w:autoSpaceDE/>
              <w:autoSpaceDN/>
              <w:bidi w:val="0"/>
              <w:snapToGrid/>
              <w:spacing w:before="0" w:after="0" w:line="240" w:lineRule="auto"/>
              <w:ind w:leftChars="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 xml:space="preserve">2、安装施工要求：（1）成交供应商负责全套机组的安装调试。（2）设备安装调试必须严格执行国家有关技术标准，成交供应商自负责施工人员人身、设备安全责任。（3）成交供应商负责办理有关电梯设备安装的开工报装和竣工验收手续且承担负责相关费用。（4）成交供应商向当地质检部门提出验收申请，并协助当地质检部门检验验收，成交供应商并负责办理特种设备使用登记证，费用由成交供应商负责。（5）安装验收标准必须符合如下标准要求：《电梯型式试验规则》（TSG T7007-2016）要求的电梯整机和主要部件产品型式试验证书或报告；《电梯安装验收规范》（GB/T 10060-2011）。 </w:t>
            </w:r>
          </w:p>
          <w:p w14:paraId="39B6916C">
            <w:pPr>
              <w:pStyle w:val="11"/>
              <w:pageBreakBefore w:val="0"/>
              <w:widowControl w:val="0"/>
              <w:numPr>
                <w:ilvl w:val="0"/>
                <w:numId w:val="0"/>
              </w:numPr>
              <w:kinsoku/>
              <w:wordWrap/>
              <w:overflowPunct/>
              <w:topLinePunct w:val="0"/>
              <w:autoSpaceDE/>
              <w:autoSpaceDN/>
              <w:bidi w:val="0"/>
              <w:snapToGrid/>
              <w:spacing w:before="0" w:after="0" w:line="240" w:lineRule="auto"/>
              <w:ind w:leftChars="0"/>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 xml:space="preserve">3、设备应包含必备的易损易耗备件和专用工具。 </w:t>
            </w:r>
          </w:p>
          <w:p w14:paraId="1B80451E">
            <w:pPr>
              <w:pStyle w:val="11"/>
              <w:pageBreakBefore w:val="0"/>
              <w:widowControl w:val="0"/>
              <w:numPr>
                <w:ilvl w:val="0"/>
                <w:numId w:val="0"/>
              </w:numPr>
              <w:kinsoku/>
              <w:wordWrap/>
              <w:overflowPunct/>
              <w:topLinePunct w:val="0"/>
              <w:autoSpaceDE/>
              <w:autoSpaceDN/>
              <w:bidi w:val="0"/>
              <w:snapToGrid/>
              <w:spacing w:before="0" w:after="0" w:line="240" w:lineRule="auto"/>
              <w:ind w:leftChars="0"/>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4、本项目的电梯安装负责人必须具有电梯安装上岗证或职称证并提供相关证书复印件。</w:t>
            </w:r>
          </w:p>
          <w:p w14:paraId="4344D3AF">
            <w:pPr>
              <w:pStyle w:val="11"/>
              <w:pageBreakBefore w:val="0"/>
              <w:widowControl w:val="0"/>
              <w:numPr>
                <w:ilvl w:val="0"/>
                <w:numId w:val="0"/>
              </w:numPr>
              <w:kinsoku/>
              <w:wordWrap/>
              <w:overflowPunct/>
              <w:topLinePunct w:val="0"/>
              <w:autoSpaceDE/>
              <w:autoSpaceDN/>
              <w:bidi w:val="0"/>
              <w:snapToGrid/>
              <w:spacing w:before="0" w:after="0" w:line="240" w:lineRule="auto"/>
              <w:ind w:leftChars="0"/>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 xml:space="preserve"> 5、验收方式：（1）出厂检验：交货时，</w:t>
            </w:r>
            <w:r>
              <w:rPr>
                <w:rFonts w:hint="eastAsia" w:hAnsi="宋体" w:eastAsia="宋体"/>
                <w:b w:val="0"/>
                <w:bCs/>
                <w:color w:val="auto"/>
                <w:sz w:val="21"/>
                <w:szCs w:val="21"/>
                <w:highlight w:val="none"/>
                <w:lang w:val="en-US" w:eastAsia="zh-CN"/>
              </w:rPr>
              <w:t>成交供应商</w:t>
            </w:r>
            <w:r>
              <w:rPr>
                <w:rFonts w:hint="eastAsia" w:ascii="宋体" w:hAnsi="宋体" w:eastAsia="宋体"/>
                <w:b w:val="0"/>
                <w:bCs/>
                <w:color w:val="auto"/>
                <w:sz w:val="21"/>
                <w:szCs w:val="21"/>
                <w:highlight w:val="none"/>
                <w:lang w:val="en-US" w:eastAsia="zh-CN"/>
              </w:rPr>
              <w:t>应随同货物提供出厂检验报告，产品合格证。（2）安装调试检验：货物到达后，由采购人会同有关部门进行基本质量和数量的验收，电梯安装调试过程，</w:t>
            </w:r>
            <w:r>
              <w:rPr>
                <w:rFonts w:hint="eastAsia" w:hAnsi="宋体" w:eastAsia="宋体"/>
                <w:b w:val="0"/>
                <w:bCs/>
                <w:color w:val="auto"/>
                <w:sz w:val="21"/>
                <w:szCs w:val="21"/>
                <w:highlight w:val="none"/>
                <w:lang w:val="en-US" w:eastAsia="zh-CN"/>
              </w:rPr>
              <w:t>成交供应商</w:t>
            </w:r>
            <w:r>
              <w:rPr>
                <w:rFonts w:hint="eastAsia" w:ascii="宋体" w:hAnsi="宋体" w:eastAsia="宋体"/>
                <w:b w:val="0"/>
                <w:bCs/>
                <w:color w:val="auto"/>
                <w:sz w:val="21"/>
                <w:szCs w:val="21"/>
                <w:highlight w:val="none"/>
                <w:lang w:val="en-US" w:eastAsia="zh-CN"/>
              </w:rPr>
              <w:t>应</w:t>
            </w:r>
            <w:r>
              <w:rPr>
                <w:rFonts w:hint="eastAsia" w:hAnsi="宋体" w:eastAsia="宋体"/>
                <w:b w:val="0"/>
                <w:bCs/>
                <w:color w:val="auto"/>
                <w:sz w:val="21"/>
                <w:szCs w:val="21"/>
                <w:highlight w:val="none"/>
                <w:lang w:val="en-US" w:eastAsia="zh-CN"/>
              </w:rPr>
              <w:t>做</w:t>
            </w:r>
            <w:r>
              <w:rPr>
                <w:rFonts w:hint="eastAsia" w:ascii="宋体" w:hAnsi="宋体" w:eastAsia="宋体"/>
                <w:b w:val="0"/>
                <w:bCs/>
                <w:color w:val="auto"/>
                <w:sz w:val="21"/>
                <w:szCs w:val="21"/>
                <w:highlight w:val="none"/>
                <w:lang w:val="en-US" w:eastAsia="zh-CN"/>
              </w:rPr>
              <w:t>详细检验记录。安装调试检验结果应符合制造厂产品标准和采购文件规定的技术要求。检验记录应提交给采购人。（3）项目验收：电梯安装调试结束后，由</w:t>
            </w:r>
            <w:r>
              <w:rPr>
                <w:rFonts w:hint="eastAsia" w:hAnsi="宋体" w:eastAsia="宋体"/>
                <w:b w:val="0"/>
                <w:bCs/>
                <w:color w:val="auto"/>
                <w:sz w:val="21"/>
                <w:szCs w:val="21"/>
                <w:highlight w:val="none"/>
                <w:lang w:val="en-US" w:eastAsia="zh-CN"/>
              </w:rPr>
              <w:t>成交供应商</w:t>
            </w:r>
            <w:r>
              <w:rPr>
                <w:rFonts w:hint="eastAsia" w:ascii="宋体" w:hAnsi="宋体" w:eastAsia="宋体"/>
                <w:b w:val="0"/>
                <w:bCs/>
                <w:color w:val="auto"/>
                <w:sz w:val="21"/>
                <w:szCs w:val="21"/>
                <w:highlight w:val="none"/>
                <w:lang w:val="en-US" w:eastAsia="zh-CN"/>
              </w:rPr>
              <w:t>负责联系质量技术监督局等部门，进行联合验收并办理准用许可证，验收费用由</w:t>
            </w:r>
            <w:r>
              <w:rPr>
                <w:rFonts w:hint="eastAsia" w:hAnsi="宋体" w:eastAsia="宋体"/>
                <w:b w:val="0"/>
                <w:bCs/>
                <w:color w:val="auto"/>
                <w:sz w:val="21"/>
                <w:szCs w:val="21"/>
                <w:highlight w:val="none"/>
                <w:lang w:val="en-US" w:eastAsia="zh-CN"/>
              </w:rPr>
              <w:t>成交供应商</w:t>
            </w:r>
            <w:r>
              <w:rPr>
                <w:rFonts w:hint="eastAsia" w:ascii="宋体" w:hAnsi="宋体" w:eastAsia="宋体"/>
                <w:b w:val="0"/>
                <w:bCs/>
                <w:color w:val="auto"/>
                <w:sz w:val="21"/>
                <w:szCs w:val="21"/>
                <w:highlight w:val="none"/>
                <w:lang w:val="en-US" w:eastAsia="zh-CN"/>
              </w:rPr>
              <w:t>承担。</w:t>
            </w:r>
          </w:p>
          <w:p w14:paraId="3099D814">
            <w:pPr>
              <w:rPr>
                <w:rFonts w:hint="eastAsia" w:ascii="宋体" w:hAnsi="宋体" w:eastAsia="宋体"/>
                <w:b w:val="0"/>
                <w:bCs/>
                <w:color w:val="auto"/>
                <w:sz w:val="21"/>
                <w:szCs w:val="21"/>
                <w:highlight w:val="none"/>
                <w:u w:val="single"/>
                <w:lang w:val="en-US" w:eastAsia="zh-CN"/>
              </w:rPr>
            </w:pPr>
            <w:r>
              <w:rPr>
                <w:rFonts w:hint="eastAsia" w:ascii="宋体" w:hAnsi="宋体" w:eastAsia="宋体"/>
                <w:b w:val="0"/>
                <w:bCs/>
                <w:color w:val="auto"/>
                <w:sz w:val="21"/>
                <w:szCs w:val="21"/>
                <w:highlight w:val="none"/>
                <w:u w:val="single"/>
                <w:lang w:val="en-US" w:eastAsia="zh-CN"/>
              </w:rPr>
              <w:t>（</w:t>
            </w:r>
            <w:r>
              <w:rPr>
                <w:rFonts w:hint="eastAsia" w:ascii="宋体" w:hAnsi="宋体" w:eastAsia="宋体"/>
                <w:b/>
                <w:bCs w:val="0"/>
                <w:color w:val="auto"/>
                <w:sz w:val="21"/>
                <w:szCs w:val="21"/>
                <w:highlight w:val="none"/>
                <w:u w:val="single"/>
                <w:lang w:val="en-US" w:eastAsia="zh-CN"/>
              </w:rPr>
              <w:t>二）其他要求：1、采购文件“技术参数及性能配置要求”中的井道、机房等参数按安装现场实际尺寸为准，竞标前如需安排专人到工程现场实地踏勘，复核电梯的技术参数，请自行前往，费用自理。成交供应商负责电梯技术参数与现场安装不符的风险。 2、签署合同时，成交供应商必</w:t>
            </w:r>
            <w:r>
              <w:rPr>
                <w:rFonts w:hint="eastAsia" w:ascii="宋体" w:hAnsi="宋体" w:eastAsia="宋体"/>
                <w:b/>
                <w:bCs w:val="0"/>
                <w:color w:val="auto"/>
                <w:sz w:val="21"/>
                <w:szCs w:val="21"/>
                <w:highlight w:val="none"/>
                <w:u w:val="single"/>
              </w:rPr>
              <w:t xml:space="preserve">须提供详细的施工方案和售后服务承诺书。 3、竞标人承诺竞标产品必须是全新未使用过的合格产品。 </w:t>
            </w:r>
          </w:p>
        </w:tc>
      </w:tr>
      <w:tr w14:paraId="27DF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48C81E11">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其他要求</w:t>
            </w:r>
          </w:p>
        </w:tc>
        <w:tc>
          <w:tcPr>
            <w:tcW w:w="9405" w:type="dxa"/>
            <w:vAlign w:val="center"/>
          </w:tcPr>
          <w:p w14:paraId="5A1C7548">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1）本项目不接受进口产品竞标（即通过中国海关报关验放进入中国境内且产自关境外的产品）。</w:t>
            </w:r>
          </w:p>
          <w:p w14:paraId="0983F878">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成交供应商提供的产品必须是原厂生产的正品全新、完整、未使用过的合格产品，产品质量符合国家相关标准和规范，具备正规合法经销渠道。所有产品除满足上表要求的技术参数外，其余均按国家标准及生产厂家出厂标准配置。成交供应商提供的产品品牌、型号、规格、技术参数、质量不符合合同规定及采购需求规定标准的，采购人有权拒收该货物。成交供应商拒绝更换货物的，采购人可单方面解除合同，并有权要求</w:t>
            </w:r>
            <w:r>
              <w:rPr>
                <w:rFonts w:hint="eastAsia" w:ascii="宋体" w:hAnsi="宋体" w:eastAsia="宋体"/>
                <w:color w:val="auto"/>
                <w:sz w:val="21"/>
                <w:szCs w:val="21"/>
                <w:highlight w:val="none"/>
                <w:lang w:eastAsia="zh-CN"/>
              </w:rPr>
              <w:t>成交供应商</w:t>
            </w:r>
            <w:r>
              <w:rPr>
                <w:rFonts w:hint="eastAsia" w:ascii="宋体" w:hAnsi="宋体" w:eastAsia="宋体"/>
                <w:color w:val="auto"/>
                <w:sz w:val="21"/>
                <w:szCs w:val="21"/>
                <w:highlight w:val="none"/>
              </w:rPr>
              <w:t>赔偿经济损失。</w:t>
            </w:r>
          </w:p>
          <w:p w14:paraId="1BBD4387">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3）成交供应商提供的货物及服务不满足采购要求而导致验收不合格的，采购人有权解除合同并追究成交供应商的法律责任。</w:t>
            </w:r>
          </w:p>
          <w:p w14:paraId="16B6B411">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4）在成交供应商承诺的保修期内，设备保修包换所需要的配件均是原厂原装，不得使用兼容产品。</w:t>
            </w:r>
          </w:p>
          <w:p w14:paraId="60F50791">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竞标供应商应保证参与本次政府采购项目时其按要求所提供的所有证明材料和资质文件真实，如出现虚假应标情况，竞标供应商除了应接受有关部门的处罚外，还应依据《中华人民共和国政府采购法》及其实施条例的相关条款来确定赔偿金额。</w:t>
            </w:r>
          </w:p>
          <w:p w14:paraId="708959A1">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6）设备到货后，成交供应商和采购人应在现场进行清点，清点过程中如果发现因包装或运输不当引起的产品外观或内部的损坏，成交供应商应负责更换，若发现错发/漏发情况，成交供应商应负责更换和补发。</w:t>
            </w:r>
          </w:p>
          <w:p w14:paraId="45361D6B">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竞标供应商应保证针对本项目的货物和服务涉及到的知识产权和所提供的相关技术资料是合法取得，并享有完整的知识产权，不会因为采购人的使用而被责令停止使用、追偿或要求赔偿损失，如出现此情况，一切经济和法律责任均由竞标供应商承担。成交供应商需在采购合同中书面承诺采购方免受第三方提出侵犯其著作权、专利权、商标权或设计权的纠纷。</w:t>
            </w:r>
          </w:p>
          <w:p w14:paraId="1333B6F4">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8）本项目采购任务紧急，现特向潜在供应商作出相关提醒：供应商存在不按要求报价、中标后无故放弃、不按合同履行等违约行为的，采购人有权按预算金额30%的赔偿金额向成交供应商追偿其所造成的损失。</w:t>
            </w:r>
          </w:p>
        </w:tc>
      </w:tr>
    </w:tbl>
    <w:p w14:paraId="6FD23358">
      <w:pPr>
        <w:rPr>
          <w:rFonts w:hint="eastAsia" w:ascii="宋体" w:hAnsi="宋体" w:eastAsia="宋体"/>
          <w:vanish/>
          <w:sz w:val="21"/>
          <w:szCs w:val="21"/>
          <w:highlight w:val="none"/>
        </w:rPr>
      </w:pPr>
    </w:p>
    <w:tbl>
      <w:tblPr>
        <w:tblStyle w:val="6"/>
        <w:tblpPr w:leftFromText="180" w:rightFromText="180" w:vertAnchor="text" w:horzAnchor="page" w:tblpX="724" w:tblpY="94"/>
        <w:tblOverlap w:val="never"/>
        <w:tblW w:w="10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446"/>
      </w:tblGrid>
      <w:tr w14:paraId="2DE0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0658" w:type="dxa"/>
            <w:gridSpan w:val="2"/>
            <w:vAlign w:val="center"/>
          </w:tcPr>
          <w:p w14:paraId="0AA17E40">
            <w:pPr>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三</w:t>
            </w:r>
            <w:r>
              <w:rPr>
                <w:rFonts w:hint="eastAsia" w:ascii="宋体" w:hAnsi="宋体" w:eastAsia="宋体"/>
                <w:sz w:val="21"/>
                <w:szCs w:val="21"/>
                <w:highlight w:val="none"/>
              </w:rPr>
              <w:t>、商家须知</w:t>
            </w:r>
          </w:p>
        </w:tc>
      </w:tr>
      <w:tr w14:paraId="2E96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212" w:type="dxa"/>
            <w:vMerge w:val="restart"/>
            <w:vAlign w:val="center"/>
          </w:tcPr>
          <w:p w14:paraId="70EABF67">
            <w:pPr>
              <w:rPr>
                <w:rFonts w:hint="eastAsia" w:ascii="宋体" w:hAnsi="宋体" w:eastAsia="宋体"/>
                <w:sz w:val="21"/>
                <w:szCs w:val="21"/>
                <w:highlight w:val="none"/>
              </w:rPr>
            </w:pPr>
            <w:r>
              <w:rPr>
                <w:rFonts w:hint="eastAsia" w:ascii="宋体" w:hAnsi="宋体" w:eastAsia="宋体"/>
                <w:sz w:val="21"/>
                <w:szCs w:val="21"/>
                <w:highlight w:val="none"/>
              </w:rPr>
              <w:t>在线询价、反向竞价违约处理规则</w:t>
            </w:r>
          </w:p>
        </w:tc>
        <w:tc>
          <w:tcPr>
            <w:tcW w:w="9446" w:type="dxa"/>
            <w:vAlign w:val="center"/>
          </w:tcPr>
          <w:p w14:paraId="1AC83767">
            <w:pPr>
              <w:rPr>
                <w:rFonts w:hint="eastAsia" w:ascii="宋体" w:hAnsi="宋体" w:eastAsia="宋体"/>
                <w:sz w:val="21"/>
                <w:szCs w:val="21"/>
                <w:highlight w:val="none"/>
              </w:rPr>
            </w:pPr>
            <w:r>
              <w:rPr>
                <w:rFonts w:hint="eastAsia" w:ascii="宋体" w:hAnsi="宋体" w:eastAsia="宋体"/>
                <w:sz w:val="21"/>
                <w:szCs w:val="21"/>
                <w:highlight w:val="none"/>
              </w:rPr>
              <w:t>政采云平台细化在线询价、反向竞价管理规则，保障业务有序开展。供应商存在不按要求报价、中标后无故放弃、不按合同履行等违约行为的，经采购人举报且平台或政府采购管理部门确认的，将按以下规则进行处理。违约处理将在政采云全平台各区划联动生效。违约处理做出后供应商可以在5个工作日内提出异议，异议有效的撤销违约处理并恢复对应权限。</w:t>
            </w:r>
          </w:p>
          <w:p w14:paraId="2139B75C">
            <w:pPr>
              <w:rPr>
                <w:rFonts w:hint="eastAsia" w:ascii="宋体" w:hAnsi="宋体" w:eastAsia="宋体"/>
                <w:sz w:val="21"/>
                <w:szCs w:val="21"/>
                <w:highlight w:val="none"/>
              </w:rPr>
            </w:pPr>
            <w:r>
              <w:rPr>
                <w:rFonts w:hint="eastAsia" w:ascii="宋体" w:hAnsi="宋体" w:eastAsia="宋体"/>
                <w:sz w:val="21"/>
                <w:szCs w:val="21"/>
                <w:highlight w:val="none"/>
              </w:rPr>
              <w:t>网页地址详见：</w:t>
            </w:r>
          </w:p>
          <w:p w14:paraId="32BBC247">
            <w:pPr>
              <w:pStyle w:val="2"/>
              <w:rPr>
                <w:rFonts w:hint="eastAsia"/>
              </w:rPr>
            </w:pPr>
            <w:r>
              <w:rPr>
                <w:rFonts w:hint="eastAsia"/>
              </w:rPr>
              <w:t>https://fxjj.gcy.zfcg.gxzf.gov.cn/?utm=luban.luban-PC-51251.75-market-menubar-pc.24.1a084be0d0fd11f0bb3557557a1b923e</w:t>
            </w:r>
          </w:p>
        </w:tc>
      </w:tr>
      <w:tr w14:paraId="371F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212" w:type="dxa"/>
            <w:vMerge w:val="continue"/>
            <w:vAlign w:val="center"/>
          </w:tcPr>
          <w:p w14:paraId="13A02F5C">
            <w:pP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0</w:t>
            </w:r>
          </w:p>
        </w:tc>
        <w:tc>
          <w:tcPr>
            <w:tcW w:w="9446" w:type="dxa"/>
            <w:vAlign w:val="center"/>
          </w:tcPr>
          <w:p w14:paraId="7932DAA4">
            <w:pPr>
              <w:rPr>
                <w:rFonts w:hint="eastAsia" w:ascii="宋体" w:hAnsi="宋体" w:eastAsia="宋体"/>
                <w:sz w:val="21"/>
                <w:szCs w:val="21"/>
                <w:highlight w:val="none"/>
              </w:rPr>
            </w:pPr>
          </w:p>
        </w:tc>
      </w:tr>
      <w:tr w14:paraId="4B20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212" w:type="dxa"/>
            <w:vMerge w:val="continue"/>
            <w:vAlign w:val="center"/>
          </w:tcPr>
          <w:p w14:paraId="2ED5844E">
            <w:pPr>
              <w:rPr>
                <w:rFonts w:hint="eastAsia" w:ascii="宋体" w:hAnsi="宋体" w:eastAsia="宋体"/>
                <w:sz w:val="21"/>
                <w:szCs w:val="21"/>
              </w:rPr>
            </w:pPr>
          </w:p>
        </w:tc>
        <w:tc>
          <w:tcPr>
            <w:tcW w:w="9446" w:type="dxa"/>
            <w:vAlign w:val="center"/>
          </w:tcPr>
          <w:p w14:paraId="3A97E498">
            <w:pPr>
              <w:rPr>
                <w:rFonts w:hint="eastAsia" w:ascii="宋体" w:hAnsi="宋体" w:eastAsia="宋体"/>
                <w:sz w:val="21"/>
                <w:szCs w:val="21"/>
              </w:rPr>
            </w:pPr>
            <w:r>
              <w:drawing>
                <wp:inline distT="0" distB="0" distL="114300" distR="114300">
                  <wp:extent cx="5857240" cy="1363345"/>
                  <wp:effectExtent l="0" t="0" r="1016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857240" cy="1363345"/>
                          </a:xfrm>
                          <a:prstGeom prst="rect">
                            <a:avLst/>
                          </a:prstGeom>
                          <a:noFill/>
                          <a:ln w="9525">
                            <a:noFill/>
                          </a:ln>
                        </pic:spPr>
                      </pic:pic>
                    </a:graphicData>
                  </a:graphic>
                </wp:inline>
              </w:drawing>
            </w:r>
          </w:p>
        </w:tc>
      </w:tr>
      <w:tr w14:paraId="5555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212" w:type="dxa"/>
            <w:vAlign w:val="center"/>
          </w:tcPr>
          <w:p w14:paraId="2AD47040">
            <w:pPr>
              <w:rPr>
                <w:rFonts w:hint="eastAsia" w:ascii="宋体" w:hAnsi="宋体" w:eastAsia="宋体"/>
                <w:sz w:val="21"/>
                <w:szCs w:val="21"/>
              </w:rPr>
            </w:pPr>
            <w:r>
              <w:rPr>
                <w:rFonts w:hint="eastAsia" w:ascii="宋体" w:hAnsi="宋体" w:eastAsia="宋体"/>
                <w:sz w:val="21"/>
                <w:szCs w:val="21"/>
              </w:rPr>
              <w:t>广西壮族自治区电子卖场平台管理协议</w:t>
            </w:r>
          </w:p>
        </w:tc>
        <w:tc>
          <w:tcPr>
            <w:tcW w:w="9446" w:type="dxa"/>
            <w:vAlign w:val="center"/>
          </w:tcPr>
          <w:p w14:paraId="7A4E1F14">
            <w:pPr>
              <w:rPr>
                <w:rFonts w:hint="eastAsia" w:ascii="宋体" w:hAnsi="宋体" w:eastAsia="宋体"/>
                <w:sz w:val="21"/>
                <w:szCs w:val="21"/>
              </w:rPr>
            </w:pPr>
            <w:r>
              <w:rPr>
                <w:rFonts w:hint="eastAsia" w:ascii="宋体" w:hAnsi="宋体" w:eastAsia="宋体"/>
                <w:sz w:val="21"/>
                <w:szCs w:val="21"/>
              </w:rPr>
              <w:t>第四条 在线询价、反向竞价供应商供应商存在不按要求报价、中标后无故放弃、不按合同履行等违约行为的，经采购人举报，经同级财政部门确认的，应扣减其10-30分诚信分，限制供应商报价权限3-12个月。</w:t>
            </w:r>
          </w:p>
        </w:tc>
      </w:tr>
    </w:tbl>
    <w:p w14:paraId="2B27696D">
      <w:pPr>
        <w:pStyle w:val="9"/>
      </w:pPr>
      <w:r>
        <w:br w:type="page"/>
      </w:r>
      <w:bookmarkStart w:id="0" w:name="_Toc24949"/>
      <w:r>
        <w:rPr>
          <w:rFonts w:hint="eastAsia"/>
          <w:sz w:val="28"/>
        </w:rPr>
        <w:t>附件一：商家须知在线询价、反向竞价违约处理规则</w:t>
      </w:r>
      <w:bookmarkEnd w:id="0"/>
    </w:p>
    <w:p w14:paraId="5A492BA6">
      <w:pPr>
        <w:keepNext w:val="0"/>
        <w:keepLines w:val="0"/>
        <w:pageBreakBefore w:val="0"/>
        <w:widowControl w:val="0"/>
        <w:kinsoku/>
        <w:wordWrap w:val="0"/>
        <w:overflowPunct/>
        <w:topLinePunct w:val="0"/>
        <w:autoSpaceDE/>
        <w:autoSpaceDN/>
        <w:bidi w:val="0"/>
        <w:adjustRightInd/>
        <w:snapToGrid/>
        <w:textAlignment w:val="auto"/>
        <w:rPr>
          <w:rFonts w:hint="eastAsia"/>
          <w:sz w:val="24"/>
          <w:szCs w:val="28"/>
          <w:u w:val="single" w:color="00B0F0"/>
        </w:rPr>
      </w:pPr>
      <w:r>
        <w:rPr>
          <w:rFonts w:hint="eastAsia"/>
          <w:sz w:val="24"/>
          <w:szCs w:val="28"/>
        </w:rPr>
        <w:t>网页地址</w:t>
      </w:r>
      <w:r>
        <w:rPr>
          <w:rFonts w:hint="eastAsia" w:ascii="宋体" w:hAnsi="宋体"/>
          <w:sz w:val="24"/>
          <w:szCs w:val="28"/>
        </w:rPr>
        <w:t>详见：</w:t>
      </w:r>
      <w:r>
        <w:rPr>
          <w:rFonts w:hint="eastAsia" w:ascii="宋体" w:hAnsi="宋体"/>
          <w:sz w:val="24"/>
          <w:szCs w:val="28"/>
          <w:u w:val="none" w:color="auto"/>
        </w:rPr>
        <w:t>https://fxjj.gcy.zfcg.gxzf.gov.cn/?utm=luban.luban-PC-51251.75-market-menubar-pc.24.1a084be0d0fd11f0bb3557557a1b923e</w:t>
      </w:r>
    </w:p>
    <w:p w14:paraId="0C34784E">
      <w:pPr>
        <w:keepNext w:val="0"/>
        <w:keepLines w:val="0"/>
        <w:pageBreakBefore w:val="0"/>
        <w:widowControl w:val="0"/>
        <w:kinsoku/>
        <w:wordWrap w:val="0"/>
        <w:overflowPunct/>
        <w:topLinePunct w:val="0"/>
        <w:autoSpaceDE/>
        <w:autoSpaceDN/>
        <w:bidi w:val="0"/>
        <w:adjustRightInd/>
        <w:snapToGrid/>
        <w:textAlignment w:val="auto"/>
        <w:rPr>
          <w:rFonts w:ascii="宋体" w:hAnsi="宋体"/>
        </w:rPr>
      </w:pPr>
    </w:p>
    <w:p w14:paraId="58D9A545">
      <w:r>
        <w:drawing>
          <wp:inline distT="0" distB="0" distL="114300" distR="114300">
            <wp:extent cx="6638925" cy="2385060"/>
            <wp:effectExtent l="0" t="0" r="952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638925" cy="2385060"/>
                    </a:xfrm>
                    <a:prstGeom prst="rect">
                      <a:avLst/>
                    </a:prstGeom>
                    <a:noFill/>
                    <a:ln w="9525">
                      <a:noFill/>
                    </a:ln>
                  </pic:spPr>
                </pic:pic>
              </a:graphicData>
            </a:graphic>
          </wp:inline>
        </w:drawing>
      </w:r>
    </w:p>
    <w:p w14:paraId="75EC9982">
      <w:pPr>
        <w:jc w:val="left"/>
        <w:outlineLvl w:val="1"/>
      </w:pPr>
      <w:r>
        <w:br w:type="page"/>
      </w:r>
      <w:bookmarkStart w:id="1" w:name="_Toc24781"/>
      <w:r>
        <w:rPr>
          <w:rStyle w:val="14"/>
          <w:rFonts w:hint="eastAsia"/>
        </w:rPr>
        <w:t>附件二：广西壮族自治区电子卖场平台管理协议</w:t>
      </w:r>
      <w:bookmarkEnd w:id="1"/>
    </w:p>
    <w:p w14:paraId="241354CC">
      <w:pPr>
        <w:jc w:val="left"/>
        <w:rPr>
          <w:rFonts w:hint="eastAsia" w:ascii="仿宋" w:hAnsi="仿宋" w:eastAsia="仿宋"/>
          <w:sz w:val="28"/>
          <w:szCs w:val="32"/>
        </w:rPr>
      </w:pPr>
      <w:r>
        <w:rPr>
          <w:rFonts w:hint="eastAsia" w:ascii="仿宋" w:hAnsi="仿宋" w:eastAsia="仿宋"/>
          <w:sz w:val="28"/>
          <w:szCs w:val="32"/>
        </w:rPr>
        <w:t>网页地址详见：</w:t>
      </w:r>
      <w:r>
        <w:rPr>
          <w:rFonts w:ascii="仿宋" w:hAnsi="仿宋" w:eastAsia="仿宋"/>
          <w:sz w:val="28"/>
          <w:szCs w:val="32"/>
        </w:rPr>
        <w:fldChar w:fldCharType="begin"/>
      </w:r>
      <w:r>
        <w:rPr>
          <w:rFonts w:ascii="仿宋" w:hAnsi="仿宋" w:eastAsia="仿宋"/>
          <w:sz w:val="28"/>
          <w:szCs w:val="32"/>
        </w:rPr>
        <w:instrText xml:space="preserve"> HYPERLINK "</w:instrText>
      </w:r>
      <w:r>
        <w:rPr>
          <w:rFonts w:hint="eastAsia" w:ascii="仿宋" w:hAnsi="仿宋" w:eastAsia="仿宋"/>
          <w:sz w:val="28"/>
          <w:szCs w:val="32"/>
        </w:rPr>
        <w:instrText xml:space="preserve">https://wqzx.zcygov.cn/RightsRules/GXGZ/2664840.html?utm=a0017.b0505.0001.0001.424bf4d0db6711ea9001a1e3a1663ae8</w:instrText>
      </w:r>
      <w:r>
        <w:rPr>
          <w:rFonts w:ascii="仿宋" w:hAnsi="仿宋" w:eastAsia="仿宋"/>
          <w:sz w:val="28"/>
          <w:szCs w:val="32"/>
        </w:rPr>
        <w:instrText xml:space="preserve">" </w:instrText>
      </w:r>
      <w:r>
        <w:rPr>
          <w:rFonts w:ascii="仿宋" w:hAnsi="仿宋" w:eastAsia="仿宋"/>
          <w:sz w:val="28"/>
          <w:szCs w:val="32"/>
        </w:rPr>
        <w:fldChar w:fldCharType="separate"/>
      </w:r>
      <w:r>
        <w:rPr>
          <w:rStyle w:val="32"/>
          <w:rFonts w:hint="eastAsia" w:ascii="仿宋" w:hAnsi="仿宋" w:eastAsia="仿宋"/>
          <w:sz w:val="28"/>
          <w:szCs w:val="32"/>
        </w:rPr>
        <w:t>https://wqzx.zcygov.cn/RightsRules/GXGZ/2664840.html?utm=a0017.b0505.0001.0001.424bf4d0db6711ea9001a1e3a1663ae8</w:t>
      </w:r>
      <w:r>
        <w:rPr>
          <w:rFonts w:ascii="仿宋" w:hAnsi="仿宋" w:eastAsia="仿宋"/>
          <w:sz w:val="28"/>
          <w:szCs w:val="32"/>
        </w:rPr>
        <w:fldChar w:fldCharType="end"/>
      </w:r>
    </w:p>
    <w:p w14:paraId="14B67BCF">
      <w:pPr>
        <w:pStyle w:val="36"/>
        <w:pBdr>
          <w:bottom w:val="single" w:color="CCCCCC" w:sz="6" w:space="8"/>
        </w:pBdr>
        <w:spacing w:before="75" w:beforeAutospacing="0" w:after="300" w:afterAutospacing="0"/>
        <w:rPr>
          <w:sz w:val="21"/>
          <w:szCs w:val="21"/>
        </w:rPr>
      </w:pPr>
      <w:r>
        <w:rPr>
          <w:sz w:val="21"/>
          <w:szCs w:val="21"/>
        </w:rPr>
        <w:t>来源：广西财政 发布时间：2020-08-04</w:t>
      </w:r>
    </w:p>
    <w:p w14:paraId="149EB426">
      <w:pPr>
        <w:pStyle w:val="27"/>
        <w:spacing w:before="75" w:beforeAutospacing="0" w:after="75" w:afterAutospacing="0" w:line="340" w:lineRule="exact"/>
        <w:rPr>
          <w:rStyle w:val="31"/>
          <w:rFonts w:hint="eastAsia" w:ascii="仿宋" w:hAnsi="仿宋" w:eastAsia="仿宋"/>
        </w:rPr>
      </w:pPr>
      <w:r>
        <w:rPr>
          <w:rStyle w:val="31"/>
          <w:rFonts w:hint="eastAsia" w:ascii="仿宋" w:hAnsi="仿宋" w:eastAsia="仿宋"/>
        </w:rPr>
        <w:t>第一条</w:t>
      </w:r>
      <w:r>
        <w:rPr>
          <w:rStyle w:val="31"/>
          <w:rFonts w:hint="eastAsia" w:ascii="仿宋" w:hAnsi="仿宋" w:eastAsia="仿宋"/>
          <w:lang w:val="en-US" w:eastAsia="zh-CN"/>
        </w:rPr>
        <w:t xml:space="preserve"> </w:t>
      </w:r>
      <w:r>
        <w:rPr>
          <w:rFonts w:hint="eastAsia" w:ascii="仿宋" w:hAnsi="仿宋" w:eastAsia="仿宋"/>
        </w:rPr>
        <w:t>参加电子卖场政府采购活动的供应商实行设置“诚信分”和预警制度，由电子卖场系统根据情节在供应商库中的诚信记录自动统计计算，用分值表示，供应商被查作出扣减诚信分及预警，按下列规则记录：</w:t>
      </w:r>
    </w:p>
    <w:p w14:paraId="01F6981F">
      <w:pPr>
        <w:pStyle w:val="27"/>
        <w:spacing w:before="75" w:beforeAutospacing="0" w:after="75" w:afterAutospacing="0" w:line="340" w:lineRule="exact"/>
        <w:rPr>
          <w:rFonts w:hint="eastAsia" w:ascii="仿宋" w:hAnsi="仿宋" w:eastAsia="仿宋"/>
        </w:rPr>
      </w:pPr>
      <w:r>
        <w:rPr>
          <w:rFonts w:hint="eastAsia" w:ascii="仿宋" w:hAnsi="仿宋" w:eastAsia="仿宋"/>
        </w:rPr>
        <w:t>1.供应商被给予黄色预警一次，扣减5-10分诚信分，可给予暂停其6个月在电子卖场销售或停止其参与报价；</w:t>
      </w:r>
    </w:p>
    <w:p w14:paraId="6E16C05F">
      <w:pPr>
        <w:pStyle w:val="27"/>
        <w:spacing w:before="75" w:beforeAutospacing="0" w:after="75" w:afterAutospacing="0" w:line="340" w:lineRule="exact"/>
        <w:rPr>
          <w:rFonts w:hint="eastAsia" w:ascii="仿宋" w:hAnsi="仿宋" w:eastAsia="仿宋"/>
        </w:rPr>
      </w:pPr>
      <w:r>
        <w:rPr>
          <w:rFonts w:hint="eastAsia" w:ascii="仿宋" w:hAnsi="仿宋" w:eastAsia="仿宋"/>
        </w:rPr>
        <w:t>2.供应商被给予橙色预警一次，扣减10-20分诚信分，可给予暂停其9个月在电子卖场销售或停止其参与报价；</w:t>
      </w:r>
    </w:p>
    <w:p w14:paraId="216B1426">
      <w:pPr>
        <w:pStyle w:val="27"/>
        <w:spacing w:before="75" w:beforeAutospacing="0" w:after="75" w:afterAutospacing="0" w:line="340" w:lineRule="exact"/>
        <w:rPr>
          <w:rFonts w:hint="eastAsia" w:ascii="仿宋" w:hAnsi="仿宋" w:eastAsia="仿宋"/>
        </w:rPr>
      </w:pPr>
      <w:r>
        <w:rPr>
          <w:rFonts w:hint="eastAsia" w:ascii="仿宋" w:hAnsi="仿宋" w:eastAsia="仿宋"/>
        </w:rPr>
        <w:t>3.供应商被给予红色预警一次，扣减20-30分诚信分，可给予暂停其12个月在电子卖场销售或停止其参与报价。</w:t>
      </w:r>
    </w:p>
    <w:p w14:paraId="0176A4A8">
      <w:pPr>
        <w:pStyle w:val="27"/>
        <w:spacing w:before="75" w:beforeAutospacing="0" w:after="75" w:afterAutospacing="0" w:line="340" w:lineRule="exact"/>
        <w:rPr>
          <w:rFonts w:hint="eastAsia" w:ascii="仿宋" w:hAnsi="仿宋" w:eastAsia="仿宋"/>
        </w:rPr>
      </w:pPr>
      <w:r>
        <w:rPr>
          <w:rFonts w:hint="eastAsia" w:ascii="仿宋" w:hAnsi="仿宋" w:eastAsia="仿宋"/>
        </w:rPr>
        <w:t>4.网上超市供应商和协议（定点）采购供应商被累计扣减30分诚信分的，取消其网上超市供应商和协议（定点）采购供应商资格。</w:t>
      </w:r>
    </w:p>
    <w:p w14:paraId="2D4E99AE">
      <w:pPr>
        <w:pStyle w:val="27"/>
        <w:spacing w:before="75" w:beforeAutospacing="0" w:after="75" w:afterAutospacing="0" w:line="340" w:lineRule="exact"/>
        <w:rPr>
          <w:rFonts w:hint="eastAsia" w:ascii="仿宋" w:hAnsi="仿宋" w:eastAsia="仿宋"/>
        </w:rPr>
      </w:pPr>
      <w:r>
        <w:rPr>
          <w:rFonts w:hint="eastAsia" w:ascii="仿宋" w:hAnsi="仿宋" w:eastAsia="仿宋"/>
        </w:rPr>
        <w:t>扣分实行年度累计和清零制，每年年度终了时清零。供应商可在知道其被记录诚信或预警时2个工作日内发起申辩或澄清。同级财政部门核实，对有误计入的处理记录可予以撤销。供应商违规情形中，如出现重大社会影响的，各级财政部门有权在第一时间内冻结商品等，并对供应商操作权限等做限制处理。</w:t>
      </w:r>
    </w:p>
    <w:p w14:paraId="7D3B2EB8">
      <w:pPr>
        <w:pStyle w:val="27"/>
        <w:spacing w:before="75" w:beforeAutospacing="0" w:after="75" w:afterAutospacing="0" w:line="340" w:lineRule="exact"/>
        <w:rPr>
          <w:rStyle w:val="31"/>
          <w:rFonts w:hint="eastAsia" w:ascii="仿宋" w:hAnsi="仿宋" w:eastAsia="仿宋"/>
        </w:rPr>
      </w:pPr>
      <w:r>
        <w:rPr>
          <w:rStyle w:val="31"/>
          <w:rFonts w:hint="eastAsia" w:ascii="仿宋" w:hAnsi="仿宋" w:eastAsia="仿宋"/>
        </w:rPr>
        <w:t>第二条</w:t>
      </w:r>
      <w:r>
        <w:rPr>
          <w:rStyle w:val="31"/>
          <w:rFonts w:hint="eastAsia" w:ascii="仿宋" w:hAnsi="仿宋" w:eastAsia="仿宋"/>
          <w:lang w:val="en-US" w:eastAsia="zh-CN"/>
        </w:rPr>
        <w:t xml:space="preserve"> </w:t>
      </w:r>
      <w:r>
        <w:rPr>
          <w:rFonts w:hint="eastAsia" w:ascii="仿宋" w:hAnsi="仿宋" w:eastAsia="仿宋"/>
        </w:rPr>
        <w:t>网上超市供应商被查实存在违法违规行为的，由负责招标或资格征集的各级集采机构或各级财政部门责令其纠正，并对其作出相应诚信分扣除及预警等处理。</w:t>
      </w:r>
    </w:p>
    <w:p w14:paraId="5D46333C">
      <w:pPr>
        <w:pStyle w:val="27"/>
        <w:spacing w:before="75" w:beforeAutospacing="0" w:after="75" w:afterAutospacing="0" w:line="340" w:lineRule="exact"/>
        <w:rPr>
          <w:rFonts w:hint="eastAsia" w:ascii="仿宋" w:hAnsi="仿宋" w:eastAsia="仿宋"/>
        </w:rPr>
      </w:pPr>
      <w:r>
        <w:rPr>
          <w:rFonts w:hint="eastAsia" w:ascii="仿宋" w:hAnsi="仿宋" w:eastAsia="仿宋"/>
        </w:rPr>
        <w:t>（一）有下列情形之一的，每发生一次，视情扣减5-10分诚信分及黄色预警1次。拒不纠正的，暂停其网超协议6个月：</w:t>
      </w:r>
    </w:p>
    <w:p w14:paraId="2CB6E03B">
      <w:pPr>
        <w:pStyle w:val="27"/>
        <w:spacing w:before="75" w:beforeAutospacing="0" w:after="75" w:afterAutospacing="0" w:line="340" w:lineRule="exact"/>
        <w:rPr>
          <w:rFonts w:hint="eastAsia" w:ascii="仿宋" w:hAnsi="仿宋" w:eastAsia="仿宋"/>
        </w:rPr>
      </w:pPr>
      <w:r>
        <w:rPr>
          <w:rFonts w:hint="eastAsia" w:ascii="仿宋" w:hAnsi="仿宋" w:eastAsia="仿宋"/>
        </w:rPr>
        <w:t>1.存在网上超市商品销售价格高于同期大型电商自营商品平均销售价格10%及以上的；</w:t>
      </w:r>
    </w:p>
    <w:p w14:paraId="4CBCADF2">
      <w:pPr>
        <w:pStyle w:val="27"/>
        <w:spacing w:before="75" w:beforeAutospacing="0" w:after="75" w:afterAutospacing="0" w:line="340" w:lineRule="exact"/>
        <w:rPr>
          <w:rFonts w:hint="eastAsia" w:ascii="仿宋" w:hAnsi="仿宋" w:eastAsia="仿宋"/>
        </w:rPr>
      </w:pPr>
      <w:r>
        <w:rPr>
          <w:rFonts w:hint="eastAsia" w:ascii="仿宋" w:hAnsi="仿宋" w:eastAsia="仿宋"/>
        </w:rPr>
        <w:t>2.发布的商品信息前后出现品牌、价格、图片、属性等不一致、重复等情况的；</w:t>
      </w:r>
    </w:p>
    <w:p w14:paraId="360A695C">
      <w:pPr>
        <w:pStyle w:val="27"/>
        <w:spacing w:before="75" w:beforeAutospacing="0" w:after="75" w:afterAutospacing="0" w:line="340" w:lineRule="exact"/>
        <w:rPr>
          <w:rFonts w:hint="eastAsia" w:ascii="仿宋" w:hAnsi="仿宋" w:eastAsia="仿宋"/>
        </w:rPr>
      </w:pPr>
      <w:r>
        <w:rPr>
          <w:rFonts w:hint="eastAsia" w:ascii="仿宋" w:hAnsi="仿宋" w:eastAsia="仿宋"/>
        </w:rPr>
        <w:t>3.发布商品选择类目与商品不相关的；</w:t>
      </w:r>
    </w:p>
    <w:p w14:paraId="07574184">
      <w:pPr>
        <w:pStyle w:val="27"/>
        <w:spacing w:before="75" w:beforeAutospacing="0" w:after="75" w:afterAutospacing="0" w:line="340" w:lineRule="exact"/>
        <w:rPr>
          <w:rFonts w:hint="eastAsia" w:ascii="仿宋" w:hAnsi="仿宋" w:eastAsia="仿宋"/>
        </w:rPr>
      </w:pPr>
      <w:r>
        <w:rPr>
          <w:rFonts w:hint="eastAsia" w:ascii="仿宋" w:hAnsi="仿宋" w:eastAsia="仿宋"/>
        </w:rPr>
        <w:t>4.发布的商品与实际不符，包括夸大、过度和虚假宣传的；</w:t>
      </w:r>
    </w:p>
    <w:p w14:paraId="7E4100CD">
      <w:pPr>
        <w:pStyle w:val="27"/>
        <w:spacing w:before="75" w:beforeAutospacing="0" w:after="75" w:afterAutospacing="0" w:line="340" w:lineRule="exact"/>
        <w:rPr>
          <w:rFonts w:hint="eastAsia" w:ascii="仿宋" w:hAnsi="仿宋" w:eastAsia="仿宋"/>
        </w:rPr>
      </w:pPr>
      <w:r>
        <w:rPr>
          <w:rFonts w:hint="eastAsia" w:ascii="仿宋" w:hAnsi="仿宋" w:eastAsia="仿宋"/>
        </w:rPr>
        <w:t>5.不符合平台商品发布规范的其他行为。</w:t>
      </w:r>
    </w:p>
    <w:p w14:paraId="4AB5B030">
      <w:pPr>
        <w:pStyle w:val="27"/>
        <w:spacing w:before="75" w:beforeAutospacing="0" w:after="75" w:afterAutospacing="0" w:line="340" w:lineRule="exact"/>
        <w:rPr>
          <w:rFonts w:hint="eastAsia" w:ascii="仿宋" w:hAnsi="仿宋" w:eastAsia="仿宋"/>
        </w:rPr>
      </w:pPr>
      <w:r>
        <w:rPr>
          <w:rFonts w:hint="eastAsia" w:ascii="仿宋" w:hAnsi="仿宋" w:eastAsia="仿宋"/>
        </w:rPr>
        <w:t>（二）有下列情形之一的，每发生一次，将视情扣减10-20分诚信分及橙色预警1次。拒不纠正的，暂停其网超协议9个月：</w:t>
      </w:r>
    </w:p>
    <w:p w14:paraId="5CD8875B">
      <w:pPr>
        <w:pStyle w:val="27"/>
        <w:spacing w:before="75" w:beforeAutospacing="0" w:after="75" w:afterAutospacing="0" w:line="340" w:lineRule="exact"/>
        <w:rPr>
          <w:rFonts w:hint="eastAsia" w:ascii="仿宋" w:hAnsi="仿宋" w:eastAsia="仿宋"/>
        </w:rPr>
      </w:pPr>
      <w:r>
        <w:rPr>
          <w:rFonts w:hint="eastAsia" w:ascii="仿宋" w:hAnsi="仿宋" w:eastAsia="仿宋"/>
        </w:rPr>
        <w:t>1.销售价格高于同期大型电商自营商品平均销售价格20%以上或因价格问题被黄色预警3次以上的；</w:t>
      </w:r>
    </w:p>
    <w:p w14:paraId="3B31027B">
      <w:pPr>
        <w:pStyle w:val="27"/>
        <w:spacing w:before="75" w:beforeAutospacing="0" w:after="75" w:afterAutospacing="0" w:line="340" w:lineRule="exact"/>
        <w:rPr>
          <w:rFonts w:hint="eastAsia" w:ascii="仿宋" w:hAnsi="仿宋" w:eastAsia="仿宋"/>
        </w:rPr>
      </w:pPr>
      <w:r>
        <w:rPr>
          <w:rFonts w:hint="eastAsia" w:ascii="仿宋" w:hAnsi="仿宋" w:eastAsia="仿宋"/>
        </w:rPr>
        <w:t>2.发布质量不合格商品的；</w:t>
      </w:r>
    </w:p>
    <w:p w14:paraId="04D73213">
      <w:pPr>
        <w:pStyle w:val="27"/>
        <w:spacing w:before="75" w:beforeAutospacing="0" w:after="75" w:afterAutospacing="0" w:line="340" w:lineRule="exact"/>
        <w:rPr>
          <w:rFonts w:hint="eastAsia" w:ascii="仿宋" w:hAnsi="仿宋" w:eastAsia="仿宋"/>
        </w:rPr>
      </w:pPr>
      <w:r>
        <w:rPr>
          <w:rFonts w:hint="eastAsia" w:ascii="仿宋" w:hAnsi="仿宋" w:eastAsia="仿宋"/>
        </w:rPr>
        <w:t>3.不当使用他人商标权、著作权、专利权等，造成不良后果的；</w:t>
      </w:r>
    </w:p>
    <w:p w14:paraId="125C3BA8">
      <w:pPr>
        <w:pStyle w:val="27"/>
        <w:spacing w:before="75" w:beforeAutospacing="0" w:after="75" w:afterAutospacing="0" w:line="340" w:lineRule="exact"/>
        <w:rPr>
          <w:rFonts w:hint="eastAsia" w:ascii="仿宋" w:hAnsi="仿宋" w:eastAsia="仿宋"/>
        </w:rPr>
      </w:pPr>
      <w:r>
        <w:rPr>
          <w:rFonts w:hint="eastAsia" w:ascii="仿宋" w:hAnsi="仿宋" w:eastAsia="仿宋"/>
        </w:rPr>
        <w:t>4.恶意利用规则、误导采购人获取虚假商品销量、评价、满意度等的；</w:t>
      </w:r>
    </w:p>
    <w:p w14:paraId="361076B8">
      <w:pPr>
        <w:pStyle w:val="27"/>
        <w:spacing w:before="75" w:beforeAutospacing="0" w:after="75" w:afterAutospacing="0" w:line="340" w:lineRule="exact"/>
        <w:rPr>
          <w:rFonts w:hint="eastAsia" w:ascii="仿宋" w:hAnsi="仿宋" w:eastAsia="仿宋"/>
        </w:rPr>
      </w:pPr>
      <w:r>
        <w:rPr>
          <w:rFonts w:hint="eastAsia" w:ascii="仿宋" w:hAnsi="仿宋" w:eastAsia="仿宋"/>
        </w:rPr>
        <w:t>5.无正当理由不按规定时限响应或确认采购订单、合同累计5次及以上的；</w:t>
      </w:r>
    </w:p>
    <w:p w14:paraId="050A5821">
      <w:pPr>
        <w:pStyle w:val="27"/>
        <w:spacing w:before="75" w:beforeAutospacing="0" w:after="75" w:afterAutospacing="0" w:line="340" w:lineRule="exact"/>
        <w:rPr>
          <w:rFonts w:hint="eastAsia" w:ascii="仿宋" w:hAnsi="仿宋" w:eastAsia="仿宋"/>
        </w:rPr>
      </w:pPr>
      <w:r>
        <w:rPr>
          <w:rFonts w:hint="eastAsia" w:ascii="仿宋" w:hAnsi="仿宋" w:eastAsia="仿宋"/>
        </w:rPr>
        <w:t>6.无正当理由不执行采购订单、合同或没有按承诺提供商品及售后服务1次的；</w:t>
      </w:r>
    </w:p>
    <w:p w14:paraId="3B854042">
      <w:pPr>
        <w:pStyle w:val="27"/>
        <w:spacing w:before="75" w:beforeAutospacing="0" w:after="75" w:afterAutospacing="0" w:line="340" w:lineRule="exact"/>
        <w:rPr>
          <w:rFonts w:hint="eastAsia" w:ascii="仿宋" w:hAnsi="仿宋" w:eastAsia="仿宋"/>
        </w:rPr>
      </w:pPr>
      <w:r>
        <w:rPr>
          <w:rFonts w:hint="eastAsia" w:ascii="仿宋" w:hAnsi="仿宋" w:eastAsia="仿宋"/>
        </w:rPr>
        <w:t>7.其他违反采购文件或资格征集协议约定事项或供应商承诺事项的。</w:t>
      </w:r>
    </w:p>
    <w:p w14:paraId="09586A09">
      <w:pPr>
        <w:pStyle w:val="27"/>
        <w:spacing w:before="75" w:beforeAutospacing="0" w:after="75" w:afterAutospacing="0" w:line="340" w:lineRule="exact"/>
        <w:rPr>
          <w:rFonts w:hint="eastAsia" w:ascii="仿宋" w:hAnsi="仿宋" w:eastAsia="仿宋"/>
        </w:rPr>
      </w:pPr>
      <w:r>
        <w:rPr>
          <w:rFonts w:hint="eastAsia" w:ascii="仿宋" w:hAnsi="仿宋" w:eastAsia="仿宋"/>
        </w:rPr>
        <w:t>（三）有下列情形之一的，视情扣减20-30分诚信分及红色预警1次。拒不纠正的，暂停其网超协议12个月：</w:t>
      </w:r>
    </w:p>
    <w:p w14:paraId="714C1942">
      <w:pPr>
        <w:pStyle w:val="27"/>
        <w:spacing w:before="75" w:beforeAutospacing="0" w:after="75" w:afterAutospacing="0" w:line="340" w:lineRule="exact"/>
        <w:rPr>
          <w:rFonts w:hint="eastAsia" w:ascii="仿宋" w:hAnsi="仿宋" w:eastAsia="仿宋"/>
        </w:rPr>
      </w:pPr>
      <w:r>
        <w:rPr>
          <w:rFonts w:hint="eastAsia" w:ascii="仿宋" w:hAnsi="仿宋" w:eastAsia="仿宋"/>
        </w:rPr>
        <w:t>1.销售价格高于同期大型电商自营商品平均销售价格30%以上的或因价格问题被橙色预警2次以上；</w:t>
      </w:r>
    </w:p>
    <w:p w14:paraId="3ED25C38">
      <w:pPr>
        <w:pStyle w:val="27"/>
        <w:spacing w:before="75" w:beforeAutospacing="0" w:after="75" w:afterAutospacing="0" w:line="340" w:lineRule="exact"/>
        <w:rPr>
          <w:rFonts w:hint="eastAsia" w:ascii="仿宋" w:hAnsi="仿宋" w:eastAsia="仿宋"/>
        </w:rPr>
      </w:pPr>
      <w:r>
        <w:rPr>
          <w:rFonts w:hint="eastAsia" w:ascii="仿宋" w:hAnsi="仿宋" w:eastAsia="仿宋"/>
        </w:rPr>
        <w:t>2.发布国家禁止出售商品的；</w:t>
      </w:r>
    </w:p>
    <w:p w14:paraId="192F2A3E">
      <w:pPr>
        <w:pStyle w:val="27"/>
        <w:spacing w:before="75" w:beforeAutospacing="0" w:after="75" w:afterAutospacing="0" w:line="340" w:lineRule="exact"/>
        <w:rPr>
          <w:rFonts w:hint="eastAsia" w:ascii="仿宋" w:hAnsi="仿宋" w:eastAsia="仿宋"/>
        </w:rPr>
      </w:pPr>
      <w:r>
        <w:rPr>
          <w:rFonts w:hint="eastAsia" w:ascii="仿宋" w:hAnsi="仿宋" w:eastAsia="仿宋"/>
        </w:rPr>
        <w:t>3.发布假冒注册商标商品及盗版商品的；</w:t>
      </w:r>
    </w:p>
    <w:p w14:paraId="74617452">
      <w:pPr>
        <w:pStyle w:val="27"/>
        <w:spacing w:before="75" w:beforeAutospacing="0" w:after="75" w:afterAutospacing="0" w:line="340" w:lineRule="exact"/>
        <w:rPr>
          <w:rFonts w:hint="eastAsia" w:ascii="仿宋" w:hAnsi="仿宋" w:eastAsia="仿宋"/>
        </w:rPr>
      </w:pPr>
      <w:r>
        <w:rPr>
          <w:rFonts w:hint="eastAsia" w:ascii="仿宋" w:hAnsi="仿宋" w:eastAsia="仿宋"/>
        </w:rPr>
        <w:t>4.未经允许盗取、发布、传递他人隐私信息的；</w:t>
      </w:r>
    </w:p>
    <w:p w14:paraId="62F06F53">
      <w:pPr>
        <w:pStyle w:val="27"/>
        <w:spacing w:before="75" w:beforeAutospacing="0" w:after="75" w:afterAutospacing="0" w:line="340" w:lineRule="exact"/>
        <w:rPr>
          <w:rFonts w:hint="eastAsia" w:ascii="仿宋" w:hAnsi="仿宋" w:eastAsia="仿宋"/>
        </w:rPr>
      </w:pPr>
      <w:r>
        <w:rPr>
          <w:rFonts w:hint="eastAsia" w:ascii="仿宋" w:hAnsi="仿宋" w:eastAsia="仿宋"/>
        </w:rPr>
        <w:t>5.采购人评价“满意度指数”低于60％累计5次及以上的；</w:t>
      </w:r>
    </w:p>
    <w:p w14:paraId="22269407">
      <w:pPr>
        <w:pStyle w:val="27"/>
        <w:spacing w:before="75" w:beforeAutospacing="0" w:after="75" w:afterAutospacing="0" w:line="340" w:lineRule="exact"/>
        <w:rPr>
          <w:rFonts w:hint="eastAsia" w:ascii="仿宋" w:hAnsi="仿宋" w:eastAsia="仿宋"/>
        </w:rPr>
      </w:pPr>
      <w:r>
        <w:rPr>
          <w:rFonts w:hint="eastAsia" w:ascii="仿宋" w:hAnsi="仿宋" w:eastAsia="仿宋"/>
        </w:rPr>
        <w:t>6.向运维单位、采购人、集采机构、财政部门有关人员行贿或提供其他不正当利益的；</w:t>
      </w:r>
    </w:p>
    <w:p w14:paraId="6F5490F9">
      <w:pPr>
        <w:pStyle w:val="27"/>
        <w:spacing w:before="75" w:beforeAutospacing="0" w:after="75" w:afterAutospacing="0" w:line="340" w:lineRule="exact"/>
        <w:rPr>
          <w:rFonts w:hint="eastAsia" w:ascii="仿宋" w:hAnsi="仿宋" w:eastAsia="仿宋"/>
        </w:rPr>
      </w:pPr>
      <w:r>
        <w:rPr>
          <w:rFonts w:hint="eastAsia" w:ascii="仿宋" w:hAnsi="仿宋" w:eastAsia="仿宋"/>
        </w:rPr>
        <w:t>7.与其他供应商、运维单位、采购人、集采机构、财政部门有关人员恶意串通的；</w:t>
      </w:r>
    </w:p>
    <w:p w14:paraId="379D2D6A">
      <w:pPr>
        <w:pStyle w:val="27"/>
        <w:spacing w:before="75" w:beforeAutospacing="0" w:after="75" w:afterAutospacing="0" w:line="340" w:lineRule="exact"/>
        <w:rPr>
          <w:rFonts w:hint="eastAsia" w:ascii="仿宋" w:hAnsi="仿宋" w:eastAsia="仿宋"/>
        </w:rPr>
      </w:pPr>
      <w:r>
        <w:rPr>
          <w:rFonts w:hint="eastAsia" w:ascii="仿宋" w:hAnsi="仿宋" w:eastAsia="仿宋"/>
        </w:rPr>
        <w:t>8.利用网上超市系统漏洞或者其他黑客手段侵入系统篡改数据或者虚构交易记录的；</w:t>
      </w:r>
    </w:p>
    <w:p w14:paraId="546503F8">
      <w:pPr>
        <w:pStyle w:val="27"/>
        <w:spacing w:before="75" w:beforeAutospacing="0" w:after="75" w:afterAutospacing="0" w:line="340" w:lineRule="exact"/>
        <w:rPr>
          <w:rFonts w:hint="eastAsia" w:ascii="仿宋" w:hAnsi="仿宋" w:eastAsia="仿宋"/>
        </w:rPr>
      </w:pPr>
      <w:r>
        <w:rPr>
          <w:rFonts w:hint="eastAsia" w:ascii="仿宋" w:hAnsi="仿宋" w:eastAsia="仿宋"/>
        </w:rPr>
        <w:t>9.拒不执行财政部门或同级集采机构的监管措施或者拒不纠正违规、违约行为的；</w:t>
      </w:r>
    </w:p>
    <w:p w14:paraId="33938BE1">
      <w:pPr>
        <w:pStyle w:val="27"/>
        <w:spacing w:before="75" w:beforeAutospacing="0" w:after="75" w:afterAutospacing="0" w:line="340" w:lineRule="exact"/>
        <w:rPr>
          <w:rFonts w:hint="eastAsia" w:ascii="仿宋" w:hAnsi="仿宋" w:eastAsia="仿宋"/>
        </w:rPr>
      </w:pPr>
      <w:r>
        <w:rPr>
          <w:rFonts w:hint="eastAsia" w:ascii="仿宋" w:hAnsi="仿宋" w:eastAsia="仿宋"/>
        </w:rPr>
        <w:t>10.未按采购结果签订供货或服务合同，或者与采购人另行订立背离合同实质性内容协议的；</w:t>
      </w:r>
    </w:p>
    <w:p w14:paraId="1C8A3E09">
      <w:pPr>
        <w:pStyle w:val="27"/>
        <w:spacing w:before="75" w:beforeAutospacing="0" w:after="75" w:afterAutospacing="0" w:line="340" w:lineRule="exact"/>
        <w:rPr>
          <w:rFonts w:hint="eastAsia" w:ascii="仿宋" w:hAnsi="仿宋" w:eastAsia="仿宋"/>
        </w:rPr>
      </w:pPr>
      <w:r>
        <w:rPr>
          <w:rFonts w:hint="eastAsia" w:ascii="仿宋" w:hAnsi="仿宋" w:eastAsia="仿宋"/>
        </w:rPr>
        <w:t>11.无正当理由拒绝履行合同义务，或未按合同约定履行义务构成违约的；</w:t>
      </w:r>
    </w:p>
    <w:p w14:paraId="471B02E4">
      <w:pPr>
        <w:pStyle w:val="27"/>
        <w:spacing w:before="75" w:beforeAutospacing="0" w:after="75" w:afterAutospacing="0" w:line="340" w:lineRule="exact"/>
        <w:rPr>
          <w:rFonts w:hint="eastAsia" w:ascii="仿宋" w:hAnsi="仿宋" w:eastAsia="仿宋"/>
        </w:rPr>
      </w:pPr>
      <w:r>
        <w:rPr>
          <w:rFonts w:hint="eastAsia" w:ascii="仿宋" w:hAnsi="仿宋" w:eastAsia="仿宋"/>
        </w:rPr>
        <w:t>12.竞价结束后与采购人再次议价的；</w:t>
      </w:r>
    </w:p>
    <w:p w14:paraId="2ED48F78">
      <w:pPr>
        <w:pStyle w:val="27"/>
        <w:spacing w:before="75" w:beforeAutospacing="0" w:after="75" w:afterAutospacing="0" w:line="340" w:lineRule="exact"/>
        <w:rPr>
          <w:rFonts w:hint="eastAsia" w:ascii="仿宋" w:hAnsi="仿宋" w:eastAsia="仿宋"/>
        </w:rPr>
      </w:pPr>
      <w:r>
        <w:rPr>
          <w:rFonts w:hint="eastAsia" w:ascii="仿宋" w:hAnsi="仿宋" w:eastAsia="仿宋"/>
        </w:rPr>
        <w:t>13.在合同履行过程中与采购人协商变更合同主要条款的；</w:t>
      </w:r>
    </w:p>
    <w:p w14:paraId="621B6FBD">
      <w:pPr>
        <w:pStyle w:val="27"/>
        <w:spacing w:before="75" w:beforeAutospacing="0" w:after="75" w:afterAutospacing="0" w:line="340" w:lineRule="exact"/>
        <w:rPr>
          <w:rFonts w:hint="eastAsia" w:ascii="仿宋" w:hAnsi="仿宋" w:eastAsia="仿宋"/>
        </w:rPr>
      </w:pPr>
      <w:r>
        <w:rPr>
          <w:rFonts w:hint="eastAsia" w:ascii="仿宋" w:hAnsi="仿宋" w:eastAsia="仿宋"/>
        </w:rPr>
        <w:t>14.提供假冒伪劣商品或擅自更换配件、降低配置，以次充好的；</w:t>
      </w:r>
    </w:p>
    <w:p w14:paraId="5841F4C6">
      <w:pPr>
        <w:pStyle w:val="27"/>
        <w:spacing w:before="75" w:beforeAutospacing="0" w:after="75" w:afterAutospacing="0" w:line="340" w:lineRule="exact"/>
        <w:rPr>
          <w:rFonts w:hint="eastAsia" w:ascii="仿宋" w:hAnsi="仿宋" w:eastAsia="仿宋"/>
        </w:rPr>
      </w:pPr>
      <w:r>
        <w:rPr>
          <w:rFonts w:hint="eastAsia" w:ascii="仿宋" w:hAnsi="仿宋" w:eastAsia="仿宋"/>
        </w:rPr>
        <w:t>15.各级财政部门认定的其他违法、违规及违反本办法规定的行为。</w:t>
      </w:r>
    </w:p>
    <w:p w14:paraId="0211B427">
      <w:pPr>
        <w:pStyle w:val="27"/>
        <w:spacing w:before="75" w:beforeAutospacing="0" w:after="75" w:afterAutospacing="0" w:line="340" w:lineRule="exact"/>
        <w:rPr>
          <w:rFonts w:hint="eastAsia" w:ascii="仿宋" w:hAnsi="仿宋" w:eastAsia="仿宋"/>
        </w:rPr>
      </w:pPr>
      <w:r>
        <w:rPr>
          <w:rFonts w:hint="eastAsia" w:ascii="仿宋" w:hAnsi="仿宋" w:eastAsia="仿宋"/>
        </w:rPr>
        <w:t>运维单位发现供应商发布国家禁止出售商品或信息，或涉及侵犯他人隐私等的，可直接予以删除。</w:t>
      </w:r>
    </w:p>
    <w:p w14:paraId="58351F34">
      <w:pPr>
        <w:pStyle w:val="27"/>
        <w:spacing w:before="75" w:beforeAutospacing="0" w:after="75" w:afterAutospacing="0" w:line="340" w:lineRule="exact"/>
        <w:rPr>
          <w:rStyle w:val="31"/>
          <w:rFonts w:hint="eastAsia" w:ascii="仿宋" w:hAnsi="仿宋" w:eastAsia="仿宋"/>
        </w:rPr>
      </w:pPr>
      <w:r>
        <w:rPr>
          <w:rStyle w:val="31"/>
          <w:rFonts w:hint="eastAsia" w:ascii="仿宋" w:hAnsi="仿宋" w:eastAsia="仿宋"/>
        </w:rPr>
        <w:t>第三条</w:t>
      </w:r>
      <w:r>
        <w:rPr>
          <w:rStyle w:val="31"/>
          <w:rFonts w:hint="eastAsia" w:ascii="仿宋" w:hAnsi="仿宋" w:eastAsia="仿宋"/>
          <w:lang w:val="en-US" w:eastAsia="zh-CN"/>
        </w:rPr>
        <w:t xml:space="preserve"> </w:t>
      </w:r>
      <w:r>
        <w:rPr>
          <w:rFonts w:hint="eastAsia" w:ascii="仿宋" w:hAnsi="仿宋" w:eastAsia="仿宋"/>
        </w:rPr>
        <w:t>协议供货、定点采购供应商有下列情形之一的，负责招标或资格征集的各级集采机构及财政部门可扣减其10-30分诚信分，并可暂停其协议3-12个月：</w:t>
      </w:r>
    </w:p>
    <w:p w14:paraId="7DD63B72">
      <w:pPr>
        <w:pStyle w:val="27"/>
        <w:spacing w:before="75" w:beforeAutospacing="0" w:after="75" w:afterAutospacing="0" w:line="340" w:lineRule="exact"/>
        <w:rPr>
          <w:rFonts w:hint="eastAsia" w:ascii="仿宋" w:hAnsi="仿宋" w:eastAsia="仿宋"/>
        </w:rPr>
      </w:pPr>
      <w:r>
        <w:rPr>
          <w:rFonts w:hint="eastAsia" w:ascii="仿宋" w:hAnsi="仿宋" w:eastAsia="仿宋"/>
        </w:rPr>
        <w:t>（一）未按采购结果签订供货或服务合同，或与采购人另行订立背离合同实质性内容协议的；</w:t>
      </w:r>
    </w:p>
    <w:p w14:paraId="7E9445A1">
      <w:pPr>
        <w:pStyle w:val="27"/>
        <w:spacing w:before="75" w:beforeAutospacing="0" w:after="75" w:afterAutospacing="0" w:line="340" w:lineRule="exact"/>
        <w:rPr>
          <w:rFonts w:hint="eastAsia" w:ascii="仿宋" w:hAnsi="仿宋" w:eastAsia="仿宋"/>
        </w:rPr>
      </w:pPr>
      <w:r>
        <w:rPr>
          <w:rFonts w:hint="eastAsia" w:ascii="仿宋" w:hAnsi="仿宋" w:eastAsia="仿宋"/>
        </w:rPr>
        <w:t>（二）无正当理由拒绝履行合同义务，或未按合同规定履行义务构成违约的；</w:t>
      </w:r>
    </w:p>
    <w:p w14:paraId="30CA0FEE">
      <w:pPr>
        <w:pStyle w:val="27"/>
        <w:spacing w:before="75" w:beforeAutospacing="0" w:after="75" w:afterAutospacing="0" w:line="340" w:lineRule="exact"/>
        <w:rPr>
          <w:rFonts w:hint="eastAsia" w:ascii="仿宋" w:hAnsi="仿宋" w:eastAsia="仿宋"/>
        </w:rPr>
      </w:pPr>
      <w:r>
        <w:rPr>
          <w:rFonts w:hint="eastAsia" w:ascii="仿宋" w:hAnsi="仿宋" w:eastAsia="仿宋"/>
        </w:rPr>
        <w:t>（三）竞价结束后与采购人再次议价的；</w:t>
      </w:r>
    </w:p>
    <w:p w14:paraId="5443507D">
      <w:pPr>
        <w:pStyle w:val="27"/>
        <w:spacing w:before="75" w:beforeAutospacing="0" w:after="75" w:afterAutospacing="0" w:line="340" w:lineRule="exact"/>
        <w:rPr>
          <w:rFonts w:hint="eastAsia" w:ascii="仿宋" w:hAnsi="仿宋" w:eastAsia="仿宋"/>
        </w:rPr>
      </w:pPr>
      <w:r>
        <w:rPr>
          <w:rFonts w:hint="eastAsia" w:ascii="仿宋" w:hAnsi="仿宋" w:eastAsia="仿宋"/>
        </w:rPr>
        <w:t>（四）在合同履行过程中与采购人协商变更合同主要条款的；</w:t>
      </w:r>
    </w:p>
    <w:p w14:paraId="6B78A0FB">
      <w:pPr>
        <w:pStyle w:val="27"/>
        <w:spacing w:before="75" w:beforeAutospacing="0" w:after="75" w:afterAutospacing="0" w:line="340" w:lineRule="exact"/>
        <w:rPr>
          <w:rFonts w:hint="eastAsia" w:ascii="仿宋" w:hAnsi="仿宋" w:eastAsia="仿宋"/>
        </w:rPr>
      </w:pPr>
      <w:r>
        <w:rPr>
          <w:rFonts w:hint="eastAsia" w:ascii="仿宋" w:hAnsi="仿宋" w:eastAsia="仿宋"/>
        </w:rPr>
        <w:t>（五）未及时更新维护商品库存信息或者当市场价格低于最高限价时，未及时更新最高限价的； </w:t>
      </w:r>
    </w:p>
    <w:p w14:paraId="6481A08B">
      <w:pPr>
        <w:pStyle w:val="27"/>
        <w:spacing w:before="75" w:beforeAutospacing="0" w:after="75" w:afterAutospacing="0" w:line="340" w:lineRule="exact"/>
        <w:rPr>
          <w:rFonts w:hint="eastAsia" w:ascii="仿宋" w:hAnsi="仿宋" w:eastAsia="仿宋"/>
        </w:rPr>
      </w:pPr>
      <w:r>
        <w:rPr>
          <w:rFonts w:hint="eastAsia" w:ascii="仿宋" w:hAnsi="仿宋" w:eastAsia="仿宋"/>
        </w:rPr>
        <w:t>（六）供应商指定的供货商中有3家以上因上述行为被取消协议供货资格的；</w:t>
      </w:r>
    </w:p>
    <w:p w14:paraId="69FA5D46">
      <w:pPr>
        <w:pStyle w:val="27"/>
        <w:spacing w:before="75" w:beforeAutospacing="0" w:after="75" w:afterAutospacing="0" w:line="340" w:lineRule="exact"/>
        <w:rPr>
          <w:rFonts w:hint="eastAsia" w:ascii="仿宋" w:hAnsi="仿宋" w:eastAsia="仿宋"/>
        </w:rPr>
      </w:pPr>
      <w:r>
        <w:rPr>
          <w:rFonts w:hint="eastAsia" w:ascii="仿宋" w:hAnsi="仿宋" w:eastAsia="仿宋"/>
        </w:rPr>
        <w:t>（七）各级财政部门认定的其他违法、违规及违反本办法规定的行为</w:t>
      </w:r>
    </w:p>
    <w:p w14:paraId="67BB7ADE">
      <w:pPr>
        <w:pStyle w:val="27"/>
        <w:spacing w:before="75" w:beforeAutospacing="0" w:after="75" w:afterAutospacing="0" w:line="340" w:lineRule="exact"/>
        <w:rPr>
          <w:rFonts w:hint="eastAsia" w:ascii="仿宋" w:hAnsi="仿宋" w:eastAsia="仿宋"/>
        </w:rPr>
      </w:pPr>
      <w:r>
        <w:rPr>
          <w:rFonts w:hint="eastAsia" w:ascii="仿宋" w:hAnsi="仿宋" w:eastAsia="仿宋"/>
          <w:b/>
          <w:bCs/>
        </w:rPr>
        <w:t>第四条</w:t>
      </w:r>
      <w:r>
        <w:rPr>
          <w:rFonts w:hint="eastAsia" w:ascii="仿宋" w:hAnsi="仿宋" w:eastAsia="仿宋"/>
          <w:b/>
          <w:bCs/>
          <w:lang w:val="en-US" w:eastAsia="zh-CN"/>
        </w:rPr>
        <w:t xml:space="preserve"> </w:t>
      </w:r>
      <w:r>
        <w:rPr>
          <w:rFonts w:hint="eastAsia" w:ascii="仿宋" w:hAnsi="仿宋" w:eastAsia="仿宋"/>
        </w:rPr>
        <w:t>在线询价、反向竞价供应商供应商存在不按要求报价、中标后无故放弃、不按合同履行等违约行为的，经采购人举报，经同级财政部门确认的，应扣减其10-30分诚信分，限制供应商报价权限3-12个月。</w:t>
      </w:r>
    </w:p>
    <w:p w14:paraId="1079B4DC">
      <w:pPr>
        <w:pStyle w:val="27"/>
        <w:spacing w:before="75" w:beforeAutospacing="0" w:after="75" w:afterAutospacing="0" w:line="340" w:lineRule="exact"/>
        <w:rPr>
          <w:rFonts w:hint="eastAsia" w:ascii="仿宋" w:hAnsi="仿宋" w:eastAsia="仿宋"/>
          <w:b/>
          <w:bCs/>
        </w:rPr>
      </w:pPr>
      <w:r>
        <w:rPr>
          <w:rFonts w:hint="eastAsia" w:ascii="仿宋" w:hAnsi="仿宋" w:eastAsia="仿宋"/>
          <w:b/>
          <w:bCs/>
        </w:rPr>
        <w:t>第五条</w:t>
      </w:r>
      <w:r>
        <w:rPr>
          <w:rFonts w:hint="eastAsia" w:ascii="仿宋" w:hAnsi="仿宋" w:eastAsia="仿宋"/>
          <w:b/>
          <w:bCs/>
          <w:lang w:val="en-US" w:eastAsia="zh-CN"/>
        </w:rPr>
        <w:t xml:space="preserve"> </w:t>
      </w:r>
      <w:r>
        <w:rPr>
          <w:rFonts w:hint="eastAsia" w:ascii="仿宋" w:hAnsi="仿宋" w:eastAsia="仿宋"/>
        </w:rPr>
        <w:t>本协议扣分及违规处罚，由违规地同级财政监管部门在政采云平台—诚信中心—违规/违约处理管理中进行实施，供应商收到违约/违规处理通知书之日起，3工作日内可进行申诉，未申诉或申诉无效则3工作日后处罚生效。</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宋体-方正超大字符集">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CDC45"/>
    <w:multiLevelType w:val="singleLevel"/>
    <w:tmpl w:val="E55CDC45"/>
    <w:lvl w:ilvl="0" w:tentative="0">
      <w:start w:val="1"/>
      <w:numFmt w:val="decimal"/>
      <w:lvlText w:val="%1."/>
      <w:lvlJc w:val="left"/>
      <w:pPr>
        <w:ind w:left="105" w:firstLine="0"/>
      </w:pPr>
    </w:lvl>
  </w:abstractNum>
  <w:abstractNum w:abstractNumId="1">
    <w:nsid w:val="FAA155A7"/>
    <w:multiLevelType w:val="singleLevel"/>
    <w:tmpl w:val="FAA155A7"/>
    <w:lvl w:ilvl="0" w:tentative="0">
      <w:start w:val="3"/>
      <w:numFmt w:val="decimal"/>
      <w:suff w:val="nothing"/>
      <w:lvlText w:val="%1、"/>
      <w:lvlJc w:val="left"/>
    </w:lvl>
  </w:abstractNum>
  <w:abstractNum w:abstractNumId="2">
    <w:nsid w:val="00000001"/>
    <w:multiLevelType w:val="multilevel"/>
    <w:tmpl w:val="00000001"/>
    <w:lvl w:ilvl="0" w:tentative="0">
      <w:start w:val="3"/>
      <w:numFmt w:val="chineseCountingThousand"/>
      <w:suff w:val="nothing"/>
      <w:lvlText w:val="第%1章"/>
      <w:lvlJc w:val="left"/>
      <w:pPr>
        <w:ind w:left="0" w:firstLine="0"/>
      </w:pPr>
      <w:rPr>
        <w:rFonts w:hint="eastAsia"/>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pStyle w:val="11"/>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abstractNum w:abstractNumId="3">
    <w:nsid w:val="0FF18F3F"/>
    <w:multiLevelType w:val="singleLevel"/>
    <w:tmpl w:val="0FF18F3F"/>
    <w:lvl w:ilvl="0" w:tentative="0">
      <w:start w:val="1"/>
      <w:numFmt w:val="none"/>
      <w:suff w:val="nothing"/>
      <w:lvlText w:val="%1　"/>
      <w:lvlJc w:val="left"/>
      <w:pPr>
        <w:ind w:left="0" w:firstLine="40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3A41"/>
    <w:rsid w:val="011F5B03"/>
    <w:rsid w:val="02954528"/>
    <w:rsid w:val="053075D2"/>
    <w:rsid w:val="09FB3E31"/>
    <w:rsid w:val="0A5D5774"/>
    <w:rsid w:val="0A664DC3"/>
    <w:rsid w:val="0B024724"/>
    <w:rsid w:val="0C743400"/>
    <w:rsid w:val="0D5079C9"/>
    <w:rsid w:val="0DB55A7E"/>
    <w:rsid w:val="0E26786F"/>
    <w:rsid w:val="0F31382A"/>
    <w:rsid w:val="12A6313B"/>
    <w:rsid w:val="14425B91"/>
    <w:rsid w:val="15436065"/>
    <w:rsid w:val="17487963"/>
    <w:rsid w:val="17926CD8"/>
    <w:rsid w:val="18273A1C"/>
    <w:rsid w:val="19923117"/>
    <w:rsid w:val="1996608F"/>
    <w:rsid w:val="1A7016AA"/>
    <w:rsid w:val="1C901B90"/>
    <w:rsid w:val="1CFC5477"/>
    <w:rsid w:val="1D5E1C8E"/>
    <w:rsid w:val="1EDF6DFF"/>
    <w:rsid w:val="20331F4C"/>
    <w:rsid w:val="216839D5"/>
    <w:rsid w:val="21A12149"/>
    <w:rsid w:val="21EF55AB"/>
    <w:rsid w:val="226F3FF6"/>
    <w:rsid w:val="22F4099F"/>
    <w:rsid w:val="232F32FD"/>
    <w:rsid w:val="24F1163A"/>
    <w:rsid w:val="25397300"/>
    <w:rsid w:val="26031CE5"/>
    <w:rsid w:val="268B3A41"/>
    <w:rsid w:val="27C923FA"/>
    <w:rsid w:val="281C69CE"/>
    <w:rsid w:val="29AA7B44"/>
    <w:rsid w:val="2A40408E"/>
    <w:rsid w:val="2B77216D"/>
    <w:rsid w:val="2DC72F38"/>
    <w:rsid w:val="2E2158F5"/>
    <w:rsid w:val="2F5E78CC"/>
    <w:rsid w:val="32945B57"/>
    <w:rsid w:val="368F0CB2"/>
    <w:rsid w:val="3A6A35C8"/>
    <w:rsid w:val="3A83350C"/>
    <w:rsid w:val="3B6C15C2"/>
    <w:rsid w:val="3D632551"/>
    <w:rsid w:val="3DCB0822"/>
    <w:rsid w:val="3E1E2AEA"/>
    <w:rsid w:val="3F7942AE"/>
    <w:rsid w:val="41232723"/>
    <w:rsid w:val="41C20B21"/>
    <w:rsid w:val="41DA4D98"/>
    <w:rsid w:val="420C765B"/>
    <w:rsid w:val="42884BB0"/>
    <w:rsid w:val="42A45AE6"/>
    <w:rsid w:val="43DD12AF"/>
    <w:rsid w:val="444F4C93"/>
    <w:rsid w:val="46277F1D"/>
    <w:rsid w:val="47BE3144"/>
    <w:rsid w:val="48A405ED"/>
    <w:rsid w:val="48BB1493"/>
    <w:rsid w:val="490A1806"/>
    <w:rsid w:val="49A34401"/>
    <w:rsid w:val="4A7668AA"/>
    <w:rsid w:val="4D405AC9"/>
    <w:rsid w:val="4E261AA5"/>
    <w:rsid w:val="4F5032BA"/>
    <w:rsid w:val="51AD6FA1"/>
    <w:rsid w:val="53F00B8B"/>
    <w:rsid w:val="541E318D"/>
    <w:rsid w:val="55236D3E"/>
    <w:rsid w:val="56170651"/>
    <w:rsid w:val="564B585F"/>
    <w:rsid w:val="56590927"/>
    <w:rsid w:val="572F3778"/>
    <w:rsid w:val="578859AA"/>
    <w:rsid w:val="57B3519B"/>
    <w:rsid w:val="5999174C"/>
    <w:rsid w:val="5A57009E"/>
    <w:rsid w:val="5A5F25C6"/>
    <w:rsid w:val="5C69772C"/>
    <w:rsid w:val="5CEA2841"/>
    <w:rsid w:val="5D2418A5"/>
    <w:rsid w:val="5E65126A"/>
    <w:rsid w:val="5F542ABE"/>
    <w:rsid w:val="601A4055"/>
    <w:rsid w:val="618172C6"/>
    <w:rsid w:val="635C3B47"/>
    <w:rsid w:val="641775F8"/>
    <w:rsid w:val="64796398"/>
    <w:rsid w:val="64915A72"/>
    <w:rsid w:val="64BB489D"/>
    <w:rsid w:val="64EC56C3"/>
    <w:rsid w:val="65025507"/>
    <w:rsid w:val="65401246"/>
    <w:rsid w:val="65F55B8D"/>
    <w:rsid w:val="66926A12"/>
    <w:rsid w:val="66957988"/>
    <w:rsid w:val="6A2761A0"/>
    <w:rsid w:val="6B763924"/>
    <w:rsid w:val="6E0472B5"/>
    <w:rsid w:val="6E22598D"/>
    <w:rsid w:val="6FDB2297"/>
    <w:rsid w:val="70AB7EBB"/>
    <w:rsid w:val="713A123F"/>
    <w:rsid w:val="71DE606F"/>
    <w:rsid w:val="7267087E"/>
    <w:rsid w:val="73B1141D"/>
    <w:rsid w:val="768F16E6"/>
    <w:rsid w:val="771F5D7B"/>
    <w:rsid w:val="78BB101F"/>
    <w:rsid w:val="79984D55"/>
    <w:rsid w:val="7C2D53D0"/>
    <w:rsid w:val="7D9121E7"/>
    <w:rsid w:val="7DF764EE"/>
    <w:rsid w:val="7F2A56FC"/>
    <w:rsid w:val="7F820A3E"/>
    <w:rsid w:val="7FA97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4">
    <w:name w:val="Body Text Indent"/>
    <w:basedOn w:val="1"/>
    <w:qFormat/>
    <w:uiPriority w:val="0"/>
    <w:pPr>
      <w:spacing w:after="120" w:afterLines="0"/>
      <w:ind w:left="420" w:leftChars="200"/>
    </w:pPr>
  </w:style>
  <w:style w:type="paragraph" w:styleId="5">
    <w:name w:val="Body Text First Indent 2"/>
    <w:basedOn w:val="4"/>
    <w:unhideWhenUsed/>
    <w:qFormat/>
    <w:uiPriority w:val="99"/>
    <w:pPr>
      <w:tabs>
        <w:tab w:val="left" w:pos="720"/>
      </w:tabs>
      <w:spacing w:after="120" w:line="240" w:lineRule="auto"/>
      <w:ind w:left="420" w:leftChars="200" w:firstLine="420"/>
    </w:pPr>
    <w:rPr>
      <w:rFonts w:ascii="Times New Roman" w:hAnsi="Times New Roman" w:eastAsia="宋体"/>
      <w:sz w:val="21"/>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21"/>
    <w:basedOn w:val="1"/>
    <w:link w:val="14"/>
    <w:qFormat/>
    <w:uiPriority w:val="0"/>
    <w:pPr>
      <w:keepNext/>
      <w:keepLines/>
      <w:spacing w:before="260" w:after="260" w:line="416" w:lineRule="auto"/>
      <w:outlineLvl w:val="1"/>
    </w:pPr>
    <w:rPr>
      <w:rFonts w:ascii="等线 Light" w:hAnsi="等线 Light" w:eastAsia="等线 Light"/>
      <w:b/>
      <w:bCs/>
      <w:sz w:val="32"/>
      <w:szCs w:val="32"/>
    </w:rPr>
  </w:style>
  <w:style w:type="paragraph" w:customStyle="1" w:styleId="10">
    <w:name w:val="标题 31"/>
    <w:basedOn w:val="1"/>
    <w:qFormat/>
    <w:uiPriority w:val="0"/>
    <w:pPr>
      <w:keepNext/>
      <w:keepLines/>
      <w:spacing w:before="260" w:after="260" w:line="416" w:lineRule="auto"/>
      <w:outlineLvl w:val="2"/>
    </w:pPr>
    <w:rPr>
      <w:b/>
      <w:bCs/>
      <w:sz w:val="32"/>
      <w:szCs w:val="32"/>
    </w:rPr>
  </w:style>
  <w:style w:type="paragraph" w:customStyle="1" w:styleId="11">
    <w:name w:val="标题 41"/>
    <w:basedOn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character" w:customStyle="1" w:styleId="12">
    <w:name w:val="默认段落字体1"/>
    <w:link w:val="1"/>
    <w:qFormat/>
    <w:uiPriority w:val="0"/>
  </w:style>
  <w:style w:type="table" w:customStyle="1" w:styleId="13">
    <w:name w:val="普通表格1"/>
    <w:qFormat/>
    <w:uiPriority w:val="0"/>
  </w:style>
  <w:style w:type="character" w:customStyle="1" w:styleId="14">
    <w:name w:val="标题 2 字符"/>
    <w:link w:val="9"/>
    <w:qFormat/>
    <w:uiPriority w:val="0"/>
    <w:rPr>
      <w:rFonts w:ascii="等线 Light" w:hAnsi="等线 Light" w:eastAsia="等线 Light"/>
      <w:b/>
      <w:bCs/>
      <w:kern w:val="2"/>
      <w:sz w:val="32"/>
      <w:szCs w:val="32"/>
    </w:rPr>
  </w:style>
  <w:style w:type="paragraph" w:customStyle="1" w:styleId="15">
    <w:name w:val="批注文字1"/>
    <w:basedOn w:val="1"/>
    <w:link w:val="16"/>
    <w:qFormat/>
    <w:uiPriority w:val="0"/>
    <w:pPr>
      <w:jc w:val="left"/>
    </w:pPr>
  </w:style>
  <w:style w:type="character" w:customStyle="1" w:styleId="16">
    <w:name w:val="批注文字 字符"/>
    <w:link w:val="15"/>
    <w:qFormat/>
    <w:uiPriority w:val="0"/>
    <w:rPr>
      <w:rFonts w:ascii="Calibri" w:hAnsi="Calibri"/>
      <w:kern w:val="2"/>
      <w:sz w:val="21"/>
      <w:szCs w:val="22"/>
    </w:rPr>
  </w:style>
  <w:style w:type="paragraph" w:customStyle="1" w:styleId="17">
    <w:name w:val="正文文本缩进1"/>
    <w:basedOn w:val="1"/>
    <w:link w:val="18"/>
    <w:qFormat/>
    <w:uiPriority w:val="0"/>
    <w:pPr>
      <w:ind w:firstLine="830" w:firstLineChars="352"/>
    </w:pPr>
    <w:rPr>
      <w:rFonts w:ascii="仿宋_GB2312" w:hAnsi="Times New Roman" w:eastAsia="仿宋_GB2312"/>
      <w:sz w:val="32"/>
      <w:szCs w:val="20"/>
    </w:rPr>
  </w:style>
  <w:style w:type="character" w:customStyle="1" w:styleId="18">
    <w:name w:val="正文文本缩进 字符"/>
    <w:link w:val="17"/>
    <w:qFormat/>
    <w:uiPriority w:val="0"/>
    <w:rPr>
      <w:rFonts w:ascii="仿宋_GB2312" w:eastAsia="仿宋_GB2312"/>
      <w:kern w:val="2"/>
      <w:sz w:val="32"/>
    </w:rPr>
  </w:style>
  <w:style w:type="paragraph" w:customStyle="1" w:styleId="19">
    <w:name w:val="寄信人地址1"/>
    <w:basedOn w:val="1"/>
    <w:qFormat/>
    <w:uiPriority w:val="0"/>
    <w:pPr>
      <w:snapToGrid w:val="0"/>
    </w:pPr>
    <w:rPr>
      <w:rFonts w:ascii="Arial" w:hAnsi="Arial"/>
    </w:rPr>
  </w:style>
  <w:style w:type="paragraph" w:customStyle="1" w:styleId="20">
    <w:name w:val="纯文本1"/>
    <w:basedOn w:val="1"/>
    <w:qFormat/>
    <w:uiPriority w:val="0"/>
    <w:rPr>
      <w:rFonts w:ascii="宋体" w:hAnsi="Courier New"/>
      <w:szCs w:val="21"/>
    </w:rPr>
  </w:style>
  <w:style w:type="paragraph" w:customStyle="1" w:styleId="21">
    <w:name w:val="批注框文本1"/>
    <w:basedOn w:val="1"/>
    <w:link w:val="22"/>
    <w:qFormat/>
    <w:uiPriority w:val="0"/>
    <w:rPr>
      <w:sz w:val="18"/>
      <w:szCs w:val="18"/>
    </w:rPr>
  </w:style>
  <w:style w:type="character" w:customStyle="1" w:styleId="22">
    <w:name w:val="批注框文本 字符"/>
    <w:link w:val="21"/>
    <w:semiHidden/>
    <w:qFormat/>
    <w:uiPriority w:val="0"/>
    <w:rPr>
      <w:rFonts w:ascii="Calibri" w:hAnsi="Calibri"/>
      <w:kern w:val="2"/>
      <w:sz w:val="18"/>
      <w:szCs w:val="18"/>
    </w:rPr>
  </w:style>
  <w:style w:type="paragraph" w:customStyle="1" w:styleId="23">
    <w:name w:val="页脚1"/>
    <w:basedOn w:val="1"/>
    <w:link w:val="24"/>
    <w:qFormat/>
    <w:uiPriority w:val="0"/>
    <w:pPr>
      <w:tabs>
        <w:tab w:val="center" w:pos="4153"/>
        <w:tab w:val="right" w:pos="8306"/>
      </w:tabs>
      <w:snapToGrid w:val="0"/>
      <w:jc w:val="left"/>
    </w:pPr>
    <w:rPr>
      <w:sz w:val="18"/>
      <w:szCs w:val="18"/>
    </w:rPr>
  </w:style>
  <w:style w:type="character" w:customStyle="1" w:styleId="24">
    <w:name w:val="页脚 字符"/>
    <w:link w:val="23"/>
    <w:qFormat/>
    <w:uiPriority w:val="0"/>
    <w:rPr>
      <w:rFonts w:ascii="Calibri" w:hAnsi="Calibri"/>
      <w:kern w:val="2"/>
      <w:sz w:val="18"/>
      <w:szCs w:val="18"/>
    </w:rPr>
  </w:style>
  <w:style w:type="paragraph" w:customStyle="1" w:styleId="25">
    <w:name w:val="页眉1"/>
    <w:basedOn w:val="1"/>
    <w:link w:val="26"/>
    <w:qFormat/>
    <w:uiPriority w:val="0"/>
    <w:pPr>
      <w:pBdr>
        <w:bottom w:val="single" w:color="auto" w:sz="6" w:space="1"/>
      </w:pBdr>
      <w:tabs>
        <w:tab w:val="center" w:pos="4153"/>
        <w:tab w:val="right" w:pos="8306"/>
      </w:tabs>
      <w:snapToGrid w:val="0"/>
      <w:jc w:val="center"/>
    </w:pPr>
    <w:rPr>
      <w:sz w:val="18"/>
      <w:szCs w:val="18"/>
    </w:rPr>
  </w:style>
  <w:style w:type="character" w:customStyle="1" w:styleId="26">
    <w:name w:val="页眉 字符"/>
    <w:link w:val="25"/>
    <w:qFormat/>
    <w:uiPriority w:val="0"/>
    <w:rPr>
      <w:rFonts w:ascii="Calibri" w:hAnsi="Calibri"/>
      <w:kern w:val="2"/>
      <w:sz w:val="18"/>
      <w:szCs w:val="18"/>
    </w:rPr>
  </w:style>
  <w:style w:type="paragraph" w:customStyle="1" w:styleId="27">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
    <w:name w:val="批注主题1"/>
    <w:basedOn w:val="15"/>
    <w:link w:val="29"/>
    <w:qFormat/>
    <w:uiPriority w:val="0"/>
    <w:rPr>
      <w:b/>
      <w:bCs/>
    </w:rPr>
  </w:style>
  <w:style w:type="character" w:customStyle="1" w:styleId="29">
    <w:name w:val="批注主题 字符"/>
    <w:link w:val="28"/>
    <w:semiHidden/>
    <w:qFormat/>
    <w:uiPriority w:val="0"/>
    <w:rPr>
      <w:rFonts w:ascii="Calibri" w:hAnsi="Calibri"/>
      <w:b/>
      <w:bCs/>
      <w:kern w:val="2"/>
      <w:sz w:val="21"/>
      <w:szCs w:val="22"/>
    </w:rPr>
  </w:style>
  <w:style w:type="paragraph" w:customStyle="1" w:styleId="30">
    <w:name w:val="正文首行缩进 21"/>
    <w:basedOn w:val="17"/>
    <w:qFormat/>
    <w:uiPriority w:val="0"/>
    <w:pPr>
      <w:spacing w:line="360" w:lineRule="auto"/>
      <w:ind w:firstLine="200" w:firstLineChars="200"/>
    </w:pPr>
    <w:rPr>
      <w:rFonts w:ascii="宋体"/>
      <w:szCs w:val="20"/>
    </w:rPr>
  </w:style>
  <w:style w:type="character" w:customStyle="1" w:styleId="31">
    <w:name w:val="要点1"/>
    <w:link w:val="1"/>
    <w:qFormat/>
    <w:uiPriority w:val="0"/>
    <w:rPr>
      <w:b/>
      <w:bCs/>
    </w:rPr>
  </w:style>
  <w:style w:type="character" w:customStyle="1" w:styleId="32">
    <w:name w:val="超链接1"/>
    <w:link w:val="1"/>
    <w:qFormat/>
    <w:uiPriority w:val="0"/>
    <w:rPr>
      <w:color w:val="0000FF"/>
      <w:u w:val="single"/>
    </w:rPr>
  </w:style>
  <w:style w:type="character" w:customStyle="1" w:styleId="33">
    <w:name w:val="批注引用1"/>
    <w:link w:val="1"/>
    <w:qFormat/>
    <w:uiPriority w:val="0"/>
    <w:rPr>
      <w:sz w:val="21"/>
      <w:szCs w:val="21"/>
    </w:rPr>
  </w:style>
  <w:style w:type="paragraph" w:customStyle="1" w:styleId="34">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35">
    <w:name w:val="NormalCharacter"/>
    <w:link w:val="1"/>
    <w:qFormat/>
    <w:uiPriority w:val="0"/>
  </w:style>
  <w:style w:type="paragraph" w:customStyle="1" w:styleId="36">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7">
    <w:name w:val="列表段落"/>
    <w:basedOn w:val="1"/>
    <w:qFormat/>
    <w:uiPriority w:val="0"/>
    <w:pPr>
      <w:ind w:firstLine="420" w:firstLineChars="200"/>
    </w:pPr>
    <w:rPr>
      <w:rFonts w:ascii="Times New Roman" w:hAnsi="Times New Roman"/>
    </w:rPr>
  </w:style>
  <w:style w:type="table" w:customStyle="1" w:styleId="38">
    <w:name w:val="Table Normal"/>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7930</Words>
  <Characters>8758</Characters>
  <Lines>0</Lines>
  <Paragraphs>0</Paragraphs>
  <TotalTime>63</TotalTime>
  <ScaleCrop>false</ScaleCrop>
  <LinksUpToDate>false</LinksUpToDate>
  <CharactersWithSpaces>9142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2025-07-29T01:40:00Z</dcterms:created>
  <dc:creator>陌&amp;影</dc:creator>
  <cp:lastModifiedBy>酷到乏味</cp:lastModifiedBy>
  <dcterms:modified xsi:type="dcterms:W3CDTF">2025-12-17T03:52:59Z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eyJoZGlkIjoiNmE0NTljN2UxN2IxZTkwY2ZiZmRhY2M4N2MwZTFlNDEiLCJ1c2VySWQiOiIxNDg1Mjk1NDIyIn0=</vt:lpwstr>
  </property>
  <property fmtid="{D5CDD505-2E9C-101B-9397-08002B2CF9AE}" pid="3" name="KSOProductBuildVer">
    <vt:lpwstr>2052-12.1.0.24034</vt:lpwstr>
  </property>
  <property fmtid="{D5CDD505-2E9C-101B-9397-08002B2CF9AE}" pid="4" name="ICV">
    <vt:lpwstr>B1321DF6C777469192FC48813E09CC44_13</vt:lpwstr>
  </property>
</Properties>
</file>