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A295">
      <w:pPr>
        <w:jc w:val="center"/>
        <w:rPr>
          <w:rFonts w:ascii="方正小标宋简体" w:hAnsi="方正小标宋简体" w:eastAsia="方正小标宋简体" w:cs="方正小标宋简体"/>
          <w:bCs/>
          <w:sz w:val="36"/>
          <w:szCs w:val="36"/>
          <w:highlight w:val="none"/>
        </w:rPr>
      </w:pPr>
      <w:bookmarkStart w:id="0" w:name="OLE_LINK1"/>
      <w:bookmarkStart w:id="1" w:name="OLE_LINK4"/>
    </w:p>
    <w:p w14:paraId="4ABA2595">
      <w:pPr>
        <w:jc w:val="center"/>
        <w:rPr>
          <w:rFonts w:ascii="方正小标宋简体" w:hAnsi="方正小标宋简体" w:eastAsia="方正小标宋简体" w:cs="方正小标宋简体"/>
          <w:bCs/>
          <w:sz w:val="36"/>
          <w:szCs w:val="36"/>
          <w:highlight w:val="none"/>
        </w:rPr>
      </w:pPr>
    </w:p>
    <w:p w14:paraId="2D50DF47">
      <w:pPr>
        <w:jc w:val="center"/>
        <w:rPr>
          <w:rFonts w:ascii="仿宋" w:hAnsi="仿宋" w:eastAsia="方正小标宋简体" w:cs="仿宋"/>
          <w:highlight w:val="none"/>
        </w:rPr>
      </w:pPr>
      <w:r>
        <w:rPr>
          <w:rFonts w:hint="eastAsia" w:ascii="方正小标宋简体" w:hAnsi="方正小标宋简体" w:eastAsia="方正小标宋简体" w:cs="方正小标宋简体"/>
          <w:bCs/>
          <w:sz w:val="36"/>
          <w:szCs w:val="36"/>
          <w:highlight w:val="none"/>
        </w:rPr>
        <w:t>东盟校区绿化服务招标采购项目</w:t>
      </w:r>
      <w:bookmarkEnd w:id="0"/>
      <w:bookmarkEnd w:id="1"/>
      <w:r>
        <w:rPr>
          <w:rFonts w:hint="eastAsia" w:ascii="方正小标宋简体" w:hAnsi="方正小标宋简体" w:eastAsia="方正小标宋简体" w:cs="方正小标宋简体"/>
          <w:bCs/>
          <w:sz w:val="36"/>
          <w:szCs w:val="36"/>
          <w:highlight w:val="none"/>
        </w:rPr>
        <w:t>竞价文件</w:t>
      </w:r>
    </w:p>
    <w:p w14:paraId="2F64DDAB">
      <w:pPr>
        <w:rPr>
          <w:rFonts w:ascii="仿宋" w:hAnsi="仿宋" w:eastAsia="仿宋" w:cs="仿宋"/>
          <w:highlight w:val="none"/>
        </w:rPr>
      </w:pPr>
      <w:r>
        <w:rPr>
          <w:rFonts w:hint="eastAsia" w:ascii="仿宋" w:hAnsi="仿宋" w:eastAsia="仿宋" w:cs="仿宋"/>
          <w:highlight w:val="none"/>
        </w:rPr>
        <w:t>一、报价要求:</w:t>
      </w:r>
    </w:p>
    <w:p w14:paraId="14052450">
      <w:pPr>
        <w:rPr>
          <w:rFonts w:ascii="仿宋" w:hAnsi="仿宋" w:eastAsia="仿宋" w:cs="仿宋"/>
          <w:highlight w:val="none"/>
        </w:rPr>
      </w:pPr>
      <w:r>
        <w:rPr>
          <w:rFonts w:hint="eastAsia" w:ascii="仿宋" w:hAnsi="仿宋" w:eastAsia="仿宋" w:cs="仿宋"/>
          <w:highlight w:val="none"/>
        </w:rPr>
        <w:t>1、竞标人在竞价时参考响应文件格式上传报价清单附件，清单中必须明确写明品牌、型号、技术参数、数量、单位、单价及金额，各分项报价不得高于分项单价控制价，否则视为无效报价。</w:t>
      </w:r>
    </w:p>
    <w:p w14:paraId="284FAE9D">
      <w:pPr>
        <w:rPr>
          <w:rFonts w:ascii="仿宋" w:hAnsi="仿宋" w:eastAsia="仿宋" w:cs="仿宋"/>
          <w:highlight w:val="none"/>
        </w:rPr>
      </w:pPr>
      <w:r>
        <w:rPr>
          <w:rFonts w:hint="eastAsia" w:ascii="仿宋" w:hAnsi="仿宋" w:eastAsia="仿宋" w:cs="仿宋"/>
          <w:highlight w:val="none"/>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14:paraId="2DEDE615">
      <w:pPr>
        <w:rPr>
          <w:rFonts w:ascii="仿宋" w:hAnsi="仿宋" w:eastAsia="仿宋" w:cs="仿宋"/>
          <w:highlight w:val="none"/>
        </w:rPr>
      </w:pPr>
      <w:r>
        <w:rPr>
          <w:rFonts w:hint="eastAsia" w:ascii="仿宋" w:hAnsi="仿宋" w:eastAsia="仿宋" w:cs="仿宋"/>
          <w:highlight w:val="none"/>
        </w:rPr>
        <w:t>二、采购服务技术要求及商务要求：</w:t>
      </w:r>
    </w:p>
    <w:p w14:paraId="7CAEFC43">
      <w:pPr>
        <w:jc w:val="center"/>
        <w:rPr>
          <w:rFonts w:ascii="仿宋_GB2312" w:hAnsi="宋体" w:eastAsia="仿宋_GB2312"/>
          <w:b/>
          <w:sz w:val="30"/>
          <w:szCs w:val="30"/>
          <w:highlight w:val="none"/>
        </w:rPr>
      </w:pPr>
      <w:bookmarkStart w:id="2" w:name="需求"/>
      <w:r>
        <w:rPr>
          <w:rFonts w:hint="eastAsia" w:ascii="仿宋_GB2312" w:hAnsi="宋体" w:eastAsia="仿宋_GB2312"/>
          <w:b/>
          <w:sz w:val="30"/>
          <w:szCs w:val="30"/>
          <w:highlight w:val="none"/>
        </w:rPr>
        <w:t>东盟校区绿化服务招标采购项目需求</w:t>
      </w:r>
      <w:bookmarkEnd w:id="2"/>
      <w:r>
        <w:rPr>
          <w:rFonts w:hint="eastAsia" w:ascii="仿宋_GB2312" w:hAnsi="宋体" w:eastAsia="仿宋_GB2312"/>
          <w:b/>
          <w:sz w:val="30"/>
          <w:szCs w:val="30"/>
          <w:highlight w:val="none"/>
        </w:rPr>
        <w:t>一览表</w:t>
      </w:r>
    </w:p>
    <w:tbl>
      <w:tblPr>
        <w:tblStyle w:val="15"/>
        <w:tblpPr w:leftFromText="180" w:rightFromText="180" w:vertAnchor="text" w:horzAnchor="page" w:tblpX="903" w:tblpY="139"/>
        <w:tblOverlap w:val="never"/>
        <w:tblW w:w="10300" w:type="dxa"/>
        <w:tblInd w:w="0" w:type="dxa"/>
        <w:tblLayout w:type="fixed"/>
        <w:tblCellMar>
          <w:top w:w="0" w:type="dxa"/>
          <w:left w:w="108" w:type="dxa"/>
          <w:bottom w:w="0" w:type="dxa"/>
          <w:right w:w="108" w:type="dxa"/>
        </w:tblCellMar>
      </w:tblPr>
      <w:tblGrid>
        <w:gridCol w:w="565"/>
        <w:gridCol w:w="772"/>
        <w:gridCol w:w="772"/>
        <w:gridCol w:w="772"/>
        <w:gridCol w:w="4770"/>
        <w:gridCol w:w="583"/>
        <w:gridCol w:w="583"/>
        <w:gridCol w:w="1483"/>
      </w:tblGrid>
      <w:tr w14:paraId="1B965893">
        <w:tblPrEx>
          <w:tblCellMar>
            <w:top w:w="0" w:type="dxa"/>
            <w:left w:w="108" w:type="dxa"/>
            <w:bottom w:w="0" w:type="dxa"/>
            <w:right w:w="108" w:type="dxa"/>
          </w:tblCellMar>
        </w:tblPrEx>
        <w:trPr>
          <w:trHeight w:val="988" w:hRule="atLeast"/>
        </w:trPr>
        <w:tc>
          <w:tcPr>
            <w:tcW w:w="565" w:type="dxa"/>
            <w:tcBorders>
              <w:top w:val="single" w:color="000000" w:sz="4" w:space="0"/>
              <w:left w:val="single" w:color="000000" w:sz="4" w:space="0"/>
              <w:bottom w:val="single" w:color="000000" w:sz="4" w:space="0"/>
              <w:right w:val="single" w:color="000000" w:sz="4" w:space="0"/>
            </w:tcBorders>
            <w:vAlign w:val="center"/>
          </w:tcPr>
          <w:p w14:paraId="4232D417">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sz w:val="28"/>
                <w:szCs w:val="28"/>
                <w:highlight w:val="none"/>
              </w:rPr>
              <w:t>序号</w:t>
            </w:r>
          </w:p>
        </w:tc>
        <w:tc>
          <w:tcPr>
            <w:tcW w:w="772" w:type="dxa"/>
            <w:tcBorders>
              <w:top w:val="single" w:color="000000" w:sz="4" w:space="0"/>
              <w:left w:val="single" w:color="000000" w:sz="4" w:space="0"/>
              <w:bottom w:val="single" w:color="000000" w:sz="4" w:space="0"/>
              <w:right w:val="single" w:color="000000" w:sz="4" w:space="0"/>
            </w:tcBorders>
            <w:vAlign w:val="center"/>
          </w:tcPr>
          <w:p w14:paraId="015C5849">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项目名称</w:t>
            </w:r>
          </w:p>
        </w:tc>
        <w:tc>
          <w:tcPr>
            <w:tcW w:w="6314" w:type="dxa"/>
            <w:gridSpan w:val="3"/>
            <w:tcBorders>
              <w:top w:val="single" w:color="000000" w:sz="4" w:space="0"/>
              <w:left w:val="single" w:color="000000" w:sz="4" w:space="0"/>
              <w:bottom w:val="single" w:color="000000" w:sz="4" w:space="0"/>
              <w:right w:val="single" w:color="000000" w:sz="4" w:space="0"/>
            </w:tcBorders>
            <w:vAlign w:val="center"/>
          </w:tcPr>
          <w:p w14:paraId="28F7E750">
            <w:pPr>
              <w:widowControl/>
              <w:spacing w:line="420" w:lineRule="exact"/>
              <w:jc w:val="center"/>
              <w:textAlignment w:val="center"/>
              <w:rPr>
                <w:rFonts w:ascii="仿宋" w:hAnsi="仿宋" w:eastAsia="仿宋" w:cs="仿宋"/>
                <w:b/>
                <w:bCs/>
                <w:sz w:val="28"/>
                <w:szCs w:val="28"/>
                <w:highlight w:val="none"/>
              </w:rPr>
            </w:pPr>
            <w:r>
              <w:rPr>
                <w:rFonts w:hint="eastAsia" w:ascii="仿宋" w:hAnsi="仿宋" w:eastAsia="仿宋" w:cs="仿宋"/>
                <w:b/>
                <w:bCs/>
                <w:kern w:val="0"/>
                <w:sz w:val="28"/>
                <w:szCs w:val="28"/>
                <w:highlight w:val="none"/>
              </w:rPr>
              <w:t>主要技术参数及性能（配置）要求</w:t>
            </w:r>
          </w:p>
        </w:tc>
        <w:tc>
          <w:tcPr>
            <w:tcW w:w="583" w:type="dxa"/>
            <w:tcBorders>
              <w:top w:val="single" w:color="000000" w:sz="4" w:space="0"/>
              <w:left w:val="single" w:color="000000" w:sz="4" w:space="0"/>
              <w:bottom w:val="single" w:color="000000" w:sz="4" w:space="0"/>
              <w:right w:val="single" w:color="000000" w:sz="4" w:space="0"/>
            </w:tcBorders>
            <w:vAlign w:val="center"/>
          </w:tcPr>
          <w:p w14:paraId="55F5A17F">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数量</w:t>
            </w:r>
          </w:p>
        </w:tc>
        <w:tc>
          <w:tcPr>
            <w:tcW w:w="583" w:type="dxa"/>
            <w:tcBorders>
              <w:top w:val="single" w:color="000000" w:sz="4" w:space="0"/>
              <w:left w:val="single" w:color="000000" w:sz="4" w:space="0"/>
              <w:bottom w:val="single" w:color="000000" w:sz="4" w:space="0"/>
              <w:right w:val="single" w:color="000000" w:sz="4" w:space="0"/>
            </w:tcBorders>
            <w:vAlign w:val="center"/>
          </w:tcPr>
          <w:p w14:paraId="09999C4B">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单位</w:t>
            </w:r>
          </w:p>
        </w:tc>
        <w:tc>
          <w:tcPr>
            <w:tcW w:w="1483" w:type="dxa"/>
            <w:tcBorders>
              <w:top w:val="single" w:color="000000" w:sz="4" w:space="0"/>
              <w:left w:val="single" w:color="000000" w:sz="4" w:space="0"/>
              <w:bottom w:val="single" w:color="000000" w:sz="4" w:space="0"/>
              <w:right w:val="single" w:color="000000" w:sz="4" w:space="0"/>
            </w:tcBorders>
            <w:vAlign w:val="center"/>
          </w:tcPr>
          <w:p w14:paraId="7E80AD56">
            <w:pPr>
              <w:widowControl/>
              <w:spacing w:line="420" w:lineRule="exact"/>
              <w:jc w:val="center"/>
              <w:textAlignment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金额（元）</w:t>
            </w:r>
          </w:p>
        </w:tc>
      </w:tr>
      <w:tr w14:paraId="4379D647">
        <w:tblPrEx>
          <w:tblCellMar>
            <w:top w:w="0" w:type="dxa"/>
            <w:left w:w="108" w:type="dxa"/>
            <w:bottom w:w="0" w:type="dxa"/>
            <w:right w:w="108" w:type="dxa"/>
          </w:tblCellMar>
        </w:tblPrEx>
        <w:trPr>
          <w:trHeight w:val="988" w:hRule="atLeast"/>
        </w:trPr>
        <w:tc>
          <w:tcPr>
            <w:tcW w:w="565" w:type="dxa"/>
            <w:tcBorders>
              <w:top w:val="single" w:color="000000" w:sz="4" w:space="0"/>
              <w:left w:val="single" w:color="000000" w:sz="4" w:space="0"/>
              <w:right w:val="single" w:color="000000" w:sz="4" w:space="0"/>
            </w:tcBorders>
            <w:vAlign w:val="center"/>
          </w:tcPr>
          <w:p w14:paraId="4BB68331">
            <w:pPr>
              <w:widowControl/>
              <w:spacing w:line="420" w:lineRule="exact"/>
              <w:jc w:val="center"/>
              <w:textAlignment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1</w:t>
            </w:r>
          </w:p>
        </w:tc>
        <w:tc>
          <w:tcPr>
            <w:tcW w:w="772" w:type="dxa"/>
            <w:tcBorders>
              <w:top w:val="single" w:color="000000" w:sz="4" w:space="0"/>
              <w:left w:val="single" w:color="000000" w:sz="4" w:space="0"/>
              <w:right w:val="single" w:color="000000" w:sz="4" w:space="0"/>
            </w:tcBorders>
            <w:vAlign w:val="center"/>
          </w:tcPr>
          <w:p w14:paraId="6CC72B3D">
            <w:pPr>
              <w:widowControl/>
              <w:spacing w:line="420" w:lineRule="exact"/>
              <w:jc w:val="center"/>
              <w:textAlignment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东盟校区绿化服务招标采购</w:t>
            </w:r>
          </w:p>
        </w:tc>
        <w:tc>
          <w:tcPr>
            <w:tcW w:w="772" w:type="dxa"/>
            <w:tcBorders>
              <w:top w:val="single" w:color="000000" w:sz="4" w:space="0"/>
              <w:left w:val="single" w:color="000000" w:sz="4" w:space="0"/>
              <w:bottom w:val="single" w:color="000000" w:sz="4" w:space="0"/>
              <w:right w:val="single" w:color="000000" w:sz="4" w:space="0"/>
            </w:tcBorders>
            <w:vAlign w:val="center"/>
          </w:tcPr>
          <w:p w14:paraId="0CE67583">
            <w:pPr>
              <w:widowControl/>
              <w:spacing w:line="400" w:lineRule="exac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1.1岗位人员配置要求及主要工作要求</w:t>
            </w:r>
          </w:p>
          <w:p w14:paraId="79AF0C36">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82F8995">
            <w:pPr>
              <w:widowControl/>
              <w:spacing w:line="420" w:lineRule="exact"/>
              <w:jc w:val="center"/>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1.1.1人员配置 (不少于13人)</w:t>
            </w:r>
          </w:p>
        </w:tc>
        <w:tc>
          <w:tcPr>
            <w:tcW w:w="4770" w:type="dxa"/>
            <w:tcBorders>
              <w:top w:val="single" w:color="000000" w:sz="4" w:space="0"/>
              <w:left w:val="single" w:color="000000" w:sz="4" w:space="0"/>
              <w:bottom w:val="single" w:color="000000" w:sz="4" w:space="0"/>
              <w:right w:val="single" w:color="000000" w:sz="4" w:space="0"/>
            </w:tcBorders>
            <w:vAlign w:val="center"/>
          </w:tcPr>
          <w:p w14:paraId="1C325933">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聘用员工必须符合国家法律、政策的有关规定，对员工的疾病和人身安全负责，员工的劳资、各项保险费用均由成交单位自理，发生的劳资纠纷由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负责处理。</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按劳动法要求与从业人员签订劳动合同，从业人员的劳动合同和身份证复印件等提交学校备案，人员如有变动须及时向校方报备。同时，本项目所有人员均只能服务于本项目，不允许兼职。人员具体安排如下：</w:t>
            </w:r>
          </w:p>
          <w:p w14:paraId="4AE08D86">
            <w:pPr>
              <w:widowControl/>
              <w:spacing w:line="420" w:lineRule="exact"/>
              <w:ind w:firstLine="420" w:firstLineChars="200"/>
              <w:jc w:val="left"/>
              <w:textAlignment w:val="center"/>
              <w:rPr>
                <w:rFonts w:ascii="仿宋_GB2312" w:hAnsi="仿宋_GB2312" w:eastAsia="仿宋_GB2312" w:cs="仿宋_GB2312"/>
                <w:sz w:val="24"/>
                <w:szCs w:val="24"/>
                <w:highlight w:val="none"/>
              </w:rPr>
            </w:pPr>
            <w:r>
              <w:rPr>
                <w:rFonts w:hint="eastAsia" w:ascii="宋体" w:hAnsi="宋体" w:cs="宋体"/>
                <w:highlight w:val="none"/>
              </w:rPr>
              <w:t>★</w:t>
            </w:r>
            <w:r>
              <w:rPr>
                <w:rFonts w:hint="eastAsia" w:ascii="仿宋_GB2312" w:hAnsi="仿宋_GB2312" w:eastAsia="仿宋_GB2312" w:cs="仿宋_GB2312"/>
                <w:b/>
                <w:bCs/>
                <w:sz w:val="24"/>
                <w:szCs w:val="24"/>
                <w:highlight w:val="none"/>
              </w:rPr>
              <w:t>一、项目部</w:t>
            </w:r>
          </w:p>
          <w:p w14:paraId="454729BC">
            <w:pPr>
              <w:widowControl/>
              <w:numPr>
                <w:ilvl w:val="1"/>
                <w:numId w:val="0"/>
              </w:numPr>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岗位名称：</w:t>
            </w:r>
            <w:r>
              <w:rPr>
                <w:rFonts w:hint="eastAsia" w:ascii="仿宋_GB2312" w:hAnsi="仿宋_GB2312" w:eastAsia="仿宋_GB2312" w:cs="仿宋_GB2312"/>
                <w:b/>
                <w:bCs/>
                <w:sz w:val="24"/>
                <w:szCs w:val="24"/>
                <w:highlight w:val="none"/>
              </w:rPr>
              <w:t>项目主管（1人）</w:t>
            </w:r>
          </w:p>
          <w:p w14:paraId="56B447AB">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p w14:paraId="361FA4D2">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1.具有全日制园林绿化相关专业本科或以上学历；</w:t>
            </w:r>
          </w:p>
          <w:p w14:paraId="59D05FB2">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2.具备园林绿化相关专业中级</w:t>
            </w:r>
            <w:r>
              <w:rPr>
                <w:rFonts w:hint="eastAsia" w:ascii="仿宋_GB2312" w:hAnsi="仿宋_GB2312" w:eastAsia="仿宋_GB2312" w:cs="仿宋_GB2312"/>
                <w:sz w:val="24"/>
                <w:szCs w:val="24"/>
                <w:highlight w:val="none"/>
                <w:lang w:eastAsia="zh-CN"/>
              </w:rPr>
              <w:t>或</w:t>
            </w:r>
            <w:r>
              <w:rPr>
                <w:rFonts w:hint="eastAsia" w:ascii="仿宋_GB2312" w:hAnsi="仿宋_GB2312" w:eastAsia="仿宋_GB2312" w:cs="仿宋_GB2312"/>
                <w:sz w:val="24"/>
                <w:szCs w:val="24"/>
                <w:highlight w:val="none"/>
              </w:rPr>
              <w:t>以上职称证书；</w:t>
            </w:r>
          </w:p>
          <w:p w14:paraId="083C8351">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3.从事园林绿化专业工作3年以上，熟悉相关机械工具使用；</w:t>
            </w:r>
          </w:p>
          <w:p w14:paraId="6C053A8D">
            <w:pPr>
              <w:widowControl/>
              <w:numPr>
                <w:ilvl w:val="2"/>
                <w:numId w:val="0"/>
              </w:numPr>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4.全面负责校方绿化养护工作，含日常巡查及整改、工作台账归整上报、人员管理和培训以及与采购方的沟通协调等。</w:t>
            </w:r>
          </w:p>
          <w:p w14:paraId="5E6BBDEF">
            <w:pPr>
              <w:widowControl/>
              <w:spacing w:line="420" w:lineRule="exact"/>
              <w:ind w:firstLine="420" w:firstLineChars="200"/>
              <w:jc w:val="left"/>
              <w:textAlignment w:val="center"/>
              <w:rPr>
                <w:rFonts w:ascii="仿宋_GB2312" w:hAnsi="仿宋_GB2312" w:eastAsia="仿宋_GB2312" w:cs="仿宋_GB2312"/>
                <w:b/>
                <w:bCs/>
                <w:sz w:val="24"/>
                <w:szCs w:val="24"/>
                <w:highlight w:val="none"/>
              </w:rPr>
            </w:pPr>
            <w:r>
              <w:rPr>
                <w:rFonts w:hint="eastAsia" w:ascii="宋体" w:hAnsi="宋体" w:cs="宋体"/>
                <w:highlight w:val="none"/>
              </w:rPr>
              <w:t>★</w:t>
            </w:r>
            <w:r>
              <w:rPr>
                <w:rFonts w:hint="eastAsia" w:ascii="仿宋_GB2312" w:hAnsi="仿宋_GB2312" w:eastAsia="仿宋_GB2312" w:cs="仿宋_GB2312"/>
                <w:b/>
                <w:bCs/>
                <w:sz w:val="24"/>
                <w:szCs w:val="24"/>
                <w:highlight w:val="none"/>
              </w:rPr>
              <w:t>二、技术部</w:t>
            </w:r>
          </w:p>
          <w:p w14:paraId="03B00D8A">
            <w:pPr>
              <w:widowControl/>
              <w:spacing w:line="420" w:lineRule="exact"/>
              <w:ind w:left="0"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岗位名称：</w:t>
            </w:r>
            <w:r>
              <w:rPr>
                <w:rFonts w:hint="eastAsia" w:ascii="仿宋_GB2312" w:hAnsi="仿宋_GB2312" w:eastAsia="仿宋_GB2312" w:cs="仿宋_GB2312"/>
                <w:b/>
                <w:bCs/>
                <w:sz w:val="24"/>
                <w:szCs w:val="24"/>
                <w:highlight w:val="none"/>
              </w:rPr>
              <w:t>园林设计师（技术管理人员）（1人）</w:t>
            </w:r>
          </w:p>
          <w:p w14:paraId="78DDC5B8">
            <w:pPr>
              <w:widowControl/>
              <w:spacing w:line="400" w:lineRule="exac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要求：</w:t>
            </w:r>
          </w:p>
          <w:p w14:paraId="321328D8">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1.具备园林绿化相关专业中级</w:t>
            </w:r>
            <w:r>
              <w:rPr>
                <w:rFonts w:hint="eastAsia" w:ascii="仿宋_GB2312" w:hAnsi="仿宋_GB2312" w:eastAsia="仿宋_GB2312" w:cs="仿宋_GB2312"/>
                <w:sz w:val="24"/>
                <w:szCs w:val="24"/>
                <w:highlight w:val="none"/>
                <w:lang w:eastAsia="zh-CN"/>
              </w:rPr>
              <w:t>或</w:t>
            </w:r>
            <w:r>
              <w:rPr>
                <w:rFonts w:hint="eastAsia" w:ascii="仿宋_GB2312" w:hAnsi="仿宋_GB2312" w:eastAsia="仿宋_GB2312" w:cs="仿宋_GB2312"/>
                <w:sz w:val="24"/>
                <w:szCs w:val="24"/>
                <w:highlight w:val="none"/>
              </w:rPr>
              <w:t>以上职称证书；</w:t>
            </w:r>
          </w:p>
          <w:p w14:paraId="08CCAD07">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2.从事园林绿化专业工作3年以上，熟悉相关机械工具使用；</w:t>
            </w:r>
          </w:p>
          <w:p w14:paraId="43845C90">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3.负责统筹指导东盟校区校园绿化养护工作；</w:t>
            </w:r>
          </w:p>
          <w:p w14:paraId="3801B79A">
            <w:pPr>
              <w:widowControl/>
              <w:spacing w:line="420" w:lineRule="exact"/>
              <w:ind w:firstLine="480" w:firstLineChars="200"/>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4.负责青秀、平果两校区的绿化养护指导和树木修剪。</w:t>
            </w:r>
          </w:p>
          <w:p w14:paraId="018C8FA0">
            <w:pPr>
              <w:widowControl/>
              <w:spacing w:line="420" w:lineRule="exact"/>
              <w:ind w:firstLine="482" w:firstLineChars="200"/>
              <w:jc w:val="left"/>
              <w:textAlignment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三、施工部</w:t>
            </w:r>
          </w:p>
          <w:p w14:paraId="042A7C1D">
            <w:pPr>
              <w:widowControl/>
              <w:spacing w:line="420" w:lineRule="exact"/>
              <w:jc w:val="left"/>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 xml:space="preserve">     </w:t>
            </w:r>
            <w:r>
              <w:rPr>
                <w:rFonts w:hint="eastAsia" w:ascii="仿宋_GB2312" w:hAnsi="仿宋_GB2312" w:eastAsia="仿宋_GB2312" w:cs="仿宋_GB2312"/>
                <w:sz w:val="24"/>
                <w:szCs w:val="24"/>
                <w:highlight w:val="none"/>
              </w:rPr>
              <w:t xml:space="preserve"> 岗位名称：高级工人（1人），中级工（2人），初级工（8人）</w:t>
            </w:r>
          </w:p>
          <w:p w14:paraId="3F5AD39E">
            <w:pPr>
              <w:widowControl/>
              <w:spacing w:line="400" w:lineRule="exact"/>
              <w:ind w:firstLine="48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p w14:paraId="33648849">
            <w:pPr>
              <w:widowControl/>
              <w:spacing w:line="400" w:lineRule="exact"/>
              <w:ind w:firstLine="480" w:firstLineChars="200"/>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1.要求年龄男性55周岁以下、女性在50周岁以下；2.身体健康，并具备1年以上绿化养护工作经验；</w:t>
            </w:r>
          </w:p>
          <w:p w14:paraId="202827E0">
            <w:pPr>
              <w:widowControl/>
              <w:spacing w:line="420" w:lineRule="exact"/>
              <w:jc w:val="center"/>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 xml:space="preserve">    3.水车、卡车等自有或租赁的专项作业车辆驾驶员及车上作业人员不计入人数。</w:t>
            </w:r>
          </w:p>
        </w:tc>
        <w:tc>
          <w:tcPr>
            <w:tcW w:w="583" w:type="dxa"/>
            <w:vMerge w:val="restart"/>
            <w:tcBorders>
              <w:top w:val="single" w:color="000000" w:sz="4" w:space="0"/>
              <w:left w:val="single" w:color="000000" w:sz="4" w:space="0"/>
              <w:right w:val="single" w:color="000000" w:sz="4" w:space="0"/>
            </w:tcBorders>
            <w:vAlign w:val="center"/>
          </w:tcPr>
          <w:p w14:paraId="2A045471">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583" w:type="dxa"/>
            <w:vMerge w:val="restart"/>
            <w:tcBorders>
              <w:top w:val="single" w:color="000000" w:sz="4" w:space="0"/>
              <w:left w:val="single" w:color="000000" w:sz="4" w:space="0"/>
              <w:right w:val="single" w:color="000000" w:sz="4" w:space="0"/>
            </w:tcBorders>
            <w:vAlign w:val="center"/>
          </w:tcPr>
          <w:p w14:paraId="697DB91B">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w:t>
            </w:r>
          </w:p>
        </w:tc>
        <w:tc>
          <w:tcPr>
            <w:tcW w:w="1483" w:type="dxa"/>
            <w:vMerge w:val="restart"/>
            <w:tcBorders>
              <w:top w:val="single" w:color="000000" w:sz="4" w:space="0"/>
              <w:left w:val="single" w:color="000000" w:sz="4" w:space="0"/>
              <w:right w:val="single" w:color="000000" w:sz="4" w:space="0"/>
            </w:tcBorders>
            <w:vAlign w:val="center"/>
          </w:tcPr>
          <w:p w14:paraId="003AFA0A">
            <w:pPr>
              <w:widowControl/>
              <w:spacing w:line="42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600000.00</w:t>
            </w:r>
          </w:p>
        </w:tc>
      </w:tr>
      <w:tr w14:paraId="558EA5A5">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6681E395">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7B462CE1">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14:paraId="1813268A">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61CA008">
            <w:pPr>
              <w:widowControl/>
              <w:spacing w:line="420" w:lineRule="exact"/>
              <w:jc w:val="center"/>
              <w:textAlignment w:val="center"/>
              <w:rPr>
                <w:rFonts w:ascii="仿宋" w:hAnsi="仿宋" w:eastAsia="仿宋" w:cs="仿宋"/>
                <w:b/>
                <w:bCs/>
                <w:kern w:val="0"/>
                <w:sz w:val="28"/>
                <w:szCs w:val="28"/>
                <w:highlight w:val="none"/>
              </w:rPr>
            </w:pPr>
            <w:r>
              <w:rPr>
                <w:rFonts w:hint="eastAsia" w:ascii="宋体" w:hAnsi="宋体" w:cs="宋体"/>
                <w:b/>
                <w:bCs/>
                <w:highlight w:val="none"/>
              </w:rPr>
              <w:t>1.1.2工作时间 (可根据工作实际及采购方要求进行调整)</w:t>
            </w:r>
          </w:p>
        </w:tc>
        <w:tc>
          <w:tcPr>
            <w:tcW w:w="4770" w:type="dxa"/>
            <w:tcBorders>
              <w:top w:val="single" w:color="000000" w:sz="4" w:space="0"/>
              <w:left w:val="single" w:color="000000" w:sz="4" w:space="0"/>
              <w:bottom w:val="single" w:color="000000" w:sz="4" w:space="0"/>
              <w:right w:val="single" w:color="000000" w:sz="4" w:space="0"/>
            </w:tcBorders>
            <w:vAlign w:val="center"/>
          </w:tcPr>
          <w:p w14:paraId="3632AE0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（1）项目经理、主管：上午 8：30-12:00，下午 14：30-17:00全时段在岗。电话保持24小时开机畅通，如遇紧急情况须及时响应。如需请假，需向采购人提交书面申请。</w:t>
            </w:r>
          </w:p>
          <w:p w14:paraId="3E503C71">
            <w:pPr>
              <w:widowControl/>
              <w:spacing w:line="420" w:lineRule="exact"/>
              <w:ind w:firstLine="480" w:firstLineChars="200"/>
              <w:jc w:val="left"/>
              <w:textAlignment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sz w:val="24"/>
                <w:szCs w:val="24"/>
                <w:highlight w:val="none"/>
              </w:rPr>
              <w:t>（2）夏季可相应调整，原则上工作时间不少于7个小时，如遇重大活动、突击检查、特殊天气、高温天气、特殊季节及重大节假日视实际情况调整。</w:t>
            </w:r>
          </w:p>
        </w:tc>
        <w:tc>
          <w:tcPr>
            <w:tcW w:w="583" w:type="dxa"/>
            <w:vMerge w:val="continue"/>
            <w:tcBorders>
              <w:left w:val="single" w:color="000000" w:sz="4" w:space="0"/>
              <w:right w:val="single" w:color="000000" w:sz="4" w:space="0"/>
            </w:tcBorders>
            <w:vAlign w:val="center"/>
          </w:tcPr>
          <w:p w14:paraId="07F90B38">
            <w:pPr>
              <w:widowControl/>
              <w:spacing w:line="420" w:lineRule="exact"/>
              <w:jc w:val="center"/>
              <w:textAlignment w:val="center"/>
              <w:rPr>
                <w:rFonts w:ascii="仿宋_GB2312" w:hAnsi="仿宋_GB2312" w:eastAsia="仿宋_GB2312" w:cs="仿宋_GB2312"/>
                <w:sz w:val="24"/>
                <w:szCs w:val="24"/>
                <w:highlight w:val="none"/>
              </w:rPr>
            </w:pPr>
          </w:p>
        </w:tc>
        <w:tc>
          <w:tcPr>
            <w:tcW w:w="583" w:type="dxa"/>
            <w:vMerge w:val="continue"/>
            <w:tcBorders>
              <w:left w:val="single" w:color="000000" w:sz="4" w:space="0"/>
              <w:right w:val="single" w:color="000000" w:sz="4" w:space="0"/>
            </w:tcBorders>
            <w:vAlign w:val="center"/>
          </w:tcPr>
          <w:p w14:paraId="53F32603">
            <w:pPr>
              <w:widowControl/>
              <w:spacing w:line="420" w:lineRule="exact"/>
              <w:jc w:val="center"/>
              <w:textAlignment w:val="center"/>
              <w:rPr>
                <w:rFonts w:ascii="仿宋_GB2312" w:hAnsi="仿宋_GB2312" w:eastAsia="仿宋_GB2312" w:cs="仿宋_GB2312"/>
                <w:sz w:val="24"/>
                <w:szCs w:val="24"/>
                <w:highlight w:val="none"/>
              </w:rPr>
            </w:pPr>
          </w:p>
        </w:tc>
        <w:tc>
          <w:tcPr>
            <w:tcW w:w="1483" w:type="dxa"/>
            <w:vMerge w:val="continue"/>
            <w:tcBorders>
              <w:left w:val="single" w:color="000000" w:sz="4" w:space="0"/>
              <w:right w:val="single" w:color="000000" w:sz="4" w:space="0"/>
            </w:tcBorders>
            <w:vAlign w:val="center"/>
          </w:tcPr>
          <w:p w14:paraId="61B353FB">
            <w:pPr>
              <w:widowControl/>
              <w:spacing w:line="420" w:lineRule="exact"/>
              <w:jc w:val="center"/>
              <w:textAlignment w:val="center"/>
              <w:rPr>
                <w:rFonts w:ascii="仿宋_GB2312" w:hAnsi="仿宋_GB2312" w:eastAsia="仿宋_GB2312" w:cs="仿宋_GB2312"/>
                <w:sz w:val="24"/>
                <w:szCs w:val="24"/>
                <w:highlight w:val="none"/>
              </w:rPr>
            </w:pPr>
          </w:p>
        </w:tc>
      </w:tr>
      <w:tr w14:paraId="7B4AC87A">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0D7D8929">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57865740">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14:paraId="19837765">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69E2FABE">
            <w:pPr>
              <w:spacing w:line="400" w:lineRule="exact"/>
              <w:jc w:val="left"/>
              <w:rPr>
                <w:rFonts w:ascii="宋体" w:hAnsi="宋体" w:cs="宋体"/>
                <w:b/>
                <w:bCs/>
                <w:highlight w:val="none"/>
              </w:rPr>
            </w:pPr>
            <w:r>
              <w:rPr>
                <w:rFonts w:hint="eastAsia" w:ascii="宋体" w:hAnsi="宋体" w:cs="宋体"/>
                <w:b/>
                <w:bCs/>
                <w:highlight w:val="none"/>
              </w:rPr>
              <w:t>1.1.3人员出勤考核</w:t>
            </w:r>
          </w:p>
          <w:p w14:paraId="703D755E">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3BD3B99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（1）各工作人员根据上下班时间，由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通过现场面签、指纹打卡 (指纹打卡机由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自行购买) 、校方管理系统等方式严格控制价并进行日常考勤。每月5号将上月考勤表签字盖章交至采购方，采购人也将不定时抽查人员数量，以保证达到每日人员数量及工时的固定要求。</w:t>
            </w:r>
          </w:p>
          <w:p w14:paraId="70E3E28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（2）工作期间要求统一穿工作服 (服装由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自行购买) ，戴工作帽，不允许缺岗，如有人员请假、 调休等情况，由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自行合理安排，成交单位应提前2天书面报告采购人，并自行安排人员进行绿化养护，但要保证正常工作时间段内人员能及时处理突发事件。</w:t>
            </w:r>
          </w:p>
          <w:p w14:paraId="1A4465AE">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485F8F59">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6F74BC7">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73D17B2E">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731BAD4A">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16B0F4A9">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0B0BF29E">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ECD1498">
            <w:pPr>
              <w:spacing w:line="400" w:lineRule="exact"/>
              <w:jc w:val="left"/>
              <w:rPr>
                <w:rFonts w:ascii="宋体" w:hAnsi="宋体" w:cs="宋体"/>
                <w:b/>
                <w:bCs/>
                <w:highlight w:val="none"/>
              </w:rPr>
            </w:pPr>
            <w:r>
              <w:rPr>
                <w:rFonts w:hint="eastAsia" w:ascii="宋体" w:hAnsi="宋体" w:cs="宋体"/>
                <w:b/>
                <w:bCs/>
                <w:highlight w:val="none"/>
              </w:rPr>
              <w:t>1.2耗材工具配置要求</w:t>
            </w:r>
          </w:p>
          <w:p w14:paraId="3381D2B4">
            <w:pPr>
              <w:widowControl/>
              <w:spacing w:line="420" w:lineRule="exact"/>
              <w:jc w:val="center"/>
              <w:textAlignment w:val="center"/>
              <w:rPr>
                <w:rFonts w:ascii="仿宋" w:hAnsi="仿宋" w:eastAsia="仿宋" w:cs="仿宋"/>
                <w:b/>
                <w:bCs/>
                <w:kern w:val="0"/>
                <w:sz w:val="28"/>
                <w:szCs w:val="28"/>
                <w:highlight w:val="none"/>
              </w:rPr>
            </w:pPr>
          </w:p>
        </w:tc>
        <w:tc>
          <w:tcPr>
            <w:tcW w:w="5542" w:type="dxa"/>
            <w:gridSpan w:val="2"/>
            <w:tcBorders>
              <w:top w:val="single" w:color="000000" w:sz="4" w:space="0"/>
              <w:left w:val="single" w:color="000000" w:sz="4" w:space="0"/>
              <w:bottom w:val="single" w:color="000000" w:sz="4" w:space="0"/>
              <w:right w:val="single" w:color="000000" w:sz="4" w:space="0"/>
            </w:tcBorders>
            <w:vAlign w:val="center"/>
          </w:tcPr>
          <w:p w14:paraId="759F1208">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东盟校区校园内所有绿化区面积约15.72万㎡（包含水域面积约3.7万㎡）。</w:t>
            </w:r>
          </w:p>
          <w:p w14:paraId="695BA08A">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（1）满足养护工作所需质量和数量的个人日常工具：主要指日常养护所需的生产工具、个人劳保用品及 安全防护用具。如铲、大小锄头、手锯、斗车、高枝剪、大小枝剪、淋水胶管、梯子、油料、清扫工具、手套、 口罩、草帽、雨衣、安全服、安全锥、警示牌、警示带、打草防护网等。其中防护用具不得低于以下标准配备：安全防护服 1 套/人、安全锥 1 个/人。</w:t>
            </w:r>
          </w:p>
          <w:p w14:paraId="28208E0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（2）园林机械设备配置：日常养护生产所需的园林机械设备最低如下配置：喷药设备4台、清运车3台（至少1台货车）、 油锯4台、高枝油锯4台、打草机4台、绿篱机4台、抽水机2台、绿化洒水车1辆、绿化升降机云梯1部等，能够满足校方养 护工作需求的各项设备。</w:t>
            </w:r>
          </w:p>
          <w:p w14:paraId="1376DFE6">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（3）按相关技术要求所需质量和数量的肥料、农药、除草剂，植物防寒材料，植物支撑材料等。</w:t>
            </w:r>
          </w:p>
          <w:p w14:paraId="25DD9156">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765FE85A">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44987461">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3E7B48D6">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2447C42A">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07E97C26">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3554E184">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14:paraId="5BB99FFC">
            <w:pPr>
              <w:spacing w:line="400" w:lineRule="exact"/>
              <w:jc w:val="left"/>
              <w:rPr>
                <w:rFonts w:ascii="宋体" w:hAnsi="宋体" w:cs="宋体"/>
                <w:b/>
                <w:bCs/>
                <w:highlight w:val="none"/>
              </w:rPr>
            </w:pPr>
            <w:r>
              <w:rPr>
                <w:rFonts w:hint="eastAsia" w:ascii="宋体" w:hAnsi="宋体" w:cs="宋体"/>
                <w:b/>
                <w:bCs/>
                <w:highlight w:val="none"/>
              </w:rPr>
              <w:t>1.3管护要求</w:t>
            </w:r>
          </w:p>
          <w:p w14:paraId="37FDEBFD">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74233F08">
            <w:pPr>
              <w:spacing w:line="400" w:lineRule="exact"/>
              <w:jc w:val="left"/>
              <w:rPr>
                <w:rFonts w:ascii="宋体" w:hAnsi="宋体" w:cs="宋体"/>
                <w:b/>
                <w:bCs/>
                <w:highlight w:val="none"/>
              </w:rPr>
            </w:pPr>
            <w:r>
              <w:rPr>
                <w:rFonts w:hint="eastAsia" w:ascii="宋体" w:hAnsi="宋体" w:cs="宋体"/>
                <w:b/>
                <w:bCs/>
                <w:highlight w:val="none"/>
              </w:rPr>
              <w:t>1.3.1 草坪的管护</w:t>
            </w:r>
          </w:p>
          <w:p w14:paraId="26A0BAAB">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712D79AF">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东盟校区内公共区域（含水域）、办公区域、指定场所内的绿化养护工作，包含但不限于浇水、清理垃圾 (含修剪杂枝、枯枝落叶、庭院杂草以及废弃花卉等) 、防风防汛、补植和防人为损坏及零星病虫害防治、除杂草和修剪等。同时，每天对园区绿化带内垃圾进行清理，保证校区环境品质，冬季及时清扫绿篱、树木中落叶，防止苗木受到损坏。遇到集中作业产生的绿化垃圾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负责清运,运费自理，不得放入垃圾桶内。定期全面修剪整形、施肥、除杂草、松土和全面病虫害防治。并且校区绿化区域内不得有树苗枯死、不得有黄土裸露等现象，确保绿化、乔灌木、草花等保存率 100%、绿化设施及硬件景观保持常年完好，在学校重大活动、重大集会按照采购人需要摆放花卉。</w:t>
            </w:r>
          </w:p>
          <w:p w14:paraId="5A2B3291">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（1）草坪修剪：平时要定期修剪，每季不少于1次，保持草坪整齐，绿色无枯黄，高度保持在8cm以下。</w:t>
            </w:r>
          </w:p>
          <w:p w14:paraId="4846461F">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（2）除杂草：随时清理草坪中的杂草，草坪纯度达 95%以上或杂草占有率不超过单块草坪面积的 5％；生长季节 (4~10 月) ，是草坪和杂草的生长旺季，为保证草坪的漂亮，每月至少除杂草 2次，非生长季节每月至少除杂草 1次，而且连根拔起。修剪后无残留草屑。</w:t>
            </w:r>
          </w:p>
          <w:p w14:paraId="23162B6B">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（3）施肥：每年10月开始至第二年3月份结合淋水施肥，一般每个月施肥一次 (肥料以尿素为主) 以保持良好长势，其他季节根据草地生长视情况安排施肥。</w:t>
            </w:r>
          </w:p>
          <w:p w14:paraId="2B30997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（4）淋水：旱季保证每星期浇水至少 2次，浇透，保证不能因为缺水造成草坪枯死。</w:t>
            </w:r>
          </w:p>
          <w:p w14:paraId="0DA82B04">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（5）病虫害：防止病、虫害及时喷洒农药等</w:t>
            </w:r>
          </w:p>
          <w:p w14:paraId="78C8818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（6）裸地现象：在现有绿地范围内，如有局部裸地现象，要因地适宜及时补种。</w:t>
            </w:r>
          </w:p>
          <w:p w14:paraId="6D464A61">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（7）更换草坪草：如发现有枯黄死亡的草，应及时更换。</w:t>
            </w:r>
          </w:p>
          <w:p w14:paraId="2BBFE43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（8）保持清洁：每天清理草坪上的垃圾。</w:t>
            </w:r>
          </w:p>
          <w:p w14:paraId="6D3F9218">
            <w:pPr>
              <w:pStyle w:val="2"/>
              <w:rPr>
                <w:rFonts w:ascii="仿宋_GB2312" w:hAnsi="仿宋_GB2312" w:eastAsia="仿宋_GB2312" w:cs="仿宋_GB2312"/>
                <w:sz w:val="24"/>
                <w:szCs w:val="24"/>
                <w:highlight w:val="none"/>
              </w:rPr>
            </w:pPr>
          </w:p>
          <w:p w14:paraId="31BF79B5">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3897F909">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B7A4C7A">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152AAC4E">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7E40912">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6A8F6F24">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3D0A7AAE">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14:paraId="487A6192">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4FD6A036">
            <w:pPr>
              <w:spacing w:line="400" w:lineRule="exact"/>
              <w:jc w:val="left"/>
              <w:rPr>
                <w:rFonts w:ascii="宋体" w:hAnsi="宋体" w:cs="宋体"/>
                <w:b/>
                <w:bCs/>
                <w:highlight w:val="none"/>
              </w:rPr>
            </w:pPr>
            <w:r>
              <w:rPr>
                <w:rFonts w:hint="eastAsia" w:ascii="宋体" w:hAnsi="宋体" w:cs="宋体"/>
                <w:b/>
                <w:bCs/>
                <w:highlight w:val="none"/>
              </w:rPr>
              <w:t>1.3.2花坛、花境、绿篱的管护</w:t>
            </w:r>
          </w:p>
          <w:p w14:paraId="5CF41933">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6697387B">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（1）松土除杂草：生长季节每月松土一次，除杂草至少2次，松土深度 3~5cm，非生长季节每月除杂草一次，为防止草坪长入花坛、花境、绿篱，每年4~5份和 8~9月在松土时同时进行修边，修边宽度 30cm，线条流畅。</w:t>
            </w:r>
          </w:p>
          <w:p w14:paraId="765D9A3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（2）在每年温度低于 5 度的时期，绿化养护人员应对校园内御寒能力较差的植物进行遮盖防冻。</w:t>
            </w:r>
          </w:p>
          <w:p w14:paraId="0C5A1432">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（3）修剪施肥：为了使绿篱生长茂盛、美观，每月至少修剪一次 (或修剪后新梢生长超过 10cm 时，应进行第二次修剪)，每次修剪应保持形状轮廓线条清晰、表面平整、圆滑。若生长过密影响通风透光时，要进行内膛疏剪。花落后应及时剪去残花，促使再次开花。休眠期和生长季节后期尚未木质化时必进行修剪施肥一次。对于实施重剪的植物 (地上保持 30~50cm) ，重剪后施基肥一次，以后根据生长需要用复合肥追肥，晴天施肥应保证淋足水。</w:t>
            </w:r>
          </w:p>
          <w:p w14:paraId="0A3C6E12">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（4）病虫害：防止病、虫害及时喷洒农药等。</w:t>
            </w:r>
          </w:p>
          <w:p w14:paraId="16E6A2A5">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（5）花池、绿化带以及沿街绿地平面低于沿围平面距离 5~10cm，无杂草、垃圾杂物、无积水，保持清洁卫生。</w:t>
            </w:r>
          </w:p>
          <w:p w14:paraId="1A41B68A">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（6）绿篱植物：轮廓清楚，线条整齐，顶面平整，高度一致，无缺株，无枯枝残花。</w:t>
            </w:r>
          </w:p>
          <w:p w14:paraId="76DB092A">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4EA0FB98">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62E1FE8C">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44C784CA">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493D5E7">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676D1E90">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53BE47A4">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14:paraId="691DF362">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4272EA9A">
            <w:pPr>
              <w:spacing w:line="400" w:lineRule="exact"/>
              <w:jc w:val="left"/>
              <w:rPr>
                <w:rFonts w:ascii="宋体" w:hAnsi="宋体" w:cs="宋体"/>
                <w:b/>
                <w:bCs/>
                <w:highlight w:val="none"/>
              </w:rPr>
            </w:pPr>
            <w:r>
              <w:rPr>
                <w:rFonts w:hint="eastAsia" w:ascii="宋体" w:hAnsi="宋体" w:cs="宋体"/>
                <w:b/>
                <w:bCs/>
                <w:highlight w:val="none"/>
              </w:rPr>
              <w:t>1.3.3乔木、灌木的管护</w:t>
            </w:r>
          </w:p>
          <w:p w14:paraId="0EEC3D31">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299EC268">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（1）修剪：修剪小枝条或为树木整形，从每年的4~5 月份开始，每月修剪一次，主要修剪萌枝、下垂枝、干枯枝、开花植物应在花萌前进行，乔木整形要与周边协调。雨季或者台风来临时，将靠近建筑物的枝杈进行适当的修剪。树木与架空线有矛盾时，应修剪使其与架空线保持安全距离。乔、灌木较大枝条应在冬季休眠期进行 (甲方随时要求修剪的除外，如行道树对路灯、通行车辆的影 响等) ，常绿乔、灌木在生长期进行，乔木不少于2次/年，灌木不少于2 次/年。造型灌木的修剪不少于 12 次/年。</w:t>
            </w:r>
          </w:p>
          <w:p w14:paraId="6C0A1B06">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（2）施肥：每年 2~3和 8~9 月采用对角埋肥，肥料种类采用复合肥与花生长基肥结合。</w:t>
            </w:r>
          </w:p>
          <w:p w14:paraId="0BA80DBB">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（3）松土、整理养护穴：新植乔木 (1~3 年) 及棕榈植物保留种植穴 80cm，灌木保留种植穴40cm，每年进行 1~2 松土。</w:t>
            </w:r>
          </w:p>
          <w:p w14:paraId="111F8B5D">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（4）培土：木穴径80cm以内，灌木穴径40cm以内无杂草、枯叶、垃圾等。</w:t>
            </w:r>
          </w:p>
          <w:p w14:paraId="770A62F8">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（5）淋水：新种植乔木、灌木一周淋水不少于一次，浇透。</w:t>
            </w:r>
          </w:p>
          <w:p w14:paraId="7F4EFB8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（6）病虫害：防止病、虫害及时喷洒农药等；</w:t>
            </w:r>
          </w:p>
          <w:p w14:paraId="67661BD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（7）涂白：学校如有重大活动，要求对行道树涂白；每年立冬前后半个月之内，为了消灭过冬虫害，要求对树干用石灰按技术要求涂白。</w:t>
            </w:r>
          </w:p>
          <w:p w14:paraId="219B7A6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（8）巡查、救危：雨季期或者台风季节，容易发生绿植倒歪等危险情况，应事先做好工具设备等方面 的准备，并随时检查，发现险情及时处理。</w:t>
            </w:r>
          </w:p>
          <w:p w14:paraId="4EEEBFA4">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（9）准备排水：雨季来临时，做好防涝排水工作，避免植物淹死。</w:t>
            </w:r>
          </w:p>
          <w:p w14:paraId="31C08BD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（10）维护：对于易受损坏的绿植要加强保护。</w:t>
            </w:r>
          </w:p>
          <w:p w14:paraId="2A80ED1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（11）落叶乔木应及时清理落叶。</w:t>
            </w:r>
          </w:p>
          <w:p w14:paraId="70AAB4C0">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（12）保持植株清洁：适当进行冲洗降尘，保持叶面清洁，无陈旧粉尘。</w:t>
            </w:r>
          </w:p>
          <w:p w14:paraId="17CF02E7">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0919CF58">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0053582">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192CAACD">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48600925">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7EBC79F4">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0F25820D">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14:paraId="25A71AD2">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5EA9EC10">
            <w:pPr>
              <w:spacing w:line="400" w:lineRule="exact"/>
              <w:jc w:val="left"/>
              <w:rPr>
                <w:rFonts w:ascii="宋体" w:hAnsi="宋体" w:cs="宋体"/>
                <w:b/>
                <w:bCs/>
                <w:highlight w:val="none"/>
              </w:rPr>
            </w:pPr>
            <w:r>
              <w:rPr>
                <w:rFonts w:hint="eastAsia" w:ascii="宋体" w:hAnsi="宋体" w:cs="宋体"/>
                <w:b/>
                <w:bCs/>
                <w:highlight w:val="none"/>
              </w:rPr>
              <w:t>1.3.4其它管护</w:t>
            </w:r>
          </w:p>
          <w:p w14:paraId="2AB476EF">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33AB62F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（1）根据学校现有绿化树木和花卉现状， 自行配备浇水、施肥、修剪、杀虫等相关机械设备 (如：云梯、高枝剪等) ，满足绿化养护工作需求，所需的农药、化肥等物质都由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自行提供，所有费用包干在总报价中。</w:t>
            </w:r>
          </w:p>
          <w:p w14:paraId="1ED363E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（2）灾后及时做好清除倒树断枝，涉及需调动用吊装机械，由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承担费用。</w:t>
            </w:r>
          </w:p>
          <w:p w14:paraId="2218020B">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042477E6">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8732FCA">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21879C62">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E8BB678">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2DC08010">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7EA54539">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restart"/>
            <w:tcBorders>
              <w:top w:val="single" w:color="000000" w:sz="4" w:space="0"/>
              <w:left w:val="single" w:color="000000" w:sz="4" w:space="0"/>
              <w:right w:val="single" w:color="000000" w:sz="4" w:space="0"/>
            </w:tcBorders>
            <w:vAlign w:val="center"/>
          </w:tcPr>
          <w:p w14:paraId="5DF278A9">
            <w:pPr>
              <w:spacing w:line="400" w:lineRule="exact"/>
              <w:jc w:val="left"/>
              <w:rPr>
                <w:rFonts w:ascii="宋体" w:hAnsi="宋体" w:cs="宋体"/>
                <w:b/>
                <w:bCs/>
                <w:highlight w:val="none"/>
              </w:rPr>
            </w:pPr>
            <w:r>
              <w:rPr>
                <w:rFonts w:hint="eastAsia" w:ascii="宋体" w:hAnsi="宋体" w:cs="宋体"/>
                <w:b/>
                <w:bCs/>
                <w:highlight w:val="none"/>
              </w:rPr>
              <w:t>1.4服务考核标准及奖惩办法</w:t>
            </w:r>
          </w:p>
          <w:p w14:paraId="43ED1AE4">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C120AA6">
            <w:pPr>
              <w:spacing w:line="400" w:lineRule="exact"/>
              <w:jc w:val="left"/>
              <w:rPr>
                <w:rFonts w:ascii="宋体" w:hAnsi="宋体" w:cs="宋体"/>
                <w:b/>
                <w:bCs/>
                <w:highlight w:val="none"/>
              </w:rPr>
            </w:pPr>
            <w:r>
              <w:rPr>
                <w:rFonts w:hint="eastAsia" w:ascii="宋体" w:hAnsi="宋体" w:cs="宋体"/>
                <w:b/>
                <w:bCs/>
                <w:highlight w:val="none"/>
              </w:rPr>
              <w:t>1.4.1养护质量要求</w:t>
            </w:r>
          </w:p>
          <w:p w14:paraId="1E1D4C5A">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0026DC0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每个月由学校进行考核：</w:t>
            </w:r>
          </w:p>
          <w:p w14:paraId="029E346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（1）绿化养护技术措施完善，管理得当，养护植物科学合理，达到黄土不露天。</w:t>
            </w:r>
          </w:p>
          <w:p w14:paraId="2DE0FAB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（2）园林植物达到：</w:t>
            </w:r>
          </w:p>
          <w:p w14:paraId="1AB033FF">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①生长健壮，绿地各种植物达到正常形态。</w:t>
            </w:r>
          </w:p>
          <w:p w14:paraId="6D70211A">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②园林树木树冠完整美观，分枝点合适，枝条粗壮，无枯枝死杈；主侧枝分布匀称、数量适宜、修剪科学合理； 内膛不乱，通风透光。花灌木开花及时，株形丰满，花后修剪及时合理。绿篱、色块等修剪 及时，枝叶茂密，整齐一致，整型树木造型雅观。行道树无缺株，绿地内无死树。</w:t>
            </w:r>
          </w:p>
          <w:p w14:paraId="2CDDBC44">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③落叶树新梢生长健壮，叶片大小、颜色正常。在一般条件下，无黄叶、焦叶、卷叶，正常叶片保存率在95%以上。</w:t>
            </w:r>
          </w:p>
          <w:p w14:paraId="5B046F9B">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④花坛、花带轮廓清晰，整齐美观，色彩艳丽，无残缺，无残花败叶。</w:t>
            </w:r>
          </w:p>
          <w:p w14:paraId="365D963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⑤草坪及地被植物整齐，覆盖率 99%以上，草坪内无杂草。</w:t>
            </w:r>
          </w:p>
          <w:p w14:paraId="3EDC2C30">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⑥病虫害控制及时，园林树木无蛀干害虫的活卵、活虫；在园林树木主干、主枝上平均每100cm²介壳虫的活虫数不得超过1头，较细枝条上平均每30cm 不得超过 2 头，且平均被害株数不得超过 1%。叶片上无虫粪、虫网。被虫咬的叶片每株不得超过2% 。</w:t>
            </w:r>
          </w:p>
          <w:p w14:paraId="2FC0FB09">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（3）垂直绿化应根据不同植物的攀缘特点，及时采取相应的牵引、设置网架等技术措施，视攀缘植物生长习性，覆盖率不得低于 90%。开花的攀缘植物应适时开花，且花繁色艳。</w:t>
            </w:r>
          </w:p>
          <w:p w14:paraId="2DEA5B34">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（4）绿地整洁，无杂物、无白色污染 (树挂) ，对绿化生产垃圾 (如树枝、树叶、草屑等) 、绿地内水面杂物，随产随清。</w:t>
            </w:r>
          </w:p>
          <w:p w14:paraId="7FF4E38D">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（5）绿地完整，无堆物、堆料、搭棚，树干上无钉拴刻画等现象。行道树下无堆物、 堆料、圈栏或搭棚设摊等影响树木生长和养护管理的现象。</w:t>
            </w:r>
          </w:p>
          <w:p w14:paraId="7918A7F5">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FEE8B12">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1C63105F">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5AADAAAA">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5B5A8997">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5F00C3CD">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76363810">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14:paraId="3483953E">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7B28E541">
            <w:pPr>
              <w:spacing w:line="400" w:lineRule="exact"/>
              <w:jc w:val="left"/>
              <w:rPr>
                <w:rFonts w:ascii="宋体" w:hAnsi="宋体" w:cs="宋体"/>
                <w:b/>
                <w:bCs/>
                <w:highlight w:val="none"/>
              </w:rPr>
            </w:pPr>
            <w:r>
              <w:rPr>
                <w:rFonts w:hint="eastAsia" w:ascii="宋体" w:hAnsi="宋体" w:cs="宋体"/>
                <w:b/>
                <w:bCs/>
                <w:highlight w:val="none"/>
              </w:rPr>
              <w:t>1.4.2草坪杂草防除质量标准</w:t>
            </w:r>
          </w:p>
          <w:p w14:paraId="70408C51">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148032C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原则是草坪纯度达 95%以上或杂草占有率不超过单块草坪面积的 5％；</w:t>
            </w:r>
          </w:p>
          <w:p w14:paraId="6F3DBEA3">
            <w:pPr>
              <w:spacing w:line="400" w:lineRule="exact"/>
              <w:ind w:firstLine="480" w:firstLineChars="200"/>
              <w:jc w:val="left"/>
              <w:rPr>
                <w:rFonts w:ascii="仿宋_GB2312" w:hAnsi="仿宋_GB2312" w:eastAsia="仿宋_GB2312" w:cs="仿宋_GB2312"/>
                <w:sz w:val="24"/>
                <w:szCs w:val="24"/>
                <w:highlight w:val="none"/>
              </w:rPr>
            </w:pPr>
            <w:bookmarkStart w:id="3" w:name="_bookmark4"/>
            <w:bookmarkEnd w:id="3"/>
            <w:r>
              <w:rPr>
                <w:rFonts w:hint="eastAsia" w:ascii="仿宋_GB2312" w:hAnsi="仿宋_GB2312" w:eastAsia="仿宋_GB2312" w:cs="仿宋_GB2312"/>
                <w:sz w:val="24"/>
                <w:szCs w:val="24"/>
                <w:highlight w:val="none"/>
              </w:rPr>
              <w:t>（1）整块草坪内高于 15cm 的杂草不得超过 5 棵每平方米 (以长度为高测定)</w:t>
            </w:r>
          </w:p>
          <w:p w14:paraId="1A0D416C">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（2）整块草坪没有明显的阔叶杂草。</w:t>
            </w:r>
          </w:p>
          <w:p w14:paraId="4E2CD94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如果第一次发现不合格，扣100元，第二次扣300元，第三次扣500元，依次累计，费用直接从绿化管护费中按月扣除，并限期整改。</w:t>
            </w:r>
          </w:p>
          <w:p w14:paraId="33963127">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1F8807A5">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36AF6F6D">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38F7BFB5">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AD21A56">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3CE534CC">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05BCC3F5">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14:paraId="5951748E">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03687BE4">
            <w:pPr>
              <w:spacing w:line="400" w:lineRule="exact"/>
              <w:jc w:val="left"/>
              <w:rPr>
                <w:rFonts w:ascii="宋体" w:hAnsi="宋体" w:cs="宋体"/>
                <w:b/>
                <w:bCs/>
                <w:highlight w:val="none"/>
              </w:rPr>
            </w:pPr>
            <w:r>
              <w:rPr>
                <w:rFonts w:hint="eastAsia" w:ascii="宋体" w:hAnsi="宋体" w:cs="宋体"/>
                <w:b/>
                <w:bCs/>
                <w:highlight w:val="none"/>
              </w:rPr>
              <w:t>1.4.3绿化带及绿篱修剪标准</w:t>
            </w:r>
          </w:p>
          <w:p w14:paraId="5DDAB241">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1594B408">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每月一次及时修剪或修剪后新梢生长超过10cm时，应进行第二次修剪。如不能达到本养护方案的要求，学校可令</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整改，整改时间不得延误，若在 2 个工作日内不整改，学校视情节轻重，可扣除服务费 500-1000 元/次；7天之内拒不做出整改可扣除服务费1000－50000元，并有权单方解除合同，所有损失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自负。</w:t>
            </w:r>
          </w:p>
          <w:p w14:paraId="2D88E4FF">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1F75375B">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60C51DA9">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6E65CB74">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06CC88B">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32460902">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226C0F6C">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right w:val="single" w:color="000000" w:sz="4" w:space="0"/>
            </w:tcBorders>
            <w:vAlign w:val="center"/>
          </w:tcPr>
          <w:p w14:paraId="7BEC9E56">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1060A169">
            <w:pPr>
              <w:widowControl/>
              <w:spacing w:line="420" w:lineRule="exact"/>
              <w:jc w:val="center"/>
              <w:textAlignment w:val="center"/>
              <w:rPr>
                <w:rFonts w:ascii="仿宋" w:hAnsi="仿宋" w:eastAsia="仿宋" w:cs="仿宋"/>
                <w:b/>
                <w:bCs/>
                <w:kern w:val="0"/>
                <w:sz w:val="28"/>
                <w:szCs w:val="28"/>
                <w:highlight w:val="none"/>
              </w:rPr>
            </w:pPr>
            <w:r>
              <w:rPr>
                <w:rFonts w:hint="eastAsia" w:ascii="宋体" w:hAnsi="宋体" w:cs="宋体"/>
                <w:b/>
                <w:bCs/>
                <w:highlight w:val="none"/>
              </w:rPr>
              <w:t>1.4.4乔木、灌木的管护</w:t>
            </w:r>
          </w:p>
        </w:tc>
        <w:tc>
          <w:tcPr>
            <w:tcW w:w="4770" w:type="dxa"/>
            <w:tcBorders>
              <w:top w:val="single" w:color="000000" w:sz="4" w:space="0"/>
              <w:left w:val="single" w:color="000000" w:sz="4" w:space="0"/>
              <w:bottom w:val="single" w:color="000000" w:sz="4" w:space="0"/>
              <w:right w:val="single" w:color="000000" w:sz="4" w:space="0"/>
            </w:tcBorders>
            <w:vAlign w:val="center"/>
          </w:tcPr>
          <w:p w14:paraId="5F4276A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乔木每2个月修剪一次，灌木每</w:t>
            </w:r>
            <w:r>
              <w:rPr>
                <w:rFonts w:hint="eastAsia" w:ascii="仿宋_GB2312" w:hAnsi="仿宋_GB2312" w:eastAsia="仿宋_GB2312" w:cs="仿宋_GB2312"/>
                <w:sz w:val="24"/>
                <w:szCs w:val="24"/>
                <w:highlight w:val="none"/>
                <w:lang w:eastAsia="zh-CN"/>
              </w:rPr>
              <w:t>个</w:t>
            </w:r>
            <w:r>
              <w:rPr>
                <w:rFonts w:hint="eastAsia" w:ascii="仿宋_GB2312" w:hAnsi="仿宋_GB2312" w:eastAsia="仿宋_GB2312" w:cs="仿宋_GB2312"/>
                <w:sz w:val="24"/>
                <w:szCs w:val="24"/>
                <w:highlight w:val="none"/>
              </w:rPr>
              <w:t>月及时修剪一次。养护后乔木与灌木需保持形态规整、层次分明，整体外观整洁美观，无枯枝、病虫枝及明显杂草。如不能达到养护要求，处罚办法同上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1.4.3.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，具体参看附件1绿化养护日常考核评分表。</w:t>
            </w:r>
          </w:p>
          <w:p w14:paraId="1F94DABE">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630C08F9">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59F4808B">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3EC0A147">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65876853">
        <w:tblPrEx>
          <w:tblCellMar>
            <w:top w:w="0" w:type="dxa"/>
            <w:left w:w="108" w:type="dxa"/>
            <w:bottom w:w="0" w:type="dxa"/>
            <w:right w:w="108" w:type="dxa"/>
          </w:tblCellMar>
        </w:tblPrEx>
        <w:trPr>
          <w:trHeight w:val="988" w:hRule="atLeast"/>
        </w:trPr>
        <w:tc>
          <w:tcPr>
            <w:tcW w:w="565" w:type="dxa"/>
            <w:tcBorders>
              <w:left w:val="single" w:color="000000" w:sz="4" w:space="0"/>
              <w:right w:val="single" w:color="000000" w:sz="4" w:space="0"/>
            </w:tcBorders>
            <w:vAlign w:val="center"/>
          </w:tcPr>
          <w:p w14:paraId="7983444E">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right w:val="single" w:color="000000" w:sz="4" w:space="0"/>
            </w:tcBorders>
            <w:vAlign w:val="center"/>
          </w:tcPr>
          <w:p w14:paraId="649C24DD">
            <w:pPr>
              <w:widowControl/>
              <w:spacing w:line="420" w:lineRule="exact"/>
              <w:jc w:val="center"/>
              <w:textAlignment w:val="center"/>
              <w:rPr>
                <w:rFonts w:ascii="仿宋" w:hAnsi="仿宋" w:eastAsia="仿宋" w:cs="仿宋"/>
                <w:b/>
                <w:bCs/>
                <w:kern w:val="0"/>
                <w:sz w:val="28"/>
                <w:szCs w:val="28"/>
                <w:highlight w:val="none"/>
              </w:rPr>
            </w:pPr>
          </w:p>
        </w:tc>
        <w:tc>
          <w:tcPr>
            <w:tcW w:w="772" w:type="dxa"/>
            <w:vMerge w:val="continue"/>
            <w:tcBorders>
              <w:left w:val="single" w:color="000000" w:sz="4" w:space="0"/>
              <w:bottom w:val="single" w:color="000000" w:sz="4" w:space="0"/>
              <w:right w:val="single" w:color="000000" w:sz="4" w:space="0"/>
            </w:tcBorders>
            <w:vAlign w:val="center"/>
          </w:tcPr>
          <w:p w14:paraId="4AEFA516">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000000" w:sz="4" w:space="0"/>
              <w:right w:val="single" w:color="000000" w:sz="4" w:space="0"/>
            </w:tcBorders>
            <w:vAlign w:val="center"/>
          </w:tcPr>
          <w:p w14:paraId="34E6298C">
            <w:pPr>
              <w:spacing w:line="400" w:lineRule="exact"/>
              <w:jc w:val="left"/>
              <w:rPr>
                <w:rFonts w:ascii="宋体" w:hAnsi="宋体" w:cs="宋体"/>
                <w:b/>
                <w:bCs/>
                <w:highlight w:val="none"/>
              </w:rPr>
            </w:pPr>
            <w:r>
              <w:rPr>
                <w:rFonts w:hint="eastAsia" w:ascii="宋体" w:hAnsi="宋体" w:cs="宋体"/>
                <w:b/>
                <w:bCs/>
                <w:highlight w:val="none"/>
              </w:rPr>
              <w:t xml:space="preserve">1.4.5管护责任 </w:t>
            </w:r>
          </w:p>
          <w:p w14:paraId="41DFA63C">
            <w:pPr>
              <w:widowControl/>
              <w:spacing w:line="420" w:lineRule="exact"/>
              <w:jc w:val="center"/>
              <w:textAlignment w:val="center"/>
              <w:rPr>
                <w:rFonts w:ascii="仿宋" w:hAnsi="仿宋" w:eastAsia="仿宋" w:cs="仿宋"/>
                <w:b/>
                <w:bCs/>
                <w:kern w:val="0"/>
                <w:sz w:val="28"/>
                <w:szCs w:val="28"/>
                <w:highlight w:val="none"/>
              </w:rPr>
            </w:pPr>
          </w:p>
        </w:tc>
        <w:tc>
          <w:tcPr>
            <w:tcW w:w="4770" w:type="dxa"/>
            <w:tcBorders>
              <w:top w:val="single" w:color="000000" w:sz="4" w:space="0"/>
              <w:left w:val="single" w:color="000000" w:sz="4" w:space="0"/>
              <w:bottom w:val="single" w:color="000000" w:sz="4" w:space="0"/>
              <w:right w:val="single" w:color="000000" w:sz="4" w:space="0"/>
            </w:tcBorders>
            <w:vAlign w:val="center"/>
          </w:tcPr>
          <w:p w14:paraId="09D3F26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（1）因管护不到位 (不可抗拒因素除外) 所造成的苗木、树球、草坪死亡，</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除赔偿校方死亡苗木市场价的80%，并负责苗木的购买、补种及后期保活一年的养护。否则，从日常绿化管护费用及所缴纳 履约保证金中扣除死亡苗木市场价的100%。</w:t>
            </w:r>
          </w:p>
          <w:p w14:paraId="0FD3326E">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所有安全事故由</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自行负责，如有危险处，应请示采购人排除后，</w:t>
            </w: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方可施工。不服从学校管理和工作安排的，视情节轻重每次扣除服务费200-500元。</w:t>
            </w:r>
          </w:p>
          <w:p w14:paraId="776946B3">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（3）如发现正常工作时间，打卡缺勤1人/次/日扣除100元；打卡缺勤3人/次/日扣除500元；打卡缺勤5人/次/日扣除1000 元；按次数累加，当月直接从绿化管护费扣除。</w:t>
            </w:r>
          </w:p>
          <w:p w14:paraId="74D47FA8">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4A20C3FE">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right w:val="single" w:color="000000" w:sz="4" w:space="0"/>
            </w:tcBorders>
            <w:vAlign w:val="center"/>
          </w:tcPr>
          <w:p w14:paraId="2C27C589">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right w:val="single" w:color="000000" w:sz="4" w:space="0"/>
            </w:tcBorders>
            <w:vAlign w:val="center"/>
          </w:tcPr>
          <w:p w14:paraId="6F69FB4A">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5D4C3E3D">
        <w:tblPrEx>
          <w:tblCellMar>
            <w:top w:w="0" w:type="dxa"/>
            <w:left w:w="108" w:type="dxa"/>
            <w:bottom w:w="0" w:type="dxa"/>
            <w:right w:w="108" w:type="dxa"/>
          </w:tblCellMar>
        </w:tblPrEx>
        <w:trPr>
          <w:trHeight w:val="988" w:hRule="atLeast"/>
        </w:trPr>
        <w:tc>
          <w:tcPr>
            <w:tcW w:w="565" w:type="dxa"/>
            <w:tcBorders>
              <w:left w:val="single" w:color="000000" w:sz="4" w:space="0"/>
              <w:bottom w:val="single" w:color="auto" w:sz="4" w:space="0"/>
              <w:right w:val="single" w:color="000000" w:sz="4" w:space="0"/>
            </w:tcBorders>
            <w:vAlign w:val="center"/>
          </w:tcPr>
          <w:p w14:paraId="06828CC2">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left w:val="single" w:color="000000" w:sz="4" w:space="0"/>
              <w:bottom w:val="single" w:color="auto" w:sz="4" w:space="0"/>
              <w:right w:val="single" w:color="000000" w:sz="4" w:space="0"/>
            </w:tcBorders>
            <w:vAlign w:val="center"/>
          </w:tcPr>
          <w:p w14:paraId="0B01A127">
            <w:pPr>
              <w:widowControl/>
              <w:spacing w:line="420" w:lineRule="exact"/>
              <w:jc w:val="center"/>
              <w:textAlignment w:val="center"/>
              <w:rPr>
                <w:rFonts w:ascii="仿宋" w:hAnsi="仿宋" w:eastAsia="仿宋" w:cs="仿宋"/>
                <w:b/>
                <w:bCs/>
                <w:kern w:val="0"/>
                <w:sz w:val="28"/>
                <w:szCs w:val="28"/>
                <w:highlight w:val="none"/>
              </w:rPr>
            </w:pPr>
          </w:p>
        </w:tc>
        <w:tc>
          <w:tcPr>
            <w:tcW w:w="772" w:type="dxa"/>
            <w:tcBorders>
              <w:top w:val="single" w:color="000000" w:sz="4" w:space="0"/>
              <w:left w:val="single" w:color="000000" w:sz="4" w:space="0"/>
              <w:bottom w:val="single" w:color="auto" w:sz="4" w:space="0"/>
              <w:right w:val="single" w:color="000000" w:sz="4" w:space="0"/>
            </w:tcBorders>
            <w:vAlign w:val="center"/>
          </w:tcPr>
          <w:p w14:paraId="32BE073F">
            <w:pPr>
              <w:spacing w:line="400" w:lineRule="exact"/>
              <w:jc w:val="left"/>
              <w:rPr>
                <w:rFonts w:ascii="宋体" w:hAnsi="宋体" w:cs="宋体"/>
                <w:b/>
                <w:bCs/>
                <w:highlight w:val="none"/>
              </w:rPr>
            </w:pPr>
            <w:r>
              <w:rPr>
                <w:rFonts w:hint="eastAsia" w:ascii="宋体" w:hAnsi="宋体" w:cs="宋体"/>
                <w:b/>
                <w:bCs/>
                <w:highlight w:val="none"/>
              </w:rPr>
              <w:t>1.5绿化养护技术服务要求</w:t>
            </w:r>
          </w:p>
          <w:p w14:paraId="5630E38D">
            <w:pPr>
              <w:widowControl/>
              <w:spacing w:line="420" w:lineRule="exact"/>
              <w:jc w:val="center"/>
              <w:textAlignment w:val="center"/>
              <w:rPr>
                <w:rFonts w:ascii="仿宋" w:hAnsi="仿宋" w:eastAsia="仿宋" w:cs="仿宋"/>
                <w:b/>
                <w:bCs/>
                <w:kern w:val="0"/>
                <w:sz w:val="28"/>
                <w:szCs w:val="28"/>
                <w:highlight w:val="none"/>
              </w:rPr>
            </w:pPr>
          </w:p>
        </w:tc>
        <w:tc>
          <w:tcPr>
            <w:tcW w:w="5542" w:type="dxa"/>
            <w:gridSpan w:val="2"/>
            <w:tcBorders>
              <w:top w:val="single" w:color="000000" w:sz="4" w:space="0"/>
              <w:left w:val="single" w:color="000000" w:sz="4" w:space="0"/>
              <w:bottom w:val="single" w:color="auto" w:sz="4" w:space="0"/>
              <w:right w:val="single" w:color="000000" w:sz="4" w:space="0"/>
            </w:tcBorders>
            <w:vAlign w:val="center"/>
          </w:tcPr>
          <w:p w14:paraId="6212A907">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成交人</w:t>
            </w:r>
            <w:r>
              <w:rPr>
                <w:rFonts w:hint="eastAsia" w:ascii="仿宋_GB2312" w:hAnsi="仿宋_GB2312" w:eastAsia="仿宋_GB2312" w:cs="仿宋_GB2312"/>
                <w:sz w:val="24"/>
                <w:szCs w:val="24"/>
                <w:highlight w:val="none"/>
              </w:rPr>
              <w:t>接到采购方反映的任何问题应立即响应，学校下达绿化任务，2小时内赶到现场实地解决问题；由原养护单位的景观工程在一周内签苗木移交表，苗木移交表包括苗木数量、冠幅、胸径等，采购方负责人、原养护单位负责人、成交方负责人三方共同签字确认，表格一式三份；每月需在校园内摆放不少于100盆观赏性花卉，按采购人要求摆放造型，用于节假日、大型活动及学校举办的各项活动；每月的付款材料均需提交人员打卡记录，人员打卡记录包括：姓名、性别、身份证号、年龄、工作时间、工作时间段；员工发生意外事故，均与采购方无关。</w:t>
            </w:r>
          </w:p>
          <w:p w14:paraId="267AAFF8">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bottom w:val="single" w:color="auto" w:sz="4" w:space="0"/>
              <w:right w:val="single" w:color="000000" w:sz="4" w:space="0"/>
            </w:tcBorders>
            <w:vAlign w:val="center"/>
          </w:tcPr>
          <w:p w14:paraId="752CBB21">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583" w:type="dxa"/>
            <w:vMerge w:val="continue"/>
            <w:tcBorders>
              <w:left w:val="single" w:color="000000" w:sz="4" w:space="0"/>
              <w:bottom w:val="single" w:color="auto" w:sz="4" w:space="0"/>
              <w:right w:val="single" w:color="000000" w:sz="4" w:space="0"/>
            </w:tcBorders>
            <w:vAlign w:val="center"/>
          </w:tcPr>
          <w:p w14:paraId="19BEAF53">
            <w:pPr>
              <w:widowControl/>
              <w:spacing w:line="420" w:lineRule="exact"/>
              <w:jc w:val="center"/>
              <w:textAlignment w:val="center"/>
              <w:rPr>
                <w:rFonts w:ascii="仿宋_GB2312" w:hAnsi="仿宋_GB2312" w:eastAsia="仿宋_GB2312" w:cs="仿宋_GB2312"/>
                <w:b/>
                <w:bCs/>
                <w:kern w:val="0"/>
                <w:sz w:val="24"/>
                <w:szCs w:val="24"/>
                <w:highlight w:val="none"/>
              </w:rPr>
            </w:pPr>
          </w:p>
        </w:tc>
        <w:tc>
          <w:tcPr>
            <w:tcW w:w="1483" w:type="dxa"/>
            <w:vMerge w:val="continue"/>
            <w:tcBorders>
              <w:left w:val="single" w:color="000000" w:sz="4" w:space="0"/>
              <w:bottom w:val="single" w:color="auto" w:sz="4" w:space="0"/>
              <w:right w:val="single" w:color="000000" w:sz="4" w:space="0"/>
            </w:tcBorders>
            <w:vAlign w:val="center"/>
          </w:tcPr>
          <w:p w14:paraId="050AE9B5">
            <w:pPr>
              <w:widowControl/>
              <w:spacing w:line="420" w:lineRule="exact"/>
              <w:jc w:val="center"/>
              <w:textAlignment w:val="center"/>
              <w:rPr>
                <w:rFonts w:ascii="仿宋_GB2312" w:hAnsi="仿宋_GB2312" w:eastAsia="仿宋_GB2312" w:cs="仿宋_GB2312"/>
                <w:b/>
                <w:bCs/>
                <w:kern w:val="0"/>
                <w:sz w:val="24"/>
                <w:szCs w:val="24"/>
                <w:highlight w:val="none"/>
              </w:rPr>
            </w:pPr>
          </w:p>
        </w:tc>
      </w:tr>
      <w:tr w14:paraId="05BE4EAA">
        <w:tblPrEx>
          <w:tblCellMar>
            <w:top w:w="0" w:type="dxa"/>
            <w:left w:w="108" w:type="dxa"/>
            <w:bottom w:w="0" w:type="dxa"/>
            <w:right w:w="108" w:type="dxa"/>
          </w:tblCellMar>
        </w:tblPrEx>
        <w:trPr>
          <w:trHeight w:val="988" w:hRule="atLeast"/>
        </w:trPr>
        <w:tc>
          <w:tcPr>
            <w:tcW w:w="10300" w:type="dxa"/>
            <w:gridSpan w:val="8"/>
            <w:tcBorders>
              <w:top w:val="single" w:color="auto" w:sz="4" w:space="0"/>
              <w:left w:val="single" w:color="auto" w:sz="4" w:space="0"/>
              <w:bottom w:val="single" w:color="auto" w:sz="4" w:space="0"/>
              <w:right w:val="single" w:color="auto" w:sz="4" w:space="0"/>
            </w:tcBorders>
            <w:vAlign w:val="center"/>
          </w:tcPr>
          <w:p w14:paraId="36F0FC16">
            <w:pPr>
              <w:widowControl/>
              <w:spacing w:line="420" w:lineRule="exact"/>
              <w:jc w:val="left"/>
              <w:textAlignment w:val="center"/>
              <w:rPr>
                <w:rFonts w:ascii="仿宋_GB2312" w:hAnsi="仿宋_GB2312" w:eastAsia="仿宋_GB2312" w:cs="仿宋_GB2312"/>
                <w:b/>
                <w:bCs/>
                <w:kern w:val="0"/>
                <w:sz w:val="24"/>
                <w:szCs w:val="24"/>
                <w:highlight w:val="none"/>
              </w:rPr>
            </w:pPr>
            <w:r>
              <w:rPr>
                <w:rStyle w:val="42"/>
                <w:rFonts w:hint="default"/>
                <w:b/>
                <w:bCs/>
                <w:sz w:val="28"/>
                <w:szCs w:val="28"/>
                <w:highlight w:val="none"/>
              </w:rPr>
              <w:t>金额合计：人民币陆拾万元整（¥</w:t>
            </w:r>
            <w:r>
              <w:rPr>
                <w:rFonts w:hint="eastAsia" w:ascii="宋体" w:hAnsi="宋体" w:cs="宋体"/>
                <w:color w:val="000000"/>
                <w:kern w:val="0"/>
                <w:sz w:val="28"/>
                <w:szCs w:val="28"/>
                <w:highlight w:val="none"/>
              </w:rPr>
              <w:t>600000.00</w:t>
            </w:r>
            <w:r>
              <w:rPr>
                <w:rStyle w:val="42"/>
                <w:rFonts w:hint="default"/>
                <w:b/>
                <w:bCs/>
                <w:sz w:val="28"/>
                <w:szCs w:val="28"/>
                <w:highlight w:val="none"/>
              </w:rPr>
              <w:t>）</w:t>
            </w:r>
          </w:p>
        </w:tc>
      </w:tr>
    </w:tbl>
    <w:p w14:paraId="6AB79401">
      <w:pPr>
        <w:rPr>
          <w:highlight w:val="none"/>
        </w:rPr>
      </w:pPr>
    </w:p>
    <w:p w14:paraId="301D290F">
      <w:pPr>
        <w:rPr>
          <w:highlight w:val="none"/>
        </w:rPr>
      </w:pPr>
    </w:p>
    <w:p w14:paraId="05F4BB28">
      <w:pPr>
        <w:rPr>
          <w:highlight w:val="none"/>
        </w:rPr>
      </w:pPr>
    </w:p>
    <w:p w14:paraId="2E20C073">
      <w:pPr>
        <w:rPr>
          <w:highlight w:val="none"/>
        </w:rPr>
      </w:pPr>
    </w:p>
    <w:p w14:paraId="2EE0258C">
      <w:pPr>
        <w:rPr>
          <w:highlight w:val="none"/>
        </w:rPr>
        <w:sectPr>
          <w:pgSz w:w="11906" w:h="16838"/>
          <w:pgMar w:top="567" w:right="567" w:bottom="567" w:left="567" w:header="851" w:footer="992" w:gutter="0"/>
          <w:cols w:space="425" w:num="1"/>
          <w:docGrid w:type="lines" w:linePitch="312" w:charSpace="0"/>
        </w:sectPr>
      </w:pPr>
      <w:r>
        <w:rPr>
          <w:highlight w:val="none"/>
        </w:rPr>
        <w:br w:type="page"/>
      </w:r>
    </w:p>
    <w:tbl>
      <w:tblPr>
        <w:tblStyle w:val="15"/>
        <w:tblpPr w:leftFromText="180" w:rightFromText="180" w:vertAnchor="text" w:horzAnchor="page" w:tblpX="602" w:tblpY="267"/>
        <w:tblOverlap w:val="never"/>
        <w:tblW w:w="10785" w:type="dxa"/>
        <w:tblInd w:w="0" w:type="dxa"/>
        <w:tblLayout w:type="autofit"/>
        <w:tblCellMar>
          <w:top w:w="0" w:type="dxa"/>
          <w:left w:w="0" w:type="dxa"/>
          <w:bottom w:w="0" w:type="dxa"/>
          <w:right w:w="0" w:type="dxa"/>
        </w:tblCellMar>
      </w:tblPr>
      <w:tblGrid>
        <w:gridCol w:w="2303"/>
        <w:gridCol w:w="8482"/>
      </w:tblGrid>
      <w:tr w14:paraId="5D30F2FF">
        <w:tblPrEx>
          <w:tblCellMar>
            <w:top w:w="0" w:type="dxa"/>
            <w:left w:w="0" w:type="dxa"/>
            <w:bottom w:w="0" w:type="dxa"/>
            <w:right w:w="0" w:type="dxa"/>
          </w:tblCellMar>
        </w:tblPrEx>
        <w:trPr>
          <w:trHeight w:val="555" w:hRule="atLeast"/>
        </w:trPr>
        <w:tc>
          <w:tcPr>
            <w:tcW w:w="10785" w:type="dxa"/>
            <w:gridSpan w:val="2"/>
            <w:tcBorders>
              <w:top w:val="single" w:color="000000" w:sz="4" w:space="0"/>
              <w:left w:val="single" w:color="000000" w:sz="4" w:space="0"/>
              <w:bottom w:val="single" w:color="000000" w:sz="4" w:space="0"/>
              <w:right w:val="single" w:color="000000" w:sz="4" w:space="0"/>
            </w:tcBorders>
            <w:vAlign w:val="center"/>
          </w:tcPr>
          <w:p w14:paraId="33240D06">
            <w:pPr>
              <w:widowControl/>
              <w:snapToGrid w:val="0"/>
              <w:spacing w:line="360" w:lineRule="auto"/>
              <w:ind w:left="105" w:leftChars="50"/>
              <w:textAlignment w:val="center"/>
              <w:rPr>
                <w:rFonts w:ascii="仿宋" w:hAnsi="仿宋" w:eastAsia="仿宋" w:cs="仿宋"/>
                <w:color w:val="000000"/>
                <w:kern w:val="0"/>
                <w:sz w:val="24"/>
                <w:highlight w:val="none"/>
              </w:rPr>
            </w:pPr>
            <w:r>
              <w:rPr>
                <w:rFonts w:hint="eastAsia" w:ascii="宋体" w:hAnsi="宋体" w:cs="宋体"/>
                <w:color w:val="000000"/>
                <w:sz w:val="28"/>
                <w:szCs w:val="28"/>
                <w:highlight w:val="none"/>
              </w:rPr>
              <w:t>★</w:t>
            </w:r>
            <w:r>
              <w:rPr>
                <w:rFonts w:hint="eastAsia" w:ascii="宋体" w:hAnsi="宋体" w:cs="宋体"/>
                <w:b/>
                <w:color w:val="000000"/>
                <w:sz w:val="28"/>
                <w:szCs w:val="28"/>
                <w:highlight w:val="none"/>
              </w:rPr>
              <w:t>二、</w:t>
            </w:r>
            <w:bookmarkStart w:id="4" w:name="商务要求"/>
            <w:r>
              <w:rPr>
                <w:rFonts w:hint="eastAsia" w:ascii="宋体" w:hAnsi="宋体" w:cs="宋体"/>
                <w:b/>
                <w:color w:val="000000"/>
                <w:sz w:val="28"/>
                <w:szCs w:val="28"/>
                <w:highlight w:val="none"/>
              </w:rPr>
              <w:t>商务要求</w:t>
            </w:r>
            <w:bookmarkEnd w:id="4"/>
          </w:p>
        </w:tc>
      </w:tr>
      <w:tr w14:paraId="0046304A">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tcPr>
          <w:p w14:paraId="17006A18">
            <w:pPr>
              <w:spacing w:line="360" w:lineRule="auto"/>
              <w:jc w:val="center"/>
              <w:rPr>
                <w:rFonts w:ascii="宋体" w:hAnsi="宋体" w:cs="宋体"/>
                <w:b/>
                <w:color w:val="000000"/>
                <w:sz w:val="28"/>
                <w:szCs w:val="28"/>
                <w:highlight w:val="none"/>
              </w:rPr>
            </w:pPr>
            <w:r>
              <w:rPr>
                <w:rFonts w:hint="eastAsia" w:ascii="宋体" w:hAnsi="宋体" w:cs="宋体"/>
                <w:b/>
                <w:bCs/>
                <w:highlight w:val="none"/>
              </w:rPr>
              <w:t>合同签订期</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7D0FA">
            <w:pPr>
              <w:widowControl/>
              <w:snapToGrid w:val="0"/>
              <w:spacing w:line="400" w:lineRule="exact"/>
              <w:ind w:right="105" w:rightChars="50"/>
              <w:textAlignment w:val="center"/>
              <w:rPr>
                <w:rFonts w:ascii="宋体" w:hAnsi="宋体" w:cs="宋体"/>
                <w:color w:val="000000"/>
                <w:kern w:val="0"/>
                <w:sz w:val="24"/>
                <w:szCs w:val="24"/>
                <w:highlight w:val="none"/>
              </w:rPr>
            </w:pPr>
            <w:r>
              <w:rPr>
                <w:rFonts w:hint="eastAsia" w:ascii="宋体" w:hAnsi="宋体" w:cs="宋体"/>
                <w:highlight w:val="none"/>
              </w:rPr>
              <w:t>自成交通知书发出之日起25日内。</w:t>
            </w:r>
          </w:p>
        </w:tc>
      </w:tr>
      <w:tr w14:paraId="6CDC725F">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tcPr>
          <w:p w14:paraId="4FD01422">
            <w:pPr>
              <w:spacing w:line="360" w:lineRule="auto"/>
              <w:jc w:val="center"/>
              <w:rPr>
                <w:rFonts w:hint="eastAsia" w:ascii="宋体" w:hAnsi="宋体" w:eastAsia="宋体" w:cs="宋体"/>
                <w:b/>
                <w:bCs/>
                <w:highlight w:val="none"/>
                <w:lang w:eastAsia="zh-CN"/>
              </w:rPr>
            </w:pPr>
            <w:r>
              <w:rPr>
                <w:rFonts w:hint="eastAsia" w:ascii="宋体" w:hAnsi="宋体" w:cs="宋体"/>
                <w:b/>
                <w:bCs/>
                <w:highlight w:val="none"/>
                <w:lang w:eastAsia="zh-CN"/>
              </w:rPr>
              <w:t>合同服务期</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333F3">
            <w:pPr>
              <w:widowControl/>
              <w:snapToGrid w:val="0"/>
              <w:spacing w:line="400" w:lineRule="exact"/>
              <w:ind w:right="105" w:rightChars="50"/>
              <w:textAlignment w:val="center"/>
              <w:rPr>
                <w:rFonts w:hint="eastAsia" w:ascii="宋体" w:hAnsi="宋体" w:eastAsia="宋体" w:cs="宋体"/>
                <w:highlight w:val="none"/>
                <w:lang w:eastAsia="zh-CN"/>
              </w:rPr>
            </w:pPr>
            <w:r>
              <w:rPr>
                <w:rFonts w:hint="eastAsia" w:ascii="宋体" w:hAnsi="宋体" w:cs="宋体"/>
                <w:highlight w:val="none"/>
                <w:lang w:eastAsia="zh-CN"/>
              </w:rPr>
              <w:t>自签订合同后一年。</w:t>
            </w:r>
          </w:p>
        </w:tc>
      </w:tr>
      <w:tr w14:paraId="26BF305A">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0151162D">
            <w:pPr>
              <w:widowControl/>
              <w:tabs>
                <w:tab w:val="left" w:pos="318"/>
              </w:tabs>
              <w:snapToGrid w:val="0"/>
              <w:spacing w:line="360" w:lineRule="auto"/>
              <w:ind w:left="105" w:leftChars="50" w:right="105" w:rightChars="50"/>
              <w:textAlignment w:val="center"/>
              <w:rPr>
                <w:rFonts w:ascii="宋体" w:hAnsi="宋体" w:cs="宋体"/>
                <w:b/>
                <w:color w:val="000000"/>
                <w:sz w:val="28"/>
                <w:szCs w:val="28"/>
                <w:highlight w:val="none"/>
              </w:rPr>
            </w:pPr>
            <w:r>
              <w:rPr>
                <w:rFonts w:hint="eastAsia" w:ascii="宋体" w:hAnsi="宋体" w:cs="宋体"/>
                <w:b/>
                <w:bCs/>
                <w:highlight w:val="none"/>
              </w:rPr>
              <w:t>绿化服务公司管理要求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C62CA">
            <w:pPr>
              <w:spacing w:line="400" w:lineRule="exact"/>
              <w:ind w:firstLine="420" w:firstLineChars="200"/>
              <w:jc w:val="left"/>
              <w:rPr>
                <w:rFonts w:ascii="宋体" w:hAnsi="宋体" w:cs="宋体"/>
                <w:highlight w:val="none"/>
              </w:rPr>
            </w:pPr>
            <w:r>
              <w:rPr>
                <w:rFonts w:hint="eastAsia" w:ascii="宋体" w:hAnsi="宋体" w:cs="宋体"/>
                <w:highlight w:val="none"/>
              </w:rPr>
              <w:t>（1）绿化服务公司必须服从学校管理，遵守学校有关管理制度，严格按照学校的要求提供管理服务，自觉接受学校相关管理部门的业务检查和监督，并接受服务对象（师生员工）的监督。制定有绿化养护实施方案、绿化养护服务管理方案、人员、物资配置、人员工资构成方案、应急服务方案等。</w:t>
            </w:r>
          </w:p>
          <w:p w14:paraId="5DEAAA98">
            <w:pPr>
              <w:spacing w:line="400" w:lineRule="exact"/>
              <w:ind w:firstLine="420" w:firstLineChars="200"/>
              <w:jc w:val="left"/>
              <w:rPr>
                <w:rFonts w:ascii="宋体" w:hAnsi="宋体" w:cs="宋体"/>
                <w:highlight w:val="none"/>
              </w:rPr>
            </w:pPr>
            <w:r>
              <w:rPr>
                <w:rFonts w:hint="eastAsia" w:ascii="宋体" w:hAnsi="宋体" w:cs="宋体"/>
                <w:highlight w:val="none"/>
              </w:rPr>
              <w:t>（2）绿化服务管理办公室需自行配置电脑、打印机等基本办公设备，保证日常工作需求。</w:t>
            </w:r>
          </w:p>
          <w:p w14:paraId="48921525">
            <w:pPr>
              <w:spacing w:line="400" w:lineRule="exact"/>
              <w:ind w:firstLine="420" w:firstLineChars="200"/>
              <w:jc w:val="left"/>
              <w:rPr>
                <w:rFonts w:ascii="宋体" w:hAnsi="宋体" w:cs="宋体"/>
                <w:highlight w:val="none"/>
              </w:rPr>
            </w:pPr>
            <w:r>
              <w:rPr>
                <w:rFonts w:hint="eastAsia" w:ascii="宋体" w:hAnsi="宋体" w:cs="宋体"/>
                <w:highlight w:val="none"/>
              </w:rPr>
              <w:t>（3）绿化服务公司的管理和服务工作人员必须经过上岗前培训（包括思想道德、法制、安全、礼仪、工作技能、管理制度、服务意识等教育），培训合格率达100%，并持有政府有关部门或行业管理部门核发的有效上岗证和资格证，而且必须符合国家有关劳动用工的法律法规。上班时必须佩戴工卡、穿统一制服，并注意文明礼貌。</w:t>
            </w:r>
          </w:p>
          <w:p w14:paraId="2CA4B8C1">
            <w:pPr>
              <w:spacing w:line="400" w:lineRule="exact"/>
              <w:ind w:firstLine="420" w:firstLineChars="200"/>
              <w:jc w:val="left"/>
              <w:rPr>
                <w:rFonts w:ascii="宋体" w:hAnsi="宋体" w:cs="宋体"/>
                <w:highlight w:val="none"/>
              </w:rPr>
            </w:pPr>
            <w:r>
              <w:rPr>
                <w:rFonts w:hint="eastAsia" w:ascii="宋体" w:hAnsi="宋体" w:cs="宋体"/>
                <w:highlight w:val="none"/>
              </w:rPr>
              <w:t>（4）总公司副总级别以上管理人员每月应至少1次驻校现场办公，对绿化服务管理工作开展业务调研、监控、指导，确保校园绿化养护管理平稳有序运行。如未能落实执行，按绿化服务工作评价办法进行相应扣分。</w:t>
            </w:r>
          </w:p>
          <w:p w14:paraId="63EEE53C">
            <w:pPr>
              <w:spacing w:line="400" w:lineRule="exact"/>
              <w:ind w:firstLine="420" w:firstLineChars="200"/>
              <w:jc w:val="left"/>
              <w:rPr>
                <w:rFonts w:ascii="宋体" w:hAnsi="宋体" w:cs="宋体"/>
                <w:highlight w:val="none"/>
              </w:rPr>
            </w:pPr>
            <w:r>
              <w:rPr>
                <w:rFonts w:hint="eastAsia" w:ascii="宋体" w:hAnsi="宋体" w:cs="宋体"/>
                <w:highlight w:val="none"/>
              </w:rPr>
              <w:t>（5）绿化服务公司在提供管理服务时必须做好各项安全防范措施，公司所有工作人员在合约期间如发生任何人身意外（生病、伤亡事故）、事故或触犯法律法规（包括劳动用工制度、发生劳资纠纷、我校的校规校纪等），由绿化服务公司负完全责任。</w:t>
            </w:r>
          </w:p>
          <w:p w14:paraId="21B7C10F">
            <w:pPr>
              <w:spacing w:line="400" w:lineRule="exact"/>
              <w:ind w:firstLine="420" w:firstLineChars="200"/>
              <w:jc w:val="left"/>
              <w:rPr>
                <w:rFonts w:ascii="宋体" w:hAnsi="宋体" w:cs="宋体"/>
                <w:highlight w:val="none"/>
              </w:rPr>
            </w:pPr>
            <w:r>
              <w:rPr>
                <w:rFonts w:hint="eastAsia" w:ascii="宋体" w:hAnsi="宋体" w:cs="宋体"/>
                <w:highlight w:val="none"/>
              </w:rPr>
              <w:t>（6）公司在履约期间,如因管理失职发生财物被盗或发生安全事故导致校方损失，或导致师生及其他第三者受到伤害的，由绿化服务公司承担相应的法律和经济责任。</w:t>
            </w:r>
          </w:p>
          <w:p w14:paraId="057C20CA">
            <w:pPr>
              <w:spacing w:line="400" w:lineRule="exact"/>
              <w:ind w:firstLine="420" w:firstLineChars="200"/>
              <w:jc w:val="left"/>
              <w:rPr>
                <w:rFonts w:ascii="宋体" w:hAnsi="宋体" w:cs="宋体"/>
                <w:highlight w:val="none"/>
              </w:rPr>
            </w:pPr>
            <w:r>
              <w:rPr>
                <w:rFonts w:hint="eastAsia" w:ascii="宋体" w:hAnsi="宋体" w:cs="宋体"/>
                <w:highlight w:val="none"/>
              </w:rPr>
              <w:t>（7）因公司管理不善，导致不能按合同条款完成工作要求，造成集体罢工或其他群体性事件等严重后果，绿化养护服务公司亦不能在3个工作日内解决问题的，甲方有权直接终止合同。</w:t>
            </w:r>
          </w:p>
          <w:p w14:paraId="5B3DA10C">
            <w:pPr>
              <w:pStyle w:val="25"/>
              <w:spacing w:line="400" w:lineRule="exact"/>
              <w:jc w:val="left"/>
              <w:rPr>
                <w:rFonts w:ascii="宋体" w:hAnsi="宋体" w:cs="宋体"/>
                <w:color w:val="000000"/>
                <w:sz w:val="24"/>
                <w:highlight w:val="none"/>
              </w:rPr>
            </w:pPr>
          </w:p>
        </w:tc>
      </w:tr>
      <w:tr w14:paraId="2DA6FA18">
        <w:tblPrEx>
          <w:tblCellMar>
            <w:top w:w="0" w:type="dxa"/>
            <w:left w:w="0" w:type="dxa"/>
            <w:bottom w:w="0" w:type="dxa"/>
            <w:right w:w="0" w:type="dxa"/>
          </w:tblCellMar>
        </w:tblPrEx>
        <w:trPr>
          <w:trHeight w:val="565"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04CB4B00">
            <w:pPr>
              <w:keepNext w:val="0"/>
              <w:keepLines w:val="0"/>
              <w:widowControl/>
              <w:snapToGrid/>
              <w:spacing w:before="0" w:after="0" w:line="400" w:lineRule="exact"/>
              <w:ind w:left="0" w:leftChars="0" w:right="0" w:rightChars="0"/>
              <w:jc w:val="left"/>
              <w:textAlignment w:val="auto"/>
              <w:rPr>
                <w:rFonts w:ascii="宋体" w:hAnsi="宋体" w:cs="宋体" w:eastAsiaTheme="majorEastAsia"/>
                <w:b/>
                <w:bCs/>
                <w:color w:val="000000"/>
                <w:sz w:val="28"/>
                <w:szCs w:val="28"/>
                <w:highlight w:val="none"/>
              </w:rPr>
            </w:pPr>
            <w:r>
              <w:rPr>
                <w:rFonts w:hint="eastAsia" w:ascii="宋体" w:hAnsi="宋体" w:cs="宋体"/>
                <w:b/>
                <w:bCs/>
                <w:color w:val="auto"/>
                <w:sz w:val="21"/>
                <w:szCs w:val="21"/>
                <w:highlight w:val="none"/>
              </w:rPr>
              <w:t>竞标人信誉及管理经验要求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F0F0F">
            <w:pPr>
              <w:keepNext w:val="0"/>
              <w:keepLines w:val="0"/>
              <w:spacing w:before="0" w:after="0" w:line="400" w:lineRule="exact"/>
              <w:ind w:firstLine="420" w:firstLineChars="200"/>
              <w:jc w:val="left"/>
              <w:rPr>
                <w:rFonts w:ascii="宋体" w:hAnsi="宋体" w:eastAsia="宋体" w:cs="宋体"/>
                <w:b w:val="0"/>
                <w:bCs w:val="0"/>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1）竞标人通过质量管理体系认证、环境管理体系认证、职业健康安全管理体系认证，认证证书要求在有效期内。（注：须提供相关有效认证证书原件扫描件及国家市场监督管理局全国认证认可信息公共服务平台查询截图并加盖投标人公章。）</w:t>
            </w:r>
          </w:p>
          <w:p w14:paraId="76F22252">
            <w:pPr>
              <w:keepNext w:val="0"/>
              <w:keepLines w:val="0"/>
              <w:spacing w:before="0" w:after="0" w:line="400" w:lineRule="exact"/>
              <w:ind w:firstLine="420" w:firstLineChars="200"/>
              <w:jc w:val="left"/>
              <w:rPr>
                <w:rFonts w:ascii="宋体" w:hAnsi="宋体" w:eastAsia="宋体" w:cs="宋体"/>
                <w:b w:val="0"/>
                <w:bCs w:val="0"/>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2）竞标人至少具备</w:t>
            </w:r>
            <w:r>
              <w:rPr>
                <w:rFonts w:ascii="宋体" w:hAnsi="宋体" w:cs="宋体"/>
                <w:highlight w:val="none"/>
              </w:rPr>
              <w:t>3</w:t>
            </w:r>
            <w:r>
              <w:rPr>
                <w:rFonts w:hint="eastAsia" w:ascii="宋体" w:hAnsi="宋体" w:cs="宋体"/>
                <w:sz w:val="21"/>
                <w:szCs w:val="21"/>
                <w:highlight w:val="none"/>
              </w:rPr>
              <w:t>个以上</w:t>
            </w:r>
            <w:r>
              <w:rPr>
                <w:rFonts w:ascii="宋体" w:hAnsi="宋体" w:cs="宋体"/>
                <w:sz w:val="21"/>
                <w:szCs w:val="21"/>
                <w:highlight w:val="none"/>
              </w:rPr>
              <w:t>2023年以来承接的同类物业服务项目业绩（同类指非住宅类单项绿化服务业绩或包含绿化服务内容的物业服务业绩）。【注：须提供合同或中标（成交）通知书扫描件，中标后原件备查。合同须提供合同关键页（含签订合同双方的单位名称、项目名称、服务内容、合同签订时间、双方的落款盖章等关键内容。）同一项目多次中标不可重复计数。】</w:t>
            </w:r>
          </w:p>
          <w:p w14:paraId="09819E7B">
            <w:pPr>
              <w:keepNext w:val="0"/>
              <w:keepLines w:val="0"/>
              <w:spacing w:before="0" w:after="0" w:line="400" w:lineRule="exact"/>
              <w:ind w:firstLine="420" w:firstLineChars="200"/>
              <w:jc w:val="left"/>
              <w:rPr>
                <w:rFonts w:ascii="宋体" w:hAnsi="宋体" w:cs="宋体" w:eastAsiaTheme="majorEastAsia"/>
                <w:b/>
                <w:bCs/>
                <w:sz w:val="24"/>
                <w:szCs w:val="24"/>
                <w:highlight w:val="none"/>
              </w:rPr>
            </w:pPr>
            <w:r>
              <w:rPr>
                <w:rFonts w:hint="eastAsia" w:ascii="宋体" w:hAnsi="宋体" w:cs="宋体"/>
                <w:sz w:val="21"/>
                <w:szCs w:val="21"/>
                <w:highlight w:val="none"/>
              </w:rPr>
              <w:t>（</w:t>
            </w:r>
            <w:r>
              <w:rPr>
                <w:rFonts w:ascii="宋体" w:hAnsi="宋体" w:cs="宋体"/>
                <w:sz w:val="21"/>
                <w:szCs w:val="21"/>
                <w:highlight w:val="none"/>
              </w:rPr>
              <w:t>3）竞标人为了提升绿化服务管理水平以及服务质量，至少</w:t>
            </w:r>
            <w:r>
              <w:rPr>
                <w:rFonts w:hint="eastAsia" w:ascii="宋体" w:hAnsi="宋体" w:cs="宋体"/>
                <w:sz w:val="21"/>
                <w:szCs w:val="21"/>
                <w:highlight w:val="none"/>
              </w:rPr>
              <w:t>投入一项智能绿化管理系统。（须提供相关证明材料）</w:t>
            </w:r>
          </w:p>
        </w:tc>
      </w:tr>
      <w:tr w14:paraId="1EB525F8">
        <w:tblPrEx>
          <w:tblCellMar>
            <w:top w:w="0" w:type="dxa"/>
            <w:left w:w="0" w:type="dxa"/>
            <w:bottom w:w="0" w:type="dxa"/>
            <w:right w:w="0" w:type="dxa"/>
          </w:tblCellMar>
        </w:tblPrEx>
        <w:trPr>
          <w:trHeight w:val="565"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68212A71">
            <w:pPr>
              <w:spacing w:line="400" w:lineRule="exact"/>
              <w:jc w:val="left"/>
              <w:rPr>
                <w:rFonts w:ascii="宋体" w:hAnsi="宋体" w:cs="宋体"/>
                <w:b/>
                <w:bCs/>
                <w:highlight w:val="none"/>
              </w:rPr>
            </w:pPr>
            <w:r>
              <w:rPr>
                <w:rFonts w:hint="eastAsia" w:ascii="宋体" w:hAnsi="宋体" w:cs="宋体"/>
                <w:b/>
                <w:bCs/>
                <w:highlight w:val="none"/>
              </w:rPr>
              <w:t>人员配备及进驻要求</w:t>
            </w:r>
          </w:p>
          <w:p w14:paraId="5EE5B43E">
            <w:pPr>
              <w:widowControl/>
              <w:tabs>
                <w:tab w:val="left" w:pos="318"/>
              </w:tabs>
              <w:snapToGrid w:val="0"/>
              <w:spacing w:line="360" w:lineRule="auto"/>
              <w:ind w:left="105" w:leftChars="50" w:right="105" w:rightChars="50"/>
              <w:jc w:val="center"/>
              <w:textAlignment w:val="center"/>
              <w:rPr>
                <w:rFonts w:ascii="宋体" w:hAnsi="宋体" w:cs="宋体"/>
                <w:b/>
                <w:color w:val="00000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04935">
            <w:pPr>
              <w:spacing w:line="400" w:lineRule="exact"/>
              <w:ind w:firstLine="420" w:firstLineChars="200"/>
              <w:jc w:val="left"/>
              <w:rPr>
                <w:rFonts w:ascii="宋体" w:hAnsi="宋体" w:cs="宋体"/>
                <w:highlight w:val="none"/>
              </w:rPr>
            </w:pPr>
            <w:r>
              <w:rPr>
                <w:rFonts w:hint="eastAsia" w:ascii="宋体" w:hAnsi="宋体" w:cs="宋体"/>
                <w:highlight w:val="none"/>
              </w:rPr>
              <w:t>（1）绿化服务公司必须按照国家有关法律规定，与员工签订劳动协议；并依据国家、广西和项目所在地有关最低工资标准的规定以及缴纳各种社会保险的规定要求，向员工支付工资和缴纳社保及其他保险。在投标时必须按该条款要求，充分考虑“人员配置要求”中各类人员的工资、福利、社保及其他应缴保险。</w:t>
            </w:r>
            <w:bookmarkStart w:id="37" w:name="_GoBack"/>
            <w:bookmarkEnd w:id="37"/>
            <w:r>
              <w:rPr>
                <w:rFonts w:hint="eastAsia" w:ascii="宋体" w:hAnsi="宋体" w:cs="宋体"/>
                <w:highlight w:val="none"/>
              </w:rPr>
              <w:t>如未按有关最低工资标准规定支付工资以及缴纳各种社会保险的，学校有权纠正。发生的劳资纠纷由中标单位负责。</w:t>
            </w:r>
          </w:p>
          <w:p w14:paraId="45235870">
            <w:pPr>
              <w:spacing w:line="400" w:lineRule="exact"/>
              <w:ind w:firstLine="420" w:firstLineChars="200"/>
              <w:jc w:val="left"/>
              <w:rPr>
                <w:rFonts w:ascii="宋体" w:hAnsi="宋体" w:cs="宋体"/>
                <w:highlight w:val="none"/>
              </w:rPr>
            </w:pPr>
            <w:r>
              <w:rPr>
                <w:rFonts w:hint="eastAsia" w:ascii="宋体" w:hAnsi="宋体" w:cs="宋体"/>
                <w:highlight w:val="none"/>
              </w:rPr>
              <w:t>（2）为避免产生工作脱节，影响校方正常教学和师生生活服务秩序，绿化服务公司在中标公告发布后3个工作日内，须派各部门业务骨干进驻本项目物业(进驻时间由学校决定)，协助原在管物业公司开展项目移交前后的绿化服务服务工作，派驻人数不得少于投标总服务人员数量的4/5，且在协议生效之前由此所产生的管理服务费由中标公司承担。</w:t>
            </w:r>
          </w:p>
          <w:p w14:paraId="0FAE43AE">
            <w:pPr>
              <w:spacing w:line="400" w:lineRule="exact"/>
              <w:ind w:firstLine="420" w:firstLineChars="200"/>
              <w:jc w:val="left"/>
              <w:rPr>
                <w:rFonts w:ascii="宋体" w:hAnsi="宋体" w:cs="宋体"/>
                <w:highlight w:val="none"/>
              </w:rPr>
            </w:pPr>
            <w:r>
              <w:rPr>
                <w:rFonts w:hint="eastAsia" w:ascii="宋体" w:hAnsi="宋体" w:cs="宋体"/>
                <w:highlight w:val="none"/>
              </w:rPr>
              <w:t>（3）绿化服务公司需根据学校校本部的实际情况，配置符合岗位需求的一线工作人员，并根据实际工作情况，自行配备项目管理团队。</w:t>
            </w:r>
          </w:p>
          <w:p w14:paraId="266F15D3">
            <w:pPr>
              <w:spacing w:line="400" w:lineRule="exact"/>
              <w:jc w:val="left"/>
              <w:rPr>
                <w:rFonts w:ascii="宋体" w:hAnsi="宋体" w:cs="宋体"/>
                <w:sz w:val="24"/>
                <w:szCs w:val="24"/>
                <w:highlight w:val="none"/>
              </w:rPr>
            </w:pPr>
          </w:p>
          <w:p w14:paraId="6429AD2C">
            <w:pPr>
              <w:spacing w:line="400" w:lineRule="exact"/>
              <w:jc w:val="left"/>
              <w:rPr>
                <w:rFonts w:ascii="宋体" w:hAnsi="宋体" w:cs="宋体"/>
                <w:sz w:val="24"/>
                <w:szCs w:val="24"/>
                <w:highlight w:val="none"/>
              </w:rPr>
            </w:pPr>
          </w:p>
        </w:tc>
      </w:tr>
      <w:tr w14:paraId="5AD54045">
        <w:tblPrEx>
          <w:tblCellMar>
            <w:top w:w="0" w:type="dxa"/>
            <w:left w:w="0" w:type="dxa"/>
            <w:bottom w:w="0" w:type="dxa"/>
            <w:right w:w="0" w:type="dxa"/>
          </w:tblCellMar>
        </w:tblPrEx>
        <w:trPr>
          <w:trHeight w:val="3102"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25FC43D1">
            <w:pPr>
              <w:spacing w:line="400" w:lineRule="exact"/>
              <w:jc w:val="left"/>
              <w:rPr>
                <w:rFonts w:ascii="宋体" w:hAnsi="宋体" w:cs="宋体"/>
                <w:b/>
                <w:bCs/>
                <w:highlight w:val="none"/>
              </w:rPr>
            </w:pPr>
            <w:r>
              <w:rPr>
                <w:rFonts w:hint="eastAsia" w:ascii="宋体" w:hAnsi="宋体" w:cs="宋体"/>
                <w:b/>
                <w:bCs/>
                <w:highlight w:val="none"/>
              </w:rPr>
              <w:t>费用计算及付款方式</w:t>
            </w:r>
            <w:bookmarkStart w:id="5" w:name="分标5付款方式"/>
            <w:bookmarkEnd w:id="5"/>
          </w:p>
          <w:p w14:paraId="588893EE">
            <w:pPr>
              <w:widowControl/>
              <w:snapToGrid w:val="0"/>
              <w:spacing w:line="360" w:lineRule="auto"/>
              <w:ind w:left="105" w:leftChars="50" w:right="105" w:rightChars="50"/>
              <w:jc w:val="center"/>
              <w:textAlignment w:val="center"/>
              <w:rPr>
                <w:rFonts w:ascii="宋体" w:hAnsi="宋体" w:cs="宋体"/>
                <w:b/>
                <w:color w:val="000000"/>
                <w:kern w:val="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012D1">
            <w:pPr>
              <w:spacing w:line="400" w:lineRule="exact"/>
              <w:ind w:firstLine="420" w:firstLineChars="200"/>
              <w:jc w:val="left"/>
              <w:rPr>
                <w:rFonts w:ascii="宋体" w:hAnsi="宋体" w:cs="宋体"/>
                <w:highlight w:val="none"/>
              </w:rPr>
            </w:pPr>
            <w:r>
              <w:rPr>
                <w:rFonts w:hint="eastAsia" w:ascii="宋体" w:hAnsi="宋体" w:cs="宋体"/>
                <w:highlight w:val="none"/>
              </w:rPr>
              <w:t>（1）本项目付款方式为：甲方按每月支付物业服务费。项目预付款为合同价款的10%， 在合同生效以及乙方提供管理服务后15 日内支付。由甲方在下个月5号前向乙方支付当月款项的100%(每月款项按实际投入人员数量乘以所在岗位服务费，扣除预付款后的十二分之一进行结算)，乙方因违约而应被扣除的部分直接在当月支付款项中扣除，物业管理费转账至乙方指定银行账户。乙方应在在甲方支付每笔款项前5个工作日内开具等额有效发票给甲方，若乙方未按时开票甲方有权顺延付款时间。</w:t>
            </w:r>
          </w:p>
          <w:p w14:paraId="6BBF63AC">
            <w:pPr>
              <w:spacing w:line="400" w:lineRule="exact"/>
              <w:ind w:firstLine="420" w:firstLineChars="200"/>
              <w:jc w:val="left"/>
              <w:rPr>
                <w:rFonts w:ascii="宋体" w:hAnsi="宋体" w:cs="宋体"/>
                <w:highlight w:val="none"/>
              </w:rPr>
            </w:pPr>
            <w:r>
              <w:rPr>
                <w:rFonts w:hint="eastAsia" w:ascii="宋体" w:hAnsi="宋体" w:cs="宋体"/>
                <w:highlight w:val="none"/>
              </w:rPr>
              <w:t>如因甲方办学实际情况，岗位需要减少的(甲方提前3个月告知)，乙方需要配合甲方减少相应人员，结算时根据人员所在岗位服务费报价，按实际投入人员数量乘以所在岗位服务费进行结算。</w:t>
            </w:r>
          </w:p>
          <w:p w14:paraId="61505A3B">
            <w:pPr>
              <w:spacing w:line="400" w:lineRule="exact"/>
              <w:ind w:firstLine="420" w:firstLineChars="200"/>
              <w:jc w:val="left"/>
              <w:rPr>
                <w:rFonts w:ascii="宋体" w:hAnsi="宋体" w:cs="宋体"/>
                <w:highlight w:val="none"/>
              </w:rPr>
            </w:pPr>
            <w:r>
              <w:rPr>
                <w:rFonts w:hint="eastAsia" w:ascii="宋体" w:hAnsi="宋体" w:cs="宋体"/>
                <w:highlight w:val="none"/>
              </w:rPr>
              <w:t>（2）采购人按合同约定和对</w:t>
            </w:r>
            <w:r>
              <w:rPr>
                <w:rFonts w:hint="eastAsia" w:ascii="宋体" w:hAnsi="宋体" w:cs="宋体"/>
                <w:highlight w:val="none"/>
                <w:lang w:eastAsia="zh-CN"/>
              </w:rPr>
              <w:t>成交人</w:t>
            </w:r>
            <w:r>
              <w:rPr>
                <w:rFonts w:hint="eastAsia" w:ascii="宋体" w:hAnsi="宋体" w:cs="宋体"/>
                <w:highlight w:val="none"/>
              </w:rPr>
              <w:t>工作进行考核，并按考核结果计算并支付当月费用（如当月考核有处罚扣款事项，则经采购人确认后扣除管护服务费后支付）。</w:t>
            </w:r>
          </w:p>
          <w:p w14:paraId="3026958F">
            <w:pPr>
              <w:spacing w:line="400" w:lineRule="exact"/>
              <w:ind w:firstLine="420" w:firstLineChars="200"/>
              <w:jc w:val="left"/>
              <w:rPr>
                <w:rFonts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成交人</w:t>
            </w:r>
            <w:r>
              <w:rPr>
                <w:rFonts w:hint="eastAsia" w:ascii="宋体" w:hAnsi="宋体" w:cs="宋体"/>
                <w:highlight w:val="none"/>
              </w:rPr>
              <w:t>必须给投入本项目的所有人员购买社会和人身意外保险，若未购买保险而发生安全生产责任事故的由</w:t>
            </w:r>
            <w:r>
              <w:rPr>
                <w:rFonts w:hint="eastAsia" w:ascii="宋体" w:hAnsi="宋体" w:cs="宋体"/>
                <w:highlight w:val="none"/>
                <w:lang w:eastAsia="zh-CN"/>
              </w:rPr>
              <w:t>成交人</w:t>
            </w:r>
            <w:r>
              <w:rPr>
                <w:rFonts w:hint="eastAsia" w:ascii="宋体" w:hAnsi="宋体" w:cs="宋体"/>
                <w:highlight w:val="none"/>
              </w:rPr>
              <w:t>承担全部责任，采购人可视情节轻重解除合同。</w:t>
            </w:r>
          </w:p>
          <w:p w14:paraId="1F766281">
            <w:pPr>
              <w:spacing w:line="400" w:lineRule="exact"/>
              <w:ind w:firstLine="420" w:firstLineChars="200"/>
              <w:jc w:val="left"/>
              <w:rPr>
                <w:rFonts w:ascii="宋体" w:hAnsi="宋体" w:cs="宋体"/>
                <w:highlight w:val="none"/>
              </w:rPr>
            </w:pPr>
            <w:r>
              <w:rPr>
                <w:rFonts w:hint="eastAsia" w:ascii="宋体" w:hAnsi="宋体" w:cs="宋体"/>
                <w:highlight w:val="none"/>
              </w:rPr>
              <w:t>（4）本项目投标人按总价包干形式进行报价，投标总报价对本项目《采购文件》所确定的全部工作内容包干价，应包含以下费用：服务期 (含法定节假日) 所有的管护人员的工资、福利费、社会保障费、加班费、服装、保险等因管护不利造成的苗木补栽、 政策性文件及合同包含风险等一切费用。报价若有遗漏，均应免费提供。</w:t>
            </w:r>
          </w:p>
          <w:p w14:paraId="5139FABE">
            <w:pPr>
              <w:spacing w:line="400" w:lineRule="exact"/>
              <w:ind w:firstLine="420" w:firstLineChars="200"/>
              <w:jc w:val="left"/>
              <w:rPr>
                <w:rFonts w:ascii="宋体" w:hAnsi="宋体" w:cs="宋体"/>
                <w:highlight w:val="none"/>
              </w:rPr>
            </w:pPr>
            <w:r>
              <w:rPr>
                <w:rFonts w:hint="eastAsia" w:ascii="宋体" w:hAnsi="宋体" w:cs="宋体"/>
                <w:highlight w:val="none"/>
              </w:rPr>
              <w:t>（5）本项目采购预算金额（采购控制价）：陆拾万元整 (￥600000.00)，供应商磋商总报价超出采购预算金额（采购控制价）的，投标文件作无效处理。</w:t>
            </w:r>
          </w:p>
          <w:p w14:paraId="627AAF20">
            <w:pPr>
              <w:pStyle w:val="2"/>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6）本项目拒绝恶意低价竞标，竞标人的各项服务成本支出无明显低于国家标准，须与项目实际需求契合，项目经费测算能够考虑到服务期间人力和相关物价波动；须提供成本测算明细表。如竞标人报价明显低于市场价格，作无效处理。</w:t>
            </w:r>
          </w:p>
          <w:p w14:paraId="7948FA4E">
            <w:pPr>
              <w:pStyle w:val="25"/>
              <w:spacing w:line="400" w:lineRule="exact"/>
              <w:ind w:firstLine="480" w:firstLineChars="200"/>
              <w:jc w:val="left"/>
              <w:rPr>
                <w:rFonts w:ascii="宋体" w:hAnsi="宋体" w:cs="宋体"/>
                <w:color w:val="000000"/>
                <w:sz w:val="24"/>
                <w:highlight w:val="none"/>
              </w:rPr>
            </w:pPr>
          </w:p>
        </w:tc>
      </w:tr>
      <w:tr w14:paraId="0BB5EAD9">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688E141F">
            <w:pPr>
              <w:tabs>
                <w:tab w:val="left" w:pos="132"/>
              </w:tabs>
              <w:snapToGrid w:val="0"/>
              <w:spacing w:line="360" w:lineRule="auto"/>
              <w:ind w:left="157" w:leftChars="50" w:hanging="52"/>
              <w:jc w:val="center"/>
              <w:rPr>
                <w:rFonts w:ascii="宋体" w:hAnsi="宋体" w:cs="宋体"/>
                <w:b/>
                <w:color w:val="000000"/>
                <w:kern w:val="0"/>
                <w:sz w:val="28"/>
                <w:szCs w:val="28"/>
                <w:highlight w:val="none"/>
              </w:rPr>
            </w:pPr>
            <w:r>
              <w:rPr>
                <w:rFonts w:hint="eastAsia" w:ascii="宋体" w:hAnsi="宋体" w:cs="宋体"/>
                <w:b/>
                <w:bCs/>
                <w:highlight w:val="none"/>
              </w:rPr>
              <w:t>履约保证金</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27F03">
            <w:pPr>
              <w:spacing w:line="400" w:lineRule="exact"/>
              <w:ind w:firstLine="420" w:firstLineChars="200"/>
              <w:jc w:val="left"/>
              <w:rPr>
                <w:rFonts w:ascii="宋体" w:hAnsi="宋体" w:cs="宋体"/>
                <w:highlight w:val="none"/>
              </w:rPr>
            </w:pPr>
            <w:r>
              <w:rPr>
                <w:rFonts w:hint="eastAsia" w:ascii="宋体" w:hAnsi="宋体" w:cs="宋体"/>
                <w:highlight w:val="none"/>
              </w:rPr>
              <w:t>签订合同前乙方向甲方支付合同金额5%的履约保证金（对中小企业按2%收取），履约保证金在合同期内乙方提供服务符合合同约定，经验收合格，期满后乙方向甲方办理退付手续，甲方将在收到完整且合格的退付申请资料后十五个工作日内以转账或电汇方式无息退还乙方。</w:t>
            </w:r>
          </w:p>
          <w:p w14:paraId="3E606364">
            <w:pPr>
              <w:pStyle w:val="25"/>
              <w:spacing w:line="400" w:lineRule="exact"/>
              <w:ind w:firstLine="480" w:firstLineChars="200"/>
              <w:jc w:val="left"/>
              <w:rPr>
                <w:rFonts w:ascii="宋体" w:hAnsi="宋体" w:cs="宋体"/>
                <w:color w:val="000000"/>
                <w:sz w:val="24"/>
                <w:highlight w:val="none"/>
                <w:shd w:val="clear" w:color="auto" w:fill="FFFFFF"/>
              </w:rPr>
            </w:pPr>
          </w:p>
        </w:tc>
      </w:tr>
      <w:tr w14:paraId="06CABC94">
        <w:tblPrEx>
          <w:tblCellMar>
            <w:top w:w="0" w:type="dxa"/>
            <w:left w:w="0" w:type="dxa"/>
            <w:bottom w:w="0" w:type="dxa"/>
            <w:right w:w="0" w:type="dxa"/>
          </w:tblCellMar>
        </w:tblPrEx>
        <w:trPr>
          <w:trHeight w:val="2192" w:hRule="atLeast"/>
        </w:trPr>
        <w:tc>
          <w:tcPr>
            <w:tcW w:w="2303" w:type="dxa"/>
            <w:tcBorders>
              <w:top w:val="single" w:color="000000" w:sz="4" w:space="0"/>
              <w:left w:val="single" w:color="000000" w:sz="4" w:space="0"/>
              <w:bottom w:val="single" w:color="000000" w:sz="4" w:space="0"/>
              <w:right w:val="single" w:color="000000" w:sz="4" w:space="0"/>
            </w:tcBorders>
            <w:vAlign w:val="center"/>
          </w:tcPr>
          <w:p w14:paraId="7C546147">
            <w:pPr>
              <w:spacing w:line="400" w:lineRule="exact"/>
              <w:ind w:firstLine="422" w:firstLineChars="200"/>
              <w:rPr>
                <w:rFonts w:ascii="宋体" w:hAnsi="宋体" w:cs="宋体"/>
                <w:b/>
                <w:bCs/>
                <w:highlight w:val="none"/>
              </w:rPr>
            </w:pPr>
            <w:r>
              <w:rPr>
                <w:rFonts w:ascii="宋体" w:hAnsi="宋体" w:cs="宋体"/>
                <w:b/>
                <w:bCs/>
                <w:highlight w:val="none"/>
              </w:rPr>
              <w:t>其他要求</w:t>
            </w:r>
          </w:p>
          <w:p w14:paraId="24A558D0">
            <w:pPr>
              <w:widowControl/>
              <w:snapToGrid w:val="0"/>
              <w:spacing w:line="360" w:lineRule="auto"/>
              <w:ind w:left="105" w:leftChars="50"/>
              <w:jc w:val="center"/>
              <w:textAlignment w:val="center"/>
              <w:rPr>
                <w:rFonts w:ascii="宋体" w:hAnsi="宋体" w:cs="宋体"/>
                <w:b/>
                <w:color w:val="000000"/>
                <w:kern w:val="0"/>
                <w:sz w:val="28"/>
                <w:szCs w:val="28"/>
                <w:highlight w:val="none"/>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BBEF7">
            <w:pPr>
              <w:spacing w:line="400" w:lineRule="exact"/>
              <w:ind w:firstLine="420" w:firstLineChars="200"/>
              <w:rPr>
                <w:rFonts w:ascii="宋体" w:hAnsi="宋体" w:cs="宋体"/>
                <w:highlight w:val="none"/>
              </w:rPr>
            </w:pPr>
            <w:r>
              <w:rPr>
                <w:rFonts w:hint="eastAsia" w:ascii="宋体" w:hAnsi="宋体" w:cs="宋体"/>
                <w:highlight w:val="none"/>
              </w:rPr>
              <w:t xml:space="preserve">1）所有拟投入服务人员，国家有持证上岗要求的，须持证上岗。  </w:t>
            </w:r>
          </w:p>
          <w:p w14:paraId="4E89EB8C">
            <w:pPr>
              <w:spacing w:line="400" w:lineRule="exact"/>
              <w:ind w:firstLine="420" w:firstLineChars="200"/>
              <w:rPr>
                <w:rFonts w:ascii="宋体" w:hAnsi="宋体" w:cs="宋体"/>
                <w:highlight w:val="none"/>
              </w:rPr>
            </w:pPr>
            <w:r>
              <w:rPr>
                <w:rFonts w:hint="eastAsia" w:ascii="宋体" w:hAnsi="宋体" w:cs="宋体"/>
                <w:highlight w:val="none"/>
              </w:rPr>
              <w:t>（2）人员区分岗位统一服装上岗，佩戴注明工作人员姓名、相片的工作证上岗。</w:t>
            </w:r>
          </w:p>
          <w:p w14:paraId="10899A4A">
            <w:pPr>
              <w:spacing w:line="400" w:lineRule="exact"/>
              <w:ind w:firstLine="420" w:firstLineChars="200"/>
              <w:rPr>
                <w:rFonts w:ascii="宋体" w:hAnsi="宋体" w:cs="宋体"/>
                <w:highlight w:val="none"/>
              </w:rPr>
            </w:pPr>
            <w:r>
              <w:rPr>
                <w:rFonts w:hint="eastAsia" w:ascii="宋体" w:hAnsi="宋体" w:cs="宋体"/>
                <w:highlight w:val="none"/>
              </w:rPr>
              <w:t>（3）提供24小时绿化养护管理服务。</w:t>
            </w:r>
          </w:p>
          <w:p w14:paraId="5ADFEB36">
            <w:pPr>
              <w:spacing w:line="400" w:lineRule="exact"/>
              <w:ind w:firstLine="420" w:firstLineChars="200"/>
              <w:rPr>
                <w:rFonts w:ascii="宋体" w:hAnsi="宋体" w:cs="宋体"/>
                <w:highlight w:val="none"/>
              </w:rPr>
            </w:pPr>
            <w:r>
              <w:rPr>
                <w:rFonts w:hint="eastAsia" w:ascii="宋体" w:hAnsi="宋体" w:cs="宋体"/>
                <w:highlight w:val="none"/>
              </w:rPr>
              <w:t>（4）中标单位需自己配备办公设备和绿化养护用的工作设备、用具及易耗品。</w:t>
            </w:r>
          </w:p>
          <w:p w14:paraId="301439CA">
            <w:pPr>
              <w:spacing w:line="400" w:lineRule="exact"/>
              <w:ind w:firstLine="420" w:firstLineChars="200"/>
              <w:rPr>
                <w:rFonts w:ascii="宋体" w:hAnsi="宋体" w:cs="宋体"/>
                <w:highlight w:val="none"/>
              </w:rPr>
            </w:pPr>
            <w:r>
              <w:rPr>
                <w:rFonts w:hint="eastAsia" w:ascii="宋体" w:hAnsi="宋体" w:cs="宋体"/>
                <w:highlight w:val="none"/>
              </w:rPr>
              <w:t>（5）中标单位应为上述人员支付不低于项目所在地最低工资标准的工资，并为每位从业人员缴交养老保险、医疗保险、工伤保险、失业保险、生育保险，经费从中标安保服务费中支出。所有服务人员的工资水平，应不低于同类单位同类人员。上述人员的涉及用工方面的劳务纠纷、福利纠纷和劳动事故均由中标单位负责，与采购单位无关。</w:t>
            </w:r>
          </w:p>
          <w:p w14:paraId="3A322E14">
            <w:pPr>
              <w:spacing w:line="400" w:lineRule="exact"/>
              <w:ind w:firstLine="420" w:firstLineChars="200"/>
              <w:rPr>
                <w:rFonts w:ascii="宋体" w:hAnsi="宋体" w:cs="宋体"/>
                <w:highlight w:val="none"/>
              </w:rPr>
            </w:pPr>
            <w:r>
              <w:rPr>
                <w:rFonts w:hint="eastAsia" w:ascii="宋体" w:hAnsi="宋体" w:cs="宋体"/>
                <w:highlight w:val="none"/>
              </w:rPr>
              <w:t>（6）在合同期内，如国家或政府调整最低工资标准时采购单位按实际差额及差额部分税金给予追加支付给中标单位，中标单位应同步上调人员工资标准。</w:t>
            </w:r>
          </w:p>
          <w:p w14:paraId="2B266A06">
            <w:pPr>
              <w:spacing w:line="400" w:lineRule="exact"/>
              <w:ind w:firstLine="420" w:firstLineChars="200"/>
              <w:rPr>
                <w:rFonts w:ascii="宋体" w:hAnsi="宋体" w:cs="宋体"/>
                <w:highlight w:val="none"/>
              </w:rPr>
            </w:pPr>
            <w:r>
              <w:rPr>
                <w:rFonts w:hint="eastAsia" w:ascii="宋体" w:hAnsi="宋体" w:cs="宋体"/>
                <w:highlight w:val="none"/>
              </w:rPr>
              <w:t>（7）中标单位在合同履行过程中如违反国家（或地方）法律、法规、政策强制性要求的，学校可单方面解除合同。</w:t>
            </w:r>
          </w:p>
          <w:p w14:paraId="7F945E30">
            <w:pPr>
              <w:spacing w:line="400" w:lineRule="exact"/>
              <w:ind w:firstLine="420" w:firstLineChars="200"/>
              <w:rPr>
                <w:rFonts w:ascii="宋体" w:hAnsi="宋体" w:cs="宋体"/>
                <w:highlight w:val="none"/>
              </w:rPr>
            </w:pPr>
            <w:r>
              <w:rPr>
                <w:rFonts w:hint="eastAsia" w:ascii="宋体" w:hAnsi="宋体" w:cs="宋体"/>
                <w:highlight w:val="none"/>
              </w:rPr>
              <w:t>（8）如因学校招生规模变化等情况导致需要增减绿化养护工作人员，中标单位应根据学校的通知无条件满足需求，并根据中标人实际投入人员的服务费进行结算并支付绿化服务费用。</w:t>
            </w:r>
          </w:p>
          <w:p w14:paraId="773666E1">
            <w:pPr>
              <w:pStyle w:val="2"/>
              <w:rPr>
                <w:rFonts w:ascii="宋体" w:hAnsi="宋体" w:eastAsia="宋体" w:cs="宋体"/>
                <w:szCs w:val="21"/>
                <w:highlight w:val="none"/>
              </w:rPr>
            </w:pPr>
            <w:r>
              <w:rPr>
                <w:rFonts w:hint="eastAsia" w:ascii="宋体" w:hAnsi="宋体" w:eastAsia="宋体" w:cs="宋体"/>
                <w:szCs w:val="21"/>
                <w:highlight w:val="none"/>
              </w:rPr>
              <w:t xml:space="preserve">    （9）竞标人须根据竞标实际情况编制竞标文件（格式详见附件），并对竞标文件逐页签字、盖章，否则竞标无效。</w:t>
            </w:r>
          </w:p>
          <w:p w14:paraId="5D9A8EEC">
            <w:pPr>
              <w:pStyle w:val="2"/>
              <w:ind w:firstLine="400" w:firstLineChars="200"/>
              <w:rPr>
                <w:rFonts w:eastAsia="宋体"/>
                <w:sz w:val="21"/>
                <w:highlight w:val="none"/>
              </w:rPr>
            </w:pPr>
            <w:r>
              <w:rPr>
                <w:rFonts w:hint="eastAsia" w:ascii="宋体" w:hAnsi="宋体" w:eastAsia="宋体" w:cs="宋体"/>
                <w:szCs w:val="21"/>
                <w:highlight w:val="none"/>
              </w:rPr>
              <w:t>（10）招标文件中带“★”的为实质性条款，竞标人必须实质性满足，否则，竞标无效。</w:t>
            </w:r>
          </w:p>
        </w:tc>
      </w:tr>
    </w:tbl>
    <w:p w14:paraId="629BF384">
      <w:pPr>
        <w:rPr>
          <w:highlight w:val="none"/>
        </w:rPr>
      </w:pPr>
    </w:p>
    <w:p w14:paraId="0F6630A4">
      <w:pPr>
        <w:jc w:val="left"/>
        <w:rPr>
          <w:rFonts w:ascii="宋体" w:hAnsi="宋体"/>
          <w:b/>
          <w:bCs/>
          <w:color w:val="000000"/>
          <w:sz w:val="30"/>
          <w:szCs w:val="30"/>
          <w:highlight w:val="none"/>
        </w:rPr>
      </w:pPr>
      <w:r>
        <w:rPr>
          <w:rFonts w:hint="eastAsia" w:ascii="宋体" w:hAnsi="宋体"/>
          <w:b/>
          <w:bCs/>
          <w:color w:val="000000"/>
          <w:sz w:val="30"/>
          <w:szCs w:val="30"/>
          <w:highlight w:val="none"/>
        </w:rPr>
        <w:t>附件1：</w:t>
      </w:r>
    </w:p>
    <w:p w14:paraId="04848AC1">
      <w:pPr>
        <w:jc w:val="center"/>
        <w:rPr>
          <w:rFonts w:ascii="宋体" w:hAnsi="宋体"/>
          <w:b/>
          <w:bCs/>
          <w:color w:val="000000"/>
          <w:sz w:val="30"/>
          <w:szCs w:val="30"/>
          <w:highlight w:val="none"/>
        </w:rPr>
      </w:pPr>
      <w:r>
        <w:rPr>
          <w:rFonts w:hint="eastAsia" w:ascii="宋体" w:hAnsi="宋体"/>
          <w:b/>
          <w:bCs/>
          <w:color w:val="000000"/>
          <w:sz w:val="30"/>
          <w:szCs w:val="30"/>
          <w:highlight w:val="none"/>
        </w:rPr>
        <w:t>东盟校区绿化养护日常考核评分表</w:t>
      </w:r>
    </w:p>
    <w:p w14:paraId="46D51A9A">
      <w:pPr>
        <w:jc w:val="right"/>
        <w:rPr>
          <w:rFonts w:ascii="宋体" w:hAnsi="宋体"/>
          <w:b/>
          <w:bCs/>
          <w:color w:val="000000"/>
          <w:sz w:val="28"/>
          <w:szCs w:val="28"/>
          <w:highlight w:val="none"/>
        </w:rPr>
      </w:pPr>
      <w:r>
        <w:rPr>
          <w:rFonts w:hint="eastAsia" w:ascii="黑体" w:eastAsia="黑体"/>
          <w:b/>
          <w:bCs/>
          <w:color w:val="000000"/>
          <w:sz w:val="28"/>
          <w:szCs w:val="28"/>
          <w:highlight w:val="none"/>
        </w:rPr>
        <w:t xml:space="preserve">                                      </w:t>
      </w:r>
      <w:r>
        <w:rPr>
          <w:rFonts w:hint="eastAsia" w:ascii="黑体" w:eastAsia="黑体"/>
          <w:color w:val="000000"/>
          <w:sz w:val="24"/>
          <w:highlight w:val="none"/>
        </w:rPr>
        <w:t xml:space="preserve"> </w:t>
      </w:r>
      <w:r>
        <w:rPr>
          <w:rFonts w:hint="eastAsia" w:ascii="宋体" w:hAnsi="宋体"/>
          <w:color w:val="000000"/>
          <w:sz w:val="24"/>
          <w:highlight w:val="none"/>
        </w:rPr>
        <w:t xml:space="preserve">日期：      年   月   日 </w:t>
      </w:r>
      <w:r>
        <w:rPr>
          <w:rFonts w:hint="eastAsia" w:ascii="宋体" w:hAnsi="宋体"/>
          <w:color w:val="000000"/>
          <w:sz w:val="28"/>
          <w:szCs w:val="28"/>
          <w:highlight w:val="none"/>
        </w:rPr>
        <w:t xml:space="preserve"> </w:t>
      </w:r>
    </w:p>
    <w:tbl>
      <w:tblPr>
        <w:tblStyle w:val="15"/>
        <w:tblpPr w:leftFromText="180" w:rightFromText="180" w:vertAnchor="text" w:horzAnchor="page" w:tblpX="842" w:tblpY="341"/>
        <w:tblOverlap w:val="never"/>
        <w:tblW w:w="10628" w:type="dxa"/>
        <w:tblInd w:w="0" w:type="dxa"/>
        <w:tblLayout w:type="fixed"/>
        <w:tblCellMar>
          <w:top w:w="0" w:type="dxa"/>
          <w:left w:w="108" w:type="dxa"/>
          <w:bottom w:w="0" w:type="dxa"/>
          <w:right w:w="108" w:type="dxa"/>
        </w:tblCellMar>
      </w:tblPr>
      <w:tblGrid>
        <w:gridCol w:w="538"/>
        <w:gridCol w:w="435"/>
        <w:gridCol w:w="3690"/>
        <w:gridCol w:w="572"/>
        <w:gridCol w:w="4560"/>
        <w:gridCol w:w="833"/>
      </w:tblGrid>
      <w:tr w14:paraId="0F67C748">
        <w:tblPrEx>
          <w:tblCellMar>
            <w:top w:w="0" w:type="dxa"/>
            <w:left w:w="108" w:type="dxa"/>
            <w:bottom w:w="0" w:type="dxa"/>
            <w:right w:w="108" w:type="dxa"/>
          </w:tblCellMar>
        </w:tblPrEx>
        <w:trPr>
          <w:tblHeader/>
        </w:trPr>
        <w:tc>
          <w:tcPr>
            <w:tcW w:w="538" w:type="dxa"/>
            <w:tcBorders>
              <w:top w:val="single" w:color="auto" w:sz="4" w:space="0"/>
              <w:left w:val="single" w:color="auto" w:sz="4" w:space="0"/>
              <w:bottom w:val="single" w:color="auto" w:sz="4" w:space="0"/>
              <w:right w:val="single" w:color="auto" w:sz="4" w:space="0"/>
            </w:tcBorders>
            <w:vAlign w:val="center"/>
          </w:tcPr>
          <w:p w14:paraId="359711A4">
            <w:pPr>
              <w:jc w:val="center"/>
              <w:rPr>
                <w:rFonts w:ascii="宋体" w:hAnsi="宋体"/>
                <w:b/>
                <w:color w:val="000000"/>
                <w:highlight w:val="none"/>
              </w:rPr>
            </w:pPr>
            <w:r>
              <w:rPr>
                <w:rFonts w:hint="eastAsia" w:ascii="宋体" w:hAnsi="宋体"/>
                <w:b/>
                <w:color w:val="000000"/>
                <w:highlight w:val="none"/>
              </w:rPr>
              <w:t>项目</w:t>
            </w:r>
          </w:p>
        </w:tc>
        <w:tc>
          <w:tcPr>
            <w:tcW w:w="435" w:type="dxa"/>
            <w:tcBorders>
              <w:top w:val="single" w:color="auto" w:sz="4" w:space="0"/>
              <w:left w:val="nil"/>
              <w:bottom w:val="single" w:color="auto" w:sz="4" w:space="0"/>
              <w:right w:val="single" w:color="auto" w:sz="4" w:space="0"/>
            </w:tcBorders>
          </w:tcPr>
          <w:p w14:paraId="171EBA08">
            <w:pPr>
              <w:jc w:val="center"/>
              <w:rPr>
                <w:rFonts w:ascii="宋体" w:hAnsi="宋体"/>
                <w:b/>
                <w:color w:val="000000"/>
                <w:highlight w:val="none"/>
              </w:rPr>
            </w:pPr>
            <w:r>
              <w:rPr>
                <w:rFonts w:hint="eastAsia" w:ascii="宋体" w:hAnsi="宋体"/>
                <w:b/>
                <w:color w:val="000000"/>
                <w:highlight w:val="none"/>
              </w:rPr>
              <w:t>序</w:t>
            </w:r>
          </w:p>
          <w:p w14:paraId="429C1D2F">
            <w:pPr>
              <w:jc w:val="center"/>
              <w:rPr>
                <w:rFonts w:ascii="宋体" w:hAnsi="宋体"/>
                <w:b/>
                <w:color w:val="000000"/>
                <w:highlight w:val="none"/>
              </w:rPr>
            </w:pPr>
            <w:r>
              <w:rPr>
                <w:rFonts w:hint="eastAsia" w:ascii="宋体" w:hAnsi="宋体"/>
                <w:b/>
                <w:color w:val="000000"/>
                <w:highlight w:val="none"/>
              </w:rPr>
              <w:t>号</w:t>
            </w:r>
          </w:p>
        </w:tc>
        <w:tc>
          <w:tcPr>
            <w:tcW w:w="3690" w:type="dxa"/>
            <w:tcBorders>
              <w:top w:val="single" w:color="auto" w:sz="4" w:space="0"/>
              <w:left w:val="nil"/>
              <w:bottom w:val="single" w:color="auto" w:sz="4" w:space="0"/>
              <w:right w:val="single" w:color="auto" w:sz="4" w:space="0"/>
            </w:tcBorders>
            <w:vAlign w:val="center"/>
          </w:tcPr>
          <w:p w14:paraId="49E8F823">
            <w:pPr>
              <w:jc w:val="center"/>
              <w:rPr>
                <w:rFonts w:ascii="宋体" w:hAnsi="宋体"/>
                <w:b/>
                <w:color w:val="000000"/>
                <w:highlight w:val="none"/>
              </w:rPr>
            </w:pPr>
            <w:r>
              <w:rPr>
                <w:rFonts w:hint="eastAsia" w:ascii="宋体" w:hAnsi="宋体"/>
                <w:b/>
                <w:color w:val="000000"/>
                <w:highlight w:val="none"/>
              </w:rPr>
              <w:t>工作内容</w:t>
            </w:r>
          </w:p>
        </w:tc>
        <w:tc>
          <w:tcPr>
            <w:tcW w:w="572" w:type="dxa"/>
            <w:tcBorders>
              <w:top w:val="single" w:color="auto" w:sz="4" w:space="0"/>
              <w:left w:val="nil"/>
              <w:bottom w:val="single" w:color="auto" w:sz="4" w:space="0"/>
              <w:right w:val="single" w:color="auto" w:sz="4" w:space="0"/>
            </w:tcBorders>
            <w:vAlign w:val="center"/>
          </w:tcPr>
          <w:p w14:paraId="19828C7E">
            <w:pPr>
              <w:jc w:val="center"/>
              <w:rPr>
                <w:rFonts w:ascii="宋体" w:hAnsi="宋体"/>
                <w:b/>
                <w:color w:val="000000"/>
                <w:highlight w:val="none"/>
              </w:rPr>
            </w:pPr>
            <w:r>
              <w:rPr>
                <w:rFonts w:hint="eastAsia" w:ascii="宋体" w:hAnsi="宋体"/>
                <w:b/>
                <w:color w:val="000000"/>
                <w:highlight w:val="none"/>
              </w:rPr>
              <w:t>分</w:t>
            </w:r>
          </w:p>
          <w:p w14:paraId="1C453956">
            <w:pPr>
              <w:jc w:val="center"/>
              <w:rPr>
                <w:rFonts w:ascii="宋体" w:hAnsi="宋体"/>
                <w:b/>
                <w:color w:val="000000"/>
                <w:highlight w:val="none"/>
              </w:rPr>
            </w:pPr>
            <w:r>
              <w:rPr>
                <w:rFonts w:hint="eastAsia" w:ascii="宋体" w:hAnsi="宋体"/>
                <w:b/>
                <w:color w:val="000000"/>
                <w:highlight w:val="none"/>
              </w:rPr>
              <w:t>值</w:t>
            </w:r>
          </w:p>
        </w:tc>
        <w:tc>
          <w:tcPr>
            <w:tcW w:w="4560" w:type="dxa"/>
            <w:tcBorders>
              <w:top w:val="single" w:color="auto" w:sz="4" w:space="0"/>
              <w:left w:val="nil"/>
              <w:bottom w:val="single" w:color="auto" w:sz="4" w:space="0"/>
              <w:right w:val="single" w:color="auto" w:sz="4" w:space="0"/>
            </w:tcBorders>
            <w:vAlign w:val="center"/>
          </w:tcPr>
          <w:p w14:paraId="0B0808B8">
            <w:pPr>
              <w:jc w:val="center"/>
              <w:rPr>
                <w:rFonts w:ascii="宋体" w:hAnsi="宋体"/>
                <w:b/>
                <w:color w:val="000000"/>
                <w:highlight w:val="none"/>
              </w:rPr>
            </w:pPr>
            <w:r>
              <w:rPr>
                <w:rFonts w:hint="eastAsia" w:ascii="宋体" w:hAnsi="宋体"/>
                <w:b/>
                <w:color w:val="000000"/>
                <w:highlight w:val="none"/>
              </w:rPr>
              <w:t>评分细则</w:t>
            </w:r>
          </w:p>
        </w:tc>
        <w:tc>
          <w:tcPr>
            <w:tcW w:w="833" w:type="dxa"/>
            <w:tcBorders>
              <w:top w:val="single" w:color="auto" w:sz="4" w:space="0"/>
              <w:left w:val="nil"/>
              <w:bottom w:val="single" w:color="auto" w:sz="4" w:space="0"/>
              <w:right w:val="single" w:color="auto" w:sz="4" w:space="0"/>
            </w:tcBorders>
            <w:vAlign w:val="center"/>
          </w:tcPr>
          <w:p w14:paraId="3488CD21">
            <w:pPr>
              <w:jc w:val="center"/>
              <w:rPr>
                <w:rFonts w:ascii="宋体" w:hAnsi="宋体"/>
                <w:b/>
                <w:color w:val="000000"/>
                <w:highlight w:val="none"/>
              </w:rPr>
            </w:pPr>
            <w:r>
              <w:rPr>
                <w:rFonts w:hint="eastAsia" w:ascii="宋体" w:hAnsi="宋体"/>
                <w:b/>
                <w:color w:val="000000"/>
                <w:highlight w:val="none"/>
              </w:rPr>
              <w:t>扣分</w:t>
            </w:r>
          </w:p>
        </w:tc>
      </w:tr>
      <w:tr w14:paraId="6E014818">
        <w:tblPrEx>
          <w:tblCellMar>
            <w:top w:w="0" w:type="dxa"/>
            <w:left w:w="108" w:type="dxa"/>
            <w:bottom w:w="0" w:type="dxa"/>
            <w:right w:w="108" w:type="dxa"/>
          </w:tblCellMar>
        </w:tblPrEx>
        <w:tc>
          <w:tcPr>
            <w:tcW w:w="538" w:type="dxa"/>
            <w:vMerge w:val="restart"/>
            <w:tcBorders>
              <w:top w:val="nil"/>
              <w:left w:val="single" w:color="auto" w:sz="4" w:space="0"/>
              <w:bottom w:val="single" w:color="auto" w:sz="4" w:space="0"/>
              <w:right w:val="single" w:color="auto" w:sz="4" w:space="0"/>
            </w:tcBorders>
            <w:vAlign w:val="center"/>
          </w:tcPr>
          <w:p w14:paraId="228DF90C">
            <w:pPr>
              <w:jc w:val="center"/>
              <w:rPr>
                <w:rFonts w:ascii="宋体" w:hAnsi="宋体"/>
                <w:b/>
                <w:color w:val="000000"/>
                <w:sz w:val="18"/>
                <w:szCs w:val="18"/>
                <w:highlight w:val="none"/>
              </w:rPr>
            </w:pPr>
            <w:r>
              <w:rPr>
                <w:rFonts w:hint="eastAsia" w:ascii="宋体" w:hAnsi="宋体"/>
                <w:b/>
                <w:color w:val="000000"/>
                <w:sz w:val="18"/>
                <w:szCs w:val="18"/>
                <w:highlight w:val="none"/>
              </w:rPr>
              <w:t>管理</w:t>
            </w:r>
          </w:p>
        </w:tc>
        <w:tc>
          <w:tcPr>
            <w:tcW w:w="435" w:type="dxa"/>
            <w:tcBorders>
              <w:top w:val="single" w:color="auto" w:sz="4" w:space="0"/>
              <w:left w:val="nil"/>
              <w:bottom w:val="single" w:color="auto" w:sz="4" w:space="0"/>
              <w:right w:val="single" w:color="auto" w:sz="4" w:space="0"/>
            </w:tcBorders>
          </w:tcPr>
          <w:p w14:paraId="56B740CB">
            <w:pPr>
              <w:jc w:val="center"/>
              <w:rPr>
                <w:rFonts w:ascii="宋体" w:hAnsi="宋体"/>
                <w:color w:val="000000"/>
                <w:sz w:val="18"/>
                <w:szCs w:val="18"/>
                <w:highlight w:val="none"/>
              </w:rPr>
            </w:pPr>
          </w:p>
          <w:p w14:paraId="6DA76B39">
            <w:pPr>
              <w:jc w:val="center"/>
              <w:rPr>
                <w:rFonts w:ascii="宋体" w:hAnsi="宋体"/>
                <w:color w:val="000000"/>
                <w:sz w:val="18"/>
                <w:szCs w:val="18"/>
                <w:highlight w:val="none"/>
              </w:rPr>
            </w:pPr>
          </w:p>
          <w:p w14:paraId="1E55618D">
            <w:pPr>
              <w:jc w:val="center"/>
              <w:rPr>
                <w:rFonts w:ascii="宋体" w:hAnsi="宋体"/>
                <w:color w:val="000000"/>
                <w:sz w:val="18"/>
                <w:szCs w:val="18"/>
                <w:highlight w:val="none"/>
              </w:rPr>
            </w:pPr>
          </w:p>
          <w:p w14:paraId="32FC6F46">
            <w:pPr>
              <w:jc w:val="center"/>
              <w:rPr>
                <w:rFonts w:ascii="宋体" w:hAnsi="宋体"/>
                <w:color w:val="000000"/>
                <w:sz w:val="18"/>
                <w:szCs w:val="18"/>
                <w:highlight w:val="none"/>
              </w:rPr>
            </w:pPr>
          </w:p>
          <w:p w14:paraId="7053597B">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140E56F0">
            <w:pPr>
              <w:rPr>
                <w:rFonts w:ascii="宋体" w:hAnsi="宋体"/>
                <w:color w:val="000000"/>
                <w:sz w:val="18"/>
                <w:szCs w:val="18"/>
                <w:highlight w:val="none"/>
              </w:rPr>
            </w:pPr>
            <w:r>
              <w:rPr>
                <w:rFonts w:hint="eastAsia"/>
                <w:color w:val="000000"/>
                <w:sz w:val="18"/>
                <w:szCs w:val="18"/>
                <w:highlight w:val="none"/>
              </w:rPr>
              <w:t>技术人员按投标文件的要求及时到位。一线养护人员按合同规定及要求按时按量上岗，配备统一绿化工作服和作业工具。</w:t>
            </w:r>
          </w:p>
        </w:tc>
        <w:tc>
          <w:tcPr>
            <w:tcW w:w="572" w:type="dxa"/>
            <w:tcBorders>
              <w:top w:val="single" w:color="auto" w:sz="4" w:space="0"/>
              <w:left w:val="nil"/>
              <w:bottom w:val="single" w:color="auto" w:sz="4" w:space="0"/>
              <w:right w:val="single" w:color="auto" w:sz="4" w:space="0"/>
            </w:tcBorders>
            <w:vAlign w:val="center"/>
          </w:tcPr>
          <w:p w14:paraId="646438F8">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5A9B924B">
            <w:pPr>
              <w:rPr>
                <w:rFonts w:ascii="宋体" w:hAnsi="宋体"/>
                <w:color w:val="000000"/>
                <w:sz w:val="18"/>
                <w:szCs w:val="18"/>
                <w:highlight w:val="none"/>
              </w:rPr>
            </w:pPr>
            <w:r>
              <w:rPr>
                <w:rFonts w:hint="eastAsia"/>
                <w:color w:val="000000"/>
                <w:sz w:val="18"/>
                <w:szCs w:val="18"/>
                <w:highlight w:val="none"/>
              </w:rPr>
              <w:t>技术人员未按投标文件的要求及时到位，</w:t>
            </w:r>
            <w:r>
              <w:rPr>
                <w:rFonts w:hint="eastAsia" w:ascii="宋体" w:hAnsi="宋体"/>
                <w:color w:val="000000"/>
                <w:sz w:val="18"/>
                <w:szCs w:val="18"/>
                <w:highlight w:val="none"/>
              </w:rPr>
              <w:t>每少1次/天，扣0.2分。</w:t>
            </w:r>
            <w:r>
              <w:rPr>
                <w:rFonts w:hint="eastAsia"/>
                <w:color w:val="000000"/>
                <w:sz w:val="18"/>
                <w:szCs w:val="18"/>
                <w:highlight w:val="none"/>
              </w:rPr>
              <w:t>一线养护人员未按投标文件的要求及时到位或人员数量弄虚作假</w:t>
            </w:r>
            <w:r>
              <w:rPr>
                <w:rFonts w:hint="eastAsia" w:ascii="宋体" w:hAnsi="宋体"/>
                <w:color w:val="000000"/>
                <w:sz w:val="18"/>
                <w:szCs w:val="18"/>
                <w:highlight w:val="none"/>
              </w:rPr>
              <w:t>达不到规定要求的，每天每少一人扣0.1分；迟到每人每次扣0.1分。例行检查时无故缺岗（15—30分钟内），每次扣0.5分；30分钟以上，每次扣1分。</w:t>
            </w:r>
            <w:r>
              <w:rPr>
                <w:rFonts w:hint="eastAsia"/>
                <w:color w:val="000000"/>
                <w:sz w:val="18"/>
                <w:szCs w:val="18"/>
                <w:highlight w:val="none"/>
              </w:rPr>
              <w:t>未按统一着装的每人次扣0.1分。</w:t>
            </w:r>
          </w:p>
        </w:tc>
        <w:tc>
          <w:tcPr>
            <w:tcW w:w="833" w:type="dxa"/>
            <w:tcBorders>
              <w:top w:val="single" w:color="auto" w:sz="4" w:space="0"/>
              <w:left w:val="nil"/>
              <w:bottom w:val="single" w:color="auto" w:sz="4" w:space="0"/>
              <w:right w:val="single" w:color="auto" w:sz="4" w:space="0"/>
            </w:tcBorders>
            <w:vAlign w:val="center"/>
          </w:tcPr>
          <w:p w14:paraId="426E3C19">
            <w:pPr>
              <w:jc w:val="center"/>
              <w:rPr>
                <w:rFonts w:ascii="宋体" w:hAnsi="宋体"/>
                <w:color w:val="000000"/>
                <w:sz w:val="18"/>
                <w:szCs w:val="18"/>
                <w:highlight w:val="none"/>
              </w:rPr>
            </w:pPr>
          </w:p>
        </w:tc>
      </w:tr>
      <w:tr w14:paraId="4BCDB6C5">
        <w:tblPrEx>
          <w:tblCellMar>
            <w:top w:w="0" w:type="dxa"/>
            <w:left w:w="108" w:type="dxa"/>
            <w:bottom w:w="0" w:type="dxa"/>
            <w:right w:w="108" w:type="dxa"/>
          </w:tblCellMar>
        </w:tblPrEx>
        <w:tc>
          <w:tcPr>
            <w:tcW w:w="538" w:type="dxa"/>
            <w:vMerge w:val="continue"/>
            <w:tcBorders>
              <w:top w:val="nil"/>
              <w:left w:val="single" w:color="auto" w:sz="4" w:space="0"/>
              <w:bottom w:val="single" w:color="auto" w:sz="4" w:space="0"/>
              <w:right w:val="single" w:color="auto" w:sz="4" w:space="0"/>
            </w:tcBorders>
            <w:vAlign w:val="center"/>
          </w:tcPr>
          <w:p w14:paraId="618DD7A0">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tcPr>
          <w:p w14:paraId="724D757A">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1AEF8D99">
            <w:pPr>
              <w:rPr>
                <w:color w:val="000000"/>
                <w:sz w:val="18"/>
                <w:szCs w:val="18"/>
                <w:highlight w:val="none"/>
              </w:rPr>
            </w:pPr>
            <w:r>
              <w:rPr>
                <w:rFonts w:hint="eastAsia"/>
                <w:color w:val="000000"/>
                <w:sz w:val="18"/>
                <w:szCs w:val="18"/>
                <w:highlight w:val="none"/>
              </w:rPr>
              <w:t>重要节点、重点苗木（如月季、杜鹃等）须按校方要求投入相应人员和物料。</w:t>
            </w:r>
          </w:p>
        </w:tc>
        <w:tc>
          <w:tcPr>
            <w:tcW w:w="572" w:type="dxa"/>
            <w:tcBorders>
              <w:top w:val="single" w:color="auto" w:sz="4" w:space="0"/>
              <w:left w:val="nil"/>
              <w:bottom w:val="single" w:color="auto" w:sz="4" w:space="0"/>
              <w:right w:val="single" w:color="auto" w:sz="4" w:space="0"/>
            </w:tcBorders>
            <w:vAlign w:val="center"/>
          </w:tcPr>
          <w:p w14:paraId="6BC9271E">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6C94E0EC">
            <w:pPr>
              <w:jc w:val="left"/>
              <w:rPr>
                <w:color w:val="000000"/>
                <w:sz w:val="18"/>
                <w:szCs w:val="18"/>
                <w:highlight w:val="none"/>
              </w:rPr>
            </w:pPr>
            <w:r>
              <w:rPr>
                <w:rFonts w:hint="eastAsia"/>
                <w:color w:val="000000"/>
                <w:sz w:val="18"/>
                <w:szCs w:val="18"/>
                <w:highlight w:val="none"/>
              </w:rPr>
              <w:t>不按要求配备人员，每次扣0.2-0.5分；不按要求配备物料，每次扣0.2-0.5分。</w:t>
            </w:r>
          </w:p>
        </w:tc>
        <w:tc>
          <w:tcPr>
            <w:tcW w:w="833" w:type="dxa"/>
            <w:tcBorders>
              <w:top w:val="single" w:color="auto" w:sz="4" w:space="0"/>
              <w:left w:val="nil"/>
              <w:bottom w:val="single" w:color="auto" w:sz="4" w:space="0"/>
              <w:right w:val="single" w:color="auto" w:sz="4" w:space="0"/>
            </w:tcBorders>
            <w:vAlign w:val="center"/>
          </w:tcPr>
          <w:p w14:paraId="5056CF23">
            <w:pPr>
              <w:jc w:val="center"/>
              <w:rPr>
                <w:rFonts w:ascii="宋体" w:hAnsi="宋体"/>
                <w:color w:val="000000"/>
                <w:sz w:val="18"/>
                <w:szCs w:val="18"/>
                <w:highlight w:val="none"/>
              </w:rPr>
            </w:pPr>
          </w:p>
        </w:tc>
      </w:tr>
      <w:tr w14:paraId="25FB5B11">
        <w:tblPrEx>
          <w:tblCellMar>
            <w:top w:w="0" w:type="dxa"/>
            <w:left w:w="108" w:type="dxa"/>
            <w:bottom w:w="0" w:type="dxa"/>
            <w:right w:w="108" w:type="dxa"/>
          </w:tblCellMar>
        </w:tblPrEx>
        <w:tc>
          <w:tcPr>
            <w:tcW w:w="538" w:type="dxa"/>
            <w:vMerge w:val="continue"/>
            <w:tcBorders>
              <w:top w:val="nil"/>
              <w:left w:val="single" w:color="auto" w:sz="4" w:space="0"/>
              <w:bottom w:val="single" w:color="auto" w:sz="4" w:space="0"/>
              <w:right w:val="single" w:color="auto" w:sz="4" w:space="0"/>
            </w:tcBorders>
            <w:vAlign w:val="center"/>
          </w:tcPr>
          <w:p w14:paraId="73F5D465">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tcPr>
          <w:p w14:paraId="1C8617D7">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14:paraId="1BB92517">
            <w:pPr>
              <w:rPr>
                <w:rFonts w:ascii="宋体" w:hAnsi="宋体"/>
                <w:color w:val="000000"/>
                <w:sz w:val="18"/>
                <w:szCs w:val="18"/>
                <w:highlight w:val="none"/>
              </w:rPr>
            </w:pPr>
            <w:r>
              <w:rPr>
                <w:rFonts w:hint="eastAsia" w:ascii="宋体" w:hAnsi="宋体"/>
                <w:color w:val="000000"/>
                <w:sz w:val="18"/>
                <w:szCs w:val="18"/>
                <w:highlight w:val="none"/>
              </w:rPr>
              <w:t>按要求开展养护工作，积极开展或参加相关业务学习和安全培训。</w:t>
            </w:r>
          </w:p>
        </w:tc>
        <w:tc>
          <w:tcPr>
            <w:tcW w:w="572" w:type="dxa"/>
            <w:tcBorders>
              <w:top w:val="single" w:color="auto" w:sz="4" w:space="0"/>
              <w:left w:val="nil"/>
              <w:bottom w:val="single" w:color="auto" w:sz="4" w:space="0"/>
              <w:right w:val="single" w:color="auto" w:sz="4" w:space="0"/>
            </w:tcBorders>
            <w:vAlign w:val="center"/>
          </w:tcPr>
          <w:p w14:paraId="29D32E23">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285275FD">
            <w:pPr>
              <w:jc w:val="left"/>
              <w:rPr>
                <w:rFonts w:ascii="宋体" w:hAnsi="宋体"/>
                <w:color w:val="000000"/>
                <w:sz w:val="18"/>
                <w:szCs w:val="18"/>
                <w:highlight w:val="none"/>
              </w:rPr>
            </w:pPr>
            <w:r>
              <w:rPr>
                <w:rFonts w:hint="eastAsia" w:ascii="宋体" w:hAnsi="宋体"/>
                <w:color w:val="000000"/>
                <w:sz w:val="18"/>
                <w:szCs w:val="18"/>
                <w:highlight w:val="none"/>
              </w:rPr>
              <w:t>不积极开展、参加相关学习及培训的，或没有按时按质完成专项养护任务每次扣0.2-0.5分。</w:t>
            </w:r>
          </w:p>
        </w:tc>
        <w:tc>
          <w:tcPr>
            <w:tcW w:w="833" w:type="dxa"/>
            <w:tcBorders>
              <w:top w:val="single" w:color="auto" w:sz="4" w:space="0"/>
              <w:left w:val="nil"/>
              <w:bottom w:val="single" w:color="auto" w:sz="4" w:space="0"/>
              <w:right w:val="single" w:color="auto" w:sz="4" w:space="0"/>
            </w:tcBorders>
            <w:vAlign w:val="center"/>
          </w:tcPr>
          <w:p w14:paraId="270AEF4B">
            <w:pPr>
              <w:jc w:val="center"/>
              <w:rPr>
                <w:rFonts w:ascii="宋体" w:hAnsi="宋体"/>
                <w:color w:val="000000"/>
                <w:sz w:val="18"/>
                <w:szCs w:val="18"/>
                <w:highlight w:val="none"/>
              </w:rPr>
            </w:pPr>
          </w:p>
        </w:tc>
      </w:tr>
      <w:tr w14:paraId="4376815F">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14:paraId="07D1FA13">
            <w:pPr>
              <w:jc w:val="center"/>
              <w:rPr>
                <w:rFonts w:ascii="宋体" w:hAnsi="宋体"/>
                <w:b/>
                <w:color w:val="000000"/>
                <w:sz w:val="18"/>
                <w:szCs w:val="18"/>
                <w:highlight w:val="none"/>
              </w:rPr>
            </w:pPr>
            <w:r>
              <w:rPr>
                <w:rFonts w:hint="eastAsia" w:ascii="宋体" w:hAnsi="宋体"/>
                <w:b/>
                <w:color w:val="000000"/>
                <w:sz w:val="18"/>
                <w:szCs w:val="18"/>
                <w:highlight w:val="none"/>
              </w:rPr>
              <w:t>乔</w:t>
            </w:r>
          </w:p>
          <w:p w14:paraId="43FE44C3">
            <w:pPr>
              <w:jc w:val="center"/>
              <w:rPr>
                <w:rFonts w:ascii="宋体" w:hAnsi="宋体"/>
                <w:b/>
                <w:color w:val="000000"/>
                <w:sz w:val="18"/>
                <w:szCs w:val="18"/>
                <w:highlight w:val="none"/>
              </w:rPr>
            </w:pPr>
          </w:p>
          <w:p w14:paraId="51D6F284">
            <w:pPr>
              <w:jc w:val="center"/>
              <w:rPr>
                <w:rFonts w:ascii="宋体" w:hAnsi="宋体"/>
                <w:b/>
                <w:color w:val="000000"/>
                <w:sz w:val="18"/>
                <w:szCs w:val="18"/>
                <w:highlight w:val="none"/>
              </w:rPr>
            </w:pPr>
          </w:p>
          <w:p w14:paraId="4B0E81D6">
            <w:pPr>
              <w:jc w:val="center"/>
              <w:rPr>
                <w:rFonts w:ascii="宋体" w:hAnsi="宋体"/>
                <w:b/>
                <w:color w:val="000000"/>
                <w:sz w:val="18"/>
                <w:szCs w:val="18"/>
                <w:highlight w:val="none"/>
              </w:rPr>
            </w:pPr>
            <w:r>
              <w:rPr>
                <w:rFonts w:hint="eastAsia" w:ascii="宋体" w:hAnsi="宋体"/>
                <w:b/>
                <w:color w:val="000000"/>
                <w:sz w:val="18"/>
                <w:szCs w:val="18"/>
                <w:highlight w:val="none"/>
              </w:rPr>
              <w:t>木</w:t>
            </w:r>
          </w:p>
        </w:tc>
        <w:tc>
          <w:tcPr>
            <w:tcW w:w="435" w:type="dxa"/>
            <w:tcBorders>
              <w:top w:val="single" w:color="auto" w:sz="4" w:space="0"/>
              <w:left w:val="nil"/>
              <w:bottom w:val="single" w:color="auto" w:sz="4" w:space="0"/>
              <w:right w:val="single" w:color="auto" w:sz="4" w:space="0"/>
            </w:tcBorders>
            <w:vAlign w:val="center"/>
          </w:tcPr>
          <w:p w14:paraId="07510156">
            <w:pPr>
              <w:ind w:firstLine="90" w:firstLineChars="50"/>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471EE7D9">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树枝健壮、植物茂盛、无病虫害。</w:t>
            </w:r>
          </w:p>
        </w:tc>
        <w:tc>
          <w:tcPr>
            <w:tcW w:w="572" w:type="dxa"/>
            <w:tcBorders>
              <w:top w:val="single" w:color="auto" w:sz="4" w:space="0"/>
              <w:left w:val="nil"/>
              <w:bottom w:val="single" w:color="auto" w:sz="4" w:space="0"/>
              <w:right w:val="single" w:color="auto" w:sz="4" w:space="0"/>
            </w:tcBorders>
            <w:vAlign w:val="center"/>
          </w:tcPr>
          <w:p w14:paraId="5B389291">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14:paraId="4917ABFA">
            <w:pPr>
              <w:spacing w:line="320" w:lineRule="exact"/>
              <w:rPr>
                <w:rFonts w:ascii="宋体" w:hAnsi="宋体"/>
                <w:color w:val="000000"/>
                <w:sz w:val="18"/>
                <w:szCs w:val="18"/>
                <w:highlight w:val="none"/>
              </w:rPr>
            </w:pPr>
            <w:r>
              <w:rPr>
                <w:rFonts w:hint="eastAsia" w:ascii="宋体" w:hAnsi="宋体"/>
                <w:color w:val="000000"/>
                <w:sz w:val="18"/>
                <w:szCs w:val="18"/>
                <w:highlight w:val="none"/>
              </w:rPr>
              <w:t>长势不良或有明显病虫害每处扣0.2-0.5分。</w:t>
            </w:r>
          </w:p>
        </w:tc>
        <w:tc>
          <w:tcPr>
            <w:tcW w:w="833" w:type="dxa"/>
            <w:tcBorders>
              <w:top w:val="single" w:color="auto" w:sz="4" w:space="0"/>
              <w:left w:val="nil"/>
              <w:bottom w:val="single" w:color="auto" w:sz="4" w:space="0"/>
              <w:right w:val="single" w:color="auto" w:sz="4" w:space="0"/>
            </w:tcBorders>
            <w:vAlign w:val="center"/>
          </w:tcPr>
          <w:p w14:paraId="61628501">
            <w:pPr>
              <w:jc w:val="center"/>
              <w:rPr>
                <w:rFonts w:ascii="宋体" w:hAnsi="宋体"/>
                <w:color w:val="000000"/>
                <w:sz w:val="18"/>
                <w:szCs w:val="18"/>
                <w:highlight w:val="none"/>
              </w:rPr>
            </w:pPr>
          </w:p>
        </w:tc>
      </w:tr>
      <w:tr w14:paraId="4D8AF77E">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674BE031">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3B94B8CA">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39A4045D">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乔木无明显枯枝黄叶、断枝。棕榈科植物及时剪除黄叶，维持其自然生长形态。</w:t>
            </w:r>
          </w:p>
        </w:tc>
        <w:tc>
          <w:tcPr>
            <w:tcW w:w="572" w:type="dxa"/>
            <w:tcBorders>
              <w:top w:val="single" w:color="auto" w:sz="4" w:space="0"/>
              <w:left w:val="nil"/>
              <w:bottom w:val="single" w:color="auto" w:sz="4" w:space="0"/>
              <w:right w:val="single" w:color="auto" w:sz="4" w:space="0"/>
            </w:tcBorders>
            <w:vAlign w:val="center"/>
          </w:tcPr>
          <w:p w14:paraId="324DA2E5">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438833E6">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超过3cm以上的枯枝或棕榈科黄叶不及时剪除每处扣0.1 -0.2分。此条款扣分值不设上限。</w:t>
            </w:r>
          </w:p>
        </w:tc>
        <w:tc>
          <w:tcPr>
            <w:tcW w:w="833" w:type="dxa"/>
            <w:tcBorders>
              <w:top w:val="single" w:color="auto" w:sz="4" w:space="0"/>
              <w:left w:val="nil"/>
              <w:bottom w:val="single" w:color="auto" w:sz="4" w:space="0"/>
              <w:right w:val="single" w:color="auto" w:sz="4" w:space="0"/>
            </w:tcBorders>
            <w:vAlign w:val="center"/>
          </w:tcPr>
          <w:p w14:paraId="37A8E5F1">
            <w:pPr>
              <w:jc w:val="center"/>
              <w:rPr>
                <w:rFonts w:ascii="宋体" w:hAnsi="宋体"/>
                <w:color w:val="000000"/>
                <w:sz w:val="18"/>
                <w:szCs w:val="18"/>
                <w:highlight w:val="none"/>
              </w:rPr>
            </w:pPr>
          </w:p>
        </w:tc>
      </w:tr>
      <w:tr w14:paraId="2354070A">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D0487FD">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1FBFE201">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14:paraId="74A3ACB7">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树体正直不偏斜，无寄生、无钉挂物、缠绕杂物。</w:t>
            </w:r>
          </w:p>
        </w:tc>
        <w:tc>
          <w:tcPr>
            <w:tcW w:w="572" w:type="dxa"/>
            <w:tcBorders>
              <w:top w:val="single" w:color="auto" w:sz="4" w:space="0"/>
              <w:left w:val="nil"/>
              <w:bottom w:val="single" w:color="auto" w:sz="4" w:space="0"/>
              <w:right w:val="single" w:color="auto" w:sz="4" w:space="0"/>
            </w:tcBorders>
            <w:vAlign w:val="center"/>
          </w:tcPr>
          <w:p w14:paraId="3D0DBB72">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14:paraId="10B33DE9">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树体有寄生物、钉挂物、缠绕物每处扣0.1-0.2分。树体倾斜超过15度的每处扣0.1-0.2分。受灾天气过后两天仍未将树扶直的每处扣0.1-0.2分。</w:t>
            </w:r>
          </w:p>
        </w:tc>
        <w:tc>
          <w:tcPr>
            <w:tcW w:w="833" w:type="dxa"/>
            <w:tcBorders>
              <w:top w:val="single" w:color="auto" w:sz="4" w:space="0"/>
              <w:left w:val="nil"/>
              <w:bottom w:val="single" w:color="auto" w:sz="4" w:space="0"/>
              <w:right w:val="single" w:color="auto" w:sz="4" w:space="0"/>
            </w:tcBorders>
            <w:vAlign w:val="center"/>
          </w:tcPr>
          <w:p w14:paraId="125E06DC">
            <w:pPr>
              <w:jc w:val="center"/>
              <w:rPr>
                <w:rFonts w:ascii="宋体" w:hAnsi="宋体"/>
                <w:color w:val="000000"/>
                <w:sz w:val="18"/>
                <w:szCs w:val="18"/>
                <w:highlight w:val="none"/>
              </w:rPr>
            </w:pPr>
          </w:p>
        </w:tc>
      </w:tr>
      <w:tr w14:paraId="5E4B21AD">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2A84C9E8">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19BDB94D">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tcPr>
          <w:p w14:paraId="2EE0635A">
            <w:pPr>
              <w:spacing w:line="320" w:lineRule="exact"/>
              <w:rPr>
                <w:rFonts w:ascii="宋体" w:hAnsi="宋体"/>
                <w:color w:val="000000"/>
                <w:sz w:val="18"/>
                <w:szCs w:val="18"/>
                <w:highlight w:val="none"/>
              </w:rPr>
            </w:pPr>
            <w:r>
              <w:rPr>
                <w:rFonts w:hint="eastAsia" w:ascii="宋体" w:hAnsi="宋体"/>
                <w:color w:val="000000"/>
                <w:sz w:val="18"/>
                <w:szCs w:val="18"/>
                <w:highlight w:val="none"/>
              </w:rPr>
              <w:t>胸径15㎝以下做树盘，边线整齐，大小合适，盘面略低于草面。</w:t>
            </w:r>
          </w:p>
        </w:tc>
        <w:tc>
          <w:tcPr>
            <w:tcW w:w="572" w:type="dxa"/>
            <w:tcBorders>
              <w:top w:val="single" w:color="auto" w:sz="4" w:space="0"/>
              <w:left w:val="nil"/>
              <w:bottom w:val="single" w:color="auto" w:sz="4" w:space="0"/>
              <w:right w:val="single" w:color="auto" w:sz="4" w:space="0"/>
            </w:tcBorders>
            <w:vAlign w:val="center"/>
          </w:tcPr>
          <w:p w14:paraId="64973B40">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14838BF9">
            <w:pPr>
              <w:spacing w:line="320" w:lineRule="exact"/>
              <w:rPr>
                <w:rFonts w:ascii="宋体" w:hAnsi="宋体"/>
                <w:color w:val="000000"/>
                <w:sz w:val="18"/>
                <w:szCs w:val="18"/>
                <w:highlight w:val="none"/>
              </w:rPr>
            </w:pPr>
            <w:r>
              <w:rPr>
                <w:rFonts w:hint="eastAsia" w:ascii="宋体" w:hAnsi="宋体"/>
                <w:color w:val="000000"/>
                <w:sz w:val="18"/>
                <w:szCs w:val="18"/>
                <w:highlight w:val="none"/>
              </w:rPr>
              <w:t>未按要求做树盘的每处扣0.2-0.5分。</w:t>
            </w:r>
          </w:p>
        </w:tc>
        <w:tc>
          <w:tcPr>
            <w:tcW w:w="833" w:type="dxa"/>
            <w:tcBorders>
              <w:top w:val="single" w:color="auto" w:sz="4" w:space="0"/>
              <w:left w:val="nil"/>
              <w:bottom w:val="single" w:color="auto" w:sz="4" w:space="0"/>
              <w:right w:val="single" w:color="auto" w:sz="4" w:space="0"/>
            </w:tcBorders>
            <w:vAlign w:val="center"/>
          </w:tcPr>
          <w:p w14:paraId="16EF7832">
            <w:pPr>
              <w:jc w:val="center"/>
              <w:rPr>
                <w:rFonts w:ascii="宋体" w:hAnsi="宋体"/>
                <w:color w:val="000000"/>
                <w:sz w:val="18"/>
                <w:szCs w:val="18"/>
                <w:highlight w:val="none"/>
              </w:rPr>
            </w:pPr>
          </w:p>
        </w:tc>
      </w:tr>
      <w:tr w14:paraId="5B90309D">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6F0E53F8">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453A35D">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14:paraId="2D5985D1">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及时清理死树桩。</w:t>
            </w:r>
          </w:p>
        </w:tc>
        <w:tc>
          <w:tcPr>
            <w:tcW w:w="572" w:type="dxa"/>
            <w:tcBorders>
              <w:top w:val="single" w:color="auto" w:sz="4" w:space="0"/>
              <w:left w:val="nil"/>
              <w:bottom w:val="single" w:color="auto" w:sz="4" w:space="0"/>
              <w:right w:val="single" w:color="auto" w:sz="4" w:space="0"/>
            </w:tcBorders>
            <w:vAlign w:val="center"/>
          </w:tcPr>
          <w:p w14:paraId="4F6125A5">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6B0F9F92">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未及时清理死树桩的每个扣0.5分。</w:t>
            </w:r>
          </w:p>
        </w:tc>
        <w:tc>
          <w:tcPr>
            <w:tcW w:w="833" w:type="dxa"/>
            <w:tcBorders>
              <w:top w:val="single" w:color="auto" w:sz="4" w:space="0"/>
              <w:left w:val="nil"/>
              <w:bottom w:val="single" w:color="auto" w:sz="4" w:space="0"/>
              <w:right w:val="single" w:color="auto" w:sz="4" w:space="0"/>
            </w:tcBorders>
            <w:vAlign w:val="center"/>
          </w:tcPr>
          <w:p w14:paraId="2418F486">
            <w:pPr>
              <w:jc w:val="center"/>
              <w:rPr>
                <w:rFonts w:ascii="宋体" w:hAnsi="宋体"/>
                <w:color w:val="000000"/>
                <w:sz w:val="18"/>
                <w:szCs w:val="18"/>
                <w:highlight w:val="none"/>
              </w:rPr>
            </w:pPr>
          </w:p>
        </w:tc>
      </w:tr>
      <w:tr w14:paraId="5C4B1A97">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7B7982CF">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988AA21">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14:paraId="0EDE7D25">
            <w:pPr>
              <w:jc w:val="left"/>
              <w:rPr>
                <w:rFonts w:ascii="宋体" w:hAnsi="宋体"/>
                <w:color w:val="000000"/>
                <w:sz w:val="18"/>
                <w:szCs w:val="18"/>
                <w:highlight w:val="none"/>
              </w:rPr>
            </w:pPr>
            <w:r>
              <w:rPr>
                <w:rFonts w:hint="eastAsia" w:ascii="宋体" w:hAnsi="宋体"/>
                <w:color w:val="000000"/>
                <w:sz w:val="18"/>
                <w:szCs w:val="18"/>
                <w:highlight w:val="none"/>
              </w:rPr>
              <w:t>及时修剪整形乔木，修剪面平滑整齐，无枝叶粘连。剪后成形美观，内部通透。修剪后当天及时清理残枝。</w:t>
            </w:r>
          </w:p>
        </w:tc>
        <w:tc>
          <w:tcPr>
            <w:tcW w:w="572" w:type="dxa"/>
            <w:tcBorders>
              <w:top w:val="single" w:color="auto" w:sz="4" w:space="0"/>
              <w:left w:val="nil"/>
              <w:bottom w:val="single" w:color="auto" w:sz="4" w:space="0"/>
              <w:right w:val="single" w:color="auto" w:sz="4" w:space="0"/>
            </w:tcBorders>
            <w:vAlign w:val="center"/>
          </w:tcPr>
          <w:p w14:paraId="2BCCBAA3">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14:paraId="4967DDCA">
            <w:pPr>
              <w:jc w:val="left"/>
              <w:rPr>
                <w:rFonts w:ascii="宋体" w:hAnsi="宋体"/>
                <w:color w:val="000000"/>
                <w:sz w:val="18"/>
                <w:szCs w:val="18"/>
                <w:highlight w:val="none"/>
              </w:rPr>
            </w:pPr>
            <w:r>
              <w:rPr>
                <w:rFonts w:hint="eastAsia" w:ascii="宋体" w:hAnsi="宋体"/>
                <w:color w:val="000000"/>
                <w:sz w:val="18"/>
                <w:szCs w:val="18"/>
                <w:highlight w:val="none"/>
              </w:rPr>
              <w:t>未及时修剪、剪面不整齐或枝叶粘连、残枝未及时处理的每项扣0.2-0.5分。</w:t>
            </w:r>
          </w:p>
        </w:tc>
        <w:tc>
          <w:tcPr>
            <w:tcW w:w="833" w:type="dxa"/>
            <w:tcBorders>
              <w:top w:val="single" w:color="auto" w:sz="4" w:space="0"/>
              <w:left w:val="nil"/>
              <w:bottom w:val="single" w:color="auto" w:sz="4" w:space="0"/>
              <w:right w:val="single" w:color="auto" w:sz="4" w:space="0"/>
            </w:tcBorders>
            <w:vAlign w:val="center"/>
          </w:tcPr>
          <w:p w14:paraId="789334CC">
            <w:pPr>
              <w:jc w:val="center"/>
              <w:rPr>
                <w:rFonts w:ascii="宋体" w:hAnsi="宋体"/>
                <w:color w:val="000000"/>
                <w:sz w:val="18"/>
                <w:szCs w:val="18"/>
                <w:highlight w:val="none"/>
              </w:rPr>
            </w:pPr>
          </w:p>
        </w:tc>
      </w:tr>
      <w:tr w14:paraId="76DA326B">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8AD25C4">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E6D3516">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14:paraId="3D246024">
            <w:pPr>
              <w:jc w:val="left"/>
              <w:rPr>
                <w:rFonts w:ascii="宋体" w:hAnsi="宋体"/>
                <w:color w:val="000000"/>
                <w:sz w:val="18"/>
                <w:szCs w:val="18"/>
                <w:highlight w:val="none"/>
              </w:rPr>
            </w:pPr>
            <w:r>
              <w:rPr>
                <w:rFonts w:hint="eastAsia" w:ascii="宋体" w:hAnsi="宋体"/>
                <w:color w:val="000000"/>
                <w:sz w:val="18"/>
                <w:szCs w:val="18"/>
                <w:highlight w:val="none"/>
              </w:rPr>
              <w:t>及时修剪过低枝条、折断枝应，修剪面平滑，无枝杆撕裂，剪口做保护处理。</w:t>
            </w:r>
          </w:p>
        </w:tc>
        <w:tc>
          <w:tcPr>
            <w:tcW w:w="572" w:type="dxa"/>
            <w:tcBorders>
              <w:top w:val="single" w:color="auto" w:sz="4" w:space="0"/>
              <w:left w:val="nil"/>
              <w:bottom w:val="single" w:color="auto" w:sz="4" w:space="0"/>
              <w:right w:val="single" w:color="auto" w:sz="4" w:space="0"/>
            </w:tcBorders>
            <w:vAlign w:val="center"/>
          </w:tcPr>
          <w:p w14:paraId="145C564E">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288BAEEA">
            <w:pPr>
              <w:jc w:val="left"/>
              <w:rPr>
                <w:rFonts w:ascii="宋体" w:hAnsi="宋体"/>
                <w:color w:val="000000"/>
                <w:sz w:val="18"/>
                <w:szCs w:val="18"/>
                <w:highlight w:val="none"/>
              </w:rPr>
            </w:pPr>
            <w:r>
              <w:rPr>
                <w:rFonts w:hint="eastAsia" w:ascii="宋体" w:hAnsi="宋体"/>
                <w:color w:val="000000"/>
                <w:sz w:val="18"/>
                <w:szCs w:val="18"/>
                <w:highlight w:val="none"/>
              </w:rPr>
              <w:t>修剪不及时、剪口不符合要求、剪口不做任何保护处理的每处扣0.1-0.5分。</w:t>
            </w:r>
          </w:p>
        </w:tc>
        <w:tc>
          <w:tcPr>
            <w:tcW w:w="833" w:type="dxa"/>
            <w:tcBorders>
              <w:top w:val="single" w:color="auto" w:sz="4" w:space="0"/>
              <w:left w:val="nil"/>
              <w:bottom w:val="single" w:color="auto" w:sz="4" w:space="0"/>
              <w:right w:val="single" w:color="auto" w:sz="4" w:space="0"/>
            </w:tcBorders>
            <w:vAlign w:val="center"/>
          </w:tcPr>
          <w:p w14:paraId="49836D21">
            <w:pPr>
              <w:jc w:val="center"/>
              <w:rPr>
                <w:rFonts w:ascii="宋体" w:hAnsi="宋体"/>
                <w:color w:val="000000"/>
                <w:sz w:val="18"/>
                <w:szCs w:val="18"/>
                <w:highlight w:val="none"/>
              </w:rPr>
            </w:pPr>
          </w:p>
        </w:tc>
      </w:tr>
      <w:tr w14:paraId="55D62986">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14:paraId="05B572F1">
            <w:pPr>
              <w:jc w:val="center"/>
              <w:rPr>
                <w:rFonts w:ascii="宋体" w:hAnsi="宋体"/>
                <w:b/>
                <w:color w:val="000000"/>
                <w:sz w:val="18"/>
                <w:szCs w:val="18"/>
                <w:highlight w:val="none"/>
              </w:rPr>
            </w:pPr>
            <w:r>
              <w:rPr>
                <w:rFonts w:hint="eastAsia" w:ascii="宋体" w:hAnsi="宋体"/>
                <w:b/>
                <w:color w:val="000000"/>
                <w:sz w:val="18"/>
                <w:szCs w:val="18"/>
                <w:highlight w:val="none"/>
              </w:rPr>
              <w:t>灌</w:t>
            </w:r>
          </w:p>
          <w:p w14:paraId="71FA128A">
            <w:pPr>
              <w:jc w:val="center"/>
              <w:rPr>
                <w:rFonts w:ascii="宋体" w:hAnsi="宋体"/>
                <w:b/>
                <w:color w:val="000000"/>
                <w:sz w:val="18"/>
                <w:szCs w:val="18"/>
                <w:highlight w:val="none"/>
              </w:rPr>
            </w:pPr>
          </w:p>
          <w:p w14:paraId="0EE8D317">
            <w:pPr>
              <w:jc w:val="center"/>
              <w:rPr>
                <w:rFonts w:ascii="宋体" w:hAnsi="宋体"/>
                <w:b/>
                <w:color w:val="000000"/>
                <w:sz w:val="18"/>
                <w:szCs w:val="18"/>
                <w:highlight w:val="none"/>
              </w:rPr>
            </w:pPr>
            <w:r>
              <w:rPr>
                <w:rFonts w:hint="eastAsia" w:ascii="宋体" w:hAnsi="宋体"/>
                <w:b/>
                <w:color w:val="000000"/>
                <w:sz w:val="18"/>
                <w:szCs w:val="18"/>
                <w:highlight w:val="none"/>
              </w:rPr>
              <w:t>木</w:t>
            </w:r>
          </w:p>
          <w:p w14:paraId="72BD12CF">
            <w:pPr>
              <w:jc w:val="center"/>
              <w:rPr>
                <w:rFonts w:ascii="宋体" w:hAnsi="宋体"/>
                <w:b/>
                <w:color w:val="000000"/>
                <w:sz w:val="18"/>
                <w:szCs w:val="18"/>
                <w:highlight w:val="none"/>
              </w:rPr>
            </w:pPr>
          </w:p>
          <w:p w14:paraId="45E9AE3D">
            <w:pPr>
              <w:jc w:val="center"/>
              <w:rPr>
                <w:rFonts w:ascii="宋体" w:hAnsi="宋体"/>
                <w:b/>
                <w:color w:val="000000"/>
                <w:sz w:val="18"/>
                <w:szCs w:val="18"/>
                <w:highlight w:val="none"/>
              </w:rPr>
            </w:pPr>
            <w:r>
              <w:rPr>
                <w:rFonts w:hint="eastAsia" w:ascii="宋体" w:hAnsi="宋体"/>
                <w:b/>
                <w:color w:val="000000"/>
                <w:sz w:val="18"/>
                <w:szCs w:val="18"/>
                <w:highlight w:val="none"/>
              </w:rPr>
              <w:t>绿</w:t>
            </w:r>
          </w:p>
          <w:p w14:paraId="7D8BB881">
            <w:pPr>
              <w:jc w:val="center"/>
              <w:rPr>
                <w:rFonts w:ascii="宋体" w:hAnsi="宋体"/>
                <w:b/>
                <w:color w:val="000000"/>
                <w:sz w:val="18"/>
                <w:szCs w:val="18"/>
                <w:highlight w:val="none"/>
              </w:rPr>
            </w:pPr>
          </w:p>
          <w:p w14:paraId="6B8A0D34">
            <w:pPr>
              <w:jc w:val="center"/>
              <w:rPr>
                <w:rFonts w:ascii="宋体" w:hAnsi="宋体"/>
                <w:b/>
                <w:color w:val="000000"/>
                <w:sz w:val="18"/>
                <w:szCs w:val="18"/>
                <w:highlight w:val="none"/>
              </w:rPr>
            </w:pPr>
            <w:r>
              <w:rPr>
                <w:rFonts w:hint="eastAsia" w:ascii="宋体" w:hAnsi="宋体"/>
                <w:b/>
                <w:color w:val="000000"/>
                <w:sz w:val="18"/>
                <w:szCs w:val="18"/>
                <w:highlight w:val="none"/>
              </w:rPr>
              <w:t>篱</w:t>
            </w:r>
          </w:p>
        </w:tc>
        <w:tc>
          <w:tcPr>
            <w:tcW w:w="435" w:type="dxa"/>
            <w:tcBorders>
              <w:top w:val="single" w:color="auto" w:sz="4" w:space="0"/>
              <w:left w:val="nil"/>
              <w:bottom w:val="single" w:color="auto" w:sz="4" w:space="0"/>
              <w:right w:val="single" w:color="auto" w:sz="4" w:space="0"/>
            </w:tcBorders>
            <w:vAlign w:val="center"/>
          </w:tcPr>
          <w:p w14:paraId="6F69B04E">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1655581E">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灌木生长良好，树体正直不偏斜，植株无病害。</w:t>
            </w:r>
          </w:p>
        </w:tc>
        <w:tc>
          <w:tcPr>
            <w:tcW w:w="572" w:type="dxa"/>
            <w:tcBorders>
              <w:top w:val="single" w:color="auto" w:sz="4" w:space="0"/>
              <w:left w:val="nil"/>
              <w:bottom w:val="single" w:color="auto" w:sz="4" w:space="0"/>
              <w:right w:val="single" w:color="auto" w:sz="4" w:space="0"/>
            </w:tcBorders>
            <w:vAlign w:val="center"/>
          </w:tcPr>
          <w:p w14:paraId="4629270B">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15B2D031">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长势不良、植株倾斜或有明显病害的每处扣0.2-0.5分。</w:t>
            </w:r>
          </w:p>
        </w:tc>
        <w:tc>
          <w:tcPr>
            <w:tcW w:w="833" w:type="dxa"/>
            <w:tcBorders>
              <w:top w:val="single" w:color="auto" w:sz="4" w:space="0"/>
              <w:left w:val="nil"/>
              <w:bottom w:val="single" w:color="auto" w:sz="4" w:space="0"/>
              <w:right w:val="single" w:color="auto" w:sz="4" w:space="0"/>
            </w:tcBorders>
            <w:vAlign w:val="center"/>
          </w:tcPr>
          <w:p w14:paraId="47D45786">
            <w:pPr>
              <w:jc w:val="center"/>
              <w:rPr>
                <w:rFonts w:ascii="宋体" w:hAnsi="宋体"/>
                <w:color w:val="000000"/>
                <w:sz w:val="18"/>
                <w:szCs w:val="18"/>
                <w:highlight w:val="none"/>
              </w:rPr>
            </w:pPr>
          </w:p>
        </w:tc>
      </w:tr>
      <w:tr w14:paraId="3FCE82A8">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6DFE7115">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1CA715DD">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3400BDC5">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孤植灌木树盘边线整齐，无杂草。</w:t>
            </w:r>
          </w:p>
        </w:tc>
        <w:tc>
          <w:tcPr>
            <w:tcW w:w="572" w:type="dxa"/>
            <w:tcBorders>
              <w:top w:val="single" w:color="auto" w:sz="4" w:space="0"/>
              <w:left w:val="nil"/>
              <w:bottom w:val="single" w:color="auto" w:sz="4" w:space="0"/>
              <w:right w:val="single" w:color="auto" w:sz="4" w:space="0"/>
            </w:tcBorders>
            <w:vAlign w:val="center"/>
          </w:tcPr>
          <w:p w14:paraId="274E2CBF">
            <w:pPr>
              <w:spacing w:line="36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6DD7E51C">
            <w:pPr>
              <w:spacing w:line="360" w:lineRule="exact"/>
              <w:jc w:val="left"/>
              <w:rPr>
                <w:rFonts w:ascii="宋体" w:hAnsi="宋体"/>
                <w:color w:val="000000"/>
                <w:sz w:val="18"/>
                <w:szCs w:val="18"/>
                <w:highlight w:val="none"/>
              </w:rPr>
            </w:pPr>
            <w:r>
              <w:rPr>
                <w:rFonts w:hint="eastAsia" w:ascii="宋体" w:hAnsi="宋体"/>
                <w:color w:val="000000"/>
                <w:sz w:val="18"/>
                <w:szCs w:val="18"/>
                <w:highlight w:val="none"/>
              </w:rPr>
              <w:t>未做树盘或有杂草每处扣0.2-0.5分。</w:t>
            </w:r>
          </w:p>
        </w:tc>
        <w:tc>
          <w:tcPr>
            <w:tcW w:w="833" w:type="dxa"/>
            <w:tcBorders>
              <w:top w:val="single" w:color="auto" w:sz="4" w:space="0"/>
              <w:left w:val="nil"/>
              <w:bottom w:val="single" w:color="auto" w:sz="4" w:space="0"/>
              <w:right w:val="single" w:color="auto" w:sz="4" w:space="0"/>
            </w:tcBorders>
            <w:vAlign w:val="center"/>
          </w:tcPr>
          <w:p w14:paraId="5073E2CD">
            <w:pPr>
              <w:jc w:val="center"/>
              <w:rPr>
                <w:rFonts w:ascii="宋体" w:hAnsi="宋体"/>
                <w:color w:val="000000"/>
                <w:sz w:val="18"/>
                <w:szCs w:val="18"/>
                <w:highlight w:val="none"/>
              </w:rPr>
            </w:pPr>
          </w:p>
        </w:tc>
      </w:tr>
      <w:tr w14:paraId="06595E22">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63354AC8">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CDA4134">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tcPr>
          <w:p w14:paraId="2C937DA8">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整形灌木、孤植灌球、片植灌木及时修剪。修剪面平滑整齐，无枝叶粘连。整形灌木剪后成形美观，内部通透。修剪后及时清理干净绿化垃圾（地面和植株上）。</w:t>
            </w:r>
          </w:p>
        </w:tc>
        <w:tc>
          <w:tcPr>
            <w:tcW w:w="572" w:type="dxa"/>
            <w:tcBorders>
              <w:top w:val="single" w:color="auto" w:sz="4" w:space="0"/>
              <w:left w:val="nil"/>
              <w:bottom w:val="single" w:color="auto" w:sz="4" w:space="0"/>
              <w:right w:val="single" w:color="auto" w:sz="4" w:space="0"/>
            </w:tcBorders>
            <w:vAlign w:val="center"/>
          </w:tcPr>
          <w:p w14:paraId="5C90BC2A">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75C23AD9">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未及时修剪的每处扣0.2-0.5分。修剪面不整齐或枝叶粘连、修剪后不美观的每处扣0.2-0.5分。修剪后未及时清理的每处扣0.2 -0.5分。</w:t>
            </w:r>
          </w:p>
        </w:tc>
        <w:tc>
          <w:tcPr>
            <w:tcW w:w="833" w:type="dxa"/>
            <w:tcBorders>
              <w:top w:val="single" w:color="auto" w:sz="4" w:space="0"/>
              <w:left w:val="nil"/>
              <w:bottom w:val="single" w:color="auto" w:sz="4" w:space="0"/>
              <w:right w:val="single" w:color="auto" w:sz="4" w:space="0"/>
            </w:tcBorders>
            <w:vAlign w:val="center"/>
          </w:tcPr>
          <w:p w14:paraId="25606113">
            <w:pPr>
              <w:jc w:val="center"/>
              <w:rPr>
                <w:rFonts w:ascii="宋体" w:hAnsi="宋体"/>
                <w:color w:val="000000"/>
                <w:sz w:val="18"/>
                <w:szCs w:val="18"/>
                <w:highlight w:val="none"/>
              </w:rPr>
            </w:pPr>
          </w:p>
        </w:tc>
      </w:tr>
      <w:tr w14:paraId="0A433FD0">
        <w:trPr>
          <w:cantSplit/>
          <w:trHeight w:val="665" w:hRule="atLeast"/>
        </w:trPr>
        <w:tc>
          <w:tcPr>
            <w:tcW w:w="538" w:type="dxa"/>
            <w:vMerge w:val="continue"/>
            <w:tcBorders>
              <w:top w:val="nil"/>
              <w:left w:val="single" w:color="auto" w:sz="4" w:space="0"/>
              <w:bottom w:val="single" w:color="auto" w:sz="4" w:space="0"/>
              <w:right w:val="single" w:color="auto" w:sz="4" w:space="0"/>
            </w:tcBorders>
            <w:vAlign w:val="center"/>
          </w:tcPr>
          <w:p w14:paraId="4AD1D173">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A89BDB5">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tcPr>
          <w:p w14:paraId="222CEAFD">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灌木绿篱无光脚、死株、断档现象。</w:t>
            </w:r>
          </w:p>
        </w:tc>
        <w:tc>
          <w:tcPr>
            <w:tcW w:w="572" w:type="dxa"/>
            <w:tcBorders>
              <w:top w:val="single" w:color="auto" w:sz="4" w:space="0"/>
              <w:left w:val="nil"/>
              <w:bottom w:val="single" w:color="auto" w:sz="4" w:space="0"/>
              <w:right w:val="single" w:color="auto" w:sz="4" w:space="0"/>
            </w:tcBorders>
            <w:vAlign w:val="center"/>
          </w:tcPr>
          <w:p w14:paraId="1453E0D1">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387920E7">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片植灌木有光脚、死株、断档现象的每项扣0.2-0.5分。</w:t>
            </w:r>
          </w:p>
        </w:tc>
        <w:tc>
          <w:tcPr>
            <w:tcW w:w="833" w:type="dxa"/>
            <w:tcBorders>
              <w:top w:val="single" w:color="auto" w:sz="4" w:space="0"/>
              <w:left w:val="nil"/>
              <w:bottom w:val="single" w:color="auto" w:sz="4" w:space="0"/>
              <w:right w:val="single" w:color="auto" w:sz="4" w:space="0"/>
            </w:tcBorders>
            <w:vAlign w:val="center"/>
          </w:tcPr>
          <w:p w14:paraId="37765171">
            <w:pPr>
              <w:jc w:val="center"/>
              <w:rPr>
                <w:rFonts w:ascii="宋体" w:hAnsi="宋体"/>
                <w:color w:val="000000"/>
                <w:sz w:val="18"/>
                <w:szCs w:val="18"/>
                <w:highlight w:val="none"/>
              </w:rPr>
            </w:pPr>
          </w:p>
        </w:tc>
      </w:tr>
      <w:tr w14:paraId="6768DF18">
        <w:tblPrEx>
          <w:tblCellMar>
            <w:top w:w="0" w:type="dxa"/>
            <w:left w:w="108" w:type="dxa"/>
            <w:bottom w:w="0" w:type="dxa"/>
            <w:right w:w="108" w:type="dxa"/>
          </w:tblCellMar>
        </w:tblPrEx>
        <w:trPr>
          <w:cantSplit/>
          <w:trHeight w:val="665" w:hRule="atLeast"/>
        </w:trPr>
        <w:tc>
          <w:tcPr>
            <w:tcW w:w="538" w:type="dxa"/>
            <w:vMerge w:val="continue"/>
            <w:tcBorders>
              <w:top w:val="nil"/>
              <w:left w:val="single" w:color="auto" w:sz="4" w:space="0"/>
              <w:bottom w:val="single" w:color="auto" w:sz="4" w:space="0"/>
              <w:right w:val="single" w:color="auto" w:sz="4" w:space="0"/>
            </w:tcBorders>
            <w:vAlign w:val="center"/>
          </w:tcPr>
          <w:p w14:paraId="2127E9C8">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3404F0E8">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14:paraId="0FD8E2D5">
            <w:pPr>
              <w:spacing w:line="320" w:lineRule="exact"/>
              <w:rPr>
                <w:rFonts w:ascii="宋体" w:hAnsi="宋体"/>
                <w:color w:val="000000"/>
                <w:sz w:val="18"/>
                <w:szCs w:val="18"/>
                <w:highlight w:val="none"/>
              </w:rPr>
            </w:pPr>
            <w:r>
              <w:rPr>
                <w:rFonts w:hint="eastAsia" w:ascii="宋体" w:hAnsi="宋体"/>
                <w:color w:val="000000"/>
                <w:sz w:val="18"/>
                <w:szCs w:val="18"/>
                <w:highlight w:val="none"/>
              </w:rPr>
              <w:t>绿篱和片植灌木内无石块等杂物。</w:t>
            </w:r>
          </w:p>
        </w:tc>
        <w:tc>
          <w:tcPr>
            <w:tcW w:w="572" w:type="dxa"/>
            <w:tcBorders>
              <w:top w:val="single" w:color="auto" w:sz="4" w:space="0"/>
              <w:left w:val="nil"/>
              <w:bottom w:val="single" w:color="auto" w:sz="4" w:space="0"/>
              <w:right w:val="single" w:color="auto" w:sz="4" w:space="0"/>
            </w:tcBorders>
            <w:vAlign w:val="center"/>
          </w:tcPr>
          <w:p w14:paraId="4C49BA25">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05B8C0E8">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石块等杂物每处扣0.2-0.5分。</w:t>
            </w:r>
          </w:p>
        </w:tc>
        <w:tc>
          <w:tcPr>
            <w:tcW w:w="833" w:type="dxa"/>
            <w:tcBorders>
              <w:top w:val="single" w:color="auto" w:sz="4" w:space="0"/>
              <w:left w:val="nil"/>
              <w:bottom w:val="single" w:color="auto" w:sz="4" w:space="0"/>
              <w:right w:val="single" w:color="auto" w:sz="4" w:space="0"/>
            </w:tcBorders>
            <w:vAlign w:val="center"/>
          </w:tcPr>
          <w:p w14:paraId="08B52F21">
            <w:pPr>
              <w:jc w:val="center"/>
              <w:rPr>
                <w:rFonts w:ascii="宋体" w:hAnsi="宋体"/>
                <w:color w:val="000000"/>
                <w:sz w:val="18"/>
                <w:szCs w:val="18"/>
                <w:highlight w:val="none"/>
              </w:rPr>
            </w:pPr>
          </w:p>
        </w:tc>
      </w:tr>
      <w:tr w14:paraId="193D680F">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14:paraId="5AA959C0">
            <w:pPr>
              <w:jc w:val="center"/>
              <w:rPr>
                <w:rFonts w:ascii="宋体" w:hAnsi="宋体"/>
                <w:b/>
                <w:color w:val="000000"/>
                <w:sz w:val="18"/>
                <w:szCs w:val="18"/>
                <w:highlight w:val="none"/>
              </w:rPr>
            </w:pPr>
            <w:r>
              <w:rPr>
                <w:rFonts w:hint="eastAsia" w:ascii="宋体" w:hAnsi="宋体"/>
                <w:b/>
                <w:color w:val="000000"/>
                <w:sz w:val="18"/>
                <w:szCs w:val="18"/>
                <w:highlight w:val="none"/>
              </w:rPr>
              <w:t>草</w:t>
            </w:r>
          </w:p>
          <w:p w14:paraId="6A92EA04">
            <w:pPr>
              <w:jc w:val="center"/>
              <w:rPr>
                <w:rFonts w:ascii="宋体" w:hAnsi="宋体"/>
                <w:b/>
                <w:color w:val="000000"/>
                <w:sz w:val="18"/>
                <w:szCs w:val="18"/>
                <w:highlight w:val="none"/>
              </w:rPr>
            </w:pPr>
            <w:r>
              <w:rPr>
                <w:rFonts w:hint="eastAsia" w:ascii="宋体" w:hAnsi="宋体"/>
                <w:b/>
                <w:color w:val="000000"/>
                <w:sz w:val="18"/>
                <w:szCs w:val="18"/>
                <w:highlight w:val="none"/>
              </w:rPr>
              <w:t>坪</w:t>
            </w:r>
          </w:p>
          <w:p w14:paraId="421CCEB7">
            <w:pPr>
              <w:jc w:val="center"/>
              <w:rPr>
                <w:rFonts w:ascii="宋体" w:hAnsi="宋体"/>
                <w:b/>
                <w:color w:val="000000"/>
                <w:sz w:val="18"/>
                <w:szCs w:val="18"/>
                <w:highlight w:val="none"/>
              </w:rPr>
            </w:pPr>
            <w:r>
              <w:rPr>
                <w:rFonts w:hint="eastAsia" w:ascii="宋体" w:hAnsi="宋体"/>
                <w:b/>
                <w:color w:val="000000"/>
                <w:sz w:val="18"/>
                <w:szCs w:val="18"/>
                <w:highlight w:val="none"/>
              </w:rPr>
              <w:t>及</w:t>
            </w:r>
          </w:p>
          <w:p w14:paraId="1D316BA5">
            <w:pPr>
              <w:jc w:val="center"/>
              <w:rPr>
                <w:rFonts w:ascii="宋体" w:hAnsi="宋体"/>
                <w:b/>
                <w:color w:val="000000"/>
                <w:sz w:val="18"/>
                <w:szCs w:val="18"/>
                <w:highlight w:val="none"/>
              </w:rPr>
            </w:pPr>
            <w:r>
              <w:rPr>
                <w:rFonts w:hint="eastAsia" w:ascii="宋体" w:hAnsi="宋体"/>
                <w:b/>
                <w:color w:val="000000"/>
                <w:sz w:val="18"/>
                <w:szCs w:val="18"/>
                <w:highlight w:val="none"/>
              </w:rPr>
              <w:t>地</w:t>
            </w:r>
          </w:p>
          <w:p w14:paraId="3BC8D864">
            <w:pPr>
              <w:jc w:val="center"/>
              <w:rPr>
                <w:rFonts w:ascii="宋体" w:hAnsi="宋体"/>
                <w:b/>
                <w:color w:val="000000"/>
                <w:sz w:val="18"/>
                <w:szCs w:val="18"/>
                <w:highlight w:val="none"/>
              </w:rPr>
            </w:pPr>
            <w:r>
              <w:rPr>
                <w:rFonts w:hint="eastAsia" w:ascii="宋体" w:hAnsi="宋体"/>
                <w:b/>
                <w:color w:val="000000"/>
                <w:sz w:val="18"/>
                <w:szCs w:val="18"/>
                <w:highlight w:val="none"/>
              </w:rPr>
              <w:t>被</w:t>
            </w:r>
          </w:p>
        </w:tc>
        <w:tc>
          <w:tcPr>
            <w:tcW w:w="435" w:type="dxa"/>
            <w:tcBorders>
              <w:top w:val="single" w:color="auto" w:sz="4" w:space="0"/>
              <w:left w:val="nil"/>
              <w:bottom w:val="single" w:color="auto" w:sz="4" w:space="0"/>
              <w:right w:val="single" w:color="auto" w:sz="4" w:space="0"/>
            </w:tcBorders>
            <w:vAlign w:val="center"/>
          </w:tcPr>
          <w:p w14:paraId="65F6BFB9">
            <w:pPr>
              <w:jc w:val="center"/>
              <w:rPr>
                <w:rFonts w:ascii="宋体" w:hAnsi="宋体"/>
                <w:color w:val="000000"/>
                <w:sz w:val="18"/>
                <w:szCs w:val="18"/>
                <w:highlight w:val="none"/>
              </w:rPr>
            </w:pPr>
          </w:p>
          <w:p w14:paraId="5BFDE79F">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23C57C04">
            <w:pPr>
              <w:jc w:val="left"/>
              <w:rPr>
                <w:rFonts w:ascii="宋体" w:hAnsi="宋体"/>
                <w:color w:val="000000"/>
                <w:sz w:val="18"/>
                <w:szCs w:val="18"/>
                <w:highlight w:val="none"/>
              </w:rPr>
            </w:pPr>
            <w:r>
              <w:rPr>
                <w:rFonts w:hint="eastAsia" w:ascii="宋体" w:hAnsi="宋体"/>
                <w:color w:val="000000"/>
                <w:sz w:val="18"/>
                <w:szCs w:val="18"/>
                <w:highlight w:val="none"/>
              </w:rPr>
              <w:t>保持草坪青绿无枯黄，无明显病虫害、无杂草、碎石，草坪美观平整，高度控制在8cm以下。</w:t>
            </w:r>
          </w:p>
        </w:tc>
        <w:tc>
          <w:tcPr>
            <w:tcW w:w="572" w:type="dxa"/>
            <w:tcBorders>
              <w:top w:val="single" w:color="auto" w:sz="4" w:space="0"/>
              <w:left w:val="nil"/>
              <w:bottom w:val="single" w:color="auto" w:sz="4" w:space="0"/>
              <w:right w:val="single" w:color="auto" w:sz="4" w:space="0"/>
            </w:tcBorders>
            <w:vAlign w:val="center"/>
          </w:tcPr>
          <w:p w14:paraId="57E2E3AE">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14:paraId="2DD17E65">
            <w:pPr>
              <w:jc w:val="left"/>
              <w:rPr>
                <w:rFonts w:ascii="宋体" w:hAnsi="宋体"/>
                <w:color w:val="000000"/>
                <w:sz w:val="18"/>
                <w:szCs w:val="18"/>
                <w:highlight w:val="none"/>
              </w:rPr>
            </w:pPr>
            <w:r>
              <w:rPr>
                <w:rFonts w:hint="eastAsia" w:ascii="宋体" w:hAnsi="宋体"/>
                <w:color w:val="000000"/>
                <w:sz w:val="18"/>
                <w:szCs w:val="18"/>
                <w:highlight w:val="none"/>
              </w:rPr>
              <w:t>草坪枯黄面积达50㎡（重点区域20㎡）以上或有明显病虫害、杂草、碎石的每处扣0.2-0.5分，草坪起球、杂乱、高度过高的每处扣0.2-0.5分。</w:t>
            </w:r>
          </w:p>
        </w:tc>
        <w:tc>
          <w:tcPr>
            <w:tcW w:w="833" w:type="dxa"/>
            <w:tcBorders>
              <w:top w:val="single" w:color="auto" w:sz="4" w:space="0"/>
              <w:left w:val="nil"/>
              <w:bottom w:val="single" w:color="auto" w:sz="4" w:space="0"/>
              <w:right w:val="single" w:color="auto" w:sz="4" w:space="0"/>
            </w:tcBorders>
            <w:vAlign w:val="center"/>
          </w:tcPr>
          <w:p w14:paraId="07054BDF">
            <w:pPr>
              <w:jc w:val="center"/>
              <w:rPr>
                <w:rFonts w:ascii="宋体" w:hAnsi="宋体"/>
                <w:color w:val="000000"/>
                <w:sz w:val="18"/>
                <w:szCs w:val="18"/>
                <w:highlight w:val="none"/>
              </w:rPr>
            </w:pPr>
          </w:p>
        </w:tc>
      </w:tr>
      <w:tr w14:paraId="227FD4FB">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47499E6C">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50D5F84D">
            <w:pPr>
              <w:jc w:val="center"/>
              <w:rPr>
                <w:rFonts w:ascii="宋体" w:hAnsi="宋体"/>
                <w:color w:val="000000"/>
                <w:sz w:val="18"/>
                <w:szCs w:val="18"/>
                <w:highlight w:val="none"/>
              </w:rPr>
            </w:pPr>
          </w:p>
          <w:p w14:paraId="6491CBE7">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1B427366">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及时清理打草作业后产生的绿化垃圾（地面及草地上）。</w:t>
            </w:r>
          </w:p>
        </w:tc>
        <w:tc>
          <w:tcPr>
            <w:tcW w:w="572" w:type="dxa"/>
            <w:tcBorders>
              <w:top w:val="single" w:color="auto" w:sz="4" w:space="0"/>
              <w:left w:val="nil"/>
              <w:bottom w:val="single" w:color="auto" w:sz="4" w:space="0"/>
              <w:right w:val="single" w:color="auto" w:sz="4" w:space="0"/>
            </w:tcBorders>
            <w:vAlign w:val="center"/>
          </w:tcPr>
          <w:p w14:paraId="6ED783F2">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4D61EAC0">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不及时清理的每处扣0.2-0.5分。</w:t>
            </w:r>
          </w:p>
        </w:tc>
        <w:tc>
          <w:tcPr>
            <w:tcW w:w="833" w:type="dxa"/>
            <w:tcBorders>
              <w:top w:val="single" w:color="auto" w:sz="4" w:space="0"/>
              <w:left w:val="nil"/>
              <w:bottom w:val="single" w:color="auto" w:sz="4" w:space="0"/>
              <w:right w:val="single" w:color="auto" w:sz="4" w:space="0"/>
            </w:tcBorders>
            <w:vAlign w:val="center"/>
          </w:tcPr>
          <w:p w14:paraId="723B539E">
            <w:pPr>
              <w:jc w:val="center"/>
              <w:rPr>
                <w:rFonts w:ascii="宋体" w:hAnsi="宋体"/>
                <w:color w:val="000000"/>
                <w:sz w:val="18"/>
                <w:szCs w:val="18"/>
                <w:highlight w:val="none"/>
              </w:rPr>
            </w:pPr>
          </w:p>
        </w:tc>
      </w:tr>
      <w:tr w14:paraId="0171DD46">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0F967AC0">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2527C41">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14:paraId="3A63DEEA">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地被图形清晰，边线明显，无明显病虫害、杂草、黄叶。。</w:t>
            </w:r>
          </w:p>
        </w:tc>
        <w:tc>
          <w:tcPr>
            <w:tcW w:w="572" w:type="dxa"/>
            <w:tcBorders>
              <w:top w:val="single" w:color="auto" w:sz="4" w:space="0"/>
              <w:left w:val="nil"/>
              <w:bottom w:val="single" w:color="auto" w:sz="4" w:space="0"/>
              <w:right w:val="single" w:color="auto" w:sz="4" w:space="0"/>
            </w:tcBorders>
            <w:vAlign w:val="center"/>
          </w:tcPr>
          <w:p w14:paraId="1F910298">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1980B628">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地被边线未处理，有明显病虫害、杂草、黄叶的每处扣0.2-0.5分。</w:t>
            </w:r>
          </w:p>
        </w:tc>
        <w:tc>
          <w:tcPr>
            <w:tcW w:w="833" w:type="dxa"/>
            <w:tcBorders>
              <w:top w:val="single" w:color="auto" w:sz="4" w:space="0"/>
              <w:left w:val="nil"/>
              <w:bottom w:val="single" w:color="auto" w:sz="4" w:space="0"/>
              <w:right w:val="single" w:color="auto" w:sz="4" w:space="0"/>
            </w:tcBorders>
            <w:vAlign w:val="center"/>
          </w:tcPr>
          <w:p w14:paraId="1B4D5F63">
            <w:pPr>
              <w:jc w:val="center"/>
              <w:rPr>
                <w:rFonts w:ascii="宋体" w:hAnsi="宋体"/>
                <w:color w:val="000000"/>
                <w:sz w:val="18"/>
                <w:szCs w:val="18"/>
                <w:highlight w:val="none"/>
              </w:rPr>
            </w:pPr>
          </w:p>
        </w:tc>
      </w:tr>
      <w:tr w14:paraId="0D1EDD8A">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D91220D">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78551807">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14:paraId="7EDF79A8">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及时修剪伸出路缘石的地被。</w:t>
            </w:r>
          </w:p>
        </w:tc>
        <w:tc>
          <w:tcPr>
            <w:tcW w:w="572" w:type="dxa"/>
            <w:tcBorders>
              <w:top w:val="single" w:color="auto" w:sz="4" w:space="0"/>
              <w:left w:val="nil"/>
              <w:bottom w:val="single" w:color="auto" w:sz="4" w:space="0"/>
              <w:right w:val="single" w:color="auto" w:sz="4" w:space="0"/>
            </w:tcBorders>
            <w:vAlign w:val="center"/>
          </w:tcPr>
          <w:p w14:paraId="1CCA6F9C">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21367A54">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不及时修剪的每处扣0.1-0.2分。</w:t>
            </w:r>
          </w:p>
        </w:tc>
        <w:tc>
          <w:tcPr>
            <w:tcW w:w="833" w:type="dxa"/>
            <w:tcBorders>
              <w:top w:val="single" w:color="auto" w:sz="4" w:space="0"/>
              <w:left w:val="nil"/>
              <w:bottom w:val="single" w:color="auto" w:sz="4" w:space="0"/>
              <w:right w:val="single" w:color="auto" w:sz="4" w:space="0"/>
            </w:tcBorders>
            <w:vAlign w:val="center"/>
          </w:tcPr>
          <w:p w14:paraId="3CEB55EC">
            <w:pPr>
              <w:jc w:val="center"/>
              <w:rPr>
                <w:rFonts w:ascii="宋体" w:hAnsi="宋体"/>
                <w:color w:val="000000"/>
                <w:sz w:val="18"/>
                <w:szCs w:val="18"/>
                <w:highlight w:val="none"/>
              </w:rPr>
            </w:pPr>
          </w:p>
        </w:tc>
      </w:tr>
      <w:tr w14:paraId="6D32144C">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14:paraId="13CA87A1">
            <w:pPr>
              <w:jc w:val="center"/>
              <w:rPr>
                <w:rFonts w:ascii="宋体" w:hAnsi="宋体"/>
                <w:b/>
                <w:color w:val="000000"/>
                <w:sz w:val="18"/>
                <w:szCs w:val="18"/>
                <w:highlight w:val="none"/>
              </w:rPr>
            </w:pPr>
          </w:p>
          <w:p w14:paraId="1077AA4D">
            <w:pPr>
              <w:jc w:val="center"/>
              <w:rPr>
                <w:rFonts w:ascii="宋体" w:hAnsi="宋体"/>
                <w:b/>
                <w:color w:val="000000"/>
                <w:sz w:val="18"/>
                <w:szCs w:val="18"/>
                <w:highlight w:val="none"/>
              </w:rPr>
            </w:pPr>
            <w:r>
              <w:rPr>
                <w:rFonts w:hint="eastAsia" w:ascii="宋体" w:hAnsi="宋体"/>
                <w:b/>
                <w:color w:val="000000"/>
                <w:sz w:val="18"/>
                <w:szCs w:val="18"/>
                <w:highlight w:val="none"/>
              </w:rPr>
              <w:t>安全生产</w:t>
            </w:r>
          </w:p>
        </w:tc>
        <w:tc>
          <w:tcPr>
            <w:tcW w:w="435" w:type="dxa"/>
            <w:tcBorders>
              <w:top w:val="single" w:color="auto" w:sz="4" w:space="0"/>
              <w:left w:val="nil"/>
              <w:bottom w:val="single" w:color="auto" w:sz="4" w:space="0"/>
              <w:right w:val="single" w:color="auto" w:sz="4" w:space="0"/>
            </w:tcBorders>
            <w:vAlign w:val="center"/>
          </w:tcPr>
          <w:p w14:paraId="099F40AD">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655860AC">
            <w:pPr>
              <w:jc w:val="left"/>
              <w:rPr>
                <w:rFonts w:ascii="宋体" w:hAnsi="宋体"/>
                <w:color w:val="000000"/>
                <w:sz w:val="18"/>
                <w:szCs w:val="18"/>
                <w:highlight w:val="none"/>
              </w:rPr>
            </w:pPr>
            <w:r>
              <w:rPr>
                <w:rFonts w:hint="eastAsia" w:ascii="宋体" w:hAnsi="宋体"/>
                <w:color w:val="000000"/>
                <w:sz w:val="18"/>
                <w:szCs w:val="18"/>
                <w:highlight w:val="none"/>
              </w:rPr>
              <w:t>严格遵守操作规程，正确使用各类作业器具。</w:t>
            </w:r>
          </w:p>
        </w:tc>
        <w:tc>
          <w:tcPr>
            <w:tcW w:w="572" w:type="dxa"/>
            <w:tcBorders>
              <w:top w:val="single" w:color="auto" w:sz="4" w:space="0"/>
              <w:left w:val="nil"/>
              <w:bottom w:val="single" w:color="auto" w:sz="4" w:space="0"/>
              <w:right w:val="single" w:color="auto" w:sz="4" w:space="0"/>
            </w:tcBorders>
            <w:vAlign w:val="center"/>
          </w:tcPr>
          <w:p w14:paraId="5A78A3E0">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289D7278">
            <w:pPr>
              <w:jc w:val="left"/>
              <w:rPr>
                <w:rFonts w:ascii="宋体" w:hAnsi="宋体"/>
                <w:color w:val="000000"/>
                <w:sz w:val="18"/>
                <w:szCs w:val="18"/>
                <w:highlight w:val="none"/>
              </w:rPr>
            </w:pPr>
            <w:r>
              <w:rPr>
                <w:rFonts w:hint="eastAsia" w:ascii="宋体" w:hAnsi="宋体"/>
                <w:color w:val="000000"/>
                <w:sz w:val="18"/>
                <w:szCs w:val="18"/>
                <w:highlight w:val="none"/>
              </w:rPr>
              <w:t>不遵守操作规程，导致器具损坏而影响到正常养护工作或使人身受到伤害的,每次扣0.5- 1分。此条款扣分值不设上限。</w:t>
            </w:r>
          </w:p>
        </w:tc>
        <w:tc>
          <w:tcPr>
            <w:tcW w:w="833" w:type="dxa"/>
            <w:tcBorders>
              <w:top w:val="single" w:color="auto" w:sz="4" w:space="0"/>
              <w:left w:val="nil"/>
              <w:bottom w:val="single" w:color="auto" w:sz="4" w:space="0"/>
              <w:right w:val="single" w:color="auto" w:sz="4" w:space="0"/>
            </w:tcBorders>
            <w:vAlign w:val="center"/>
          </w:tcPr>
          <w:p w14:paraId="2BAC1CBB">
            <w:pPr>
              <w:jc w:val="center"/>
              <w:rPr>
                <w:rFonts w:ascii="宋体" w:hAnsi="宋体"/>
                <w:color w:val="000000"/>
                <w:sz w:val="18"/>
                <w:szCs w:val="18"/>
                <w:highlight w:val="none"/>
              </w:rPr>
            </w:pPr>
          </w:p>
        </w:tc>
      </w:tr>
      <w:tr w14:paraId="72688120">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20850B08">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22B7FB1">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7828E5AB">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汽油、农药及用完的农药空瓶按规定存放，并定时定量清理。</w:t>
            </w:r>
          </w:p>
        </w:tc>
        <w:tc>
          <w:tcPr>
            <w:tcW w:w="572" w:type="dxa"/>
            <w:tcBorders>
              <w:top w:val="single" w:color="auto" w:sz="4" w:space="0"/>
              <w:left w:val="nil"/>
              <w:bottom w:val="single" w:color="auto" w:sz="4" w:space="0"/>
              <w:right w:val="single" w:color="auto" w:sz="4" w:space="0"/>
            </w:tcBorders>
            <w:vAlign w:val="center"/>
          </w:tcPr>
          <w:p w14:paraId="1EB1BA41">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tcPr>
          <w:p w14:paraId="27C7B2BC">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未按要求存放汽油、农药及农药空瓶的，每次扣0.5分。此条款扣分值不设上限。</w:t>
            </w:r>
          </w:p>
        </w:tc>
        <w:tc>
          <w:tcPr>
            <w:tcW w:w="833" w:type="dxa"/>
            <w:tcBorders>
              <w:top w:val="single" w:color="auto" w:sz="4" w:space="0"/>
              <w:left w:val="nil"/>
              <w:bottom w:val="single" w:color="auto" w:sz="4" w:space="0"/>
              <w:right w:val="single" w:color="auto" w:sz="4" w:space="0"/>
            </w:tcBorders>
            <w:vAlign w:val="center"/>
          </w:tcPr>
          <w:p w14:paraId="6C602B0A">
            <w:pPr>
              <w:jc w:val="center"/>
              <w:rPr>
                <w:rFonts w:ascii="宋体" w:hAnsi="宋体"/>
                <w:color w:val="000000"/>
                <w:sz w:val="18"/>
                <w:szCs w:val="18"/>
                <w:highlight w:val="none"/>
              </w:rPr>
            </w:pPr>
          </w:p>
        </w:tc>
      </w:tr>
      <w:tr w14:paraId="23956DC8">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22179D1E">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7E9B0512">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14:paraId="12B6FA35">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及时维修维护灌溉设备设施。</w:t>
            </w:r>
          </w:p>
        </w:tc>
        <w:tc>
          <w:tcPr>
            <w:tcW w:w="572" w:type="dxa"/>
            <w:tcBorders>
              <w:top w:val="single" w:color="auto" w:sz="4" w:space="0"/>
              <w:left w:val="nil"/>
              <w:bottom w:val="single" w:color="auto" w:sz="4" w:space="0"/>
              <w:right w:val="single" w:color="auto" w:sz="4" w:space="0"/>
            </w:tcBorders>
            <w:vAlign w:val="center"/>
          </w:tcPr>
          <w:p w14:paraId="2C6A3236">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0F7EA196">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维修维护灌溉设备设施不及时、不到位，影响养护工作的每次扣0.5-2分。人为损坏或丢失维修工具的每次扣0.5-1分。</w:t>
            </w:r>
          </w:p>
        </w:tc>
        <w:tc>
          <w:tcPr>
            <w:tcW w:w="833" w:type="dxa"/>
            <w:tcBorders>
              <w:top w:val="single" w:color="auto" w:sz="4" w:space="0"/>
              <w:left w:val="nil"/>
              <w:bottom w:val="single" w:color="auto" w:sz="4" w:space="0"/>
              <w:right w:val="single" w:color="auto" w:sz="4" w:space="0"/>
            </w:tcBorders>
            <w:vAlign w:val="center"/>
          </w:tcPr>
          <w:p w14:paraId="7C65BC2F">
            <w:pPr>
              <w:jc w:val="center"/>
              <w:rPr>
                <w:rFonts w:ascii="宋体" w:hAnsi="宋体"/>
                <w:color w:val="000000"/>
                <w:sz w:val="18"/>
                <w:szCs w:val="18"/>
                <w:highlight w:val="none"/>
              </w:rPr>
            </w:pPr>
          </w:p>
        </w:tc>
      </w:tr>
      <w:tr w14:paraId="6BA7AAE6">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05F9F51">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4D2E4FA">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14:paraId="0A1807F2">
            <w:pPr>
              <w:spacing w:line="320" w:lineRule="exact"/>
              <w:jc w:val="left"/>
              <w:rPr>
                <w:rFonts w:ascii="宋体" w:hAnsi="宋体"/>
                <w:color w:val="000000"/>
                <w:sz w:val="18"/>
                <w:szCs w:val="18"/>
                <w:highlight w:val="none"/>
              </w:rPr>
            </w:pPr>
            <w:r>
              <w:rPr>
                <w:rFonts w:hint="eastAsia" w:ascii="宋体" w:hAnsi="宋体"/>
                <w:color w:val="000000"/>
                <w:sz w:val="18"/>
                <w:szCs w:val="18"/>
                <w:highlight w:val="none"/>
              </w:rPr>
              <w:t>作业车辆按时年检，定期维护清理所有作业、工作车辆，保持车况良好，车内外干净整洁。作业车辆驾驶员持证上岗，按规范操作行使，不得疲劳、酒后驾驶。</w:t>
            </w:r>
          </w:p>
        </w:tc>
        <w:tc>
          <w:tcPr>
            <w:tcW w:w="572" w:type="dxa"/>
            <w:tcBorders>
              <w:top w:val="single" w:color="auto" w:sz="4" w:space="0"/>
              <w:left w:val="nil"/>
              <w:bottom w:val="single" w:color="auto" w:sz="4" w:space="0"/>
              <w:right w:val="single" w:color="auto" w:sz="4" w:space="0"/>
            </w:tcBorders>
            <w:vAlign w:val="center"/>
          </w:tcPr>
          <w:p w14:paraId="19B22A16">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5A0C4DE1">
            <w:pPr>
              <w:spacing w:before="100" w:beforeAutospacing="1" w:line="360" w:lineRule="exact"/>
              <w:rPr>
                <w:rFonts w:ascii="宋体" w:hAnsi="宋体"/>
                <w:color w:val="000000"/>
                <w:sz w:val="18"/>
                <w:szCs w:val="18"/>
                <w:highlight w:val="none"/>
              </w:rPr>
            </w:pPr>
            <w:r>
              <w:rPr>
                <w:rFonts w:hint="eastAsia" w:ascii="宋体" w:hAnsi="宋体"/>
                <w:color w:val="000000"/>
                <w:sz w:val="18"/>
                <w:szCs w:val="18"/>
                <w:highlight w:val="none"/>
              </w:rPr>
              <w:t>不按时年检影响生产用车的每次扣1分。作业和工作车辆内外观不整洁的每辆扣0.2-0.5分。没有进行安全卫生检查的每次扣1分。驾驶员违规操作行使的，每次扣1分；疲劳、酒后驾驶的，每次扣1分。</w:t>
            </w:r>
          </w:p>
        </w:tc>
        <w:tc>
          <w:tcPr>
            <w:tcW w:w="833" w:type="dxa"/>
            <w:tcBorders>
              <w:top w:val="single" w:color="auto" w:sz="4" w:space="0"/>
              <w:left w:val="nil"/>
              <w:bottom w:val="single" w:color="auto" w:sz="4" w:space="0"/>
              <w:right w:val="single" w:color="auto" w:sz="4" w:space="0"/>
            </w:tcBorders>
            <w:vAlign w:val="center"/>
          </w:tcPr>
          <w:p w14:paraId="71871D60">
            <w:pPr>
              <w:jc w:val="center"/>
              <w:rPr>
                <w:rFonts w:ascii="宋体" w:hAnsi="宋体"/>
                <w:color w:val="000000"/>
                <w:sz w:val="18"/>
                <w:szCs w:val="18"/>
                <w:highlight w:val="none"/>
              </w:rPr>
            </w:pPr>
          </w:p>
        </w:tc>
      </w:tr>
      <w:tr w14:paraId="1B7A4304">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5304A74E">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2BDBB92">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14:paraId="17A7C8C2">
            <w:pPr>
              <w:spacing w:line="320" w:lineRule="exact"/>
              <w:jc w:val="left"/>
              <w:rPr>
                <w:rFonts w:ascii="宋体" w:hAnsi="宋体"/>
                <w:color w:val="000000"/>
                <w:sz w:val="18"/>
                <w:szCs w:val="18"/>
                <w:highlight w:val="none"/>
              </w:rPr>
            </w:pPr>
            <w:r>
              <w:rPr>
                <w:rFonts w:hint="eastAsia" w:hAnsi="宋体"/>
                <w:color w:val="000000"/>
                <w:sz w:val="18"/>
                <w:szCs w:val="18"/>
                <w:highlight w:val="none"/>
              </w:rPr>
              <w:t>进行喷药、裁枝等大型、大面积影响游园的工作时需提前一天贴出温馨提示。</w:t>
            </w:r>
            <w:r>
              <w:rPr>
                <w:rFonts w:hint="eastAsia" w:ascii="宋体" w:hAnsi="宋体"/>
                <w:color w:val="000000"/>
                <w:sz w:val="18"/>
                <w:szCs w:val="18"/>
                <w:highlight w:val="none"/>
              </w:rPr>
              <w:t>高空作业或钩除大树枯枝黄叶时严格遵守安全生产管理规定，如配带安全帽、配带口罩、设立安全警示牌等。</w:t>
            </w:r>
          </w:p>
        </w:tc>
        <w:tc>
          <w:tcPr>
            <w:tcW w:w="572" w:type="dxa"/>
            <w:tcBorders>
              <w:top w:val="single" w:color="auto" w:sz="4" w:space="0"/>
              <w:left w:val="nil"/>
              <w:bottom w:val="single" w:color="auto" w:sz="4" w:space="0"/>
              <w:right w:val="single" w:color="auto" w:sz="4" w:space="0"/>
            </w:tcBorders>
            <w:vAlign w:val="center"/>
          </w:tcPr>
          <w:p w14:paraId="7EA4FBD7">
            <w:pPr>
              <w:spacing w:line="32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14:paraId="7AF8C067">
            <w:pPr>
              <w:spacing w:line="320" w:lineRule="exact"/>
              <w:jc w:val="left"/>
              <w:rPr>
                <w:rFonts w:ascii="宋体" w:hAnsi="宋体"/>
                <w:color w:val="000000"/>
                <w:sz w:val="18"/>
                <w:szCs w:val="18"/>
                <w:highlight w:val="none"/>
              </w:rPr>
            </w:pPr>
            <w:r>
              <w:rPr>
                <w:rFonts w:hint="eastAsia" w:hAnsi="宋体"/>
                <w:color w:val="000000"/>
                <w:sz w:val="18"/>
                <w:szCs w:val="18"/>
                <w:highlight w:val="none"/>
              </w:rPr>
              <w:t>开展喷药、裁枝等大型作业时未提前贴出温馨提示的每次扣</w:t>
            </w:r>
            <w:r>
              <w:rPr>
                <w:rFonts w:hAnsi="宋体"/>
                <w:color w:val="000000"/>
                <w:sz w:val="18"/>
                <w:szCs w:val="18"/>
                <w:highlight w:val="none"/>
              </w:rPr>
              <w:t>1</w:t>
            </w:r>
            <w:r>
              <w:rPr>
                <w:rFonts w:hint="eastAsia" w:hAnsi="宋体"/>
                <w:color w:val="000000"/>
                <w:sz w:val="18"/>
                <w:szCs w:val="18"/>
                <w:highlight w:val="none"/>
              </w:rPr>
              <w:t>分。</w:t>
            </w:r>
            <w:r>
              <w:rPr>
                <w:rFonts w:hint="eastAsia" w:ascii="宋体" w:hAnsi="宋体"/>
                <w:color w:val="000000"/>
                <w:sz w:val="18"/>
                <w:szCs w:val="18"/>
                <w:highlight w:val="none"/>
              </w:rPr>
              <w:t>作业时，不遵守安全生产管理规定的每次扣1分。此条款扣分值不设上限。</w:t>
            </w:r>
          </w:p>
        </w:tc>
        <w:tc>
          <w:tcPr>
            <w:tcW w:w="833" w:type="dxa"/>
            <w:tcBorders>
              <w:top w:val="single" w:color="auto" w:sz="4" w:space="0"/>
              <w:left w:val="nil"/>
              <w:bottom w:val="single" w:color="auto" w:sz="4" w:space="0"/>
              <w:right w:val="single" w:color="auto" w:sz="4" w:space="0"/>
            </w:tcBorders>
            <w:vAlign w:val="center"/>
          </w:tcPr>
          <w:p w14:paraId="68D0A81E">
            <w:pPr>
              <w:jc w:val="center"/>
              <w:rPr>
                <w:rFonts w:ascii="宋体" w:hAnsi="宋体"/>
                <w:color w:val="000000"/>
                <w:sz w:val="18"/>
                <w:szCs w:val="18"/>
                <w:highlight w:val="none"/>
              </w:rPr>
            </w:pPr>
          </w:p>
        </w:tc>
      </w:tr>
      <w:tr w14:paraId="31A634FB">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7AAE05DA">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7A83EBD5">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14:paraId="20EAAC7F">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安全作业。如发现责任地段有安全隐患，应立即向班长或管理人员汇报。</w:t>
            </w:r>
          </w:p>
        </w:tc>
        <w:tc>
          <w:tcPr>
            <w:tcW w:w="572" w:type="dxa"/>
            <w:tcBorders>
              <w:top w:val="single" w:color="auto" w:sz="4" w:space="0"/>
              <w:left w:val="nil"/>
              <w:bottom w:val="single" w:color="auto" w:sz="4" w:space="0"/>
              <w:right w:val="single" w:color="auto" w:sz="4" w:space="0"/>
            </w:tcBorders>
            <w:vAlign w:val="center"/>
          </w:tcPr>
          <w:p w14:paraId="7198C88C">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50745F5E">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未及时进行检查发现安全隐患或发现后不及时报告的每次扣1分。</w:t>
            </w:r>
          </w:p>
        </w:tc>
        <w:tc>
          <w:tcPr>
            <w:tcW w:w="833" w:type="dxa"/>
            <w:tcBorders>
              <w:top w:val="single" w:color="auto" w:sz="4" w:space="0"/>
              <w:left w:val="nil"/>
              <w:bottom w:val="single" w:color="auto" w:sz="4" w:space="0"/>
              <w:right w:val="single" w:color="auto" w:sz="4" w:space="0"/>
            </w:tcBorders>
            <w:vAlign w:val="center"/>
          </w:tcPr>
          <w:p w14:paraId="1297038C">
            <w:pPr>
              <w:jc w:val="center"/>
              <w:rPr>
                <w:rFonts w:ascii="宋体" w:hAnsi="宋体"/>
                <w:color w:val="000000"/>
                <w:sz w:val="18"/>
                <w:szCs w:val="18"/>
                <w:highlight w:val="none"/>
              </w:rPr>
            </w:pPr>
          </w:p>
        </w:tc>
      </w:tr>
      <w:tr w14:paraId="2C1F5049">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237768FD">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30DE6CBB">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14:paraId="64BF9113">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工具房内规范用电，劳动工具应整齐摆放在指定地点，存放工具处整洁、干净，无乱堆杂物，非工作状态时工具不出现在游客视线范围内，工具房外不得晾晒衣物。</w:t>
            </w:r>
          </w:p>
        </w:tc>
        <w:tc>
          <w:tcPr>
            <w:tcW w:w="572" w:type="dxa"/>
            <w:tcBorders>
              <w:top w:val="single" w:color="auto" w:sz="4" w:space="0"/>
              <w:left w:val="nil"/>
              <w:bottom w:val="single" w:color="auto" w:sz="4" w:space="0"/>
              <w:right w:val="single" w:color="auto" w:sz="4" w:space="0"/>
            </w:tcBorders>
            <w:vAlign w:val="center"/>
          </w:tcPr>
          <w:p w14:paraId="361E89F6">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600877F9">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违规用电、超负荷用电导致线路故障的，每次扣2分；工具房杂乱、工具乱丢乱放的，每处扣0.2-0.5分。非工作状态时工具出现校园行人视线范围内的，每次扣0.1-0.2分；工具房外晾晒衣物的，每次扣0.5分。</w:t>
            </w:r>
          </w:p>
        </w:tc>
        <w:tc>
          <w:tcPr>
            <w:tcW w:w="833" w:type="dxa"/>
            <w:tcBorders>
              <w:top w:val="single" w:color="auto" w:sz="4" w:space="0"/>
              <w:left w:val="nil"/>
              <w:bottom w:val="single" w:color="auto" w:sz="4" w:space="0"/>
              <w:right w:val="single" w:color="auto" w:sz="4" w:space="0"/>
            </w:tcBorders>
            <w:vAlign w:val="center"/>
          </w:tcPr>
          <w:p w14:paraId="2C595A91">
            <w:pPr>
              <w:jc w:val="center"/>
              <w:rPr>
                <w:rFonts w:ascii="宋体" w:hAnsi="宋体"/>
                <w:color w:val="000000"/>
                <w:sz w:val="18"/>
                <w:szCs w:val="18"/>
                <w:highlight w:val="none"/>
              </w:rPr>
            </w:pPr>
          </w:p>
        </w:tc>
      </w:tr>
      <w:tr w14:paraId="44653230">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8B04156">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5C076757">
            <w:pPr>
              <w:jc w:val="center"/>
              <w:rPr>
                <w:rFonts w:ascii="宋体" w:hAnsi="宋体"/>
                <w:color w:val="000000"/>
                <w:sz w:val="18"/>
                <w:szCs w:val="18"/>
                <w:highlight w:val="none"/>
              </w:rPr>
            </w:pPr>
            <w:r>
              <w:rPr>
                <w:rFonts w:hint="eastAsia" w:ascii="宋体" w:hAnsi="宋体"/>
                <w:color w:val="000000"/>
                <w:sz w:val="18"/>
                <w:szCs w:val="18"/>
                <w:highlight w:val="none"/>
              </w:rPr>
              <w:t>8</w:t>
            </w:r>
          </w:p>
        </w:tc>
        <w:tc>
          <w:tcPr>
            <w:tcW w:w="3690" w:type="dxa"/>
            <w:tcBorders>
              <w:top w:val="single" w:color="auto" w:sz="4" w:space="0"/>
              <w:left w:val="nil"/>
              <w:bottom w:val="single" w:color="auto" w:sz="4" w:space="0"/>
              <w:right w:val="single" w:color="auto" w:sz="4" w:space="0"/>
            </w:tcBorders>
            <w:vAlign w:val="center"/>
          </w:tcPr>
          <w:p w14:paraId="58775706">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文明行驶，遵守交通规则；校园内驾驶车辆不可随意鸣喇叭，时速不得超过15km/h。</w:t>
            </w:r>
          </w:p>
        </w:tc>
        <w:tc>
          <w:tcPr>
            <w:tcW w:w="572" w:type="dxa"/>
            <w:tcBorders>
              <w:top w:val="single" w:color="auto" w:sz="4" w:space="0"/>
              <w:left w:val="nil"/>
              <w:bottom w:val="single" w:color="auto" w:sz="4" w:space="0"/>
              <w:right w:val="single" w:color="auto" w:sz="4" w:space="0"/>
            </w:tcBorders>
            <w:vAlign w:val="center"/>
          </w:tcPr>
          <w:p w14:paraId="5016542E">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557194C7">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随意鸣喇叭游客投诉的每次扣1分，时速超过15km/h的每次扣0.5分。</w:t>
            </w:r>
          </w:p>
        </w:tc>
        <w:tc>
          <w:tcPr>
            <w:tcW w:w="833" w:type="dxa"/>
            <w:tcBorders>
              <w:top w:val="single" w:color="auto" w:sz="4" w:space="0"/>
              <w:left w:val="nil"/>
              <w:bottom w:val="single" w:color="auto" w:sz="4" w:space="0"/>
              <w:right w:val="single" w:color="auto" w:sz="4" w:space="0"/>
            </w:tcBorders>
            <w:vAlign w:val="center"/>
          </w:tcPr>
          <w:p w14:paraId="1D0EEF0D">
            <w:pPr>
              <w:jc w:val="center"/>
              <w:rPr>
                <w:rFonts w:ascii="宋体" w:hAnsi="宋体"/>
                <w:color w:val="000000"/>
                <w:sz w:val="18"/>
                <w:szCs w:val="18"/>
                <w:highlight w:val="none"/>
              </w:rPr>
            </w:pPr>
          </w:p>
        </w:tc>
      </w:tr>
      <w:tr w14:paraId="04DB1A47">
        <w:tblPrEx>
          <w:tblCellMar>
            <w:top w:w="0" w:type="dxa"/>
            <w:left w:w="108" w:type="dxa"/>
            <w:bottom w:w="0" w:type="dxa"/>
            <w:right w:w="108" w:type="dxa"/>
          </w:tblCellMar>
        </w:tblPrEx>
        <w:trPr>
          <w:cantSplit/>
        </w:trPr>
        <w:tc>
          <w:tcPr>
            <w:tcW w:w="538" w:type="dxa"/>
            <w:vMerge w:val="restart"/>
            <w:tcBorders>
              <w:top w:val="nil"/>
              <w:left w:val="single" w:color="auto" w:sz="4" w:space="0"/>
              <w:bottom w:val="single" w:color="auto" w:sz="4" w:space="0"/>
              <w:right w:val="single" w:color="auto" w:sz="4" w:space="0"/>
            </w:tcBorders>
            <w:vAlign w:val="center"/>
          </w:tcPr>
          <w:p w14:paraId="3AB479C0">
            <w:pPr>
              <w:jc w:val="center"/>
              <w:rPr>
                <w:rFonts w:ascii="宋体" w:hAnsi="宋体"/>
                <w:b/>
                <w:color w:val="000000"/>
                <w:sz w:val="18"/>
                <w:szCs w:val="18"/>
                <w:highlight w:val="none"/>
              </w:rPr>
            </w:pPr>
          </w:p>
          <w:p w14:paraId="78D7C215">
            <w:pPr>
              <w:jc w:val="center"/>
              <w:rPr>
                <w:rFonts w:ascii="宋体" w:hAnsi="宋体"/>
                <w:b/>
                <w:color w:val="000000"/>
                <w:sz w:val="18"/>
                <w:szCs w:val="18"/>
                <w:highlight w:val="none"/>
              </w:rPr>
            </w:pPr>
            <w:r>
              <w:rPr>
                <w:rFonts w:hint="eastAsia" w:ascii="宋体" w:hAnsi="宋体"/>
                <w:b/>
                <w:color w:val="000000"/>
                <w:sz w:val="18"/>
                <w:szCs w:val="18"/>
                <w:highlight w:val="none"/>
              </w:rPr>
              <w:t>其</w:t>
            </w:r>
          </w:p>
          <w:p w14:paraId="5830643E">
            <w:pPr>
              <w:jc w:val="center"/>
              <w:rPr>
                <w:rFonts w:ascii="宋体" w:hAnsi="宋体"/>
                <w:b/>
                <w:color w:val="000000"/>
                <w:sz w:val="18"/>
                <w:szCs w:val="18"/>
                <w:highlight w:val="none"/>
              </w:rPr>
            </w:pPr>
          </w:p>
          <w:p w14:paraId="77A46B5E">
            <w:pPr>
              <w:jc w:val="center"/>
              <w:rPr>
                <w:rFonts w:ascii="宋体" w:hAnsi="宋体"/>
                <w:b/>
                <w:color w:val="000000"/>
                <w:sz w:val="18"/>
                <w:szCs w:val="18"/>
                <w:highlight w:val="none"/>
              </w:rPr>
            </w:pPr>
            <w:r>
              <w:rPr>
                <w:rFonts w:hint="eastAsia" w:ascii="宋体" w:hAnsi="宋体"/>
                <w:b/>
                <w:color w:val="000000"/>
                <w:sz w:val="18"/>
                <w:szCs w:val="18"/>
                <w:highlight w:val="none"/>
              </w:rPr>
              <w:t>他</w:t>
            </w:r>
          </w:p>
        </w:tc>
        <w:tc>
          <w:tcPr>
            <w:tcW w:w="435" w:type="dxa"/>
            <w:tcBorders>
              <w:top w:val="single" w:color="auto" w:sz="4" w:space="0"/>
              <w:left w:val="nil"/>
              <w:bottom w:val="single" w:color="auto" w:sz="4" w:space="0"/>
              <w:right w:val="single" w:color="auto" w:sz="4" w:space="0"/>
            </w:tcBorders>
            <w:vAlign w:val="center"/>
          </w:tcPr>
          <w:p w14:paraId="720C9124">
            <w:pPr>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3690" w:type="dxa"/>
            <w:tcBorders>
              <w:top w:val="single" w:color="auto" w:sz="4" w:space="0"/>
              <w:left w:val="nil"/>
              <w:bottom w:val="single" w:color="auto" w:sz="4" w:space="0"/>
              <w:right w:val="single" w:color="auto" w:sz="4" w:space="0"/>
            </w:tcBorders>
            <w:vAlign w:val="center"/>
          </w:tcPr>
          <w:p w14:paraId="5C15822F">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安装指纹打卡机，进行指纹考勤，每月按时报送一次考勤记录。养护人员在作业时做到文明礼貌，服从各项工作安排。做好各项有关养护管理的台账(如：规章制度、人员配置、考勤管理等)。</w:t>
            </w:r>
          </w:p>
        </w:tc>
        <w:tc>
          <w:tcPr>
            <w:tcW w:w="572" w:type="dxa"/>
            <w:tcBorders>
              <w:top w:val="single" w:color="auto" w:sz="4" w:space="0"/>
              <w:left w:val="nil"/>
              <w:bottom w:val="single" w:color="auto" w:sz="4" w:space="0"/>
              <w:right w:val="single" w:color="auto" w:sz="4" w:space="0"/>
            </w:tcBorders>
            <w:vAlign w:val="center"/>
          </w:tcPr>
          <w:p w14:paraId="34D0DA0C">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4560" w:type="dxa"/>
            <w:tcBorders>
              <w:top w:val="single" w:color="auto" w:sz="4" w:space="0"/>
              <w:left w:val="nil"/>
              <w:bottom w:val="single" w:color="auto" w:sz="4" w:space="0"/>
              <w:right w:val="single" w:color="auto" w:sz="4" w:space="0"/>
            </w:tcBorders>
            <w:vAlign w:val="center"/>
          </w:tcPr>
          <w:p w14:paraId="13CE8241">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将打卡机的考勤记录按时报送的，每次扣0.1-0.3分；不得以任何理由与游客发生争执，发现一次扣1分；上班时间不得做与工作无关的事情，发现一次每次扣0.5分；不服从工作安排的每次扣2分；无故不落实管理员安排的任务每次各扣1分；每次检查发现台账不完善的，扣0.5分。此条款扣分值不设上限。</w:t>
            </w:r>
          </w:p>
        </w:tc>
        <w:tc>
          <w:tcPr>
            <w:tcW w:w="833" w:type="dxa"/>
            <w:tcBorders>
              <w:top w:val="single" w:color="auto" w:sz="4" w:space="0"/>
              <w:left w:val="nil"/>
              <w:bottom w:val="single" w:color="auto" w:sz="4" w:space="0"/>
              <w:right w:val="single" w:color="auto" w:sz="4" w:space="0"/>
            </w:tcBorders>
            <w:vAlign w:val="center"/>
          </w:tcPr>
          <w:p w14:paraId="4A02A564">
            <w:pPr>
              <w:jc w:val="center"/>
              <w:rPr>
                <w:rFonts w:ascii="宋体" w:hAnsi="宋体"/>
                <w:color w:val="000000"/>
                <w:sz w:val="18"/>
                <w:szCs w:val="18"/>
                <w:highlight w:val="none"/>
              </w:rPr>
            </w:pPr>
          </w:p>
        </w:tc>
      </w:tr>
      <w:tr w14:paraId="5491584E">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6B605772">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8F147E0">
            <w:pPr>
              <w:jc w:val="center"/>
              <w:rPr>
                <w:rFonts w:ascii="宋体" w:hAnsi="宋体"/>
                <w:color w:val="000000"/>
                <w:sz w:val="18"/>
                <w:szCs w:val="18"/>
                <w:highlight w:val="none"/>
              </w:rPr>
            </w:pPr>
          </w:p>
          <w:p w14:paraId="20E79D0E">
            <w:pPr>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3690" w:type="dxa"/>
            <w:tcBorders>
              <w:top w:val="single" w:color="auto" w:sz="4" w:space="0"/>
              <w:left w:val="nil"/>
              <w:bottom w:val="single" w:color="auto" w:sz="4" w:space="0"/>
              <w:right w:val="single" w:color="auto" w:sz="4" w:space="0"/>
            </w:tcBorders>
            <w:vAlign w:val="center"/>
          </w:tcPr>
          <w:p w14:paraId="77096517">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保护园林设施的完好，发现破坏绿地的行为要及时制止，发现有外来单位在校园施工要及时上报。</w:t>
            </w:r>
          </w:p>
        </w:tc>
        <w:tc>
          <w:tcPr>
            <w:tcW w:w="572" w:type="dxa"/>
            <w:tcBorders>
              <w:top w:val="single" w:color="auto" w:sz="4" w:space="0"/>
              <w:left w:val="nil"/>
              <w:bottom w:val="single" w:color="auto" w:sz="4" w:space="0"/>
              <w:right w:val="single" w:color="auto" w:sz="4" w:space="0"/>
            </w:tcBorders>
            <w:vAlign w:val="center"/>
          </w:tcPr>
          <w:p w14:paraId="7F090537">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5ECC4A46">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发现破坏绿地的行为而不及时制止或发现有外来单位在校园施工要及时上报的每次扣0.5分。</w:t>
            </w:r>
          </w:p>
        </w:tc>
        <w:tc>
          <w:tcPr>
            <w:tcW w:w="833" w:type="dxa"/>
            <w:tcBorders>
              <w:top w:val="single" w:color="auto" w:sz="4" w:space="0"/>
              <w:left w:val="nil"/>
              <w:bottom w:val="single" w:color="auto" w:sz="4" w:space="0"/>
              <w:right w:val="single" w:color="auto" w:sz="4" w:space="0"/>
            </w:tcBorders>
            <w:vAlign w:val="center"/>
          </w:tcPr>
          <w:p w14:paraId="6BDD8579">
            <w:pPr>
              <w:jc w:val="center"/>
              <w:rPr>
                <w:rFonts w:ascii="宋体" w:hAnsi="宋体"/>
                <w:color w:val="000000"/>
                <w:sz w:val="18"/>
                <w:szCs w:val="18"/>
                <w:highlight w:val="none"/>
              </w:rPr>
            </w:pPr>
          </w:p>
        </w:tc>
      </w:tr>
      <w:tr w14:paraId="21B2E547">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34FAA8E0">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573A08A4">
            <w:pPr>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3690" w:type="dxa"/>
            <w:tcBorders>
              <w:top w:val="single" w:color="auto" w:sz="4" w:space="0"/>
              <w:left w:val="nil"/>
              <w:bottom w:val="single" w:color="auto" w:sz="4" w:space="0"/>
              <w:right w:val="single" w:color="auto" w:sz="4" w:space="0"/>
            </w:tcBorders>
            <w:vAlign w:val="center"/>
          </w:tcPr>
          <w:p w14:paraId="774A88C0">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保持绿地整洁，无乱搭棚和圈占树木现象。发现鼠洞要随时堵塞，无鼠洞和蚊蝇滋生等。</w:t>
            </w:r>
          </w:p>
        </w:tc>
        <w:tc>
          <w:tcPr>
            <w:tcW w:w="572" w:type="dxa"/>
            <w:tcBorders>
              <w:top w:val="single" w:color="auto" w:sz="4" w:space="0"/>
              <w:left w:val="nil"/>
              <w:bottom w:val="single" w:color="auto" w:sz="4" w:space="0"/>
              <w:right w:val="single" w:color="auto" w:sz="4" w:space="0"/>
            </w:tcBorders>
            <w:vAlign w:val="center"/>
          </w:tcPr>
          <w:p w14:paraId="7FFF489D">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14:paraId="2F0EBEC3">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绿地不整洁或不及时堵塞鼠洞的每处扣0.2-0.5分。</w:t>
            </w:r>
          </w:p>
        </w:tc>
        <w:tc>
          <w:tcPr>
            <w:tcW w:w="833" w:type="dxa"/>
            <w:tcBorders>
              <w:top w:val="single" w:color="auto" w:sz="4" w:space="0"/>
              <w:left w:val="nil"/>
              <w:bottom w:val="single" w:color="auto" w:sz="4" w:space="0"/>
              <w:right w:val="single" w:color="auto" w:sz="4" w:space="0"/>
            </w:tcBorders>
            <w:vAlign w:val="center"/>
          </w:tcPr>
          <w:p w14:paraId="58AA34CA">
            <w:pPr>
              <w:jc w:val="center"/>
              <w:rPr>
                <w:rFonts w:ascii="宋体" w:hAnsi="宋体"/>
                <w:color w:val="000000"/>
                <w:sz w:val="18"/>
                <w:szCs w:val="18"/>
                <w:highlight w:val="none"/>
              </w:rPr>
            </w:pPr>
          </w:p>
        </w:tc>
      </w:tr>
      <w:tr w14:paraId="6269561B">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7F654EC6">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692A38A3">
            <w:pPr>
              <w:jc w:val="center"/>
              <w:rPr>
                <w:rFonts w:ascii="宋体" w:hAnsi="宋体"/>
                <w:color w:val="000000"/>
                <w:sz w:val="18"/>
                <w:szCs w:val="18"/>
                <w:highlight w:val="none"/>
              </w:rPr>
            </w:pPr>
            <w:r>
              <w:rPr>
                <w:rFonts w:hint="eastAsia" w:ascii="宋体" w:hAnsi="宋体"/>
                <w:color w:val="000000"/>
                <w:sz w:val="18"/>
                <w:szCs w:val="18"/>
                <w:highlight w:val="none"/>
              </w:rPr>
              <w:t>4</w:t>
            </w:r>
          </w:p>
        </w:tc>
        <w:tc>
          <w:tcPr>
            <w:tcW w:w="3690" w:type="dxa"/>
            <w:tcBorders>
              <w:top w:val="single" w:color="auto" w:sz="4" w:space="0"/>
              <w:left w:val="nil"/>
              <w:bottom w:val="single" w:color="auto" w:sz="4" w:space="0"/>
              <w:right w:val="single" w:color="auto" w:sz="4" w:space="0"/>
            </w:tcBorders>
            <w:vAlign w:val="center"/>
          </w:tcPr>
          <w:p w14:paraId="0661E355">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绿地整理出的垃圾应及时清理，未能及时清理的应放置绿化垃圾临时堆放警示牌。绿化垃圾不可堆放过夜。</w:t>
            </w:r>
          </w:p>
        </w:tc>
        <w:tc>
          <w:tcPr>
            <w:tcW w:w="572" w:type="dxa"/>
            <w:tcBorders>
              <w:top w:val="single" w:color="auto" w:sz="4" w:space="0"/>
              <w:left w:val="nil"/>
              <w:bottom w:val="single" w:color="auto" w:sz="4" w:space="0"/>
              <w:right w:val="single" w:color="auto" w:sz="4" w:space="0"/>
            </w:tcBorders>
            <w:vAlign w:val="center"/>
          </w:tcPr>
          <w:p w14:paraId="5CB705A5">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1DA2C047">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不及时清理绿化垃圾或不安规定放置警示牌的每处扣0.2-0.5分。</w:t>
            </w:r>
          </w:p>
        </w:tc>
        <w:tc>
          <w:tcPr>
            <w:tcW w:w="833" w:type="dxa"/>
            <w:tcBorders>
              <w:top w:val="single" w:color="auto" w:sz="4" w:space="0"/>
              <w:left w:val="nil"/>
              <w:bottom w:val="single" w:color="auto" w:sz="4" w:space="0"/>
              <w:right w:val="single" w:color="auto" w:sz="4" w:space="0"/>
            </w:tcBorders>
            <w:vAlign w:val="center"/>
          </w:tcPr>
          <w:p w14:paraId="3570B074">
            <w:pPr>
              <w:jc w:val="center"/>
              <w:rPr>
                <w:rFonts w:ascii="宋体" w:hAnsi="宋体"/>
                <w:color w:val="000000"/>
                <w:sz w:val="18"/>
                <w:szCs w:val="18"/>
                <w:highlight w:val="none"/>
              </w:rPr>
            </w:pPr>
          </w:p>
        </w:tc>
      </w:tr>
      <w:tr w14:paraId="5A6888FA">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110A438A">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05D315F4">
            <w:pPr>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3690" w:type="dxa"/>
            <w:tcBorders>
              <w:top w:val="single" w:color="auto" w:sz="4" w:space="0"/>
              <w:left w:val="nil"/>
              <w:bottom w:val="single" w:color="auto" w:sz="4" w:space="0"/>
              <w:right w:val="single" w:color="auto" w:sz="4" w:space="0"/>
            </w:tcBorders>
            <w:vAlign w:val="center"/>
          </w:tcPr>
          <w:p w14:paraId="4D0AE86D">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超过1㎡的黄土裸露或灌木缺株要及时补种。发生较大枝条折断、乔木倒伏等严重影响游园环境的突发事件应立即上报并及时处理。</w:t>
            </w:r>
          </w:p>
        </w:tc>
        <w:tc>
          <w:tcPr>
            <w:tcW w:w="572" w:type="dxa"/>
            <w:tcBorders>
              <w:top w:val="single" w:color="auto" w:sz="4" w:space="0"/>
              <w:left w:val="nil"/>
              <w:bottom w:val="single" w:color="auto" w:sz="4" w:space="0"/>
              <w:right w:val="single" w:color="auto" w:sz="4" w:space="0"/>
            </w:tcBorders>
            <w:vAlign w:val="center"/>
          </w:tcPr>
          <w:p w14:paraId="74AC3171">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5</w:t>
            </w:r>
          </w:p>
        </w:tc>
        <w:tc>
          <w:tcPr>
            <w:tcW w:w="4560" w:type="dxa"/>
            <w:tcBorders>
              <w:top w:val="single" w:color="auto" w:sz="4" w:space="0"/>
              <w:left w:val="nil"/>
              <w:bottom w:val="single" w:color="auto" w:sz="4" w:space="0"/>
              <w:right w:val="single" w:color="auto" w:sz="4" w:space="0"/>
            </w:tcBorders>
            <w:vAlign w:val="center"/>
          </w:tcPr>
          <w:p w14:paraId="28373A2E">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不及时补种的每处扣0.1-0.5分。突发事件不能及时处理的每次扣0.5-2分。此条款扣分值不设上限。</w:t>
            </w:r>
          </w:p>
        </w:tc>
        <w:tc>
          <w:tcPr>
            <w:tcW w:w="833" w:type="dxa"/>
            <w:tcBorders>
              <w:top w:val="single" w:color="auto" w:sz="4" w:space="0"/>
              <w:left w:val="nil"/>
              <w:bottom w:val="single" w:color="auto" w:sz="4" w:space="0"/>
              <w:right w:val="single" w:color="auto" w:sz="4" w:space="0"/>
            </w:tcBorders>
            <w:vAlign w:val="center"/>
          </w:tcPr>
          <w:p w14:paraId="686DA83C">
            <w:pPr>
              <w:jc w:val="center"/>
              <w:rPr>
                <w:rFonts w:ascii="宋体" w:hAnsi="宋体"/>
                <w:color w:val="000000"/>
                <w:sz w:val="18"/>
                <w:szCs w:val="18"/>
                <w:highlight w:val="none"/>
              </w:rPr>
            </w:pPr>
          </w:p>
        </w:tc>
      </w:tr>
      <w:tr w14:paraId="44F5C7C4">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0AB67E35">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17EA464C">
            <w:pPr>
              <w:jc w:val="center"/>
              <w:rPr>
                <w:rFonts w:ascii="宋体" w:hAnsi="宋体"/>
                <w:color w:val="000000"/>
                <w:sz w:val="18"/>
                <w:szCs w:val="18"/>
                <w:highlight w:val="none"/>
              </w:rPr>
            </w:pPr>
            <w:r>
              <w:rPr>
                <w:rFonts w:hint="eastAsia" w:ascii="宋体" w:hAnsi="宋体"/>
                <w:color w:val="000000"/>
                <w:sz w:val="18"/>
                <w:szCs w:val="18"/>
                <w:highlight w:val="none"/>
              </w:rPr>
              <w:t>6</w:t>
            </w:r>
          </w:p>
        </w:tc>
        <w:tc>
          <w:tcPr>
            <w:tcW w:w="3690" w:type="dxa"/>
            <w:tcBorders>
              <w:top w:val="single" w:color="auto" w:sz="4" w:space="0"/>
              <w:left w:val="nil"/>
              <w:bottom w:val="single" w:color="auto" w:sz="4" w:space="0"/>
              <w:right w:val="single" w:color="auto" w:sz="4" w:space="0"/>
            </w:tcBorders>
            <w:vAlign w:val="center"/>
          </w:tcPr>
          <w:p w14:paraId="5973B3D8">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在地段施工时间，应做好配合及善后工作。</w:t>
            </w:r>
          </w:p>
        </w:tc>
        <w:tc>
          <w:tcPr>
            <w:tcW w:w="572" w:type="dxa"/>
            <w:tcBorders>
              <w:top w:val="single" w:color="auto" w:sz="4" w:space="0"/>
              <w:left w:val="nil"/>
              <w:bottom w:val="single" w:color="auto" w:sz="4" w:space="0"/>
              <w:right w:val="single" w:color="auto" w:sz="4" w:space="0"/>
            </w:tcBorders>
            <w:vAlign w:val="center"/>
          </w:tcPr>
          <w:p w14:paraId="7ADEC23C">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w:t>
            </w:r>
          </w:p>
        </w:tc>
        <w:tc>
          <w:tcPr>
            <w:tcW w:w="4560" w:type="dxa"/>
            <w:tcBorders>
              <w:top w:val="single" w:color="auto" w:sz="4" w:space="0"/>
              <w:left w:val="nil"/>
              <w:bottom w:val="single" w:color="auto" w:sz="4" w:space="0"/>
              <w:right w:val="single" w:color="auto" w:sz="4" w:space="0"/>
            </w:tcBorders>
            <w:vAlign w:val="center"/>
          </w:tcPr>
          <w:p w14:paraId="219D153D">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不积极配合工作的扣1分。</w:t>
            </w:r>
          </w:p>
        </w:tc>
        <w:tc>
          <w:tcPr>
            <w:tcW w:w="833" w:type="dxa"/>
            <w:tcBorders>
              <w:top w:val="single" w:color="auto" w:sz="4" w:space="0"/>
              <w:left w:val="nil"/>
              <w:bottom w:val="single" w:color="auto" w:sz="4" w:space="0"/>
              <w:right w:val="single" w:color="auto" w:sz="4" w:space="0"/>
            </w:tcBorders>
            <w:vAlign w:val="center"/>
          </w:tcPr>
          <w:p w14:paraId="4D040F60">
            <w:pPr>
              <w:jc w:val="center"/>
              <w:rPr>
                <w:rFonts w:ascii="宋体" w:hAnsi="宋体"/>
                <w:color w:val="000000"/>
                <w:sz w:val="18"/>
                <w:szCs w:val="18"/>
                <w:highlight w:val="none"/>
              </w:rPr>
            </w:pPr>
          </w:p>
        </w:tc>
      </w:tr>
      <w:tr w14:paraId="11A13E70">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70FFB6CD">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65033D07">
            <w:pPr>
              <w:jc w:val="center"/>
              <w:rPr>
                <w:rFonts w:ascii="宋体" w:hAnsi="宋体"/>
                <w:color w:val="000000"/>
                <w:sz w:val="18"/>
                <w:szCs w:val="18"/>
                <w:highlight w:val="none"/>
              </w:rPr>
            </w:pPr>
            <w:r>
              <w:rPr>
                <w:rFonts w:hint="eastAsia" w:ascii="宋体" w:hAnsi="宋体"/>
                <w:color w:val="000000"/>
                <w:sz w:val="18"/>
                <w:szCs w:val="18"/>
                <w:highlight w:val="none"/>
              </w:rPr>
              <w:t>7</w:t>
            </w:r>
          </w:p>
        </w:tc>
        <w:tc>
          <w:tcPr>
            <w:tcW w:w="3690" w:type="dxa"/>
            <w:tcBorders>
              <w:top w:val="single" w:color="auto" w:sz="4" w:space="0"/>
              <w:left w:val="nil"/>
              <w:bottom w:val="single" w:color="auto" w:sz="4" w:space="0"/>
              <w:right w:val="single" w:color="auto" w:sz="4" w:space="0"/>
            </w:tcBorders>
            <w:vAlign w:val="center"/>
          </w:tcPr>
          <w:p w14:paraId="1C69FA0C">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日常检查整改通知下达后，应及时按整改期限进行整改。</w:t>
            </w:r>
          </w:p>
        </w:tc>
        <w:tc>
          <w:tcPr>
            <w:tcW w:w="572" w:type="dxa"/>
            <w:tcBorders>
              <w:top w:val="single" w:color="auto" w:sz="4" w:space="0"/>
              <w:left w:val="nil"/>
              <w:bottom w:val="single" w:color="auto" w:sz="4" w:space="0"/>
              <w:right w:val="single" w:color="auto" w:sz="4" w:space="0"/>
            </w:tcBorders>
            <w:vAlign w:val="center"/>
          </w:tcPr>
          <w:p w14:paraId="6E70470B">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3</w:t>
            </w:r>
          </w:p>
        </w:tc>
        <w:tc>
          <w:tcPr>
            <w:tcW w:w="4560" w:type="dxa"/>
            <w:tcBorders>
              <w:top w:val="single" w:color="auto" w:sz="4" w:space="0"/>
              <w:left w:val="nil"/>
              <w:bottom w:val="single" w:color="auto" w:sz="4" w:space="0"/>
              <w:right w:val="single" w:color="auto" w:sz="4" w:space="0"/>
            </w:tcBorders>
            <w:vAlign w:val="center"/>
          </w:tcPr>
          <w:p w14:paraId="683F95C1">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不及时按整改期限进行整改的，每延期一天扣0.2-0.5分。此条款扣分值不设上限。</w:t>
            </w:r>
          </w:p>
        </w:tc>
        <w:tc>
          <w:tcPr>
            <w:tcW w:w="833" w:type="dxa"/>
            <w:tcBorders>
              <w:top w:val="single" w:color="auto" w:sz="4" w:space="0"/>
              <w:left w:val="nil"/>
              <w:bottom w:val="single" w:color="auto" w:sz="4" w:space="0"/>
              <w:right w:val="single" w:color="auto" w:sz="4" w:space="0"/>
            </w:tcBorders>
            <w:vAlign w:val="center"/>
          </w:tcPr>
          <w:p w14:paraId="6525FAA0">
            <w:pPr>
              <w:jc w:val="center"/>
              <w:rPr>
                <w:rFonts w:ascii="宋体" w:hAnsi="宋体"/>
                <w:color w:val="000000"/>
                <w:sz w:val="18"/>
                <w:szCs w:val="18"/>
                <w:highlight w:val="none"/>
              </w:rPr>
            </w:pPr>
          </w:p>
        </w:tc>
      </w:tr>
      <w:tr w14:paraId="3480CB45">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0C950FBB">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2A0EB77D">
            <w:pPr>
              <w:jc w:val="center"/>
              <w:rPr>
                <w:rFonts w:ascii="宋体" w:hAnsi="宋体"/>
                <w:color w:val="000000"/>
                <w:sz w:val="18"/>
                <w:szCs w:val="18"/>
                <w:highlight w:val="none"/>
              </w:rPr>
            </w:pPr>
            <w:r>
              <w:rPr>
                <w:rFonts w:hint="eastAsia" w:ascii="宋体" w:hAnsi="宋体"/>
                <w:color w:val="000000"/>
                <w:sz w:val="18"/>
                <w:szCs w:val="18"/>
                <w:highlight w:val="none"/>
              </w:rPr>
              <w:t>8</w:t>
            </w:r>
          </w:p>
        </w:tc>
        <w:tc>
          <w:tcPr>
            <w:tcW w:w="3690" w:type="dxa"/>
            <w:tcBorders>
              <w:top w:val="single" w:color="auto" w:sz="4" w:space="0"/>
              <w:left w:val="nil"/>
              <w:bottom w:val="single" w:color="auto" w:sz="4" w:space="0"/>
              <w:right w:val="single" w:color="auto" w:sz="4" w:space="0"/>
            </w:tcBorders>
            <w:vAlign w:val="center"/>
          </w:tcPr>
          <w:p w14:paraId="628D38D0">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认真开展月度考核工作</w:t>
            </w:r>
          </w:p>
        </w:tc>
        <w:tc>
          <w:tcPr>
            <w:tcW w:w="572" w:type="dxa"/>
            <w:tcBorders>
              <w:top w:val="single" w:color="auto" w:sz="4" w:space="0"/>
              <w:left w:val="nil"/>
              <w:bottom w:val="single" w:color="auto" w:sz="4" w:space="0"/>
              <w:right w:val="single" w:color="auto" w:sz="4" w:space="0"/>
            </w:tcBorders>
            <w:vAlign w:val="center"/>
          </w:tcPr>
          <w:p w14:paraId="51EC3947">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41CBA07B">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在进行月度考核检查过程中，如发问题按相应的评分条款扣分。</w:t>
            </w:r>
          </w:p>
        </w:tc>
        <w:tc>
          <w:tcPr>
            <w:tcW w:w="833" w:type="dxa"/>
            <w:tcBorders>
              <w:top w:val="single" w:color="auto" w:sz="4" w:space="0"/>
              <w:left w:val="nil"/>
              <w:bottom w:val="single" w:color="auto" w:sz="4" w:space="0"/>
              <w:right w:val="single" w:color="auto" w:sz="4" w:space="0"/>
            </w:tcBorders>
            <w:vAlign w:val="center"/>
          </w:tcPr>
          <w:p w14:paraId="210728DB">
            <w:pPr>
              <w:jc w:val="center"/>
              <w:rPr>
                <w:rFonts w:ascii="宋体" w:hAnsi="宋体"/>
                <w:color w:val="000000"/>
                <w:sz w:val="18"/>
                <w:szCs w:val="18"/>
                <w:highlight w:val="none"/>
              </w:rPr>
            </w:pPr>
          </w:p>
        </w:tc>
      </w:tr>
      <w:tr w14:paraId="38B7FBFA">
        <w:tblPrEx>
          <w:tblCellMar>
            <w:top w:w="0" w:type="dxa"/>
            <w:left w:w="108" w:type="dxa"/>
            <w:bottom w:w="0" w:type="dxa"/>
            <w:right w:w="108" w:type="dxa"/>
          </w:tblCellMar>
        </w:tblPrEx>
        <w:trPr>
          <w:cantSplit/>
        </w:trPr>
        <w:tc>
          <w:tcPr>
            <w:tcW w:w="538" w:type="dxa"/>
            <w:vMerge w:val="continue"/>
            <w:tcBorders>
              <w:top w:val="nil"/>
              <w:left w:val="single" w:color="auto" w:sz="4" w:space="0"/>
              <w:bottom w:val="single" w:color="auto" w:sz="4" w:space="0"/>
              <w:right w:val="single" w:color="auto" w:sz="4" w:space="0"/>
            </w:tcBorders>
            <w:vAlign w:val="center"/>
          </w:tcPr>
          <w:p w14:paraId="58412346">
            <w:pPr>
              <w:widowControl/>
              <w:jc w:val="left"/>
              <w:rPr>
                <w:rFonts w:ascii="宋体" w:hAnsi="宋体"/>
                <w:b/>
                <w:color w:val="000000"/>
                <w:sz w:val="18"/>
                <w:szCs w:val="18"/>
                <w:highlight w:val="none"/>
              </w:rPr>
            </w:pPr>
          </w:p>
        </w:tc>
        <w:tc>
          <w:tcPr>
            <w:tcW w:w="435" w:type="dxa"/>
            <w:tcBorders>
              <w:top w:val="single" w:color="auto" w:sz="4" w:space="0"/>
              <w:left w:val="nil"/>
              <w:bottom w:val="single" w:color="auto" w:sz="4" w:space="0"/>
              <w:right w:val="single" w:color="auto" w:sz="4" w:space="0"/>
            </w:tcBorders>
            <w:vAlign w:val="center"/>
          </w:tcPr>
          <w:p w14:paraId="50B69373">
            <w:pPr>
              <w:jc w:val="center"/>
              <w:rPr>
                <w:rFonts w:ascii="宋体" w:hAnsi="宋体"/>
                <w:color w:val="000000"/>
                <w:sz w:val="18"/>
                <w:szCs w:val="18"/>
                <w:highlight w:val="none"/>
              </w:rPr>
            </w:pPr>
            <w:r>
              <w:rPr>
                <w:rFonts w:hint="eastAsia" w:ascii="宋体" w:hAnsi="宋体"/>
                <w:color w:val="000000"/>
                <w:sz w:val="18"/>
                <w:szCs w:val="18"/>
                <w:highlight w:val="none"/>
              </w:rPr>
              <w:t>9</w:t>
            </w:r>
          </w:p>
        </w:tc>
        <w:tc>
          <w:tcPr>
            <w:tcW w:w="3690" w:type="dxa"/>
            <w:tcBorders>
              <w:top w:val="single" w:color="auto" w:sz="4" w:space="0"/>
              <w:left w:val="nil"/>
              <w:bottom w:val="single" w:color="auto" w:sz="4" w:space="0"/>
              <w:right w:val="single" w:color="auto" w:sz="4" w:space="0"/>
            </w:tcBorders>
            <w:vAlign w:val="center"/>
          </w:tcPr>
          <w:p w14:paraId="12AD0B5F">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按时报送月度工作计划、月度问题记录表及整改情况记录表</w:t>
            </w:r>
          </w:p>
        </w:tc>
        <w:tc>
          <w:tcPr>
            <w:tcW w:w="572" w:type="dxa"/>
            <w:tcBorders>
              <w:top w:val="single" w:color="auto" w:sz="4" w:space="0"/>
              <w:left w:val="nil"/>
              <w:bottom w:val="single" w:color="auto" w:sz="4" w:space="0"/>
              <w:right w:val="single" w:color="auto" w:sz="4" w:space="0"/>
            </w:tcBorders>
            <w:vAlign w:val="center"/>
          </w:tcPr>
          <w:p w14:paraId="777E202D">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2</w:t>
            </w:r>
          </w:p>
        </w:tc>
        <w:tc>
          <w:tcPr>
            <w:tcW w:w="4560" w:type="dxa"/>
            <w:tcBorders>
              <w:top w:val="single" w:color="auto" w:sz="4" w:space="0"/>
              <w:left w:val="nil"/>
              <w:bottom w:val="single" w:color="auto" w:sz="4" w:space="0"/>
              <w:right w:val="single" w:color="auto" w:sz="4" w:space="0"/>
            </w:tcBorders>
            <w:vAlign w:val="center"/>
          </w:tcPr>
          <w:p w14:paraId="2959424A">
            <w:pPr>
              <w:spacing w:line="300" w:lineRule="exact"/>
              <w:jc w:val="left"/>
              <w:rPr>
                <w:rFonts w:ascii="宋体" w:hAnsi="宋体"/>
                <w:color w:val="000000"/>
                <w:sz w:val="18"/>
                <w:szCs w:val="18"/>
                <w:highlight w:val="none"/>
              </w:rPr>
            </w:pPr>
            <w:r>
              <w:rPr>
                <w:rFonts w:hint="eastAsia" w:ascii="宋体" w:hAnsi="宋体"/>
                <w:color w:val="000000"/>
                <w:sz w:val="18"/>
                <w:szCs w:val="18"/>
                <w:highlight w:val="none"/>
              </w:rPr>
              <w:t>不按时报送的，每延期一天扣0.2-0.5分。</w:t>
            </w:r>
          </w:p>
        </w:tc>
        <w:tc>
          <w:tcPr>
            <w:tcW w:w="833" w:type="dxa"/>
            <w:tcBorders>
              <w:top w:val="single" w:color="auto" w:sz="4" w:space="0"/>
              <w:left w:val="nil"/>
              <w:bottom w:val="single" w:color="auto" w:sz="4" w:space="0"/>
              <w:right w:val="single" w:color="auto" w:sz="4" w:space="0"/>
            </w:tcBorders>
            <w:vAlign w:val="center"/>
          </w:tcPr>
          <w:p w14:paraId="7FF43505">
            <w:pPr>
              <w:jc w:val="center"/>
              <w:rPr>
                <w:rFonts w:ascii="宋体" w:hAnsi="宋体"/>
                <w:color w:val="000000"/>
                <w:sz w:val="18"/>
                <w:szCs w:val="18"/>
                <w:highlight w:val="none"/>
              </w:rPr>
            </w:pPr>
          </w:p>
        </w:tc>
      </w:tr>
      <w:tr w14:paraId="7BB2889C">
        <w:tblPrEx>
          <w:tblCellMar>
            <w:top w:w="0" w:type="dxa"/>
            <w:left w:w="108" w:type="dxa"/>
            <w:bottom w:w="0" w:type="dxa"/>
            <w:right w:w="108" w:type="dxa"/>
          </w:tblCellMar>
        </w:tblPrEx>
        <w:trPr>
          <w:trHeight w:val="467" w:hRule="atLeast"/>
        </w:trPr>
        <w:tc>
          <w:tcPr>
            <w:tcW w:w="973" w:type="dxa"/>
            <w:gridSpan w:val="2"/>
            <w:tcBorders>
              <w:top w:val="single" w:color="auto" w:sz="4" w:space="0"/>
              <w:left w:val="single" w:color="auto" w:sz="4" w:space="0"/>
              <w:bottom w:val="single" w:color="auto" w:sz="4" w:space="0"/>
              <w:right w:val="single" w:color="auto" w:sz="4" w:space="0"/>
            </w:tcBorders>
          </w:tcPr>
          <w:p w14:paraId="14C54F0A">
            <w:pPr>
              <w:jc w:val="center"/>
              <w:rPr>
                <w:rFonts w:ascii="宋体" w:hAnsi="宋体"/>
                <w:b/>
                <w:color w:val="000000"/>
                <w:sz w:val="18"/>
                <w:szCs w:val="18"/>
                <w:highlight w:val="none"/>
              </w:rPr>
            </w:pPr>
            <w:r>
              <w:rPr>
                <w:rFonts w:hint="eastAsia" w:ascii="宋体" w:hAnsi="宋体"/>
                <w:b/>
                <w:color w:val="000000"/>
                <w:sz w:val="18"/>
                <w:szCs w:val="18"/>
                <w:highlight w:val="none"/>
              </w:rPr>
              <w:t>合计</w:t>
            </w:r>
          </w:p>
        </w:tc>
        <w:tc>
          <w:tcPr>
            <w:tcW w:w="3690" w:type="dxa"/>
            <w:tcBorders>
              <w:top w:val="single" w:color="auto" w:sz="4" w:space="0"/>
              <w:left w:val="nil"/>
              <w:bottom w:val="single" w:color="auto" w:sz="4" w:space="0"/>
              <w:right w:val="single" w:color="auto" w:sz="4" w:space="0"/>
            </w:tcBorders>
            <w:vAlign w:val="center"/>
          </w:tcPr>
          <w:p w14:paraId="47FE6956">
            <w:pPr>
              <w:spacing w:line="300" w:lineRule="exact"/>
              <w:jc w:val="center"/>
              <w:rPr>
                <w:rFonts w:ascii="宋体" w:hAnsi="宋体"/>
                <w:color w:val="000000"/>
                <w:sz w:val="18"/>
                <w:szCs w:val="18"/>
                <w:highlight w:val="none"/>
              </w:rPr>
            </w:pPr>
          </w:p>
        </w:tc>
        <w:tc>
          <w:tcPr>
            <w:tcW w:w="572" w:type="dxa"/>
            <w:tcBorders>
              <w:top w:val="single" w:color="auto" w:sz="4" w:space="0"/>
              <w:left w:val="nil"/>
              <w:bottom w:val="single" w:color="auto" w:sz="4" w:space="0"/>
              <w:right w:val="single" w:color="auto" w:sz="4" w:space="0"/>
            </w:tcBorders>
            <w:vAlign w:val="center"/>
          </w:tcPr>
          <w:p w14:paraId="0C1E3025">
            <w:pPr>
              <w:spacing w:line="300" w:lineRule="exact"/>
              <w:jc w:val="center"/>
              <w:rPr>
                <w:rFonts w:ascii="宋体" w:hAnsi="宋体"/>
                <w:color w:val="000000"/>
                <w:sz w:val="18"/>
                <w:szCs w:val="18"/>
                <w:highlight w:val="none"/>
              </w:rPr>
            </w:pPr>
            <w:r>
              <w:rPr>
                <w:rFonts w:hint="eastAsia" w:ascii="宋体" w:hAnsi="宋体"/>
                <w:color w:val="000000"/>
                <w:sz w:val="18"/>
                <w:szCs w:val="18"/>
                <w:highlight w:val="none"/>
              </w:rPr>
              <w:t>100</w:t>
            </w:r>
          </w:p>
        </w:tc>
        <w:tc>
          <w:tcPr>
            <w:tcW w:w="4560" w:type="dxa"/>
            <w:tcBorders>
              <w:top w:val="single" w:color="auto" w:sz="4" w:space="0"/>
              <w:left w:val="nil"/>
              <w:bottom w:val="single" w:color="auto" w:sz="4" w:space="0"/>
              <w:right w:val="single" w:color="auto" w:sz="4" w:space="0"/>
            </w:tcBorders>
            <w:vAlign w:val="center"/>
          </w:tcPr>
          <w:p w14:paraId="66B42CFA">
            <w:pPr>
              <w:spacing w:line="300" w:lineRule="exact"/>
              <w:jc w:val="center"/>
              <w:rPr>
                <w:rFonts w:ascii="宋体" w:hAnsi="宋体"/>
                <w:color w:val="000000"/>
                <w:sz w:val="18"/>
                <w:szCs w:val="18"/>
                <w:highlight w:val="none"/>
              </w:rPr>
            </w:pPr>
          </w:p>
        </w:tc>
        <w:tc>
          <w:tcPr>
            <w:tcW w:w="833" w:type="dxa"/>
            <w:tcBorders>
              <w:top w:val="single" w:color="auto" w:sz="4" w:space="0"/>
              <w:left w:val="nil"/>
              <w:bottom w:val="single" w:color="auto" w:sz="4" w:space="0"/>
              <w:right w:val="single" w:color="auto" w:sz="4" w:space="0"/>
            </w:tcBorders>
            <w:vAlign w:val="center"/>
          </w:tcPr>
          <w:p w14:paraId="7EC6AE22">
            <w:pPr>
              <w:jc w:val="center"/>
              <w:rPr>
                <w:rFonts w:ascii="宋体" w:hAnsi="宋体"/>
                <w:color w:val="000000"/>
                <w:sz w:val="18"/>
                <w:szCs w:val="18"/>
                <w:highlight w:val="none"/>
              </w:rPr>
            </w:pPr>
          </w:p>
        </w:tc>
      </w:tr>
      <w:tr w14:paraId="09DD28E2">
        <w:tblPrEx>
          <w:tblCellMar>
            <w:top w:w="0" w:type="dxa"/>
            <w:left w:w="108" w:type="dxa"/>
            <w:bottom w:w="0" w:type="dxa"/>
            <w:right w:w="108" w:type="dxa"/>
          </w:tblCellMar>
        </w:tblPrEx>
        <w:trPr>
          <w:trHeight w:val="426" w:hRule="atLeast"/>
        </w:trPr>
        <w:tc>
          <w:tcPr>
            <w:tcW w:w="10628" w:type="dxa"/>
            <w:gridSpan w:val="6"/>
            <w:tcBorders>
              <w:top w:val="single" w:color="auto" w:sz="4" w:space="0"/>
              <w:left w:val="single" w:color="auto" w:sz="4" w:space="0"/>
              <w:bottom w:val="single" w:color="auto" w:sz="4" w:space="0"/>
              <w:right w:val="single" w:color="auto" w:sz="4" w:space="0"/>
            </w:tcBorders>
          </w:tcPr>
          <w:p w14:paraId="45A54E24">
            <w:pPr>
              <w:rPr>
                <w:rFonts w:ascii="宋体" w:hAnsi="宋体"/>
                <w:b/>
                <w:color w:val="000000"/>
                <w:sz w:val="18"/>
                <w:szCs w:val="18"/>
                <w:highlight w:val="none"/>
              </w:rPr>
            </w:pPr>
            <w:r>
              <w:rPr>
                <w:rFonts w:hint="eastAsia" w:ascii="宋体" w:hAnsi="宋体"/>
                <w:b/>
                <w:color w:val="000000"/>
                <w:sz w:val="18"/>
                <w:szCs w:val="18"/>
                <w:highlight w:val="none"/>
              </w:rPr>
              <w:t>其他管养工作：</w:t>
            </w:r>
          </w:p>
        </w:tc>
      </w:tr>
    </w:tbl>
    <w:p w14:paraId="3E9EB1F4">
      <w:pPr>
        <w:spacing w:line="400" w:lineRule="exact"/>
        <w:rPr>
          <w:rFonts w:ascii="宋体" w:hAnsi="宋体"/>
          <w:b/>
          <w:bCs/>
          <w:color w:val="000000"/>
          <w:highlight w:val="none"/>
        </w:rPr>
      </w:pPr>
      <w:r>
        <w:rPr>
          <w:rFonts w:hint="eastAsia" w:ascii="宋体" w:hAnsi="宋体"/>
          <w:b/>
          <w:bCs/>
          <w:color w:val="000000"/>
          <w:highlight w:val="none"/>
        </w:rPr>
        <w:t xml:space="preserve">备注：                                                                                                                                                                                                                                                                                                                                                                                                                                                                                                                                                                                                                                                                                                                                                                                                                                                                                                                                                                                                                                                                                                                                                                                                                                                                                                                                                                                                                                                                                                                                                                                                                                                                                                                                                                                                                                                                                                                                                                                                                                                                                                                                                                                                                                                                                                                                                                                                                                                                                                                                                                                                                                                                                                                                                                                                                                                                                                                                                                                                                                                                                                                                                                                                                         </w:t>
      </w:r>
    </w:p>
    <w:p w14:paraId="60AF075F">
      <w:pPr>
        <w:spacing w:line="400" w:lineRule="exact"/>
        <w:rPr>
          <w:rFonts w:ascii="宋体" w:hAnsi="宋体"/>
          <w:color w:val="000000"/>
          <w:highlight w:val="none"/>
        </w:rPr>
      </w:pPr>
      <w:r>
        <w:rPr>
          <w:rFonts w:hint="eastAsia" w:ascii="宋体" w:hAnsi="宋体"/>
          <w:color w:val="000000"/>
          <w:kern w:val="0"/>
          <w:highlight w:val="none"/>
        </w:rPr>
        <w:t>1、考核表满分为100分，</w:t>
      </w:r>
      <w:r>
        <w:rPr>
          <w:rFonts w:hint="eastAsia" w:ascii="宋体" w:hAnsi="宋体"/>
          <w:color w:val="000000"/>
          <w:highlight w:val="none"/>
        </w:rPr>
        <w:t>人员、养护内容及要求均列入考核范围，按要求进行考核</w:t>
      </w:r>
      <w:r>
        <w:rPr>
          <w:rFonts w:hint="eastAsia" w:ascii="宋体" w:hAnsi="宋体"/>
          <w:color w:val="000000"/>
          <w:kern w:val="0"/>
          <w:highlight w:val="none"/>
        </w:rPr>
        <w:t>。</w:t>
      </w:r>
    </w:p>
    <w:p w14:paraId="6D7C7208">
      <w:pPr>
        <w:spacing w:line="400" w:lineRule="exact"/>
        <w:rPr>
          <w:rFonts w:ascii="宋体" w:hAnsi="宋体"/>
          <w:color w:val="000000"/>
          <w:highlight w:val="none"/>
        </w:rPr>
      </w:pPr>
      <w:r>
        <w:rPr>
          <w:rFonts w:hint="eastAsia" w:ascii="宋体" w:hAnsi="宋体"/>
          <w:color w:val="000000"/>
          <w:highlight w:val="none"/>
        </w:rPr>
        <w:t>2、考核方式分为日常巡查和月度考核。</w:t>
      </w:r>
    </w:p>
    <w:p w14:paraId="35CFE946">
      <w:pPr>
        <w:spacing w:line="400" w:lineRule="exact"/>
        <w:rPr>
          <w:rFonts w:ascii="宋体" w:hAnsi="宋体"/>
          <w:color w:val="000000"/>
          <w:highlight w:val="none"/>
        </w:rPr>
      </w:pPr>
      <w:r>
        <w:rPr>
          <w:rFonts w:hint="eastAsia" w:ascii="宋体" w:hAnsi="宋体"/>
          <w:color w:val="000000"/>
          <w:highlight w:val="none"/>
        </w:rPr>
        <w:t>3、日常巡查：平时学校不定期抽查发现问题，能认真对待、及时整改的，不作扣分处理。经提醒仍不整改的，计入月度考核。</w:t>
      </w:r>
    </w:p>
    <w:p w14:paraId="1EA8FD30">
      <w:pPr>
        <w:spacing w:line="400" w:lineRule="exact"/>
        <w:rPr>
          <w:rFonts w:ascii="宋体" w:hAnsi="宋体"/>
          <w:color w:val="000000"/>
          <w:highlight w:val="none"/>
        </w:rPr>
      </w:pPr>
      <w:r>
        <w:rPr>
          <w:rFonts w:hint="eastAsia" w:ascii="宋体" w:hAnsi="宋体"/>
          <w:color w:val="000000"/>
          <w:highlight w:val="none"/>
        </w:rPr>
        <w:t>4、月度考核：每月学校依照《学校绿化养护月度考核评分表》组织一次对中标单位绿化养护工作的全面考核，存在问题产生的损失从服务费用中扣除。</w:t>
      </w:r>
    </w:p>
    <w:p w14:paraId="69170652">
      <w:pPr>
        <w:spacing w:line="400" w:lineRule="exact"/>
        <w:rPr>
          <w:rFonts w:ascii="宋体" w:hAnsi="宋体"/>
          <w:color w:val="000000"/>
          <w:highlight w:val="none"/>
        </w:rPr>
      </w:pPr>
      <w:r>
        <w:rPr>
          <w:rFonts w:hint="eastAsia" w:ascii="宋体" w:hAnsi="宋体"/>
          <w:color w:val="000000"/>
          <w:highlight w:val="none"/>
        </w:rPr>
        <w:t>5、学校在对中标单位的考核检查中发现的问题以通报表的形式发出后，中标单位连续3次或累计5次未按考核情况通报表要求整改的，学校有权单方面解除合同。</w:t>
      </w:r>
    </w:p>
    <w:p w14:paraId="1062B5D7">
      <w:pPr>
        <w:rPr>
          <w:highlight w:val="none"/>
        </w:rPr>
      </w:pPr>
    </w:p>
    <w:p w14:paraId="783A1A91">
      <w:pPr>
        <w:pStyle w:val="45"/>
        <w:spacing w:line="360" w:lineRule="auto"/>
        <w:ind w:left="105" w:leftChars="50"/>
        <w:rPr>
          <w:rFonts w:hAnsi="宋体" w:eastAsia="宋体" w:cs="仿宋"/>
          <w:sz w:val="21"/>
          <w:szCs w:val="21"/>
          <w:highlight w:val="none"/>
        </w:rPr>
        <w:sectPr>
          <w:pgSz w:w="11906" w:h="16838"/>
          <w:pgMar w:top="567" w:right="567" w:bottom="567" w:left="567" w:header="851" w:footer="992" w:gutter="0"/>
          <w:cols w:space="425" w:num="1"/>
          <w:docGrid w:type="lines" w:linePitch="312" w:charSpace="0"/>
        </w:sectPr>
      </w:pPr>
    </w:p>
    <w:p w14:paraId="68A2A7FD">
      <w:pPr>
        <w:pStyle w:val="45"/>
        <w:spacing w:line="360" w:lineRule="auto"/>
        <w:ind w:left="105" w:leftChars="50"/>
        <w:rPr>
          <w:rFonts w:hAnsi="宋体" w:eastAsia="宋体" w:cs="仿宋"/>
          <w:sz w:val="21"/>
          <w:szCs w:val="21"/>
          <w:highlight w:val="none"/>
        </w:rPr>
      </w:pPr>
    </w:p>
    <w:p w14:paraId="26C95C8B">
      <w:pPr>
        <w:pStyle w:val="4"/>
        <w:rPr>
          <w:highlight w:val="none"/>
        </w:rPr>
      </w:pPr>
    </w:p>
    <w:p w14:paraId="42E89CF6">
      <w:pPr>
        <w:spacing w:line="360" w:lineRule="auto"/>
        <w:jc w:val="center"/>
        <w:rPr>
          <w:rFonts w:ascii="宋体" w:hAnsi="宋体" w:cs="Courier New"/>
          <w:color w:val="000000"/>
          <w:sz w:val="72"/>
          <w:szCs w:val="72"/>
          <w:highlight w:val="none"/>
        </w:rPr>
      </w:pPr>
      <w:r>
        <w:rPr>
          <w:rFonts w:hint="eastAsia" w:ascii="宋体" w:hAnsi="宋体" w:cs="Courier New"/>
          <w:color w:val="000000"/>
          <w:sz w:val="72"/>
          <w:szCs w:val="72"/>
          <w:highlight w:val="none"/>
        </w:rPr>
        <w:t>响应文件</w:t>
      </w:r>
    </w:p>
    <w:p w14:paraId="03B642D0">
      <w:pPr>
        <w:spacing w:line="360" w:lineRule="auto"/>
        <w:jc w:val="center"/>
        <w:rPr>
          <w:rFonts w:ascii="宋体" w:hAnsi="宋体" w:cs="Courier New"/>
          <w:color w:val="000000"/>
          <w:sz w:val="36"/>
          <w:szCs w:val="36"/>
          <w:highlight w:val="none"/>
        </w:rPr>
      </w:pPr>
    </w:p>
    <w:p w14:paraId="02945005">
      <w:pPr>
        <w:spacing w:line="360" w:lineRule="auto"/>
        <w:jc w:val="center"/>
        <w:rPr>
          <w:rFonts w:ascii="宋体" w:hAnsi="宋体" w:cs="Courier New"/>
          <w:color w:val="000000"/>
          <w:sz w:val="36"/>
          <w:szCs w:val="36"/>
          <w:highlight w:val="none"/>
        </w:rPr>
      </w:pPr>
    </w:p>
    <w:p w14:paraId="06D7017F">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项目名称：</w:t>
      </w:r>
    </w:p>
    <w:p w14:paraId="3FCEBEA4">
      <w:pPr>
        <w:spacing w:line="360" w:lineRule="auto"/>
        <w:ind w:firstLine="640" w:firstLineChars="200"/>
        <w:rPr>
          <w:rFonts w:ascii="宋体" w:hAnsi="宋体" w:cs="Courier New"/>
          <w:color w:val="000000"/>
          <w:sz w:val="32"/>
          <w:szCs w:val="32"/>
          <w:highlight w:val="none"/>
        </w:rPr>
      </w:pPr>
    </w:p>
    <w:p w14:paraId="4AE369AB">
      <w:pPr>
        <w:spacing w:line="360" w:lineRule="auto"/>
        <w:ind w:firstLine="640" w:firstLineChars="200"/>
        <w:rPr>
          <w:rFonts w:ascii="宋体" w:hAnsi="宋体" w:cs="Courier New"/>
          <w:color w:val="000000"/>
          <w:sz w:val="32"/>
          <w:szCs w:val="32"/>
          <w:highlight w:val="none"/>
          <w:u w:val="single"/>
        </w:rPr>
      </w:pPr>
      <w:r>
        <w:rPr>
          <w:rFonts w:hint="eastAsia" w:ascii="宋体" w:hAnsi="宋体" w:cs="Courier New"/>
          <w:color w:val="000000"/>
          <w:sz w:val="32"/>
          <w:szCs w:val="32"/>
          <w:highlight w:val="none"/>
        </w:rPr>
        <w:t>项目编号：</w:t>
      </w:r>
    </w:p>
    <w:p w14:paraId="73A4205B">
      <w:pPr>
        <w:spacing w:line="360" w:lineRule="auto"/>
        <w:ind w:firstLine="2560" w:firstLineChars="800"/>
        <w:rPr>
          <w:rFonts w:ascii="宋体" w:hAnsi="宋体" w:cs="Courier New"/>
          <w:color w:val="000000"/>
          <w:sz w:val="32"/>
          <w:szCs w:val="32"/>
          <w:highlight w:val="none"/>
          <w:u w:val="single"/>
        </w:rPr>
      </w:pPr>
    </w:p>
    <w:p w14:paraId="0F54A4C4">
      <w:pPr>
        <w:spacing w:line="360" w:lineRule="auto"/>
        <w:ind w:firstLine="640" w:firstLineChars="200"/>
        <w:rPr>
          <w:rFonts w:ascii="宋体" w:hAnsi="宋体" w:cs="Courier New"/>
          <w:color w:val="000000"/>
          <w:sz w:val="32"/>
          <w:szCs w:val="32"/>
          <w:highlight w:val="none"/>
          <w:u w:val="single"/>
        </w:rPr>
      </w:pPr>
      <w:r>
        <w:rPr>
          <w:rFonts w:hint="eastAsia" w:ascii="宋体" w:hAnsi="宋体" w:cs="Courier New"/>
          <w:color w:val="000000"/>
          <w:sz w:val="32"/>
          <w:szCs w:val="32"/>
          <w:highlight w:val="none"/>
        </w:rPr>
        <w:t>供应商：</w:t>
      </w:r>
    </w:p>
    <w:p w14:paraId="7C5D8036">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法定代表人或其委托代理人：</w:t>
      </w:r>
    </w:p>
    <w:p w14:paraId="66F148BA">
      <w:pPr>
        <w:spacing w:line="360" w:lineRule="auto"/>
        <w:ind w:firstLine="480" w:firstLineChars="150"/>
        <w:rPr>
          <w:rFonts w:ascii="宋体" w:hAnsi="宋体" w:cs="Courier New"/>
          <w:color w:val="000000"/>
          <w:sz w:val="32"/>
          <w:szCs w:val="32"/>
          <w:highlight w:val="none"/>
        </w:rPr>
      </w:pPr>
    </w:p>
    <w:p w14:paraId="07117AEE">
      <w:pPr>
        <w:spacing w:line="360" w:lineRule="auto"/>
        <w:ind w:firstLine="640" w:firstLineChars="200"/>
        <w:rPr>
          <w:rFonts w:ascii="宋体" w:hAnsi="宋体" w:cs="Courier New"/>
          <w:color w:val="000000"/>
          <w:sz w:val="32"/>
          <w:szCs w:val="32"/>
          <w:highlight w:val="none"/>
        </w:rPr>
      </w:pPr>
      <w:r>
        <w:rPr>
          <w:rFonts w:hint="eastAsia" w:ascii="宋体" w:hAnsi="宋体" w:cs="Courier New"/>
          <w:color w:val="000000"/>
          <w:sz w:val="32"/>
          <w:szCs w:val="32"/>
          <w:highlight w:val="none"/>
        </w:rPr>
        <w:t>日期：</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年</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月</w:t>
      </w:r>
      <w:r>
        <w:rPr>
          <w:rFonts w:hint="eastAsia" w:ascii="宋体" w:hAnsi="宋体" w:cs="Courier New"/>
          <w:color w:val="000000"/>
          <w:sz w:val="32"/>
          <w:szCs w:val="32"/>
          <w:highlight w:val="none"/>
          <w:u w:val="single"/>
        </w:rPr>
        <w:t xml:space="preserve">     </w:t>
      </w:r>
      <w:r>
        <w:rPr>
          <w:rFonts w:hint="eastAsia" w:ascii="宋体" w:hAnsi="宋体" w:cs="Courier New"/>
          <w:color w:val="000000"/>
          <w:sz w:val="32"/>
          <w:szCs w:val="32"/>
          <w:highlight w:val="none"/>
        </w:rPr>
        <w:t>日</w:t>
      </w:r>
    </w:p>
    <w:p w14:paraId="11310CF2">
      <w:pPr>
        <w:tabs>
          <w:tab w:val="left" w:pos="8640"/>
        </w:tabs>
        <w:spacing w:line="360" w:lineRule="auto"/>
        <w:rPr>
          <w:rFonts w:ascii="宋体" w:hAnsi="宋体" w:cs="Courier New"/>
          <w:highlight w:val="none"/>
        </w:rPr>
      </w:pPr>
    </w:p>
    <w:p w14:paraId="5ED5A573">
      <w:pPr>
        <w:tabs>
          <w:tab w:val="left" w:pos="8640"/>
        </w:tabs>
        <w:spacing w:line="360" w:lineRule="auto"/>
        <w:rPr>
          <w:rFonts w:ascii="宋体" w:hAnsi="宋体" w:cs="Courier New"/>
          <w:highlight w:val="none"/>
        </w:rPr>
      </w:pPr>
    </w:p>
    <w:p w14:paraId="30BE117A">
      <w:pPr>
        <w:ind w:firstLine="630"/>
        <w:rPr>
          <w:rFonts w:cs="宋体"/>
          <w:sz w:val="32"/>
          <w:szCs w:val="32"/>
          <w:highlight w:val="none"/>
        </w:rPr>
      </w:pPr>
    </w:p>
    <w:p w14:paraId="3B42C8E6">
      <w:pPr>
        <w:tabs>
          <w:tab w:val="left" w:pos="8640"/>
        </w:tabs>
        <w:spacing w:line="360" w:lineRule="auto"/>
        <w:rPr>
          <w:rFonts w:ascii="宋体" w:hAnsi="宋体" w:cs="Courier New"/>
          <w:highlight w:val="none"/>
        </w:rPr>
      </w:pPr>
    </w:p>
    <w:p w14:paraId="31E127FD">
      <w:pPr>
        <w:tabs>
          <w:tab w:val="left" w:pos="7560"/>
          <w:tab w:val="left" w:pos="7920"/>
        </w:tabs>
        <w:spacing w:line="360" w:lineRule="auto"/>
        <w:jc w:val="center"/>
        <w:rPr>
          <w:rFonts w:ascii="宋体" w:hAnsi="宋体" w:cs="Courier New"/>
          <w:color w:val="000000"/>
          <w:sz w:val="36"/>
          <w:szCs w:val="36"/>
          <w:highlight w:val="none"/>
        </w:rPr>
      </w:pPr>
    </w:p>
    <w:p w14:paraId="4FCB522A">
      <w:pPr>
        <w:tabs>
          <w:tab w:val="left" w:pos="7560"/>
          <w:tab w:val="left" w:pos="7920"/>
        </w:tabs>
        <w:spacing w:line="360" w:lineRule="auto"/>
        <w:jc w:val="center"/>
        <w:rPr>
          <w:rFonts w:ascii="宋体" w:hAnsi="宋体" w:cs="Courier New"/>
          <w:color w:val="000000"/>
          <w:sz w:val="36"/>
          <w:szCs w:val="36"/>
          <w:highlight w:val="none"/>
        </w:rPr>
      </w:pPr>
      <w:r>
        <w:rPr>
          <w:rFonts w:hint="eastAsia" w:ascii="宋体" w:hAnsi="宋体" w:cs="Courier New"/>
          <w:color w:val="000000"/>
          <w:sz w:val="36"/>
          <w:szCs w:val="36"/>
          <w:highlight w:val="none"/>
        </w:rPr>
        <w:br w:type="page"/>
      </w:r>
    </w:p>
    <w:p w14:paraId="52DCCAF7">
      <w:pPr>
        <w:tabs>
          <w:tab w:val="left" w:pos="7560"/>
          <w:tab w:val="left" w:pos="7920"/>
        </w:tabs>
        <w:spacing w:line="360" w:lineRule="auto"/>
        <w:jc w:val="center"/>
        <w:rPr>
          <w:rFonts w:ascii="宋体" w:hAnsi="宋体" w:cs="Courier New"/>
          <w:color w:val="000000"/>
          <w:sz w:val="36"/>
          <w:szCs w:val="36"/>
          <w:highlight w:val="none"/>
        </w:rPr>
      </w:pPr>
      <w:r>
        <w:rPr>
          <w:rFonts w:hint="eastAsia" w:ascii="宋体" w:hAnsi="宋体" w:cs="Courier New"/>
          <w:color w:val="000000"/>
          <w:sz w:val="36"/>
          <w:szCs w:val="36"/>
          <w:highlight w:val="none"/>
        </w:rPr>
        <w:t>目    录</w:t>
      </w:r>
    </w:p>
    <w:p w14:paraId="29D06451">
      <w:pPr>
        <w:tabs>
          <w:tab w:val="left" w:pos="8640"/>
        </w:tabs>
        <w:spacing w:line="360" w:lineRule="auto"/>
        <w:rPr>
          <w:rFonts w:ascii="宋体" w:hAnsi="宋体" w:cs="Courier New"/>
          <w:highlight w:val="none"/>
        </w:rPr>
      </w:pPr>
    </w:p>
    <w:p w14:paraId="2D3C8A6F">
      <w:pPr>
        <w:spacing w:line="360" w:lineRule="auto"/>
        <w:ind w:firstLine="210" w:firstLineChars="100"/>
        <w:rPr>
          <w:rFonts w:ascii="宋体" w:hAnsi="宋体" w:cs="Courier New"/>
          <w:highlight w:val="none"/>
        </w:rPr>
      </w:pPr>
      <w:r>
        <w:rPr>
          <w:rFonts w:hint="eastAsia" w:ascii="宋体" w:hAnsi="宋体" w:cs="Courier New"/>
          <w:highlight w:val="none"/>
        </w:rPr>
        <w:t>（一）供应商资格证明文件</w:t>
      </w:r>
      <w:r>
        <w:rPr>
          <w:rFonts w:hint="eastAsia" w:ascii="宋体" w:hAnsi="宋体" w:cs="Courier New"/>
          <w:b/>
          <w:highlight w:val="none"/>
        </w:rPr>
        <w:t>……………………………………………………………</w:t>
      </w:r>
      <w:r>
        <w:rPr>
          <w:rFonts w:hint="eastAsia" w:ascii="宋体" w:hAnsi="宋体" w:cs="Courier New"/>
          <w:highlight w:val="none"/>
        </w:rPr>
        <w:t>第   页</w:t>
      </w:r>
    </w:p>
    <w:p w14:paraId="7071BCF0">
      <w:pPr>
        <w:tabs>
          <w:tab w:val="left" w:pos="7380"/>
        </w:tabs>
        <w:spacing w:line="360" w:lineRule="auto"/>
        <w:ind w:right="-153" w:rightChars="-73" w:firstLine="315" w:firstLineChars="150"/>
        <w:rPr>
          <w:rFonts w:ascii="宋体" w:hAnsi="宋体" w:cs="Courier New"/>
          <w:highlight w:val="none"/>
        </w:rPr>
      </w:pPr>
      <w:r>
        <w:rPr>
          <w:rFonts w:hint="eastAsia" w:ascii="宋体" w:hAnsi="宋体" w:cs="Courier New"/>
          <w:highlight w:val="none"/>
        </w:rPr>
        <w:t>(二) 商务技术类文件</w:t>
      </w:r>
      <w:r>
        <w:rPr>
          <w:rFonts w:hint="eastAsia" w:ascii="宋体" w:hAnsi="宋体" w:cs="Courier New"/>
          <w:b/>
          <w:highlight w:val="none"/>
        </w:rPr>
        <w:t>…………………………………………………………………</w:t>
      </w:r>
      <w:r>
        <w:rPr>
          <w:rFonts w:hint="eastAsia" w:ascii="宋体" w:hAnsi="宋体" w:cs="Courier New"/>
          <w:highlight w:val="none"/>
        </w:rPr>
        <w:t>第   页</w:t>
      </w:r>
    </w:p>
    <w:p w14:paraId="16F1BE01">
      <w:pPr>
        <w:tabs>
          <w:tab w:val="left" w:pos="7380"/>
        </w:tabs>
        <w:spacing w:line="360" w:lineRule="auto"/>
        <w:ind w:right="-153" w:rightChars="-73" w:firstLine="315" w:firstLineChars="150"/>
        <w:rPr>
          <w:rFonts w:ascii="宋体" w:hAnsi="宋体" w:cs="Courier New"/>
          <w:highlight w:val="none"/>
        </w:rPr>
      </w:pPr>
      <w:r>
        <w:rPr>
          <w:rFonts w:hint="eastAsia" w:ascii="宋体" w:hAnsi="宋体" w:cs="Courier New"/>
          <w:highlight w:val="none"/>
        </w:rPr>
        <w:t>(三) 供应商认为需要提供的有关资料</w:t>
      </w:r>
      <w:r>
        <w:rPr>
          <w:rFonts w:hint="eastAsia" w:ascii="宋体" w:hAnsi="宋体" w:cs="Courier New"/>
          <w:b/>
          <w:highlight w:val="none"/>
        </w:rPr>
        <w:t>………………………………………………</w:t>
      </w:r>
      <w:r>
        <w:rPr>
          <w:rFonts w:hint="eastAsia" w:ascii="宋体" w:hAnsi="宋体" w:cs="Courier New"/>
          <w:highlight w:val="none"/>
        </w:rPr>
        <w:t>第   页</w:t>
      </w:r>
      <w:bookmarkStart w:id="6" w:name="_Toc417029007"/>
      <w:bookmarkStart w:id="7" w:name="_Toc397585462"/>
    </w:p>
    <w:p w14:paraId="363ECACE">
      <w:pPr>
        <w:spacing w:line="360" w:lineRule="auto"/>
        <w:ind w:firstLine="210" w:firstLineChars="100"/>
        <w:rPr>
          <w:rFonts w:ascii="宋体" w:hAnsi="宋体"/>
          <w:szCs w:val="24"/>
          <w:highlight w:val="none"/>
        </w:rPr>
      </w:pPr>
      <w:r>
        <w:rPr>
          <w:rFonts w:hint="eastAsia" w:ascii="宋体" w:hAnsi="宋体"/>
          <w:szCs w:val="24"/>
          <w:highlight w:val="none"/>
        </w:rPr>
        <w:t>（四）报价表</w:t>
      </w:r>
      <w:r>
        <w:rPr>
          <w:rFonts w:hint="eastAsia" w:ascii="宋体" w:hAnsi="宋体" w:cs="Courier New"/>
          <w:b/>
          <w:highlight w:val="none"/>
        </w:rPr>
        <w:t>……………………………………………………………………………</w:t>
      </w:r>
      <w:r>
        <w:rPr>
          <w:rFonts w:hint="eastAsia" w:ascii="宋体" w:hAnsi="宋体" w:cs="Courier New"/>
          <w:highlight w:val="none"/>
        </w:rPr>
        <w:t>第   页</w:t>
      </w:r>
    </w:p>
    <w:p w14:paraId="2765382B">
      <w:pPr>
        <w:pStyle w:val="45"/>
        <w:ind w:firstLine="210" w:firstLineChars="100"/>
        <w:rPr>
          <w:color w:val="auto"/>
          <w:highlight w:val="none"/>
        </w:rPr>
      </w:pPr>
      <w:r>
        <w:rPr>
          <w:rFonts w:hint="eastAsia" w:hAnsi="宋体"/>
          <w:color w:val="auto"/>
          <w:sz w:val="21"/>
          <w:szCs w:val="21"/>
          <w:highlight w:val="none"/>
        </w:rPr>
        <w:t>（五）中小企业声明函</w:t>
      </w:r>
      <w:r>
        <w:rPr>
          <w:rFonts w:hint="eastAsia" w:hAnsi="宋体" w:cs="Courier New"/>
          <w:b/>
          <w:color w:val="auto"/>
          <w:sz w:val="21"/>
          <w:szCs w:val="21"/>
          <w:highlight w:val="none"/>
        </w:rPr>
        <w:t>………………………… …  … … ………</w:t>
      </w:r>
      <w:r>
        <w:rPr>
          <w:rFonts w:hint="eastAsia" w:hAnsi="宋体" w:eastAsia="宋体" w:cs="Courier New"/>
          <w:b/>
          <w:color w:val="auto"/>
          <w:sz w:val="21"/>
          <w:szCs w:val="21"/>
          <w:highlight w:val="none"/>
        </w:rPr>
        <w:t>...</w:t>
      </w:r>
      <w:r>
        <w:rPr>
          <w:rFonts w:hint="eastAsia" w:hAnsi="宋体" w:cs="Courier New"/>
          <w:b/>
          <w:color w:val="auto"/>
          <w:sz w:val="21"/>
          <w:szCs w:val="21"/>
          <w:highlight w:val="none"/>
        </w:rPr>
        <w:t>……… ……</w:t>
      </w:r>
      <w:r>
        <w:rPr>
          <w:rFonts w:hint="eastAsia" w:hAnsi="宋体" w:cs="Courier New"/>
          <w:color w:val="auto"/>
          <w:sz w:val="21"/>
          <w:szCs w:val="21"/>
          <w:highlight w:val="none"/>
        </w:rPr>
        <w:t>第   页</w:t>
      </w:r>
    </w:p>
    <w:p w14:paraId="3E3E3824">
      <w:pPr>
        <w:spacing w:line="360" w:lineRule="auto"/>
        <w:ind w:firstLine="420" w:firstLineChars="200"/>
        <w:rPr>
          <w:rFonts w:ascii="仿宋_GB2312" w:hAnsi="宋体" w:eastAsia="仿宋_GB2312" w:cs="宋体"/>
          <w:kern w:val="0"/>
          <w:sz w:val="29"/>
          <w:szCs w:val="29"/>
          <w:highlight w:val="none"/>
        </w:rPr>
      </w:pPr>
      <w:r>
        <w:rPr>
          <w:rFonts w:ascii="宋体" w:hAnsi="宋体"/>
          <w:szCs w:val="24"/>
          <w:highlight w:val="none"/>
        </w:rPr>
        <w:br w:type="page"/>
      </w:r>
      <w:bookmarkEnd w:id="6"/>
      <w:bookmarkEnd w:id="7"/>
      <w:r>
        <w:rPr>
          <w:rFonts w:hint="eastAsia" w:ascii="宋体" w:hAnsi="宋体"/>
          <w:b/>
          <w:bCs/>
          <w:szCs w:val="24"/>
          <w:highlight w:val="none"/>
        </w:rPr>
        <w:t>标有“★”号的材料均为必须提供的材料，并加盖公章,如未提供,按报价无效处理。</w:t>
      </w:r>
    </w:p>
    <w:p w14:paraId="2B8F609E">
      <w:pPr>
        <w:spacing w:line="360" w:lineRule="auto"/>
        <w:rPr>
          <w:rFonts w:ascii="宋体" w:hAnsi="宋体"/>
          <w:b/>
          <w:szCs w:val="24"/>
          <w:highlight w:val="none"/>
        </w:rPr>
      </w:pPr>
    </w:p>
    <w:p w14:paraId="77805441">
      <w:pPr>
        <w:spacing w:line="360" w:lineRule="auto"/>
        <w:rPr>
          <w:rFonts w:ascii="宋体" w:hAnsi="宋体"/>
          <w:szCs w:val="24"/>
          <w:highlight w:val="none"/>
        </w:rPr>
      </w:pPr>
      <w:r>
        <w:rPr>
          <w:rFonts w:ascii="宋体" w:hAnsi="宋体"/>
          <w:b/>
          <w:szCs w:val="24"/>
          <w:highlight w:val="none"/>
        </w:rPr>
        <w:t xml:space="preserve"> </w:t>
      </w:r>
      <w:r>
        <w:rPr>
          <w:rFonts w:hint="eastAsia" w:ascii="宋体" w:hAnsi="宋体"/>
          <w:b/>
          <w:szCs w:val="24"/>
          <w:highlight w:val="none"/>
        </w:rPr>
        <w:t>（一）供应商资格证明文件</w:t>
      </w:r>
    </w:p>
    <w:p w14:paraId="73E24359">
      <w:pPr>
        <w:spacing w:line="360" w:lineRule="auto"/>
        <w:ind w:firstLine="420" w:firstLineChars="200"/>
        <w:rPr>
          <w:rFonts w:ascii="宋体" w:hAnsi="宋体"/>
          <w:szCs w:val="24"/>
          <w:highlight w:val="none"/>
        </w:rPr>
      </w:pPr>
      <w:r>
        <w:rPr>
          <w:rFonts w:hint="eastAsia" w:ascii="宋体" w:hAnsi="宋体"/>
          <w:highlight w:val="none"/>
        </w:rPr>
        <w:t>★</w:t>
      </w:r>
      <w:r>
        <w:rPr>
          <w:rFonts w:hint="eastAsia" w:ascii="宋体" w:hAnsi="宋体"/>
          <w:szCs w:val="24"/>
          <w:highlight w:val="none"/>
        </w:rPr>
        <w:t>1、有效的营业执照副本（均为复印件并加盖单位公章）</w:t>
      </w:r>
      <w:r>
        <w:rPr>
          <w:rFonts w:hint="eastAsia" w:ascii="宋体" w:hAnsi="宋体"/>
          <w:highlight w:val="none"/>
        </w:rPr>
        <w:t>；</w:t>
      </w:r>
    </w:p>
    <w:p w14:paraId="23F40F74">
      <w:pPr>
        <w:spacing w:line="360" w:lineRule="auto"/>
        <w:ind w:firstLine="420" w:firstLineChars="200"/>
        <w:rPr>
          <w:rFonts w:ascii="宋体" w:hAnsi="宋体"/>
          <w:szCs w:val="24"/>
          <w:highlight w:val="none"/>
        </w:rPr>
      </w:pPr>
      <w:r>
        <w:rPr>
          <w:rFonts w:hint="eastAsia" w:ascii="宋体" w:hAnsi="宋体"/>
          <w:highlight w:val="none"/>
        </w:rPr>
        <w:t>★</w:t>
      </w:r>
      <w:r>
        <w:rPr>
          <w:rFonts w:hint="eastAsia" w:ascii="宋体" w:hAnsi="宋体"/>
          <w:szCs w:val="24"/>
          <w:highlight w:val="none"/>
        </w:rPr>
        <w:t>2、法定代表人身份证复印件（加盖单位公章）；</w:t>
      </w:r>
    </w:p>
    <w:p w14:paraId="18144FBE">
      <w:pPr>
        <w:spacing w:line="360" w:lineRule="auto"/>
        <w:ind w:firstLine="420" w:firstLineChars="200"/>
        <w:rPr>
          <w:rFonts w:ascii="宋体" w:hAnsi="宋体"/>
          <w:szCs w:val="24"/>
          <w:highlight w:val="none"/>
        </w:rPr>
      </w:pPr>
      <w:r>
        <w:rPr>
          <w:rFonts w:hint="eastAsia" w:ascii="宋体" w:hAnsi="宋体"/>
          <w:highlight w:val="none"/>
        </w:rPr>
        <w:t>★</w:t>
      </w:r>
      <w:r>
        <w:rPr>
          <w:rFonts w:hint="eastAsia" w:ascii="宋体" w:hAnsi="宋体"/>
          <w:szCs w:val="24"/>
          <w:highlight w:val="none"/>
        </w:rPr>
        <w:t>3、法定代表人授权委托书原件和委托代理人身份证复印件；</w:t>
      </w:r>
    </w:p>
    <w:p w14:paraId="7D1284A1">
      <w:pPr>
        <w:spacing w:line="360" w:lineRule="auto"/>
        <w:jc w:val="center"/>
        <w:rPr>
          <w:rFonts w:ascii="宋体" w:hAnsi="宋体"/>
          <w:b/>
          <w:sz w:val="32"/>
          <w:szCs w:val="32"/>
          <w:highlight w:val="none"/>
        </w:rPr>
      </w:pPr>
    </w:p>
    <w:p w14:paraId="38754BC1">
      <w:pPr>
        <w:spacing w:line="360" w:lineRule="auto"/>
        <w:jc w:val="center"/>
        <w:rPr>
          <w:rFonts w:ascii="宋体" w:hAnsi="宋体"/>
          <w:szCs w:val="24"/>
          <w:highlight w:val="none"/>
        </w:rPr>
      </w:pPr>
      <w:r>
        <w:rPr>
          <w:rFonts w:hint="eastAsia" w:ascii="宋体" w:hAnsi="宋体"/>
          <w:b/>
          <w:sz w:val="32"/>
          <w:szCs w:val="32"/>
          <w:highlight w:val="none"/>
        </w:rPr>
        <w:t>法定代表人授权委托书（格式）</w:t>
      </w:r>
    </w:p>
    <w:p w14:paraId="55F3B35A">
      <w:pPr>
        <w:spacing w:line="360" w:lineRule="auto"/>
        <w:rPr>
          <w:rFonts w:ascii="宋体" w:hAnsi="宋体"/>
          <w:highlight w:val="none"/>
        </w:rPr>
      </w:pPr>
      <w:r>
        <w:rPr>
          <w:rFonts w:hint="eastAsia" w:ascii="宋体" w:hAnsi="宋体"/>
          <w:highlight w:val="none"/>
          <w:u w:val="single"/>
        </w:rPr>
        <w:t>XXXXX学校</w:t>
      </w:r>
      <w:r>
        <w:rPr>
          <w:rFonts w:hint="eastAsia" w:ascii="宋体" w:hAnsi="宋体"/>
          <w:highlight w:val="none"/>
        </w:rPr>
        <w:t>：</w:t>
      </w:r>
    </w:p>
    <w:p w14:paraId="16126BB4">
      <w:pPr>
        <w:spacing w:line="360" w:lineRule="auto"/>
        <w:ind w:firstLine="420" w:firstLineChars="200"/>
        <w:rPr>
          <w:rFonts w:ascii="宋体" w:hAnsi="宋体"/>
          <w:highlight w:val="none"/>
        </w:rPr>
      </w:pPr>
      <w:r>
        <w:rPr>
          <w:rFonts w:hint="eastAsia" w:ascii="宋体" w:hAnsi="宋体"/>
          <w:highlight w:val="none"/>
        </w:rPr>
        <w:t>兹授权</w:t>
      </w:r>
      <w:r>
        <w:rPr>
          <w:rFonts w:hint="eastAsia" w:ascii="宋体" w:hAnsi="宋体"/>
          <w:highlight w:val="none"/>
          <w:u w:val="single"/>
        </w:rPr>
        <w:t xml:space="preserve">        </w:t>
      </w:r>
      <w:r>
        <w:rPr>
          <w:rFonts w:hint="eastAsia" w:ascii="宋体" w:hAnsi="宋体"/>
          <w:highlight w:val="none"/>
        </w:rPr>
        <w:t>同志为我公司参加贵单位组织的</w:t>
      </w:r>
      <w:r>
        <w:rPr>
          <w:rFonts w:hint="eastAsia" w:ascii="宋体" w:hAnsi="宋体"/>
          <w:highlight w:val="none"/>
          <w:u w:val="single"/>
        </w:rPr>
        <w:t xml:space="preserve"> （项目名称、项目编号）自治区政府电子卖场在线询价 </w:t>
      </w:r>
      <w:r>
        <w:rPr>
          <w:rFonts w:hint="eastAsia" w:ascii="宋体" w:hAnsi="宋体"/>
          <w:highlight w:val="none"/>
        </w:rPr>
        <w:t>采购活动的委托代理人，全权代表我公司处理在该项目活动中的一切事宜。代理期限从</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 xml:space="preserve">月 </w:t>
      </w:r>
      <w:r>
        <w:rPr>
          <w:rFonts w:hint="eastAsia" w:ascii="宋体" w:hAnsi="宋体"/>
          <w:highlight w:val="none"/>
          <w:u w:val="single"/>
        </w:rPr>
        <w:t xml:space="preserve">   </w:t>
      </w:r>
      <w:r>
        <w:rPr>
          <w:rFonts w:hint="eastAsia" w:ascii="宋体" w:hAnsi="宋体"/>
          <w:highlight w:val="none"/>
        </w:rPr>
        <w:t>日起至</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日止。 </w:t>
      </w:r>
    </w:p>
    <w:p w14:paraId="0FFAB074">
      <w:pPr>
        <w:spacing w:line="360" w:lineRule="auto"/>
        <w:rPr>
          <w:rFonts w:ascii="宋体" w:hAnsi="宋体"/>
          <w:highlight w:val="none"/>
        </w:rPr>
      </w:pPr>
    </w:p>
    <w:p w14:paraId="0D461F65">
      <w:pPr>
        <w:spacing w:line="360" w:lineRule="auto"/>
        <w:ind w:firstLine="4410" w:firstLineChars="2100"/>
        <w:rPr>
          <w:rFonts w:ascii="宋体" w:hAnsi="宋体"/>
          <w:highlight w:val="none"/>
        </w:rPr>
      </w:pPr>
      <w:r>
        <w:rPr>
          <w:rFonts w:hint="eastAsia" w:ascii="宋体" w:hAnsi="宋体"/>
          <w:highlight w:val="none"/>
        </w:rPr>
        <w:t>授权单位（盖章）：</w:t>
      </w:r>
      <w:r>
        <w:rPr>
          <w:rFonts w:hint="eastAsia" w:ascii="宋体" w:hAnsi="宋体"/>
          <w:highlight w:val="none"/>
          <w:u w:val="single"/>
        </w:rPr>
        <w:t xml:space="preserve">                   </w:t>
      </w:r>
    </w:p>
    <w:p w14:paraId="569FA185">
      <w:pPr>
        <w:spacing w:line="360" w:lineRule="auto"/>
        <w:ind w:firstLine="4410" w:firstLineChars="2100"/>
        <w:rPr>
          <w:rFonts w:ascii="宋体" w:hAnsi="宋体"/>
          <w:highlight w:val="none"/>
        </w:rPr>
      </w:pPr>
      <w:r>
        <w:rPr>
          <w:rFonts w:hint="eastAsia" w:ascii="宋体" w:hAnsi="宋体"/>
          <w:highlight w:val="none"/>
        </w:rPr>
        <w:t>法定代表人（签字或盖章）：</w:t>
      </w:r>
      <w:r>
        <w:rPr>
          <w:rFonts w:hint="eastAsia" w:ascii="宋体" w:hAnsi="宋体"/>
          <w:highlight w:val="none"/>
          <w:u w:val="single"/>
        </w:rPr>
        <w:t xml:space="preserve">           </w:t>
      </w:r>
    </w:p>
    <w:p w14:paraId="38C5F727">
      <w:pPr>
        <w:spacing w:line="360" w:lineRule="auto"/>
        <w:ind w:firstLine="4410" w:firstLineChars="2100"/>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41E53017">
      <w:pPr>
        <w:adjustRightInd w:val="0"/>
        <w:snapToGrid w:val="0"/>
        <w:spacing w:line="360" w:lineRule="auto"/>
        <w:ind w:firstLine="420" w:firstLineChars="200"/>
        <w:rPr>
          <w:rFonts w:ascii="宋体" w:hAnsi="宋体"/>
          <w:highlight w:val="none"/>
        </w:rPr>
      </w:pPr>
      <w:r>
        <w:rPr>
          <w:rFonts w:hint="eastAsia" w:ascii="宋体" w:hAnsi="宋体"/>
          <w:highlight w:val="none"/>
        </w:rPr>
        <w:t>附：被授权人身份证（正反两面复印件）</w:t>
      </w:r>
    </w:p>
    <w:p w14:paraId="2F471D01">
      <w:pPr>
        <w:autoSpaceDE w:val="0"/>
        <w:autoSpaceDN w:val="0"/>
        <w:snapToGrid w:val="0"/>
        <w:spacing w:line="360" w:lineRule="auto"/>
        <w:ind w:firstLine="415" w:firstLineChars="198"/>
        <w:textAlignment w:val="bottom"/>
        <w:rPr>
          <w:rFonts w:ascii="宋体" w:hAnsi="宋体"/>
          <w:highlight w:val="none"/>
        </w:rPr>
      </w:pPr>
    </w:p>
    <w:p w14:paraId="278DCD39">
      <w:pPr>
        <w:autoSpaceDE w:val="0"/>
        <w:autoSpaceDN w:val="0"/>
        <w:snapToGrid w:val="0"/>
        <w:spacing w:line="360" w:lineRule="auto"/>
        <w:ind w:firstLine="415" w:firstLineChars="198"/>
        <w:textAlignment w:val="bottom"/>
        <w:rPr>
          <w:rFonts w:ascii="宋体" w:hAnsi="宋体"/>
          <w:highlight w:val="none"/>
        </w:rPr>
      </w:pPr>
    </w:p>
    <w:p w14:paraId="73115CE7">
      <w:pPr>
        <w:pStyle w:val="5"/>
        <w:rPr>
          <w:rFonts w:ascii="宋体" w:hAnsi="宋体"/>
          <w:szCs w:val="24"/>
          <w:highlight w:val="none"/>
        </w:rPr>
      </w:pPr>
      <w:r>
        <w:rPr>
          <w:rFonts w:hint="eastAsia" w:ascii="宋体" w:hAnsi="宋体"/>
          <w:highlight w:val="none"/>
        </w:rPr>
        <w:t>★</w:t>
      </w:r>
      <w:r>
        <w:rPr>
          <w:rFonts w:hint="eastAsia" w:ascii="宋体" w:hAnsi="宋体"/>
          <w:szCs w:val="24"/>
          <w:highlight w:val="none"/>
        </w:rPr>
        <w:t>4、</w:t>
      </w:r>
      <w:r>
        <w:rPr>
          <w:rFonts w:hint="eastAsia" w:hAnsi="宋体"/>
          <w:szCs w:val="24"/>
          <w:highlight w:val="none"/>
        </w:rPr>
        <w:t>供应商自行在“信用中国”网站(www.creditchina.gov.cn)、中国政府采购网(www.ccgp.gov.cn)</w:t>
      </w:r>
      <w:r>
        <w:rPr>
          <w:rFonts w:hint="eastAsia"/>
          <w:szCs w:val="24"/>
          <w:highlight w:val="none"/>
        </w:rPr>
        <w:t xml:space="preserve"> </w:t>
      </w:r>
      <w:r>
        <w:rPr>
          <w:rFonts w:hint="eastAsia" w:hAnsi="宋体"/>
          <w:szCs w:val="24"/>
          <w:highlight w:val="none"/>
        </w:rPr>
        <w:t>查询主体信用记录，并</w:t>
      </w:r>
      <w:r>
        <w:rPr>
          <w:rFonts w:hint="eastAsia" w:hAnsi="宋体" w:cs="宋体"/>
          <w:kern w:val="0"/>
          <w:highlight w:val="none"/>
        </w:rPr>
        <w:t>截图查询结果（其中，“信用中国”查询内容包括：</w:t>
      </w:r>
      <w:r>
        <w:rPr>
          <w:rFonts w:hint="eastAsia" w:hAnsi="宋体" w:cs="宋体"/>
          <w:kern w:val="0"/>
          <w:highlight w:val="none"/>
          <w:u w:val="single"/>
        </w:rPr>
        <w:t>失信被执行人、</w:t>
      </w:r>
      <w:r>
        <w:rPr>
          <w:rFonts w:hint="eastAsia"/>
          <w:highlight w:val="none"/>
        </w:rPr>
        <w:t>重大税收</w:t>
      </w:r>
      <w:r>
        <w:rPr>
          <w:rFonts w:hint="eastAsia"/>
          <w:color w:val="FF0000"/>
          <w:highlight w:val="none"/>
        </w:rPr>
        <w:t>违法失信主体</w:t>
      </w:r>
      <w:r>
        <w:rPr>
          <w:rFonts w:hint="eastAsia"/>
          <w:highlight w:val="none"/>
        </w:rPr>
        <w:t>名单</w:t>
      </w:r>
      <w:r>
        <w:rPr>
          <w:rFonts w:hint="eastAsia" w:hAnsi="宋体" w:cs="宋体"/>
          <w:kern w:val="0"/>
          <w:highlight w:val="none"/>
          <w:u w:val="single"/>
        </w:rPr>
        <w:t>、政府采购严重违法失信行为记录名单共三个网页页面</w:t>
      </w:r>
      <w:r>
        <w:rPr>
          <w:rFonts w:hint="eastAsia" w:hAnsi="宋体" w:cs="宋体"/>
          <w:kern w:val="0"/>
          <w:highlight w:val="none"/>
        </w:rPr>
        <w:t>，网页页面须显示供应商名称以及查询结果。“中国政府采购网”的查询内容包括：</w:t>
      </w:r>
      <w:r>
        <w:rPr>
          <w:rFonts w:hint="eastAsia" w:hAnsi="宋体" w:cs="宋体"/>
          <w:kern w:val="0"/>
          <w:highlight w:val="none"/>
          <w:u w:val="single"/>
        </w:rPr>
        <w:t>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hAnsi="宋体" w:cs="宋体"/>
          <w:kern w:val="0"/>
          <w:highlight w:val="none"/>
        </w:rPr>
        <w:t>）</w:t>
      </w:r>
      <w:r>
        <w:rPr>
          <w:rFonts w:hint="eastAsia" w:ascii="宋体" w:hAnsi="宋体"/>
          <w:highlight w:val="none"/>
        </w:rPr>
        <w:t>；</w:t>
      </w:r>
      <w:r>
        <w:rPr>
          <w:rFonts w:hint="eastAsia" w:ascii="宋体" w:hAnsi="宋体"/>
          <w:szCs w:val="24"/>
          <w:highlight w:val="none"/>
        </w:rPr>
        <w:t xml:space="preserve"> </w:t>
      </w:r>
    </w:p>
    <w:p w14:paraId="64D274BF">
      <w:pPr>
        <w:autoSpaceDE w:val="0"/>
        <w:autoSpaceDN w:val="0"/>
        <w:snapToGrid w:val="0"/>
        <w:spacing w:line="360" w:lineRule="auto"/>
        <w:ind w:firstLine="420" w:firstLineChars="200"/>
        <w:textAlignment w:val="bottom"/>
        <w:rPr>
          <w:rFonts w:ascii="宋体" w:hAnsi="宋体"/>
          <w:highlight w:val="none"/>
        </w:rPr>
      </w:pPr>
    </w:p>
    <w:p w14:paraId="22A44B7B">
      <w:pPr>
        <w:autoSpaceDE w:val="0"/>
        <w:autoSpaceDN w:val="0"/>
        <w:snapToGrid w:val="0"/>
        <w:spacing w:line="360" w:lineRule="auto"/>
        <w:ind w:firstLine="420" w:firstLineChars="200"/>
        <w:textAlignment w:val="bottom"/>
        <w:rPr>
          <w:rFonts w:ascii="宋体" w:hAnsi="宋体"/>
          <w:highlight w:val="none"/>
        </w:rPr>
      </w:pPr>
    </w:p>
    <w:p w14:paraId="570D465F">
      <w:pPr>
        <w:autoSpaceDE w:val="0"/>
        <w:autoSpaceDN w:val="0"/>
        <w:snapToGrid w:val="0"/>
        <w:spacing w:line="360" w:lineRule="auto"/>
        <w:ind w:firstLine="420" w:firstLineChars="200"/>
        <w:textAlignment w:val="bottom"/>
        <w:rPr>
          <w:rFonts w:ascii="宋体" w:hAnsi="宋体"/>
          <w:highlight w:val="none"/>
        </w:rPr>
      </w:pPr>
    </w:p>
    <w:p w14:paraId="232D100F">
      <w:pPr>
        <w:pStyle w:val="2"/>
        <w:rPr>
          <w:rFonts w:ascii="宋体" w:hAnsi="宋体"/>
          <w:highlight w:val="none"/>
        </w:rPr>
      </w:pPr>
    </w:p>
    <w:p w14:paraId="2BD5A42B">
      <w:pPr>
        <w:rPr>
          <w:highlight w:val="none"/>
        </w:rPr>
      </w:pPr>
    </w:p>
    <w:p w14:paraId="32D53426">
      <w:pPr>
        <w:autoSpaceDE w:val="0"/>
        <w:autoSpaceDN w:val="0"/>
        <w:snapToGrid w:val="0"/>
        <w:spacing w:line="360" w:lineRule="auto"/>
        <w:ind w:firstLine="420" w:firstLineChars="200"/>
        <w:textAlignment w:val="bottom"/>
        <w:rPr>
          <w:rFonts w:ascii="宋体" w:hAnsi="宋体"/>
          <w:highlight w:val="none"/>
        </w:rPr>
      </w:pPr>
    </w:p>
    <w:p w14:paraId="6657DDF2">
      <w:pPr>
        <w:autoSpaceDE w:val="0"/>
        <w:autoSpaceDN w:val="0"/>
        <w:snapToGrid w:val="0"/>
        <w:spacing w:line="360" w:lineRule="auto"/>
        <w:ind w:firstLine="420" w:firstLineChars="200"/>
        <w:textAlignment w:val="bottom"/>
        <w:rPr>
          <w:rFonts w:ascii="宋体" w:hAnsi="宋体"/>
          <w:highlight w:val="none"/>
        </w:rPr>
      </w:pPr>
    </w:p>
    <w:p w14:paraId="706BBAED">
      <w:pPr>
        <w:autoSpaceDE w:val="0"/>
        <w:autoSpaceDN w:val="0"/>
        <w:snapToGrid w:val="0"/>
        <w:spacing w:line="360" w:lineRule="auto"/>
        <w:ind w:firstLine="420" w:firstLineChars="200"/>
        <w:textAlignment w:val="bottom"/>
        <w:rPr>
          <w:rFonts w:ascii="宋体" w:hAnsi="宋体"/>
          <w:szCs w:val="24"/>
          <w:highlight w:val="none"/>
        </w:rPr>
      </w:pPr>
      <w:r>
        <w:rPr>
          <w:rFonts w:hint="eastAsia" w:ascii="宋体" w:hAnsi="宋体"/>
          <w:highlight w:val="none"/>
        </w:rPr>
        <w:t>★</w:t>
      </w:r>
      <w:r>
        <w:rPr>
          <w:rFonts w:ascii="宋体" w:hAnsi="宋体"/>
          <w:szCs w:val="24"/>
          <w:highlight w:val="none"/>
        </w:rPr>
        <w:t>5</w:t>
      </w:r>
      <w:r>
        <w:rPr>
          <w:rFonts w:hint="eastAsia" w:ascii="宋体" w:hAnsi="宋体"/>
          <w:szCs w:val="24"/>
          <w:highlight w:val="none"/>
        </w:rPr>
        <w:t>、参加政府采购活动前3年内在经营活动中没有重大违法记录的书面声明；</w:t>
      </w:r>
    </w:p>
    <w:p w14:paraId="31382BB9">
      <w:pPr>
        <w:spacing w:line="360" w:lineRule="auto"/>
        <w:jc w:val="center"/>
        <w:rPr>
          <w:rFonts w:ascii="宋体" w:hAnsi="宋体"/>
          <w:b/>
          <w:sz w:val="32"/>
          <w:szCs w:val="32"/>
          <w:highlight w:val="none"/>
        </w:rPr>
      </w:pPr>
    </w:p>
    <w:p w14:paraId="43A8B6C8">
      <w:pPr>
        <w:spacing w:line="360" w:lineRule="auto"/>
        <w:jc w:val="center"/>
        <w:rPr>
          <w:rFonts w:ascii="宋体" w:hAnsi="宋体"/>
          <w:b/>
          <w:sz w:val="32"/>
          <w:szCs w:val="32"/>
          <w:highlight w:val="none"/>
        </w:rPr>
      </w:pPr>
      <w:r>
        <w:rPr>
          <w:rFonts w:hint="eastAsia" w:ascii="宋体" w:hAnsi="宋体"/>
          <w:b/>
          <w:sz w:val="32"/>
          <w:szCs w:val="32"/>
          <w:highlight w:val="none"/>
        </w:rPr>
        <w:t>无重大违法记录声明（格式）</w:t>
      </w:r>
    </w:p>
    <w:p w14:paraId="0BBFB396">
      <w:pPr>
        <w:spacing w:line="360" w:lineRule="auto"/>
        <w:rPr>
          <w:rFonts w:ascii="宋体" w:hAnsi="宋体"/>
          <w:highlight w:val="none"/>
        </w:rPr>
      </w:pPr>
      <w:r>
        <w:rPr>
          <w:rFonts w:hint="eastAsia" w:hAnsi="宋体"/>
          <w:bCs/>
          <w:szCs w:val="24"/>
          <w:highlight w:val="none"/>
          <w:u w:val="single"/>
        </w:rPr>
        <w:t>XXXXXX学校</w:t>
      </w:r>
      <w:r>
        <w:rPr>
          <w:rFonts w:hint="eastAsia" w:ascii="宋体" w:hAnsi="宋体"/>
          <w:highlight w:val="none"/>
        </w:rPr>
        <w:t>：</w:t>
      </w:r>
    </w:p>
    <w:p w14:paraId="32390C60">
      <w:pPr>
        <w:spacing w:line="360" w:lineRule="auto"/>
        <w:ind w:firstLine="420" w:firstLineChars="200"/>
        <w:rPr>
          <w:rFonts w:ascii="宋体" w:hAnsi="宋体"/>
          <w:highlight w:val="none"/>
        </w:rPr>
      </w:pPr>
      <w:r>
        <w:rPr>
          <w:rFonts w:hint="eastAsia" w:ascii="宋体" w:hAnsi="宋体"/>
          <w:highlight w:val="none"/>
        </w:rPr>
        <w:t>我公司参与</w:t>
      </w:r>
      <w:r>
        <w:rPr>
          <w:rFonts w:hint="eastAsia" w:ascii="宋体" w:hAnsi="宋体"/>
          <w:highlight w:val="none"/>
          <w:u w:val="single"/>
        </w:rPr>
        <w:t xml:space="preserve">                                     </w:t>
      </w:r>
      <w:r>
        <w:rPr>
          <w:rFonts w:hint="eastAsia" w:ascii="宋体" w:hAnsi="宋体"/>
          <w:highlight w:val="none"/>
        </w:rPr>
        <w:t>（项目名称）的报价，我公司郑重声明：我公司近三年在经营活动中无重大违法活动记录，符合《中华人民共和国政府采购法》等规定的供应商资格条件。我方对此声明负全部法律责任。</w:t>
      </w:r>
    </w:p>
    <w:p w14:paraId="29DAC20F">
      <w:pPr>
        <w:spacing w:line="360" w:lineRule="auto"/>
        <w:ind w:firstLine="420" w:firstLineChars="200"/>
        <w:rPr>
          <w:rFonts w:ascii="宋体" w:hAnsi="宋体"/>
          <w:highlight w:val="none"/>
        </w:rPr>
      </w:pPr>
      <w:r>
        <w:rPr>
          <w:rFonts w:hint="eastAsia" w:ascii="宋体" w:hAnsi="宋体"/>
          <w:highlight w:val="none"/>
        </w:rPr>
        <w:t>特此声明。</w:t>
      </w:r>
    </w:p>
    <w:p w14:paraId="7C68E67E">
      <w:pPr>
        <w:spacing w:line="360" w:lineRule="auto"/>
        <w:jc w:val="center"/>
        <w:rPr>
          <w:rFonts w:ascii="宋体" w:hAnsi="宋体"/>
          <w:highlight w:val="none"/>
        </w:rPr>
      </w:pPr>
      <w:r>
        <w:rPr>
          <w:rFonts w:hint="eastAsia" w:ascii="宋体" w:hAnsi="宋体"/>
          <w:highlight w:val="none"/>
        </w:rPr>
        <w:t xml:space="preserve">                                       声明人：（公章）</w:t>
      </w:r>
    </w:p>
    <w:p w14:paraId="4D8EDD15">
      <w:pPr>
        <w:spacing w:line="360" w:lineRule="auto"/>
        <w:ind w:firstLine="5985" w:firstLineChars="2850"/>
        <w:rPr>
          <w:rFonts w:ascii="宋体" w:hAnsi="宋体"/>
          <w:highlight w:val="none"/>
        </w:rPr>
      </w:pP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14:paraId="3EB50929">
      <w:pPr>
        <w:autoSpaceDE w:val="0"/>
        <w:autoSpaceDN w:val="0"/>
        <w:snapToGrid w:val="0"/>
        <w:spacing w:line="360" w:lineRule="auto"/>
        <w:textAlignment w:val="bottom"/>
        <w:rPr>
          <w:rFonts w:ascii="宋体" w:hAnsi="宋体"/>
          <w:b/>
          <w:szCs w:val="24"/>
          <w:highlight w:val="none"/>
        </w:rPr>
      </w:pPr>
    </w:p>
    <w:p w14:paraId="5E459367">
      <w:pPr>
        <w:autoSpaceDE w:val="0"/>
        <w:autoSpaceDN w:val="0"/>
        <w:snapToGrid w:val="0"/>
        <w:spacing w:line="360" w:lineRule="auto"/>
        <w:textAlignment w:val="bottom"/>
        <w:rPr>
          <w:rFonts w:ascii="宋体" w:hAnsi="宋体"/>
          <w:b/>
          <w:szCs w:val="24"/>
          <w:highlight w:val="none"/>
        </w:rPr>
      </w:pPr>
    </w:p>
    <w:p w14:paraId="317A2C3D">
      <w:pPr>
        <w:autoSpaceDE w:val="0"/>
        <w:autoSpaceDN w:val="0"/>
        <w:snapToGrid w:val="0"/>
        <w:spacing w:line="360" w:lineRule="auto"/>
        <w:textAlignment w:val="bottom"/>
        <w:rPr>
          <w:rFonts w:ascii="宋体" w:hAnsi="宋体"/>
          <w:b/>
          <w:szCs w:val="24"/>
          <w:highlight w:val="none"/>
        </w:rPr>
      </w:pPr>
    </w:p>
    <w:p w14:paraId="405408BD">
      <w:pPr>
        <w:autoSpaceDE w:val="0"/>
        <w:autoSpaceDN w:val="0"/>
        <w:snapToGrid w:val="0"/>
        <w:spacing w:line="360" w:lineRule="auto"/>
        <w:textAlignment w:val="bottom"/>
        <w:rPr>
          <w:rFonts w:ascii="宋体" w:hAnsi="宋体"/>
          <w:b/>
          <w:szCs w:val="24"/>
          <w:highlight w:val="none"/>
        </w:rPr>
      </w:pPr>
    </w:p>
    <w:p w14:paraId="0976ABF6">
      <w:pPr>
        <w:autoSpaceDE w:val="0"/>
        <w:autoSpaceDN w:val="0"/>
        <w:snapToGrid w:val="0"/>
        <w:spacing w:line="360" w:lineRule="auto"/>
        <w:textAlignment w:val="bottom"/>
        <w:rPr>
          <w:rFonts w:ascii="宋体" w:hAnsi="宋体"/>
          <w:b/>
          <w:szCs w:val="24"/>
          <w:highlight w:val="none"/>
        </w:rPr>
      </w:pPr>
    </w:p>
    <w:p w14:paraId="47DECA49">
      <w:pPr>
        <w:autoSpaceDE w:val="0"/>
        <w:autoSpaceDN w:val="0"/>
        <w:snapToGrid w:val="0"/>
        <w:spacing w:line="360" w:lineRule="auto"/>
        <w:textAlignment w:val="bottom"/>
        <w:rPr>
          <w:rFonts w:ascii="宋体" w:hAnsi="宋体"/>
          <w:b/>
          <w:szCs w:val="24"/>
          <w:highlight w:val="none"/>
        </w:rPr>
      </w:pPr>
    </w:p>
    <w:p w14:paraId="0E53E23F">
      <w:pPr>
        <w:autoSpaceDE w:val="0"/>
        <w:autoSpaceDN w:val="0"/>
        <w:snapToGrid w:val="0"/>
        <w:spacing w:line="360" w:lineRule="auto"/>
        <w:textAlignment w:val="bottom"/>
        <w:rPr>
          <w:rFonts w:ascii="宋体" w:hAnsi="宋体"/>
          <w:b/>
          <w:szCs w:val="24"/>
          <w:highlight w:val="none"/>
        </w:rPr>
      </w:pPr>
    </w:p>
    <w:p w14:paraId="0352F474">
      <w:pPr>
        <w:autoSpaceDE w:val="0"/>
        <w:autoSpaceDN w:val="0"/>
        <w:snapToGrid w:val="0"/>
        <w:spacing w:line="360" w:lineRule="auto"/>
        <w:textAlignment w:val="bottom"/>
        <w:rPr>
          <w:rFonts w:ascii="宋体" w:hAnsi="宋体"/>
          <w:b/>
          <w:szCs w:val="24"/>
          <w:highlight w:val="none"/>
        </w:rPr>
      </w:pPr>
    </w:p>
    <w:p w14:paraId="3A99D954">
      <w:pPr>
        <w:autoSpaceDE w:val="0"/>
        <w:autoSpaceDN w:val="0"/>
        <w:snapToGrid w:val="0"/>
        <w:spacing w:line="360" w:lineRule="auto"/>
        <w:textAlignment w:val="bottom"/>
        <w:rPr>
          <w:rFonts w:ascii="宋体" w:hAnsi="宋体"/>
          <w:b/>
          <w:szCs w:val="24"/>
          <w:highlight w:val="none"/>
        </w:rPr>
      </w:pPr>
    </w:p>
    <w:p w14:paraId="51A28359">
      <w:pPr>
        <w:autoSpaceDE w:val="0"/>
        <w:autoSpaceDN w:val="0"/>
        <w:snapToGrid w:val="0"/>
        <w:spacing w:line="360" w:lineRule="auto"/>
        <w:textAlignment w:val="bottom"/>
        <w:rPr>
          <w:rFonts w:ascii="宋体" w:hAnsi="宋体"/>
          <w:b/>
          <w:szCs w:val="24"/>
          <w:highlight w:val="none"/>
        </w:rPr>
      </w:pPr>
    </w:p>
    <w:p w14:paraId="1EFDA869">
      <w:pPr>
        <w:autoSpaceDE w:val="0"/>
        <w:autoSpaceDN w:val="0"/>
        <w:snapToGrid w:val="0"/>
        <w:spacing w:line="360" w:lineRule="auto"/>
        <w:textAlignment w:val="bottom"/>
        <w:rPr>
          <w:rFonts w:ascii="宋体" w:hAnsi="宋体"/>
          <w:b/>
          <w:szCs w:val="24"/>
          <w:highlight w:val="none"/>
        </w:rPr>
      </w:pPr>
    </w:p>
    <w:p w14:paraId="0BA51E66">
      <w:pPr>
        <w:autoSpaceDE w:val="0"/>
        <w:autoSpaceDN w:val="0"/>
        <w:snapToGrid w:val="0"/>
        <w:spacing w:line="360" w:lineRule="auto"/>
        <w:textAlignment w:val="bottom"/>
        <w:rPr>
          <w:rFonts w:ascii="宋体" w:hAnsi="宋体"/>
          <w:b/>
          <w:szCs w:val="24"/>
          <w:highlight w:val="none"/>
        </w:rPr>
      </w:pPr>
    </w:p>
    <w:p w14:paraId="5AA53434">
      <w:pPr>
        <w:autoSpaceDE w:val="0"/>
        <w:autoSpaceDN w:val="0"/>
        <w:snapToGrid w:val="0"/>
        <w:spacing w:line="360" w:lineRule="auto"/>
        <w:textAlignment w:val="bottom"/>
        <w:rPr>
          <w:rFonts w:ascii="宋体" w:hAnsi="宋体"/>
          <w:b/>
          <w:szCs w:val="24"/>
          <w:highlight w:val="none"/>
        </w:rPr>
      </w:pPr>
    </w:p>
    <w:p w14:paraId="6D895372">
      <w:pPr>
        <w:autoSpaceDE w:val="0"/>
        <w:autoSpaceDN w:val="0"/>
        <w:snapToGrid w:val="0"/>
        <w:spacing w:line="360" w:lineRule="auto"/>
        <w:textAlignment w:val="bottom"/>
        <w:rPr>
          <w:rFonts w:ascii="宋体" w:hAnsi="宋体"/>
          <w:b/>
          <w:szCs w:val="24"/>
          <w:highlight w:val="none"/>
        </w:rPr>
      </w:pPr>
    </w:p>
    <w:p w14:paraId="7CD0BE75">
      <w:pPr>
        <w:autoSpaceDE w:val="0"/>
        <w:autoSpaceDN w:val="0"/>
        <w:snapToGrid w:val="0"/>
        <w:spacing w:line="360" w:lineRule="auto"/>
        <w:textAlignment w:val="bottom"/>
        <w:rPr>
          <w:rFonts w:ascii="宋体" w:hAnsi="宋体"/>
          <w:b/>
          <w:szCs w:val="24"/>
          <w:highlight w:val="none"/>
        </w:rPr>
      </w:pPr>
    </w:p>
    <w:p w14:paraId="24763988">
      <w:pPr>
        <w:autoSpaceDE w:val="0"/>
        <w:autoSpaceDN w:val="0"/>
        <w:snapToGrid w:val="0"/>
        <w:spacing w:line="360" w:lineRule="auto"/>
        <w:textAlignment w:val="bottom"/>
        <w:rPr>
          <w:rFonts w:ascii="宋体" w:hAnsi="宋体"/>
          <w:b/>
          <w:szCs w:val="24"/>
          <w:highlight w:val="none"/>
        </w:rPr>
      </w:pPr>
    </w:p>
    <w:p w14:paraId="2850304B">
      <w:pPr>
        <w:autoSpaceDE w:val="0"/>
        <w:autoSpaceDN w:val="0"/>
        <w:snapToGrid w:val="0"/>
        <w:spacing w:line="360" w:lineRule="auto"/>
        <w:textAlignment w:val="bottom"/>
        <w:rPr>
          <w:rFonts w:ascii="宋体" w:hAnsi="宋体"/>
          <w:b/>
          <w:szCs w:val="24"/>
          <w:highlight w:val="none"/>
        </w:rPr>
      </w:pPr>
    </w:p>
    <w:p w14:paraId="6ADBAF44">
      <w:pPr>
        <w:autoSpaceDE w:val="0"/>
        <w:autoSpaceDN w:val="0"/>
        <w:snapToGrid w:val="0"/>
        <w:spacing w:line="360" w:lineRule="auto"/>
        <w:textAlignment w:val="bottom"/>
        <w:rPr>
          <w:rFonts w:ascii="宋体" w:hAnsi="宋体"/>
          <w:b/>
          <w:szCs w:val="24"/>
          <w:highlight w:val="none"/>
        </w:rPr>
      </w:pPr>
    </w:p>
    <w:p w14:paraId="7188A6D3">
      <w:pPr>
        <w:autoSpaceDE w:val="0"/>
        <w:autoSpaceDN w:val="0"/>
        <w:snapToGrid w:val="0"/>
        <w:spacing w:line="360" w:lineRule="auto"/>
        <w:textAlignment w:val="bottom"/>
        <w:rPr>
          <w:rFonts w:ascii="宋体" w:hAnsi="宋体"/>
          <w:b/>
          <w:szCs w:val="24"/>
          <w:highlight w:val="none"/>
        </w:rPr>
      </w:pPr>
    </w:p>
    <w:p w14:paraId="4C737B92">
      <w:pPr>
        <w:autoSpaceDE w:val="0"/>
        <w:autoSpaceDN w:val="0"/>
        <w:snapToGrid w:val="0"/>
        <w:spacing w:line="360" w:lineRule="auto"/>
        <w:textAlignment w:val="bottom"/>
        <w:rPr>
          <w:rFonts w:ascii="宋体" w:hAnsi="宋体"/>
          <w:b/>
          <w:szCs w:val="24"/>
          <w:highlight w:val="none"/>
        </w:rPr>
      </w:pPr>
    </w:p>
    <w:p w14:paraId="6244ECDE">
      <w:pPr>
        <w:autoSpaceDE w:val="0"/>
        <w:autoSpaceDN w:val="0"/>
        <w:snapToGrid w:val="0"/>
        <w:spacing w:line="360" w:lineRule="auto"/>
        <w:textAlignment w:val="bottom"/>
        <w:rPr>
          <w:rFonts w:ascii="宋体" w:hAnsi="宋体"/>
          <w:b/>
          <w:szCs w:val="24"/>
          <w:highlight w:val="none"/>
        </w:rPr>
      </w:pPr>
    </w:p>
    <w:p w14:paraId="2E11E2B4">
      <w:pPr>
        <w:autoSpaceDE w:val="0"/>
        <w:autoSpaceDN w:val="0"/>
        <w:snapToGrid w:val="0"/>
        <w:spacing w:line="360" w:lineRule="auto"/>
        <w:textAlignment w:val="bottom"/>
        <w:rPr>
          <w:rFonts w:ascii="宋体" w:hAnsi="宋体"/>
          <w:b/>
          <w:szCs w:val="24"/>
          <w:highlight w:val="none"/>
        </w:rPr>
      </w:pPr>
    </w:p>
    <w:p w14:paraId="0DE77E87">
      <w:pPr>
        <w:autoSpaceDE w:val="0"/>
        <w:autoSpaceDN w:val="0"/>
        <w:snapToGrid w:val="0"/>
        <w:spacing w:line="360" w:lineRule="auto"/>
        <w:textAlignment w:val="bottom"/>
        <w:rPr>
          <w:rFonts w:ascii="宋体" w:hAnsi="宋体"/>
          <w:b/>
          <w:szCs w:val="24"/>
          <w:highlight w:val="none"/>
        </w:rPr>
      </w:pPr>
    </w:p>
    <w:p w14:paraId="0DBC2C68">
      <w:pPr>
        <w:autoSpaceDE w:val="0"/>
        <w:autoSpaceDN w:val="0"/>
        <w:snapToGrid w:val="0"/>
        <w:spacing w:line="360" w:lineRule="auto"/>
        <w:textAlignment w:val="bottom"/>
        <w:rPr>
          <w:rFonts w:ascii="宋体" w:hAnsi="宋体"/>
          <w:b/>
          <w:szCs w:val="24"/>
          <w:highlight w:val="none"/>
        </w:rPr>
      </w:pPr>
    </w:p>
    <w:p w14:paraId="75A07FAF">
      <w:pPr>
        <w:autoSpaceDE w:val="0"/>
        <w:autoSpaceDN w:val="0"/>
        <w:snapToGrid w:val="0"/>
        <w:spacing w:line="360" w:lineRule="auto"/>
        <w:textAlignment w:val="bottom"/>
        <w:rPr>
          <w:rFonts w:ascii="宋体" w:hAnsi="宋体"/>
          <w:b/>
          <w:szCs w:val="24"/>
          <w:highlight w:val="none"/>
        </w:rPr>
      </w:pPr>
    </w:p>
    <w:p w14:paraId="5336AA5E">
      <w:pPr>
        <w:autoSpaceDE w:val="0"/>
        <w:autoSpaceDN w:val="0"/>
        <w:snapToGrid w:val="0"/>
        <w:spacing w:line="360" w:lineRule="auto"/>
        <w:textAlignment w:val="bottom"/>
        <w:rPr>
          <w:rFonts w:ascii="宋体" w:hAnsi="宋体"/>
          <w:b/>
          <w:szCs w:val="24"/>
          <w:highlight w:val="none"/>
        </w:rPr>
      </w:pPr>
    </w:p>
    <w:p w14:paraId="2BFA77D7">
      <w:pPr>
        <w:autoSpaceDE w:val="0"/>
        <w:autoSpaceDN w:val="0"/>
        <w:snapToGrid w:val="0"/>
        <w:spacing w:line="360" w:lineRule="auto"/>
        <w:textAlignment w:val="bottom"/>
        <w:rPr>
          <w:rFonts w:ascii="宋体" w:hAnsi="宋体"/>
          <w:b/>
          <w:szCs w:val="24"/>
          <w:highlight w:val="none"/>
        </w:rPr>
      </w:pPr>
      <w:r>
        <w:rPr>
          <w:rFonts w:hint="eastAsia" w:ascii="宋体" w:hAnsi="宋体"/>
          <w:b/>
          <w:szCs w:val="24"/>
          <w:highlight w:val="none"/>
        </w:rPr>
        <w:t>（二）商务技术类文件</w:t>
      </w:r>
    </w:p>
    <w:p w14:paraId="75C7CC33">
      <w:pPr>
        <w:spacing w:line="300" w:lineRule="auto"/>
        <w:jc w:val="center"/>
        <w:rPr>
          <w:rFonts w:ascii="宋体" w:hAnsi="宋体"/>
          <w:b/>
          <w:sz w:val="28"/>
          <w:szCs w:val="28"/>
          <w:highlight w:val="none"/>
        </w:rPr>
      </w:pPr>
      <w:r>
        <w:rPr>
          <w:rFonts w:hint="eastAsia" w:ascii="宋体" w:hAnsi="宋体"/>
          <w:bCs/>
          <w:sz w:val="28"/>
          <w:szCs w:val="28"/>
          <w:highlight w:val="none"/>
        </w:rPr>
        <w:t>★</w:t>
      </w:r>
      <w:r>
        <w:rPr>
          <w:rFonts w:hint="eastAsia" w:ascii="宋体" w:hAnsi="宋体"/>
          <w:b/>
          <w:sz w:val="28"/>
          <w:szCs w:val="28"/>
          <w:highlight w:val="none"/>
        </w:rPr>
        <w:t>1、技术响应表</w:t>
      </w:r>
    </w:p>
    <w:p w14:paraId="165E9050">
      <w:pPr>
        <w:spacing w:line="300" w:lineRule="auto"/>
        <w:rPr>
          <w:rFonts w:ascii="宋体" w:hAnsi="宋体"/>
          <w:sz w:val="28"/>
          <w:szCs w:val="28"/>
          <w:highlight w:val="none"/>
        </w:rPr>
      </w:pPr>
    </w:p>
    <w:p w14:paraId="6691F976">
      <w:pPr>
        <w:spacing w:line="300" w:lineRule="auto"/>
        <w:rPr>
          <w:rFonts w:ascii="宋体" w:hAnsi="宋体"/>
          <w:highlight w:val="none"/>
          <w:u w:val="single"/>
        </w:rPr>
      </w:pPr>
      <w:r>
        <w:rPr>
          <w:rFonts w:hint="eastAsia" w:ascii="宋体" w:hAnsi="宋体"/>
          <w:highlight w:val="none"/>
        </w:rPr>
        <w:t>采购项目编号:</w:t>
      </w:r>
      <w:r>
        <w:rPr>
          <w:rFonts w:hint="eastAsia" w:ascii="宋体" w:hAnsi="宋体"/>
          <w:highlight w:val="none"/>
          <w:u w:val="single"/>
        </w:rPr>
        <w:t xml:space="preserve">                 </w:t>
      </w:r>
    </w:p>
    <w:p w14:paraId="01CA4DF1">
      <w:pPr>
        <w:spacing w:line="300" w:lineRule="auto"/>
        <w:rPr>
          <w:rFonts w:ascii="宋体" w:hAnsi="宋体"/>
          <w:highlight w:val="none"/>
        </w:rPr>
      </w:pPr>
      <w:r>
        <w:rPr>
          <w:rFonts w:hint="eastAsia" w:ascii="宋体" w:hAnsi="宋体"/>
          <w:highlight w:val="none"/>
        </w:rPr>
        <w:t>采购项目名称:</w:t>
      </w:r>
      <w:r>
        <w:rPr>
          <w:rFonts w:hint="eastAsia" w:ascii="宋体" w:hAnsi="宋体"/>
          <w:highlight w:val="none"/>
          <w:u w:val="single"/>
        </w:rPr>
        <w:t xml:space="preserve">                 </w:t>
      </w:r>
    </w:p>
    <w:p w14:paraId="42099F51">
      <w:pPr>
        <w:spacing w:line="300" w:lineRule="auto"/>
        <w:rPr>
          <w:rFonts w:ascii="宋体" w:hAnsi="宋体"/>
          <w:highlight w:val="none"/>
        </w:rPr>
      </w:pPr>
    </w:p>
    <w:tbl>
      <w:tblPr>
        <w:tblStyle w:val="15"/>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186C3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2DD35B86">
            <w:pPr>
              <w:adjustRightInd w:val="0"/>
              <w:snapToGrid w:val="0"/>
              <w:spacing w:line="300" w:lineRule="auto"/>
              <w:jc w:val="center"/>
              <w:outlineLvl w:val="0"/>
              <w:rPr>
                <w:rFonts w:ascii="宋体" w:hAnsi="宋体"/>
                <w:highlight w:val="none"/>
              </w:rPr>
            </w:pPr>
            <w:bookmarkStart w:id="8" w:name="_Toc291581941"/>
            <w:bookmarkStart w:id="9" w:name="_Toc322959186"/>
            <w:bookmarkStart w:id="10" w:name="_Toc388450312"/>
            <w:r>
              <w:rPr>
                <w:rFonts w:hint="eastAsia" w:ascii="宋体" w:hAnsi="宋体"/>
                <w:highlight w:val="none"/>
              </w:rPr>
              <w:t>序号</w:t>
            </w:r>
            <w:bookmarkEnd w:id="8"/>
            <w:bookmarkEnd w:id="9"/>
            <w:bookmarkEnd w:id="10"/>
          </w:p>
        </w:tc>
        <w:tc>
          <w:tcPr>
            <w:tcW w:w="2843" w:type="dxa"/>
            <w:vAlign w:val="center"/>
          </w:tcPr>
          <w:p w14:paraId="1DE0661A">
            <w:pPr>
              <w:adjustRightInd w:val="0"/>
              <w:snapToGrid w:val="0"/>
              <w:spacing w:line="300" w:lineRule="auto"/>
              <w:jc w:val="center"/>
              <w:outlineLvl w:val="0"/>
              <w:rPr>
                <w:rFonts w:ascii="宋体" w:hAnsi="宋体"/>
                <w:highlight w:val="none"/>
              </w:rPr>
            </w:pPr>
            <w:bookmarkStart w:id="11" w:name="_Toc322959187"/>
            <w:bookmarkStart w:id="12" w:name="_Toc388450313"/>
            <w:bookmarkStart w:id="13" w:name="_Toc291581942"/>
            <w:r>
              <w:rPr>
                <w:rFonts w:hint="eastAsia" w:ascii="宋体" w:hAnsi="宋体"/>
                <w:highlight w:val="none"/>
              </w:rPr>
              <w:t>采购文件要求</w:t>
            </w:r>
            <w:bookmarkEnd w:id="11"/>
            <w:bookmarkEnd w:id="12"/>
            <w:bookmarkEnd w:id="13"/>
          </w:p>
        </w:tc>
        <w:tc>
          <w:tcPr>
            <w:tcW w:w="3178" w:type="dxa"/>
            <w:vAlign w:val="center"/>
          </w:tcPr>
          <w:p w14:paraId="752C2579">
            <w:pPr>
              <w:adjustRightInd w:val="0"/>
              <w:snapToGrid w:val="0"/>
              <w:spacing w:line="300" w:lineRule="auto"/>
              <w:jc w:val="center"/>
              <w:outlineLvl w:val="0"/>
              <w:rPr>
                <w:rFonts w:ascii="宋体" w:hAnsi="宋体"/>
                <w:highlight w:val="none"/>
              </w:rPr>
            </w:pPr>
            <w:bookmarkStart w:id="14" w:name="_Toc291581943"/>
            <w:bookmarkStart w:id="15" w:name="_Toc388450314"/>
            <w:bookmarkStart w:id="16" w:name="_Toc322959188"/>
            <w:r>
              <w:rPr>
                <w:rFonts w:hint="eastAsia" w:ascii="宋体" w:hAnsi="宋体"/>
                <w:highlight w:val="none"/>
              </w:rPr>
              <w:t>响应文件具体响应</w:t>
            </w:r>
            <w:bookmarkEnd w:id="14"/>
            <w:bookmarkEnd w:id="15"/>
            <w:bookmarkEnd w:id="16"/>
          </w:p>
        </w:tc>
        <w:tc>
          <w:tcPr>
            <w:tcW w:w="1580" w:type="dxa"/>
            <w:vAlign w:val="center"/>
          </w:tcPr>
          <w:p w14:paraId="42467DEA">
            <w:pPr>
              <w:adjustRightInd w:val="0"/>
              <w:snapToGrid w:val="0"/>
              <w:spacing w:line="300" w:lineRule="auto"/>
              <w:jc w:val="center"/>
              <w:outlineLvl w:val="0"/>
              <w:rPr>
                <w:rFonts w:ascii="宋体" w:hAnsi="宋体"/>
                <w:highlight w:val="none"/>
              </w:rPr>
            </w:pPr>
            <w:bookmarkStart w:id="17" w:name="_Toc388450315"/>
            <w:bookmarkStart w:id="18" w:name="_Toc291581944"/>
            <w:bookmarkStart w:id="19" w:name="_Toc322959189"/>
            <w:r>
              <w:rPr>
                <w:rFonts w:hint="eastAsia" w:ascii="宋体" w:hAnsi="宋体"/>
                <w:highlight w:val="none"/>
              </w:rPr>
              <w:t>响应/偏离</w:t>
            </w:r>
            <w:bookmarkEnd w:id="17"/>
            <w:bookmarkEnd w:id="18"/>
            <w:bookmarkEnd w:id="19"/>
          </w:p>
        </w:tc>
        <w:tc>
          <w:tcPr>
            <w:tcW w:w="1469" w:type="dxa"/>
            <w:vAlign w:val="center"/>
          </w:tcPr>
          <w:p w14:paraId="389D5DFF">
            <w:pPr>
              <w:adjustRightInd w:val="0"/>
              <w:snapToGrid w:val="0"/>
              <w:spacing w:line="300" w:lineRule="auto"/>
              <w:jc w:val="center"/>
              <w:outlineLvl w:val="0"/>
              <w:rPr>
                <w:rFonts w:ascii="宋体" w:hAnsi="宋体"/>
                <w:highlight w:val="none"/>
              </w:rPr>
            </w:pPr>
            <w:bookmarkStart w:id="20" w:name="_Toc322959190"/>
            <w:bookmarkStart w:id="21" w:name="_Toc291581945"/>
            <w:bookmarkStart w:id="22" w:name="_Toc388450316"/>
            <w:r>
              <w:rPr>
                <w:rFonts w:hint="eastAsia" w:ascii="宋体" w:hAnsi="宋体"/>
                <w:highlight w:val="none"/>
              </w:rPr>
              <w:t>说明</w:t>
            </w:r>
            <w:bookmarkEnd w:id="20"/>
            <w:bookmarkEnd w:id="21"/>
            <w:bookmarkEnd w:id="22"/>
          </w:p>
        </w:tc>
      </w:tr>
      <w:tr w14:paraId="6BED95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14:paraId="5D4BE45C">
            <w:pPr>
              <w:adjustRightInd w:val="0"/>
              <w:snapToGrid w:val="0"/>
              <w:spacing w:line="300" w:lineRule="auto"/>
              <w:jc w:val="center"/>
              <w:outlineLvl w:val="0"/>
              <w:rPr>
                <w:rFonts w:ascii="宋体" w:hAnsi="宋体"/>
                <w:highlight w:val="none"/>
              </w:rPr>
            </w:pPr>
            <w:bookmarkStart w:id="23" w:name="_Toc388450317"/>
            <w:bookmarkStart w:id="24" w:name="_Toc322959191"/>
            <w:bookmarkStart w:id="25" w:name="_Toc291581946"/>
            <w:r>
              <w:rPr>
                <w:rFonts w:hint="eastAsia" w:ascii="宋体" w:hAnsi="宋体"/>
                <w:highlight w:val="none"/>
              </w:rPr>
              <w:t>1</w:t>
            </w:r>
            <w:bookmarkEnd w:id="23"/>
            <w:bookmarkEnd w:id="24"/>
            <w:bookmarkEnd w:id="25"/>
          </w:p>
        </w:tc>
        <w:tc>
          <w:tcPr>
            <w:tcW w:w="2843" w:type="dxa"/>
            <w:vAlign w:val="center"/>
          </w:tcPr>
          <w:p w14:paraId="20CBB8BE">
            <w:pPr>
              <w:adjustRightInd w:val="0"/>
              <w:snapToGrid w:val="0"/>
              <w:spacing w:line="300" w:lineRule="auto"/>
              <w:jc w:val="center"/>
              <w:outlineLvl w:val="0"/>
              <w:rPr>
                <w:rFonts w:ascii="宋体" w:hAnsi="宋体"/>
                <w:highlight w:val="none"/>
              </w:rPr>
            </w:pPr>
          </w:p>
        </w:tc>
        <w:tc>
          <w:tcPr>
            <w:tcW w:w="3178" w:type="dxa"/>
            <w:vAlign w:val="center"/>
          </w:tcPr>
          <w:p w14:paraId="0B78EC4A">
            <w:pPr>
              <w:adjustRightInd w:val="0"/>
              <w:snapToGrid w:val="0"/>
              <w:spacing w:line="300" w:lineRule="auto"/>
              <w:jc w:val="center"/>
              <w:outlineLvl w:val="0"/>
              <w:rPr>
                <w:rFonts w:ascii="宋体" w:hAnsi="宋体"/>
                <w:highlight w:val="none"/>
              </w:rPr>
            </w:pPr>
          </w:p>
        </w:tc>
        <w:tc>
          <w:tcPr>
            <w:tcW w:w="1580" w:type="dxa"/>
            <w:vAlign w:val="center"/>
          </w:tcPr>
          <w:p w14:paraId="06923EDA">
            <w:pPr>
              <w:adjustRightInd w:val="0"/>
              <w:snapToGrid w:val="0"/>
              <w:spacing w:line="300" w:lineRule="auto"/>
              <w:jc w:val="center"/>
              <w:outlineLvl w:val="0"/>
              <w:rPr>
                <w:rFonts w:ascii="宋体" w:hAnsi="宋体"/>
                <w:highlight w:val="none"/>
              </w:rPr>
            </w:pPr>
          </w:p>
        </w:tc>
        <w:tc>
          <w:tcPr>
            <w:tcW w:w="1469" w:type="dxa"/>
            <w:vAlign w:val="center"/>
          </w:tcPr>
          <w:p w14:paraId="2685EEFD">
            <w:pPr>
              <w:adjustRightInd w:val="0"/>
              <w:snapToGrid w:val="0"/>
              <w:spacing w:line="300" w:lineRule="auto"/>
              <w:jc w:val="center"/>
              <w:outlineLvl w:val="0"/>
              <w:rPr>
                <w:rFonts w:ascii="宋体" w:hAnsi="宋体"/>
                <w:highlight w:val="none"/>
              </w:rPr>
            </w:pPr>
          </w:p>
        </w:tc>
      </w:tr>
      <w:tr w14:paraId="23410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4E3CE29E">
            <w:pPr>
              <w:adjustRightInd w:val="0"/>
              <w:snapToGrid w:val="0"/>
              <w:spacing w:line="300" w:lineRule="auto"/>
              <w:jc w:val="center"/>
              <w:outlineLvl w:val="0"/>
              <w:rPr>
                <w:rFonts w:ascii="宋体" w:hAnsi="宋体"/>
                <w:highlight w:val="none"/>
              </w:rPr>
            </w:pPr>
            <w:bookmarkStart w:id="26" w:name="_Toc291581947"/>
            <w:bookmarkStart w:id="27" w:name="_Toc388450318"/>
            <w:bookmarkStart w:id="28" w:name="_Toc322959192"/>
            <w:r>
              <w:rPr>
                <w:rFonts w:hint="eastAsia" w:ascii="宋体" w:hAnsi="宋体"/>
                <w:highlight w:val="none"/>
              </w:rPr>
              <w:t>2</w:t>
            </w:r>
            <w:bookmarkEnd w:id="26"/>
            <w:bookmarkEnd w:id="27"/>
            <w:bookmarkEnd w:id="28"/>
          </w:p>
        </w:tc>
        <w:tc>
          <w:tcPr>
            <w:tcW w:w="2843" w:type="dxa"/>
            <w:vAlign w:val="center"/>
          </w:tcPr>
          <w:p w14:paraId="4D15AA79">
            <w:pPr>
              <w:adjustRightInd w:val="0"/>
              <w:snapToGrid w:val="0"/>
              <w:spacing w:line="300" w:lineRule="auto"/>
              <w:jc w:val="center"/>
              <w:outlineLvl w:val="0"/>
              <w:rPr>
                <w:rFonts w:ascii="宋体" w:hAnsi="宋体"/>
                <w:highlight w:val="none"/>
              </w:rPr>
            </w:pPr>
          </w:p>
        </w:tc>
        <w:tc>
          <w:tcPr>
            <w:tcW w:w="3178" w:type="dxa"/>
            <w:vAlign w:val="center"/>
          </w:tcPr>
          <w:p w14:paraId="162EA80E">
            <w:pPr>
              <w:adjustRightInd w:val="0"/>
              <w:snapToGrid w:val="0"/>
              <w:spacing w:line="300" w:lineRule="auto"/>
              <w:jc w:val="center"/>
              <w:outlineLvl w:val="0"/>
              <w:rPr>
                <w:rFonts w:ascii="宋体" w:hAnsi="宋体"/>
                <w:highlight w:val="none"/>
              </w:rPr>
            </w:pPr>
          </w:p>
        </w:tc>
        <w:tc>
          <w:tcPr>
            <w:tcW w:w="1580" w:type="dxa"/>
            <w:vAlign w:val="center"/>
          </w:tcPr>
          <w:p w14:paraId="4CE2F5A3">
            <w:pPr>
              <w:adjustRightInd w:val="0"/>
              <w:snapToGrid w:val="0"/>
              <w:spacing w:line="300" w:lineRule="auto"/>
              <w:jc w:val="center"/>
              <w:outlineLvl w:val="0"/>
              <w:rPr>
                <w:rFonts w:ascii="宋体" w:hAnsi="宋体"/>
                <w:highlight w:val="none"/>
              </w:rPr>
            </w:pPr>
          </w:p>
        </w:tc>
        <w:tc>
          <w:tcPr>
            <w:tcW w:w="1469" w:type="dxa"/>
            <w:vAlign w:val="center"/>
          </w:tcPr>
          <w:p w14:paraId="09D3DF4D">
            <w:pPr>
              <w:adjustRightInd w:val="0"/>
              <w:snapToGrid w:val="0"/>
              <w:spacing w:line="300" w:lineRule="auto"/>
              <w:jc w:val="center"/>
              <w:outlineLvl w:val="0"/>
              <w:rPr>
                <w:rFonts w:ascii="宋体" w:hAnsi="宋体"/>
                <w:highlight w:val="none"/>
              </w:rPr>
            </w:pPr>
          </w:p>
        </w:tc>
      </w:tr>
      <w:tr w14:paraId="1AFDD1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4B27952A">
            <w:pPr>
              <w:adjustRightInd w:val="0"/>
              <w:snapToGrid w:val="0"/>
              <w:spacing w:line="300" w:lineRule="auto"/>
              <w:jc w:val="center"/>
              <w:outlineLvl w:val="0"/>
              <w:rPr>
                <w:rFonts w:ascii="宋体" w:hAnsi="宋体"/>
                <w:highlight w:val="none"/>
              </w:rPr>
            </w:pPr>
            <w:bookmarkStart w:id="29" w:name="_Toc388450319"/>
            <w:bookmarkStart w:id="30" w:name="_Toc322959193"/>
            <w:bookmarkStart w:id="31" w:name="_Toc291581948"/>
            <w:r>
              <w:rPr>
                <w:rFonts w:hint="eastAsia" w:ascii="宋体" w:hAnsi="宋体"/>
                <w:highlight w:val="none"/>
              </w:rPr>
              <w:t>3</w:t>
            </w:r>
            <w:bookmarkEnd w:id="29"/>
            <w:bookmarkEnd w:id="30"/>
            <w:bookmarkEnd w:id="31"/>
          </w:p>
        </w:tc>
        <w:tc>
          <w:tcPr>
            <w:tcW w:w="2843" w:type="dxa"/>
            <w:vAlign w:val="center"/>
          </w:tcPr>
          <w:p w14:paraId="2194C758">
            <w:pPr>
              <w:adjustRightInd w:val="0"/>
              <w:snapToGrid w:val="0"/>
              <w:spacing w:line="300" w:lineRule="auto"/>
              <w:jc w:val="center"/>
              <w:outlineLvl w:val="0"/>
              <w:rPr>
                <w:rFonts w:ascii="宋体" w:hAnsi="宋体"/>
                <w:highlight w:val="none"/>
              </w:rPr>
            </w:pPr>
          </w:p>
        </w:tc>
        <w:tc>
          <w:tcPr>
            <w:tcW w:w="3178" w:type="dxa"/>
            <w:vAlign w:val="center"/>
          </w:tcPr>
          <w:p w14:paraId="391F9078">
            <w:pPr>
              <w:adjustRightInd w:val="0"/>
              <w:snapToGrid w:val="0"/>
              <w:spacing w:line="300" w:lineRule="auto"/>
              <w:jc w:val="center"/>
              <w:outlineLvl w:val="0"/>
              <w:rPr>
                <w:rFonts w:ascii="宋体" w:hAnsi="宋体"/>
                <w:highlight w:val="none"/>
              </w:rPr>
            </w:pPr>
          </w:p>
        </w:tc>
        <w:tc>
          <w:tcPr>
            <w:tcW w:w="1580" w:type="dxa"/>
            <w:vAlign w:val="center"/>
          </w:tcPr>
          <w:p w14:paraId="06BC0D36">
            <w:pPr>
              <w:adjustRightInd w:val="0"/>
              <w:snapToGrid w:val="0"/>
              <w:spacing w:line="300" w:lineRule="auto"/>
              <w:jc w:val="center"/>
              <w:outlineLvl w:val="0"/>
              <w:rPr>
                <w:rFonts w:ascii="宋体" w:hAnsi="宋体"/>
                <w:highlight w:val="none"/>
              </w:rPr>
            </w:pPr>
          </w:p>
        </w:tc>
        <w:tc>
          <w:tcPr>
            <w:tcW w:w="1469" w:type="dxa"/>
            <w:vAlign w:val="center"/>
          </w:tcPr>
          <w:p w14:paraId="1CAB59DF">
            <w:pPr>
              <w:adjustRightInd w:val="0"/>
              <w:snapToGrid w:val="0"/>
              <w:spacing w:line="300" w:lineRule="auto"/>
              <w:jc w:val="center"/>
              <w:outlineLvl w:val="0"/>
              <w:rPr>
                <w:rFonts w:ascii="宋体" w:hAnsi="宋体"/>
                <w:highlight w:val="none"/>
              </w:rPr>
            </w:pPr>
          </w:p>
        </w:tc>
      </w:tr>
      <w:tr w14:paraId="7F20FC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14:paraId="246E25EA">
            <w:pPr>
              <w:adjustRightInd w:val="0"/>
              <w:snapToGrid w:val="0"/>
              <w:spacing w:line="300" w:lineRule="auto"/>
              <w:jc w:val="center"/>
              <w:outlineLvl w:val="0"/>
              <w:rPr>
                <w:rFonts w:ascii="宋体" w:hAnsi="宋体"/>
                <w:highlight w:val="none"/>
              </w:rPr>
            </w:pPr>
            <w:bookmarkStart w:id="32" w:name="_Toc388450322"/>
            <w:bookmarkStart w:id="33" w:name="_Toc291581951"/>
            <w:bookmarkStart w:id="34" w:name="_Toc322959196"/>
            <w:r>
              <w:rPr>
                <w:rFonts w:hint="eastAsia" w:ascii="宋体" w:hAnsi="宋体"/>
                <w:highlight w:val="none"/>
              </w:rPr>
              <w:t>…</w:t>
            </w:r>
            <w:bookmarkEnd w:id="32"/>
            <w:bookmarkEnd w:id="33"/>
            <w:bookmarkEnd w:id="34"/>
          </w:p>
        </w:tc>
        <w:tc>
          <w:tcPr>
            <w:tcW w:w="2843" w:type="dxa"/>
            <w:vAlign w:val="center"/>
          </w:tcPr>
          <w:p w14:paraId="2EAE809B">
            <w:pPr>
              <w:adjustRightInd w:val="0"/>
              <w:snapToGrid w:val="0"/>
              <w:spacing w:line="300" w:lineRule="auto"/>
              <w:jc w:val="center"/>
              <w:outlineLvl w:val="0"/>
              <w:rPr>
                <w:rFonts w:ascii="宋体" w:hAnsi="宋体"/>
                <w:highlight w:val="none"/>
              </w:rPr>
            </w:pPr>
          </w:p>
        </w:tc>
        <w:tc>
          <w:tcPr>
            <w:tcW w:w="3178" w:type="dxa"/>
            <w:vAlign w:val="center"/>
          </w:tcPr>
          <w:p w14:paraId="6FB3C87D">
            <w:pPr>
              <w:adjustRightInd w:val="0"/>
              <w:snapToGrid w:val="0"/>
              <w:spacing w:line="300" w:lineRule="auto"/>
              <w:jc w:val="center"/>
              <w:outlineLvl w:val="0"/>
              <w:rPr>
                <w:rFonts w:ascii="宋体" w:hAnsi="宋体"/>
                <w:highlight w:val="none"/>
              </w:rPr>
            </w:pPr>
          </w:p>
        </w:tc>
        <w:tc>
          <w:tcPr>
            <w:tcW w:w="1580" w:type="dxa"/>
            <w:tcBorders>
              <w:right w:val="single" w:color="auto" w:sz="4" w:space="0"/>
            </w:tcBorders>
            <w:vAlign w:val="center"/>
          </w:tcPr>
          <w:p w14:paraId="1F404A6B">
            <w:pPr>
              <w:adjustRightInd w:val="0"/>
              <w:snapToGrid w:val="0"/>
              <w:spacing w:line="300" w:lineRule="auto"/>
              <w:jc w:val="center"/>
              <w:outlineLvl w:val="0"/>
              <w:rPr>
                <w:rFonts w:ascii="宋体" w:hAnsi="宋体"/>
                <w:highlight w:val="none"/>
              </w:rPr>
            </w:pPr>
          </w:p>
        </w:tc>
        <w:tc>
          <w:tcPr>
            <w:tcW w:w="1469" w:type="dxa"/>
            <w:tcBorders>
              <w:left w:val="single" w:color="auto" w:sz="4" w:space="0"/>
            </w:tcBorders>
            <w:vAlign w:val="center"/>
          </w:tcPr>
          <w:p w14:paraId="64495DFF">
            <w:pPr>
              <w:adjustRightInd w:val="0"/>
              <w:snapToGrid w:val="0"/>
              <w:spacing w:line="300" w:lineRule="auto"/>
              <w:jc w:val="center"/>
              <w:outlineLvl w:val="0"/>
              <w:rPr>
                <w:rFonts w:ascii="宋体" w:hAnsi="宋体"/>
                <w:highlight w:val="none"/>
              </w:rPr>
            </w:pPr>
          </w:p>
        </w:tc>
      </w:tr>
    </w:tbl>
    <w:p w14:paraId="52BF0C96">
      <w:pPr>
        <w:spacing w:line="500" w:lineRule="exact"/>
        <w:ind w:firstLine="739" w:firstLineChars="352"/>
        <w:rPr>
          <w:rFonts w:ascii="宋体" w:hAnsi="宋体" w:cs="Courier New"/>
          <w:highlight w:val="none"/>
        </w:rPr>
      </w:pPr>
      <w:r>
        <w:rPr>
          <w:rFonts w:hint="eastAsia" w:ascii="宋体" w:hAnsi="宋体" w:cs="Courier New"/>
          <w:highlight w:val="none"/>
        </w:rPr>
        <w:t>说明：应对</w:t>
      </w:r>
      <w:bookmarkStart w:id="35" w:name="_Hlk41521256"/>
      <w:r>
        <w:rPr>
          <w:rFonts w:hint="eastAsia" w:ascii="宋体" w:hAnsi="宋体" w:cs="Courier New"/>
          <w:highlight w:val="none"/>
        </w:rPr>
        <w:t>照采购文件</w:t>
      </w:r>
      <w:bookmarkEnd w:id="35"/>
      <w:r>
        <w:rPr>
          <w:rFonts w:hint="eastAsia" w:ascii="宋体" w:hAnsi="宋体" w:cs="Courier New"/>
          <w:highlight w:val="none"/>
        </w:rPr>
        <w:t>“采购货物技术要求”，逐条说明所提供货物和服务已对</w:t>
      </w:r>
      <w:bookmarkStart w:id="36" w:name="_Hlk41521095"/>
      <w:r>
        <w:rPr>
          <w:rFonts w:hint="eastAsia" w:ascii="宋体" w:hAnsi="宋体" w:cs="Courier New"/>
          <w:highlight w:val="none"/>
        </w:rPr>
        <w:t>采购文件的“采购货物技术要求”</w:t>
      </w:r>
      <w:bookmarkEnd w:id="36"/>
      <w:r>
        <w:rPr>
          <w:rFonts w:hint="eastAsia" w:ascii="宋体" w:hAnsi="宋体" w:cs="Courier New"/>
          <w:highlight w:val="none"/>
        </w:rPr>
        <w:t>做出了实质性的响应，并申明与“采购货物技术要求”条文的响应和偏离。</w:t>
      </w:r>
      <w:r>
        <w:rPr>
          <w:rFonts w:hint="eastAsia" w:hAnsi="宋体"/>
          <w:highlight w:val="none"/>
        </w:rPr>
        <w:t>若完全响应无偏离，则在“是否响应”栏中填写“完全响应无偏离”即可</w:t>
      </w:r>
    </w:p>
    <w:p w14:paraId="69C42321">
      <w:pPr>
        <w:spacing w:line="300" w:lineRule="auto"/>
        <w:rPr>
          <w:rFonts w:ascii="宋体" w:hAnsi="宋体" w:cs="Courier New"/>
          <w:highlight w:val="none"/>
        </w:rPr>
      </w:pPr>
    </w:p>
    <w:p w14:paraId="32A4BE00">
      <w:pPr>
        <w:spacing w:line="360" w:lineRule="auto"/>
        <w:ind w:firstLine="3150" w:firstLineChars="1500"/>
        <w:rPr>
          <w:rFonts w:ascii="宋体" w:hAnsi="宋体" w:cs="Courier New"/>
          <w:highlight w:val="none"/>
          <w:u w:val="single"/>
        </w:rPr>
      </w:pPr>
      <w:r>
        <w:rPr>
          <w:rFonts w:hint="eastAsia" w:ascii="宋体" w:hAnsi="宋体" w:cs="Courier New"/>
          <w:highlight w:val="none"/>
        </w:rPr>
        <w:t>法定代表人或法定代表人授权代表（签字）:</w:t>
      </w:r>
      <w:r>
        <w:rPr>
          <w:rFonts w:hint="eastAsia" w:ascii="宋体" w:hAnsi="宋体" w:cs="Courier New"/>
          <w:highlight w:val="none"/>
          <w:u w:val="single"/>
        </w:rPr>
        <w:t xml:space="preserve">           </w:t>
      </w:r>
    </w:p>
    <w:p w14:paraId="03D7318B">
      <w:pPr>
        <w:spacing w:line="360" w:lineRule="auto"/>
        <w:ind w:firstLine="3150" w:firstLineChars="1500"/>
        <w:rPr>
          <w:rFonts w:ascii="宋体" w:hAnsi="宋体" w:cs="Courier New"/>
          <w:highlight w:val="none"/>
          <w:u w:val="single"/>
        </w:rPr>
      </w:pPr>
      <w:r>
        <w:rPr>
          <w:rFonts w:hint="eastAsia" w:ascii="宋体" w:hAnsi="宋体" w:cs="Courier New"/>
          <w:highlight w:val="none"/>
        </w:rPr>
        <w:t>供应商名称（签章）：</w:t>
      </w:r>
      <w:r>
        <w:rPr>
          <w:rFonts w:hint="eastAsia" w:ascii="宋体" w:hAnsi="宋体" w:cs="Courier New"/>
          <w:highlight w:val="none"/>
          <w:u w:val="single"/>
        </w:rPr>
        <w:t xml:space="preserve">                              </w:t>
      </w:r>
    </w:p>
    <w:p w14:paraId="118CCC3E">
      <w:pPr>
        <w:spacing w:line="360" w:lineRule="auto"/>
        <w:ind w:firstLine="3150" w:firstLineChars="1500"/>
        <w:rPr>
          <w:rFonts w:ascii="宋体" w:hAnsi="宋体"/>
          <w:szCs w:val="24"/>
          <w:highlight w:val="none"/>
        </w:rPr>
      </w:pPr>
      <w:r>
        <w:rPr>
          <w:rFonts w:hint="eastAsia" w:ascii="宋体" w:hAnsi="宋体"/>
          <w:szCs w:val="24"/>
          <w:highlight w:val="none"/>
        </w:rPr>
        <w:t>日期：</w:t>
      </w:r>
      <w:r>
        <w:rPr>
          <w:rFonts w:ascii="宋体" w:hAnsi="宋体"/>
          <w:szCs w:val="24"/>
          <w:highlight w:val="none"/>
          <w:u w:val="single"/>
        </w:rPr>
        <w:t xml:space="preserve">     </w:t>
      </w:r>
      <w:r>
        <w:rPr>
          <w:rFonts w:hint="eastAsia" w:ascii="宋体" w:hAnsi="宋体"/>
          <w:szCs w:val="24"/>
          <w:highlight w:val="none"/>
        </w:rPr>
        <w:t>年</w:t>
      </w:r>
      <w:r>
        <w:rPr>
          <w:rFonts w:ascii="宋体" w:hAnsi="宋体"/>
          <w:szCs w:val="24"/>
          <w:highlight w:val="none"/>
          <w:u w:val="single"/>
        </w:rPr>
        <w:t xml:space="preserve">     </w:t>
      </w:r>
      <w:r>
        <w:rPr>
          <w:rFonts w:hint="eastAsia" w:ascii="宋体" w:hAnsi="宋体"/>
          <w:szCs w:val="24"/>
          <w:highlight w:val="none"/>
        </w:rPr>
        <w:t>月</w:t>
      </w:r>
      <w:r>
        <w:rPr>
          <w:rFonts w:ascii="宋体" w:hAnsi="宋体"/>
          <w:szCs w:val="24"/>
          <w:highlight w:val="none"/>
          <w:u w:val="single"/>
        </w:rPr>
        <w:t xml:space="preserve">    </w:t>
      </w:r>
      <w:r>
        <w:rPr>
          <w:rFonts w:hint="eastAsia" w:ascii="宋体" w:hAnsi="宋体"/>
          <w:szCs w:val="24"/>
          <w:highlight w:val="none"/>
        </w:rPr>
        <w:t>日</w:t>
      </w:r>
    </w:p>
    <w:p w14:paraId="0FBC9FF5">
      <w:pPr>
        <w:spacing w:line="300" w:lineRule="auto"/>
        <w:jc w:val="center"/>
        <w:rPr>
          <w:rFonts w:ascii="宋体" w:hAnsi="宋体"/>
          <w:b/>
          <w:sz w:val="28"/>
          <w:szCs w:val="28"/>
          <w:highlight w:val="none"/>
        </w:rPr>
      </w:pPr>
    </w:p>
    <w:p w14:paraId="3DA921B8">
      <w:pPr>
        <w:rPr>
          <w:highlight w:val="none"/>
        </w:rPr>
      </w:pPr>
    </w:p>
    <w:p w14:paraId="0EF4514A">
      <w:pPr>
        <w:spacing w:line="300" w:lineRule="auto"/>
        <w:jc w:val="center"/>
        <w:rPr>
          <w:rFonts w:ascii="宋体" w:hAnsi="宋体"/>
          <w:b/>
          <w:sz w:val="28"/>
          <w:szCs w:val="28"/>
          <w:highlight w:val="none"/>
        </w:rPr>
      </w:pPr>
    </w:p>
    <w:p w14:paraId="3FC35690">
      <w:pPr>
        <w:spacing w:line="300" w:lineRule="auto"/>
        <w:jc w:val="center"/>
        <w:rPr>
          <w:rFonts w:ascii="宋体" w:hAnsi="宋体"/>
          <w:b/>
          <w:sz w:val="28"/>
          <w:szCs w:val="28"/>
          <w:highlight w:val="none"/>
        </w:rPr>
      </w:pPr>
    </w:p>
    <w:p w14:paraId="5B9EE6D7">
      <w:pPr>
        <w:spacing w:line="300" w:lineRule="auto"/>
        <w:jc w:val="center"/>
        <w:rPr>
          <w:rFonts w:ascii="宋体" w:hAnsi="宋体"/>
          <w:b/>
          <w:sz w:val="28"/>
          <w:szCs w:val="28"/>
          <w:highlight w:val="none"/>
        </w:rPr>
      </w:pPr>
    </w:p>
    <w:p w14:paraId="6D582C5C">
      <w:pPr>
        <w:spacing w:line="300" w:lineRule="auto"/>
        <w:jc w:val="center"/>
        <w:rPr>
          <w:rFonts w:ascii="宋体" w:hAnsi="宋体"/>
          <w:b/>
          <w:sz w:val="28"/>
          <w:szCs w:val="28"/>
          <w:highlight w:val="none"/>
        </w:rPr>
      </w:pPr>
    </w:p>
    <w:p w14:paraId="4A559F16">
      <w:pPr>
        <w:spacing w:line="300" w:lineRule="auto"/>
        <w:jc w:val="center"/>
        <w:rPr>
          <w:rFonts w:ascii="宋体" w:hAnsi="宋体"/>
          <w:b/>
          <w:sz w:val="28"/>
          <w:szCs w:val="28"/>
          <w:highlight w:val="none"/>
        </w:rPr>
      </w:pPr>
    </w:p>
    <w:p w14:paraId="27B42EEC">
      <w:pPr>
        <w:spacing w:line="300" w:lineRule="auto"/>
        <w:jc w:val="center"/>
        <w:rPr>
          <w:rFonts w:ascii="宋体" w:hAnsi="宋体"/>
          <w:b/>
          <w:sz w:val="28"/>
          <w:szCs w:val="28"/>
          <w:highlight w:val="none"/>
        </w:rPr>
      </w:pPr>
    </w:p>
    <w:p w14:paraId="16D10052">
      <w:pPr>
        <w:pStyle w:val="4"/>
        <w:rPr>
          <w:highlight w:val="none"/>
        </w:rPr>
      </w:pPr>
    </w:p>
    <w:p w14:paraId="064AD0A3">
      <w:pPr>
        <w:spacing w:line="300" w:lineRule="auto"/>
        <w:jc w:val="center"/>
        <w:rPr>
          <w:rFonts w:ascii="宋体" w:hAnsi="宋体"/>
          <w:b/>
          <w:sz w:val="28"/>
          <w:szCs w:val="28"/>
          <w:highlight w:val="none"/>
        </w:rPr>
      </w:pPr>
    </w:p>
    <w:p w14:paraId="668FA815">
      <w:pPr>
        <w:spacing w:line="300" w:lineRule="auto"/>
        <w:jc w:val="center"/>
        <w:rPr>
          <w:rFonts w:ascii="宋体" w:hAnsi="宋体"/>
          <w:b/>
          <w:sz w:val="28"/>
          <w:szCs w:val="28"/>
          <w:highlight w:val="none"/>
        </w:rPr>
      </w:pPr>
      <w:r>
        <w:rPr>
          <w:rFonts w:hint="eastAsia" w:ascii="宋体" w:hAnsi="宋体"/>
          <w:bCs/>
          <w:sz w:val="28"/>
          <w:szCs w:val="28"/>
          <w:highlight w:val="none"/>
        </w:rPr>
        <w:t>★</w:t>
      </w:r>
      <w:r>
        <w:rPr>
          <w:rFonts w:hint="eastAsia" w:ascii="宋体" w:hAnsi="宋体"/>
          <w:b/>
          <w:sz w:val="28"/>
          <w:szCs w:val="28"/>
          <w:highlight w:val="none"/>
        </w:rPr>
        <w:t>2、商务响应表</w:t>
      </w:r>
    </w:p>
    <w:p w14:paraId="18379C1E">
      <w:pPr>
        <w:spacing w:line="300" w:lineRule="auto"/>
        <w:rPr>
          <w:rFonts w:ascii="宋体" w:hAnsi="宋体"/>
          <w:highlight w:val="none"/>
          <w:u w:val="single"/>
        </w:rPr>
      </w:pPr>
      <w:r>
        <w:rPr>
          <w:rFonts w:hint="eastAsia" w:ascii="宋体" w:hAnsi="宋体"/>
          <w:highlight w:val="none"/>
        </w:rPr>
        <w:t>采购项目编号：</w:t>
      </w:r>
      <w:r>
        <w:rPr>
          <w:rFonts w:hint="eastAsia" w:ascii="宋体" w:hAnsi="宋体"/>
          <w:highlight w:val="none"/>
          <w:u w:val="single"/>
        </w:rPr>
        <w:t xml:space="preserve">                 </w:t>
      </w:r>
    </w:p>
    <w:p w14:paraId="32E98D7C">
      <w:pPr>
        <w:spacing w:line="300" w:lineRule="auto"/>
        <w:rPr>
          <w:rFonts w:ascii="宋体" w:hAnsi="宋体"/>
          <w:highlight w:val="none"/>
          <w:u w:val="single"/>
        </w:rPr>
      </w:pPr>
      <w:r>
        <w:rPr>
          <w:rFonts w:hint="eastAsia" w:ascii="宋体" w:hAnsi="宋体"/>
          <w:highlight w:val="none"/>
        </w:rPr>
        <w:t>采购项目名称：</w:t>
      </w:r>
      <w:r>
        <w:rPr>
          <w:rFonts w:hint="eastAsia" w:ascii="宋体" w:hAnsi="宋体"/>
          <w:highlight w:val="none"/>
          <w:u w:val="single"/>
        </w:rPr>
        <w:t xml:space="preserve">                 </w:t>
      </w:r>
    </w:p>
    <w:p w14:paraId="25D5E6B7">
      <w:pPr>
        <w:spacing w:line="300" w:lineRule="auto"/>
        <w:rPr>
          <w:rFonts w:ascii="宋体" w:hAnsi="宋体"/>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69782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0E263CDB">
            <w:pPr>
              <w:snapToGrid w:val="0"/>
              <w:spacing w:beforeLines="50"/>
              <w:jc w:val="center"/>
              <w:rPr>
                <w:rFonts w:ascii="宋体" w:hAnsi="宋体"/>
                <w:b/>
                <w:highlight w:val="none"/>
              </w:rPr>
            </w:pPr>
            <w:r>
              <w:rPr>
                <w:rFonts w:hint="eastAsia" w:ascii="宋体" w:hAnsi="宋体"/>
                <w:b/>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E8786EA">
            <w:pPr>
              <w:snapToGrid w:val="0"/>
              <w:spacing w:beforeLines="50"/>
              <w:jc w:val="center"/>
              <w:rPr>
                <w:rFonts w:ascii="宋体" w:hAnsi="宋体"/>
                <w:b/>
                <w:highlight w:val="none"/>
              </w:rPr>
            </w:pPr>
            <w:r>
              <w:rPr>
                <w:rFonts w:hint="eastAsia" w:ascii="宋体" w:hAnsi="宋体"/>
                <w:b/>
                <w:highlight w:val="none"/>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497541B4">
            <w:pPr>
              <w:snapToGrid w:val="0"/>
              <w:spacing w:beforeLines="50"/>
              <w:jc w:val="center"/>
              <w:rPr>
                <w:rFonts w:ascii="宋体" w:hAnsi="宋体"/>
                <w:b/>
                <w:highlight w:val="none"/>
              </w:rPr>
            </w:pPr>
            <w:r>
              <w:rPr>
                <w:rFonts w:hint="eastAsia" w:ascii="宋体" w:hAnsi="宋体"/>
                <w:b/>
                <w:highlight w:val="none"/>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7D9445C6">
            <w:pPr>
              <w:snapToGrid w:val="0"/>
              <w:spacing w:beforeLines="50"/>
              <w:jc w:val="center"/>
              <w:rPr>
                <w:rFonts w:ascii="宋体" w:hAnsi="宋体"/>
                <w:b/>
                <w:highlight w:val="none"/>
              </w:rPr>
            </w:pPr>
            <w:r>
              <w:rPr>
                <w:rFonts w:hint="eastAsia" w:ascii="宋体" w:hAnsi="宋体"/>
                <w:b/>
                <w:highlight w:val="none"/>
              </w:rPr>
              <w:t>报价人的承诺或说明</w:t>
            </w:r>
          </w:p>
        </w:tc>
      </w:tr>
      <w:tr w14:paraId="08D7A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48C03D47">
            <w:pPr>
              <w:spacing w:line="340" w:lineRule="exact"/>
              <w:rPr>
                <w:sz w:val="20"/>
                <w:szCs w:val="20"/>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3DD5EA70">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8DBB1">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14:paraId="0D875D2B">
            <w:pPr>
              <w:snapToGrid w:val="0"/>
              <w:spacing w:beforeLines="50"/>
              <w:jc w:val="center"/>
              <w:rPr>
                <w:rFonts w:ascii="宋体" w:hAnsi="宋体"/>
                <w:highlight w:val="none"/>
              </w:rPr>
            </w:pPr>
          </w:p>
        </w:tc>
      </w:tr>
      <w:tr w14:paraId="3BE85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15EF953A">
            <w:pPr>
              <w:spacing w:line="340" w:lineRule="exact"/>
              <w:rPr>
                <w:rFonts w:ascii="宋体" w:hAnsi="宋体" w:cs="宋体"/>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3535559">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8BC1E">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14:paraId="25EE6B2B">
            <w:pPr>
              <w:snapToGrid w:val="0"/>
              <w:spacing w:beforeLines="50"/>
              <w:jc w:val="center"/>
              <w:rPr>
                <w:rFonts w:ascii="宋体" w:hAnsi="宋体"/>
                <w:highlight w:val="none"/>
              </w:rPr>
            </w:pPr>
          </w:p>
        </w:tc>
      </w:tr>
      <w:tr w14:paraId="5B6B8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2BC1D85E">
            <w:pPr>
              <w:spacing w:line="340" w:lineRule="exact"/>
              <w:rPr>
                <w:rFonts w:ascii="宋体" w:hAnsi="宋体" w:cs="宋体"/>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075DA761">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7DC26E5">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14:paraId="5DD94181">
            <w:pPr>
              <w:snapToGrid w:val="0"/>
              <w:spacing w:beforeLines="50"/>
              <w:jc w:val="center"/>
              <w:rPr>
                <w:rFonts w:ascii="宋体" w:hAnsi="宋体"/>
                <w:highlight w:val="none"/>
              </w:rPr>
            </w:pPr>
          </w:p>
        </w:tc>
      </w:tr>
      <w:tr w14:paraId="4C2BA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2113B667">
            <w:pPr>
              <w:snapToGrid w:val="0"/>
              <w:spacing w:beforeLines="50"/>
              <w:jc w:val="center"/>
              <w:rPr>
                <w:rFonts w:ascii="宋体" w:hAnsi="宋体"/>
                <w:highlight w:val="none"/>
              </w:rPr>
            </w:pPr>
            <w:r>
              <w:rPr>
                <w:rFonts w:hint="eastAsia" w:ascii="宋体" w:hAnsi="宋体"/>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0EC512FD">
            <w:pPr>
              <w:snapToGrid w:val="0"/>
              <w:spacing w:beforeLines="50"/>
              <w:jc w:val="center"/>
              <w:rPr>
                <w:rFonts w:ascii="宋体" w:hAnsi="宋体"/>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73A90C0">
            <w:pPr>
              <w:snapToGrid w:val="0"/>
              <w:spacing w:beforeLines="50"/>
              <w:jc w:val="center"/>
              <w:rPr>
                <w:rFonts w:ascii="宋体" w:hAnsi="宋体"/>
                <w:highlight w:val="none"/>
              </w:rPr>
            </w:pPr>
          </w:p>
        </w:tc>
        <w:tc>
          <w:tcPr>
            <w:tcW w:w="2324" w:type="dxa"/>
            <w:tcBorders>
              <w:top w:val="single" w:color="auto" w:sz="4" w:space="0"/>
              <w:left w:val="single" w:color="auto" w:sz="4" w:space="0"/>
              <w:bottom w:val="single" w:color="auto" w:sz="4" w:space="0"/>
              <w:right w:val="single" w:color="auto" w:sz="4" w:space="0"/>
            </w:tcBorders>
            <w:vAlign w:val="center"/>
          </w:tcPr>
          <w:p w14:paraId="64BD6877">
            <w:pPr>
              <w:snapToGrid w:val="0"/>
              <w:spacing w:beforeLines="50"/>
              <w:jc w:val="center"/>
              <w:rPr>
                <w:rFonts w:ascii="宋体" w:hAnsi="宋体"/>
                <w:highlight w:val="none"/>
              </w:rPr>
            </w:pPr>
          </w:p>
        </w:tc>
      </w:tr>
    </w:tbl>
    <w:p w14:paraId="2C8EC6A7">
      <w:pPr>
        <w:snapToGrid w:val="0"/>
        <w:spacing w:before="50" w:after="50"/>
        <w:rPr>
          <w:rFonts w:hAnsi="宋体"/>
          <w:highlight w:val="none"/>
        </w:rPr>
      </w:pPr>
    </w:p>
    <w:p w14:paraId="37C9929C">
      <w:pPr>
        <w:snapToGrid w:val="0"/>
        <w:spacing w:before="50" w:after="50"/>
        <w:rPr>
          <w:rFonts w:ascii="宋体" w:hAnsi="宋体"/>
          <w:spacing w:val="20"/>
          <w:highlight w:val="none"/>
        </w:rPr>
      </w:pPr>
      <w:r>
        <w:rPr>
          <w:rFonts w:hint="eastAsia" w:hAnsi="宋体"/>
          <w:highlight w:val="none"/>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5A5612DF">
      <w:pPr>
        <w:snapToGrid w:val="0"/>
        <w:spacing w:before="50" w:after="50"/>
        <w:rPr>
          <w:rFonts w:ascii="宋体" w:hAnsi="宋体"/>
          <w:spacing w:val="20"/>
          <w:highlight w:val="none"/>
        </w:rPr>
      </w:pPr>
    </w:p>
    <w:p w14:paraId="7C211732">
      <w:pPr>
        <w:spacing w:line="360" w:lineRule="auto"/>
        <w:jc w:val="center"/>
        <w:rPr>
          <w:rFonts w:ascii="宋体" w:hAnsi="宋体"/>
          <w:b/>
          <w:sz w:val="28"/>
          <w:szCs w:val="28"/>
          <w:highlight w:val="none"/>
        </w:rPr>
      </w:pPr>
      <w:r>
        <w:rPr>
          <w:rFonts w:hint="eastAsia" w:ascii="宋体" w:hAnsi="宋体"/>
          <w:highlight w:val="none"/>
        </w:rPr>
        <w:t>★</w:t>
      </w:r>
      <w:r>
        <w:rPr>
          <w:rFonts w:hint="eastAsia" w:ascii="宋体" w:hAnsi="宋体"/>
          <w:b/>
          <w:sz w:val="28"/>
          <w:szCs w:val="28"/>
          <w:highlight w:val="none"/>
        </w:rPr>
        <w:t>3、质量保证措施和售后服务承诺</w:t>
      </w:r>
    </w:p>
    <w:p w14:paraId="3D010622">
      <w:pPr>
        <w:spacing w:line="360" w:lineRule="auto"/>
        <w:rPr>
          <w:rFonts w:ascii="宋体" w:hAnsi="宋体"/>
          <w:b/>
          <w:szCs w:val="24"/>
          <w:highlight w:val="none"/>
        </w:rPr>
      </w:pPr>
      <w:r>
        <w:rPr>
          <w:rFonts w:hint="eastAsia" w:ascii="宋体" w:hAnsi="宋体"/>
          <w:b/>
          <w:szCs w:val="24"/>
          <w:highlight w:val="none"/>
        </w:rPr>
        <w:t>质量保证措施和售后服务承诺格式自拟。</w:t>
      </w:r>
    </w:p>
    <w:p w14:paraId="63F22805">
      <w:pPr>
        <w:spacing w:line="360" w:lineRule="auto"/>
        <w:jc w:val="center"/>
        <w:rPr>
          <w:rFonts w:ascii="宋体" w:hAnsi="宋体" w:cs="宋体"/>
          <w:highlight w:val="none"/>
        </w:rPr>
      </w:pPr>
      <w:r>
        <w:rPr>
          <w:rFonts w:hint="eastAsia" w:ascii="宋体" w:hAnsi="宋体"/>
          <w:bCs/>
          <w:sz w:val="28"/>
          <w:szCs w:val="28"/>
          <w:highlight w:val="none"/>
        </w:rPr>
        <w:t>★</w:t>
      </w:r>
      <w:r>
        <w:rPr>
          <w:rFonts w:hint="eastAsia" w:ascii="宋体" w:hAnsi="宋体"/>
          <w:b/>
          <w:sz w:val="28"/>
          <w:szCs w:val="28"/>
          <w:highlight w:val="none"/>
        </w:rPr>
        <w:t>4、项目实施方案</w:t>
      </w:r>
    </w:p>
    <w:p w14:paraId="527BCBBF">
      <w:pPr>
        <w:spacing w:line="360" w:lineRule="auto"/>
        <w:rPr>
          <w:rFonts w:ascii="宋体" w:hAnsi="宋体"/>
          <w:b/>
          <w:szCs w:val="24"/>
          <w:highlight w:val="none"/>
        </w:rPr>
      </w:pPr>
      <w:r>
        <w:rPr>
          <w:rFonts w:hint="eastAsia" w:ascii="宋体" w:hAnsi="宋体" w:cs="宋体"/>
          <w:highlight w:val="none"/>
        </w:rPr>
        <w:t>格式自拟。方案内容应包含但不限于对项目的理解，设计、配送、实施、安装方案，项目实施进度，项目执行保障措施等。</w:t>
      </w:r>
    </w:p>
    <w:p w14:paraId="603730C8">
      <w:pPr>
        <w:spacing w:line="360" w:lineRule="auto"/>
        <w:rPr>
          <w:rFonts w:ascii="宋体" w:hAnsi="宋体"/>
          <w:szCs w:val="24"/>
          <w:highlight w:val="none"/>
        </w:rPr>
      </w:pPr>
      <w:r>
        <w:rPr>
          <w:rFonts w:hint="eastAsia" w:ascii="宋体" w:hAnsi="宋体"/>
          <w:b/>
          <w:szCs w:val="24"/>
          <w:highlight w:val="none"/>
        </w:rPr>
        <w:t>（三）供应商认为需要提供的有关资料</w:t>
      </w:r>
      <w:r>
        <w:rPr>
          <w:rFonts w:hint="eastAsia" w:ascii="宋体" w:hAnsi="宋体"/>
          <w:szCs w:val="24"/>
          <w:highlight w:val="none"/>
        </w:rPr>
        <w:t>。</w:t>
      </w:r>
    </w:p>
    <w:p w14:paraId="3A4ED9D7">
      <w:pPr>
        <w:spacing w:line="360" w:lineRule="auto"/>
        <w:rPr>
          <w:rFonts w:ascii="宋体" w:hAnsi="宋体"/>
          <w:b/>
          <w:szCs w:val="24"/>
          <w:highlight w:val="none"/>
        </w:rPr>
      </w:pPr>
    </w:p>
    <w:p w14:paraId="48B357F6">
      <w:pPr>
        <w:spacing w:line="360" w:lineRule="auto"/>
        <w:rPr>
          <w:rFonts w:ascii="宋体" w:hAnsi="宋体"/>
          <w:b/>
          <w:szCs w:val="24"/>
          <w:highlight w:val="none"/>
        </w:rPr>
      </w:pPr>
    </w:p>
    <w:p w14:paraId="74AF2BA1">
      <w:pPr>
        <w:spacing w:line="360" w:lineRule="auto"/>
        <w:rPr>
          <w:rFonts w:ascii="宋体" w:hAnsi="宋体"/>
          <w:b/>
          <w:szCs w:val="24"/>
          <w:highlight w:val="none"/>
        </w:rPr>
      </w:pPr>
    </w:p>
    <w:p w14:paraId="1ABFDA88">
      <w:pPr>
        <w:spacing w:line="360" w:lineRule="auto"/>
        <w:rPr>
          <w:rFonts w:ascii="宋体" w:hAnsi="宋体"/>
          <w:b/>
          <w:szCs w:val="24"/>
          <w:highlight w:val="none"/>
        </w:rPr>
      </w:pPr>
    </w:p>
    <w:p w14:paraId="5739C5DE">
      <w:pPr>
        <w:spacing w:line="360" w:lineRule="auto"/>
        <w:rPr>
          <w:rFonts w:ascii="宋体" w:hAnsi="宋体"/>
          <w:b/>
          <w:szCs w:val="24"/>
          <w:highlight w:val="none"/>
        </w:rPr>
      </w:pPr>
    </w:p>
    <w:p w14:paraId="723FF983">
      <w:pPr>
        <w:spacing w:line="360" w:lineRule="auto"/>
        <w:rPr>
          <w:rFonts w:ascii="宋体" w:hAnsi="宋体"/>
          <w:b/>
          <w:szCs w:val="24"/>
          <w:highlight w:val="none"/>
        </w:rPr>
      </w:pPr>
    </w:p>
    <w:p w14:paraId="467048DE">
      <w:pPr>
        <w:spacing w:line="360" w:lineRule="auto"/>
        <w:rPr>
          <w:rFonts w:ascii="宋体" w:hAnsi="宋体"/>
          <w:b/>
          <w:szCs w:val="24"/>
          <w:highlight w:val="none"/>
        </w:rPr>
      </w:pPr>
    </w:p>
    <w:p w14:paraId="3CB608DE">
      <w:pPr>
        <w:spacing w:line="360" w:lineRule="auto"/>
        <w:rPr>
          <w:rFonts w:ascii="宋体" w:hAnsi="宋体"/>
          <w:b/>
          <w:szCs w:val="24"/>
          <w:highlight w:val="none"/>
        </w:rPr>
      </w:pPr>
    </w:p>
    <w:p w14:paraId="249C09DD">
      <w:pPr>
        <w:spacing w:line="360" w:lineRule="auto"/>
        <w:rPr>
          <w:rFonts w:ascii="宋体" w:hAnsi="宋体"/>
          <w:b/>
          <w:szCs w:val="24"/>
          <w:highlight w:val="none"/>
        </w:rPr>
      </w:pPr>
    </w:p>
    <w:p w14:paraId="4593F503">
      <w:pPr>
        <w:spacing w:line="360" w:lineRule="auto"/>
        <w:rPr>
          <w:rFonts w:ascii="宋体" w:hAnsi="宋体"/>
          <w:szCs w:val="24"/>
          <w:highlight w:val="none"/>
        </w:rPr>
      </w:pPr>
      <w:r>
        <w:rPr>
          <w:rFonts w:hint="eastAsia" w:ascii="宋体" w:hAnsi="宋体"/>
          <w:b/>
          <w:szCs w:val="24"/>
          <w:highlight w:val="none"/>
        </w:rPr>
        <w:t>（四）报价表</w:t>
      </w:r>
      <w:r>
        <w:rPr>
          <w:rFonts w:hint="eastAsia" w:ascii="宋体" w:hAnsi="宋体"/>
          <w:szCs w:val="24"/>
          <w:highlight w:val="none"/>
        </w:rPr>
        <w:t>。</w:t>
      </w:r>
    </w:p>
    <w:p w14:paraId="77B9C2D2">
      <w:pPr>
        <w:spacing w:line="500" w:lineRule="exact"/>
        <w:jc w:val="center"/>
        <w:rPr>
          <w:rFonts w:ascii="仿宋_GB2312" w:hAnsi="仿宋_GB2312" w:eastAsia="仿宋_GB2312"/>
          <w:b/>
          <w:sz w:val="32"/>
          <w:szCs w:val="32"/>
          <w:highlight w:val="none"/>
        </w:rPr>
      </w:pPr>
      <w:r>
        <w:rPr>
          <w:rFonts w:hint="eastAsia" w:ascii="宋体" w:hAnsi="宋体"/>
          <w:bCs/>
          <w:sz w:val="28"/>
          <w:szCs w:val="28"/>
          <w:highlight w:val="none"/>
        </w:rPr>
        <w:t>★</w:t>
      </w:r>
      <w:r>
        <w:rPr>
          <w:rFonts w:hint="eastAsia" w:ascii="仿宋_GB2312" w:hAnsi="仿宋_GB2312" w:eastAsia="仿宋_GB2312"/>
          <w:b/>
          <w:sz w:val="32"/>
          <w:szCs w:val="32"/>
          <w:highlight w:val="none"/>
        </w:rPr>
        <w:t>报  价  表</w:t>
      </w:r>
    </w:p>
    <w:p w14:paraId="015BF50C">
      <w:pPr>
        <w:spacing w:line="500" w:lineRule="exact"/>
        <w:rPr>
          <w:rFonts w:ascii="宋体" w:hAnsi="宋体"/>
          <w:highlight w:val="none"/>
          <w:u w:val="single"/>
        </w:rPr>
      </w:pPr>
      <w:r>
        <w:rPr>
          <w:rFonts w:hint="eastAsia" w:ascii="宋体" w:hAnsi="宋体"/>
          <w:highlight w:val="none"/>
        </w:rPr>
        <w:t>项目名称:</w:t>
      </w:r>
      <w:r>
        <w:rPr>
          <w:rFonts w:hint="eastAsia" w:ascii="宋体" w:hAnsi="宋体"/>
          <w:highlight w:val="none"/>
          <w:u w:val="single"/>
        </w:rPr>
        <w:t xml:space="preserve">                 </w:t>
      </w:r>
    </w:p>
    <w:p w14:paraId="45E3B701">
      <w:pPr>
        <w:spacing w:line="500" w:lineRule="exact"/>
        <w:rPr>
          <w:rFonts w:ascii="宋体" w:hAnsi="宋体"/>
          <w:highlight w:val="none"/>
        </w:rPr>
      </w:pPr>
      <w:r>
        <w:rPr>
          <w:rFonts w:hint="eastAsia" w:ascii="宋体" w:hAnsi="宋体"/>
          <w:highlight w:val="none"/>
        </w:rPr>
        <w:t>项目编号:</w:t>
      </w:r>
      <w:r>
        <w:rPr>
          <w:rFonts w:hint="eastAsia" w:ascii="宋体" w:hAnsi="宋体"/>
          <w:highlight w:val="none"/>
          <w:u w:val="single"/>
        </w:rPr>
        <w:t xml:space="preserve">                 </w:t>
      </w:r>
      <w:r>
        <w:rPr>
          <w:rFonts w:hint="eastAsia" w:ascii="宋体" w:hAnsi="宋体"/>
          <w:highlight w:val="none"/>
        </w:rPr>
        <w:t xml:space="preserve">    </w:t>
      </w:r>
    </w:p>
    <w:p w14:paraId="277FB0F9">
      <w:pPr>
        <w:spacing w:line="500" w:lineRule="exact"/>
        <w:rPr>
          <w:rFonts w:ascii="宋体" w:hAnsi="宋体"/>
          <w:b/>
          <w:highlight w:val="none"/>
        </w:rPr>
      </w:pPr>
    </w:p>
    <w:tbl>
      <w:tblPr>
        <w:tblStyle w:val="15"/>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14:paraId="31700785">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5027545">
            <w:pPr>
              <w:pStyle w:val="7"/>
              <w:jc w:val="center"/>
              <w:rPr>
                <w:spacing w:val="-29"/>
                <w:highlight w:val="none"/>
              </w:rPr>
            </w:pPr>
            <w:r>
              <w:rPr>
                <w:rFonts w:hint="eastAsia"/>
                <w:spacing w:val="-29"/>
                <w:highlight w:val="none"/>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14:paraId="63968959">
            <w:pPr>
              <w:tabs>
                <w:tab w:val="left" w:pos="180"/>
                <w:tab w:val="left" w:pos="1620"/>
              </w:tabs>
              <w:spacing w:line="500" w:lineRule="exact"/>
              <w:jc w:val="center"/>
              <w:rPr>
                <w:rFonts w:ascii="宋体" w:hAnsi="宋体"/>
                <w:highlight w:val="none"/>
              </w:rPr>
            </w:pPr>
            <w:r>
              <w:rPr>
                <w:rFonts w:hint="eastAsia" w:ascii="宋体" w:hAnsi="宋体"/>
                <w:highlight w:val="none"/>
              </w:rPr>
              <w:t>货物</w:t>
            </w:r>
          </w:p>
          <w:p w14:paraId="1A347E25">
            <w:pPr>
              <w:tabs>
                <w:tab w:val="left" w:pos="180"/>
                <w:tab w:val="left" w:pos="1620"/>
              </w:tabs>
              <w:spacing w:line="500" w:lineRule="exact"/>
              <w:jc w:val="center"/>
              <w:rPr>
                <w:rFonts w:ascii="宋体" w:hAnsi="宋体"/>
                <w:highlight w:val="none"/>
              </w:rPr>
            </w:pPr>
            <w:r>
              <w:rPr>
                <w:rFonts w:hint="eastAsia" w:ascii="宋体" w:hAnsi="宋体"/>
                <w:highlight w:val="none"/>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14:paraId="2182AC5E">
            <w:pPr>
              <w:tabs>
                <w:tab w:val="left" w:pos="180"/>
                <w:tab w:val="left" w:pos="1620"/>
              </w:tabs>
              <w:spacing w:line="500" w:lineRule="exact"/>
              <w:jc w:val="center"/>
              <w:rPr>
                <w:rFonts w:ascii="宋体" w:hAnsi="宋体"/>
                <w:highlight w:val="none"/>
              </w:rPr>
            </w:pPr>
            <w:r>
              <w:rPr>
                <w:rFonts w:hint="eastAsia" w:ascii="宋体" w:hAnsi="宋体"/>
                <w:highlight w:val="none"/>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14:paraId="5D851B15">
            <w:pPr>
              <w:tabs>
                <w:tab w:val="left" w:pos="180"/>
                <w:tab w:val="left" w:pos="1620"/>
              </w:tabs>
              <w:spacing w:line="500" w:lineRule="exact"/>
              <w:jc w:val="center"/>
              <w:rPr>
                <w:rFonts w:ascii="宋体" w:hAnsi="宋体"/>
                <w:highlight w:val="none"/>
              </w:rPr>
            </w:pPr>
            <w:r>
              <w:rPr>
                <w:rFonts w:hint="eastAsia" w:ascii="宋体" w:hAnsi="宋体"/>
                <w:highlight w:val="none"/>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14:paraId="32308DB4">
            <w:pPr>
              <w:tabs>
                <w:tab w:val="left" w:pos="180"/>
                <w:tab w:val="left" w:pos="1620"/>
              </w:tabs>
              <w:spacing w:line="500" w:lineRule="exact"/>
              <w:jc w:val="center"/>
              <w:rPr>
                <w:rFonts w:ascii="宋体" w:hAnsi="宋体"/>
                <w:highlight w:val="none"/>
              </w:rPr>
            </w:pPr>
            <w:r>
              <w:rPr>
                <w:rFonts w:hint="eastAsia" w:ascii="宋体" w:hAnsi="宋体"/>
                <w:highlight w:val="none"/>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14:paraId="15A18FB5">
            <w:pPr>
              <w:tabs>
                <w:tab w:val="left" w:pos="180"/>
                <w:tab w:val="left" w:pos="1620"/>
              </w:tabs>
              <w:spacing w:line="500" w:lineRule="exact"/>
              <w:ind w:left="210" w:hanging="210" w:hangingChars="100"/>
              <w:rPr>
                <w:rFonts w:ascii="宋体" w:hAnsi="宋体"/>
                <w:highlight w:val="none"/>
              </w:rPr>
            </w:pPr>
            <w:r>
              <w:rPr>
                <w:rFonts w:hint="eastAsia" w:ascii="宋体" w:hAnsi="宋体"/>
                <w:highlight w:val="none"/>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14:paraId="1FF8113A">
            <w:pPr>
              <w:tabs>
                <w:tab w:val="left" w:pos="180"/>
                <w:tab w:val="left" w:pos="1620"/>
              </w:tabs>
              <w:spacing w:line="500" w:lineRule="exact"/>
              <w:jc w:val="center"/>
              <w:rPr>
                <w:rFonts w:ascii="宋体" w:hAnsi="宋体"/>
                <w:highlight w:val="none"/>
              </w:rPr>
            </w:pPr>
            <w:r>
              <w:rPr>
                <w:rFonts w:hint="eastAsia" w:ascii="宋体" w:hAnsi="宋体"/>
                <w:highlight w:val="none"/>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14:paraId="48C5C2DC">
            <w:pPr>
              <w:pStyle w:val="7"/>
              <w:jc w:val="center"/>
              <w:rPr>
                <w:highlight w:val="none"/>
              </w:rPr>
            </w:pPr>
            <w:r>
              <w:rPr>
                <w:rFonts w:hint="eastAsia"/>
                <w:highlight w:val="none"/>
              </w:rPr>
              <w:t>单项合价</w:t>
            </w:r>
          </w:p>
          <w:p w14:paraId="768A19FF">
            <w:pPr>
              <w:pStyle w:val="7"/>
              <w:jc w:val="center"/>
              <w:rPr>
                <w:highlight w:val="none"/>
              </w:rPr>
            </w:pPr>
            <w:r>
              <w:rPr>
                <w:rFonts w:hint="eastAsia"/>
                <w:highlight w:val="none"/>
              </w:rPr>
              <w:t>（元）</w:t>
            </w:r>
          </w:p>
          <w:p w14:paraId="057D1013">
            <w:pPr>
              <w:pStyle w:val="7"/>
              <w:jc w:val="center"/>
              <w:rPr>
                <w:highlight w:val="none"/>
              </w:rPr>
            </w:pPr>
            <w:r>
              <w:rPr>
                <w:rFonts w:hint="eastAsia"/>
                <w:highlight w:val="none"/>
              </w:rPr>
              <w:t>③</w:t>
            </w:r>
            <w:r>
              <w:rPr>
                <w:highlight w:val="none"/>
              </w:rPr>
              <w:t>=</w:t>
            </w:r>
            <w:r>
              <w:rPr>
                <w:rFonts w:hint="eastAsia"/>
                <w:highlight w:val="none"/>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14:paraId="4CB86E72">
            <w:pPr>
              <w:pStyle w:val="7"/>
              <w:jc w:val="center"/>
              <w:rPr>
                <w:highlight w:val="none"/>
              </w:rPr>
            </w:pPr>
            <w:r>
              <w:rPr>
                <w:rFonts w:hint="eastAsia"/>
                <w:highlight w:val="none"/>
              </w:rPr>
              <w:t>备注</w:t>
            </w:r>
          </w:p>
        </w:tc>
      </w:tr>
      <w:tr w14:paraId="44F18373">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0605D559">
            <w:pPr>
              <w:jc w:val="center"/>
              <w:rPr>
                <w:rFonts w:ascii="宋体" w:hAnsi="宋体"/>
                <w:sz w:val="24"/>
                <w:highlight w:val="none"/>
              </w:rPr>
            </w:pPr>
            <w:r>
              <w:rPr>
                <w:rFonts w:hint="eastAsia" w:ascii="宋体" w:hAnsi="宋体"/>
                <w:sz w:val="24"/>
                <w:highlight w:val="none"/>
              </w:rPr>
              <w:t>1</w:t>
            </w:r>
          </w:p>
        </w:tc>
        <w:tc>
          <w:tcPr>
            <w:tcW w:w="918" w:type="dxa"/>
            <w:tcBorders>
              <w:top w:val="single" w:color="000000" w:sz="4" w:space="0"/>
              <w:left w:val="single" w:color="000000" w:sz="4" w:space="0"/>
              <w:bottom w:val="single" w:color="000000" w:sz="4" w:space="0"/>
              <w:right w:val="single" w:color="000000" w:sz="4" w:space="0"/>
            </w:tcBorders>
            <w:vAlign w:val="center"/>
          </w:tcPr>
          <w:p w14:paraId="3D77BC7F">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3CA5C4D9">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036CBA54">
            <w:pPr>
              <w:pStyle w:val="7"/>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32BF1357">
            <w:pPr>
              <w:pStyle w:val="7"/>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6FA94D15">
            <w:pPr>
              <w:pStyle w:val="7"/>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14:paraId="1FDEC129">
            <w:pPr>
              <w:pStyle w:val="7"/>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4CBBD5B">
            <w:pPr>
              <w:pStyle w:val="7"/>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7694F44">
            <w:pPr>
              <w:pStyle w:val="7"/>
              <w:rPr>
                <w:spacing w:val="-10"/>
                <w:highlight w:val="none"/>
              </w:rPr>
            </w:pPr>
          </w:p>
        </w:tc>
      </w:tr>
      <w:tr w14:paraId="3125EBBC">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93BC0DC">
            <w:pPr>
              <w:jc w:val="center"/>
              <w:rPr>
                <w:rFonts w:ascii="宋体" w:hAnsi="宋体"/>
                <w:sz w:val="24"/>
                <w:highlight w:val="none"/>
              </w:rPr>
            </w:pPr>
            <w:r>
              <w:rPr>
                <w:rFonts w:hint="eastAsia" w:ascii="宋体" w:hAnsi="宋体"/>
                <w:sz w:val="24"/>
                <w:highlight w:val="none"/>
              </w:rPr>
              <w:t>…</w:t>
            </w:r>
          </w:p>
        </w:tc>
        <w:tc>
          <w:tcPr>
            <w:tcW w:w="918" w:type="dxa"/>
            <w:tcBorders>
              <w:top w:val="single" w:color="000000" w:sz="4" w:space="0"/>
              <w:left w:val="single" w:color="000000" w:sz="4" w:space="0"/>
              <w:bottom w:val="single" w:color="000000" w:sz="4" w:space="0"/>
              <w:right w:val="single" w:color="000000" w:sz="4" w:space="0"/>
            </w:tcBorders>
            <w:vAlign w:val="center"/>
          </w:tcPr>
          <w:p w14:paraId="7861F5B4">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E504303">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56FD692D">
            <w:pPr>
              <w:pStyle w:val="7"/>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58C7B520">
            <w:pPr>
              <w:pStyle w:val="7"/>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6CCC6A44">
            <w:pPr>
              <w:pStyle w:val="7"/>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14:paraId="34F85E0C">
            <w:pPr>
              <w:pStyle w:val="7"/>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10EDFF0A">
            <w:pPr>
              <w:pStyle w:val="7"/>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58DED44">
            <w:pPr>
              <w:pStyle w:val="7"/>
              <w:rPr>
                <w:spacing w:val="-10"/>
                <w:highlight w:val="none"/>
              </w:rPr>
            </w:pPr>
          </w:p>
        </w:tc>
      </w:tr>
      <w:tr w14:paraId="0BF91D8E">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33807F8">
            <w:pPr>
              <w:jc w:val="center"/>
              <w:rPr>
                <w:rFonts w:ascii="宋体" w:hAnsi="宋体"/>
                <w:sz w:val="24"/>
                <w:highlight w:val="none"/>
              </w:rPr>
            </w:pPr>
            <w:r>
              <w:rPr>
                <w:rFonts w:ascii="宋体" w:hAnsi="宋体"/>
                <w:sz w:val="24"/>
                <w:highlight w:val="none"/>
              </w:rPr>
              <w:t>N</w:t>
            </w:r>
          </w:p>
        </w:tc>
        <w:tc>
          <w:tcPr>
            <w:tcW w:w="918" w:type="dxa"/>
            <w:tcBorders>
              <w:top w:val="single" w:color="000000" w:sz="4" w:space="0"/>
              <w:left w:val="single" w:color="000000" w:sz="4" w:space="0"/>
              <w:bottom w:val="single" w:color="000000" w:sz="4" w:space="0"/>
              <w:right w:val="single" w:color="000000" w:sz="4" w:space="0"/>
            </w:tcBorders>
            <w:vAlign w:val="center"/>
          </w:tcPr>
          <w:p w14:paraId="655247E9">
            <w:pPr>
              <w:jc w:val="center"/>
              <w:rPr>
                <w:rFonts w:ascii="宋体" w:hAnsi="宋体"/>
                <w:highlight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5116E6D5">
            <w:pPr>
              <w:jc w:val="center"/>
              <w:rPr>
                <w:rFonts w:ascii="宋体" w:hAnsi="宋体"/>
                <w:highlight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6874C35C">
            <w:pPr>
              <w:pStyle w:val="7"/>
              <w:rPr>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718960D9">
            <w:pPr>
              <w:pStyle w:val="7"/>
              <w:rPr>
                <w:highlight w:val="none"/>
              </w:rPr>
            </w:pPr>
          </w:p>
        </w:tc>
        <w:tc>
          <w:tcPr>
            <w:tcW w:w="2463" w:type="dxa"/>
            <w:tcBorders>
              <w:top w:val="single" w:color="000000" w:sz="4" w:space="0"/>
              <w:left w:val="single" w:color="000000" w:sz="4" w:space="0"/>
              <w:bottom w:val="single" w:color="000000" w:sz="4" w:space="0"/>
              <w:right w:val="single" w:color="000000" w:sz="4" w:space="0"/>
            </w:tcBorders>
            <w:vAlign w:val="center"/>
          </w:tcPr>
          <w:p w14:paraId="465D3E66">
            <w:pPr>
              <w:pStyle w:val="7"/>
              <w:rPr>
                <w:highlight w:val="none"/>
              </w:rPr>
            </w:pPr>
          </w:p>
        </w:tc>
        <w:tc>
          <w:tcPr>
            <w:tcW w:w="634" w:type="dxa"/>
            <w:tcBorders>
              <w:top w:val="single" w:color="000000" w:sz="4" w:space="0"/>
              <w:left w:val="single" w:color="000000" w:sz="4" w:space="0"/>
              <w:bottom w:val="single" w:color="000000" w:sz="4" w:space="0"/>
              <w:right w:val="single" w:color="000000" w:sz="4" w:space="0"/>
            </w:tcBorders>
            <w:vAlign w:val="center"/>
          </w:tcPr>
          <w:p w14:paraId="4A497AF8">
            <w:pPr>
              <w:pStyle w:val="7"/>
              <w:rPr>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6A7C533E">
            <w:pPr>
              <w:pStyle w:val="7"/>
              <w:rPr>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EACB78B">
            <w:pPr>
              <w:pStyle w:val="7"/>
              <w:rPr>
                <w:spacing w:val="-10"/>
                <w:highlight w:val="none"/>
              </w:rPr>
            </w:pPr>
          </w:p>
        </w:tc>
      </w:tr>
      <w:tr w14:paraId="638B29E9">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1F574176">
            <w:pPr>
              <w:pStyle w:val="7"/>
              <w:rPr>
                <w:spacing w:val="-10"/>
                <w:highlight w:val="none"/>
              </w:rPr>
            </w:pPr>
            <w:r>
              <w:rPr>
                <w:rFonts w:hint="eastAsia"/>
                <w:spacing w:val="-10"/>
                <w:highlight w:val="none"/>
              </w:rPr>
              <w:t>总报价（人民币大写）：                                       （￥                       元）</w:t>
            </w:r>
          </w:p>
        </w:tc>
      </w:tr>
      <w:tr w14:paraId="5CBE0A22">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4F369F2C">
            <w:pPr>
              <w:pStyle w:val="7"/>
              <w:rPr>
                <w:spacing w:val="-10"/>
                <w:highlight w:val="none"/>
              </w:rPr>
            </w:pPr>
            <w:r>
              <w:rPr>
                <w:rFonts w:hint="eastAsia"/>
                <w:spacing w:val="-10"/>
                <w:highlight w:val="none"/>
              </w:rPr>
              <w:t>交付使用时间：</w:t>
            </w:r>
          </w:p>
        </w:tc>
      </w:tr>
      <w:tr w14:paraId="2FD034E5">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39BFE5F2">
            <w:pPr>
              <w:pStyle w:val="7"/>
              <w:rPr>
                <w:spacing w:val="-10"/>
                <w:highlight w:val="none"/>
              </w:rPr>
            </w:pPr>
            <w:r>
              <w:rPr>
                <w:rFonts w:hint="eastAsia"/>
                <w:spacing w:val="-10"/>
                <w:highlight w:val="none"/>
              </w:rPr>
              <w:t>交付使用地点：</w:t>
            </w:r>
          </w:p>
        </w:tc>
      </w:tr>
    </w:tbl>
    <w:p w14:paraId="2DECB7DC">
      <w:pPr>
        <w:spacing w:line="500" w:lineRule="exact"/>
        <w:rPr>
          <w:rFonts w:ascii="宋体" w:hAnsi="宋体"/>
          <w:highlight w:val="none"/>
        </w:rPr>
      </w:pPr>
      <w:r>
        <w:rPr>
          <w:rFonts w:hint="eastAsia" w:ascii="宋体" w:hAnsi="宋体"/>
          <w:highlight w:val="none"/>
        </w:rPr>
        <w:t>注：1、所有价格均用人民币表示，单位为元，精确到小数点后两位数。</w:t>
      </w:r>
    </w:p>
    <w:p w14:paraId="722F18C8">
      <w:pPr>
        <w:spacing w:line="500" w:lineRule="exact"/>
        <w:ind w:firstLine="412"/>
        <w:rPr>
          <w:rFonts w:ascii="宋体" w:hAnsi="宋体"/>
          <w:highlight w:val="none"/>
        </w:rPr>
      </w:pPr>
      <w:r>
        <w:rPr>
          <w:rFonts w:hint="eastAsia" w:ascii="宋体" w:hAnsi="宋体"/>
          <w:bCs/>
          <w:highlight w:val="none"/>
        </w:rPr>
        <w:t>2、报价指货物、服务、随配附件、备品备件、工具、货物运抵指定交货地点、安装、调试的各种费用和售后服务、税金及其它所有成本、费用的总和</w:t>
      </w:r>
      <w:r>
        <w:rPr>
          <w:rFonts w:hint="eastAsia" w:ascii="宋体" w:hAnsi="宋体"/>
          <w:highlight w:val="none"/>
        </w:rPr>
        <w:t>。</w:t>
      </w:r>
    </w:p>
    <w:p w14:paraId="4D5CAAB0">
      <w:pPr>
        <w:spacing w:before="50" w:after="50" w:line="360" w:lineRule="exact"/>
        <w:ind w:firstLine="420"/>
        <w:jc w:val="left"/>
        <w:rPr>
          <w:rFonts w:ascii="宋体" w:hAnsi="宋体"/>
          <w:highlight w:val="none"/>
        </w:rPr>
      </w:pPr>
      <w:r>
        <w:rPr>
          <w:rFonts w:hint="eastAsia" w:ascii="宋体" w:hAnsi="宋体"/>
          <w:highlight w:val="none"/>
        </w:rPr>
        <w:t>3、凡需用专用辅材、耗材的专用设备类采购项目，应按采购文件规定的辅材、耗材量或按耗材的常规试用量提供报价。</w:t>
      </w:r>
    </w:p>
    <w:p w14:paraId="25F63D7B">
      <w:pPr>
        <w:spacing w:before="50" w:after="50" w:line="360" w:lineRule="exact"/>
        <w:ind w:firstLine="420"/>
        <w:jc w:val="left"/>
        <w:rPr>
          <w:rFonts w:ascii="宋体" w:hAnsi="宋体"/>
          <w:highlight w:val="none"/>
        </w:rPr>
      </w:pPr>
      <w:r>
        <w:rPr>
          <w:rFonts w:hint="eastAsia" w:ascii="宋体" w:hAnsi="宋体"/>
          <w:highlight w:val="none"/>
        </w:rPr>
        <w:t>4、报价表中的“货物名称”、“数量”、“单位”、“单价”、“单项合价”列必须填写；设备类项目“品牌、型号规格、生产厂家”列必须填写（定制产品和服务除外）。</w:t>
      </w:r>
    </w:p>
    <w:p w14:paraId="0524DC3F">
      <w:pPr>
        <w:spacing w:line="500" w:lineRule="exact"/>
        <w:ind w:firstLine="420" w:firstLineChars="200"/>
        <w:rPr>
          <w:rFonts w:ascii="宋体" w:hAnsi="宋体"/>
          <w:highlight w:val="none"/>
        </w:rPr>
      </w:pPr>
      <w:r>
        <w:rPr>
          <w:rFonts w:hint="eastAsia" w:ascii="宋体" w:hAnsi="宋体"/>
          <w:highlight w:val="none"/>
        </w:rPr>
        <w:t>5、各分项报价不得高于分项单价控制价。</w:t>
      </w:r>
    </w:p>
    <w:p w14:paraId="7254D2B8">
      <w:pPr>
        <w:spacing w:line="500" w:lineRule="exact"/>
        <w:rPr>
          <w:rFonts w:ascii="宋体" w:hAnsi="宋体"/>
          <w:highlight w:val="none"/>
        </w:rPr>
      </w:pPr>
    </w:p>
    <w:p w14:paraId="0A7D558C">
      <w:pPr>
        <w:spacing w:line="500" w:lineRule="exact"/>
        <w:rPr>
          <w:rFonts w:ascii="宋体" w:hAnsi="宋体"/>
          <w:highlight w:val="none"/>
        </w:rPr>
      </w:pPr>
      <w:r>
        <w:rPr>
          <w:rFonts w:hint="eastAsia" w:ascii="宋体" w:hAnsi="宋体"/>
          <w:highlight w:val="none"/>
        </w:rPr>
        <w:t xml:space="preserve">法定代表人或委托代理人（签字）:              </w:t>
      </w:r>
    </w:p>
    <w:p w14:paraId="5A890751">
      <w:pPr>
        <w:pStyle w:val="7"/>
        <w:spacing w:line="500" w:lineRule="exact"/>
        <w:ind w:firstLine="420"/>
        <w:rPr>
          <w:highlight w:val="none"/>
          <w:u w:val="single"/>
        </w:rPr>
      </w:pPr>
      <w:r>
        <w:rPr>
          <w:rFonts w:hint="eastAsia"/>
          <w:highlight w:val="none"/>
        </w:rPr>
        <w:t>供应商名称（盖章）：</w:t>
      </w:r>
      <w:r>
        <w:rPr>
          <w:rFonts w:hint="eastAsia"/>
          <w:highlight w:val="none"/>
          <w:u w:val="single"/>
        </w:rPr>
        <w:t xml:space="preserve">       </w:t>
      </w:r>
    </w:p>
    <w:p w14:paraId="31235E76">
      <w:pPr>
        <w:spacing w:line="500" w:lineRule="exact"/>
        <w:ind w:firstLine="420"/>
        <w:rPr>
          <w:rFonts w:ascii="宋体" w:hAnsi="宋体"/>
          <w:highlight w:val="none"/>
        </w:rPr>
        <w:sectPr>
          <w:pgSz w:w="11906" w:h="16838"/>
          <w:pgMar w:top="1134" w:right="1134" w:bottom="1134" w:left="1134" w:header="851" w:footer="992" w:gutter="0"/>
          <w:cols w:space="425" w:num="1"/>
          <w:docGrid w:type="lines" w:linePitch="312" w:charSpace="0"/>
        </w:sectPr>
      </w:pPr>
      <w:r>
        <w:rPr>
          <w:rFonts w:hint="eastAsia" w:ascii="宋体" w:hAnsi="宋体"/>
          <w:highlight w:val="none"/>
        </w:rPr>
        <w:t>报价时间：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D5770E5">
      <w:pPr>
        <w:snapToGrid w:val="0"/>
        <w:spacing w:beforeLines="50" w:after="50"/>
        <w:jc w:val="left"/>
        <w:rPr>
          <w:rFonts w:asciiTheme="minorEastAsia" w:hAnsiTheme="minorEastAsia" w:eastAsiaTheme="minorEastAsia"/>
          <w:szCs w:val="24"/>
          <w:highlight w:val="none"/>
        </w:rPr>
      </w:pPr>
      <w:r>
        <w:rPr>
          <w:rFonts w:hint="eastAsia" w:asciiTheme="minorEastAsia" w:hAnsiTheme="minorEastAsia" w:eastAsiaTheme="minorEastAsia"/>
          <w:b/>
          <w:sz w:val="24"/>
          <w:szCs w:val="24"/>
          <w:highlight w:val="none"/>
        </w:rPr>
        <w:t>（五）中小企业声明函</w:t>
      </w:r>
    </w:p>
    <w:p w14:paraId="68F6FA84">
      <w:pPr>
        <w:rPr>
          <w:rFonts w:asciiTheme="minorEastAsia" w:hAnsiTheme="minorEastAsia" w:eastAsiaTheme="minorEastAsia"/>
          <w:szCs w:val="24"/>
          <w:highlight w:val="none"/>
        </w:rPr>
      </w:pPr>
    </w:p>
    <w:p w14:paraId="402ABCD0">
      <w:pPr>
        <w:spacing w:line="500" w:lineRule="exact"/>
        <w:jc w:val="center"/>
        <w:rPr>
          <w:rFonts w:ascii="仿宋_GB2312" w:hAnsi="仿宋_GB2312" w:eastAsia="仿宋_GB2312"/>
          <w:b/>
          <w:sz w:val="32"/>
          <w:szCs w:val="32"/>
          <w:highlight w:val="none"/>
        </w:rPr>
      </w:pPr>
      <w:r>
        <w:rPr>
          <w:rFonts w:hint="eastAsia" w:ascii="仿宋_GB2312" w:hAnsi="仿宋_GB2312" w:eastAsia="仿宋_GB2312"/>
          <w:b/>
          <w:sz w:val="32"/>
          <w:szCs w:val="32"/>
          <w:highlight w:val="none"/>
        </w:rPr>
        <w:t>中小企业声明函</w:t>
      </w:r>
    </w:p>
    <w:p w14:paraId="25668056">
      <w:pPr>
        <w:ind w:left="-426" w:right="142" w:firstLine="567"/>
        <w:contextualSpacing/>
        <w:rPr>
          <w:rFonts w:asciiTheme="minorEastAsia" w:hAnsiTheme="minorEastAsia" w:eastAsiaTheme="minorEastAsia"/>
          <w:kern w:val="24"/>
          <w:sz w:val="24"/>
          <w:szCs w:val="24"/>
          <w:highlight w:val="none"/>
        </w:rPr>
      </w:pPr>
    </w:p>
    <w:p w14:paraId="5753FAC6">
      <w:pPr>
        <w:pStyle w:val="3"/>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FkMWE3NTkyMjhhMjAzYWQ2MWFlMjU0ZTU0N2IifQ=="/>
  </w:docVars>
  <w:rsids>
    <w:rsidRoot w:val="00172A27"/>
    <w:rsid w:val="00073AF3"/>
    <w:rsid w:val="00172A27"/>
    <w:rsid w:val="00186171"/>
    <w:rsid w:val="002119BE"/>
    <w:rsid w:val="00295B4D"/>
    <w:rsid w:val="002D2950"/>
    <w:rsid w:val="002E0580"/>
    <w:rsid w:val="002E4D02"/>
    <w:rsid w:val="00323A11"/>
    <w:rsid w:val="00327908"/>
    <w:rsid w:val="003C44D8"/>
    <w:rsid w:val="0049213F"/>
    <w:rsid w:val="00562B94"/>
    <w:rsid w:val="00587ED8"/>
    <w:rsid w:val="005E149D"/>
    <w:rsid w:val="00656C5F"/>
    <w:rsid w:val="007223FF"/>
    <w:rsid w:val="0072517A"/>
    <w:rsid w:val="00784D41"/>
    <w:rsid w:val="0078768E"/>
    <w:rsid w:val="00845E32"/>
    <w:rsid w:val="008A41B0"/>
    <w:rsid w:val="00963541"/>
    <w:rsid w:val="009B5BC0"/>
    <w:rsid w:val="00A07B94"/>
    <w:rsid w:val="00A739D8"/>
    <w:rsid w:val="00AA0D9B"/>
    <w:rsid w:val="00AD6793"/>
    <w:rsid w:val="00AE2148"/>
    <w:rsid w:val="00B31B4B"/>
    <w:rsid w:val="00B80B14"/>
    <w:rsid w:val="00C73849"/>
    <w:rsid w:val="00D62E2F"/>
    <w:rsid w:val="00DB131B"/>
    <w:rsid w:val="00E03A7A"/>
    <w:rsid w:val="00EB3735"/>
    <w:rsid w:val="00EC62A4"/>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F7130D"/>
    <w:rsid w:val="07464042"/>
    <w:rsid w:val="075D6643"/>
    <w:rsid w:val="07E8650A"/>
    <w:rsid w:val="08940DDD"/>
    <w:rsid w:val="08C16076"/>
    <w:rsid w:val="08DC4C5E"/>
    <w:rsid w:val="091E7F4E"/>
    <w:rsid w:val="095E1B17"/>
    <w:rsid w:val="09AA255C"/>
    <w:rsid w:val="0A096BD7"/>
    <w:rsid w:val="0A2368BD"/>
    <w:rsid w:val="0A4317DC"/>
    <w:rsid w:val="0A5D5F30"/>
    <w:rsid w:val="0A726EFC"/>
    <w:rsid w:val="0A951AEE"/>
    <w:rsid w:val="0AF268D1"/>
    <w:rsid w:val="0B400C8F"/>
    <w:rsid w:val="0BD005D0"/>
    <w:rsid w:val="0BD92EE7"/>
    <w:rsid w:val="0C145A8F"/>
    <w:rsid w:val="0C9D674C"/>
    <w:rsid w:val="0DC451E2"/>
    <w:rsid w:val="0DD73C46"/>
    <w:rsid w:val="0E002722"/>
    <w:rsid w:val="0E9F3E09"/>
    <w:rsid w:val="0EB32AAA"/>
    <w:rsid w:val="0EC00B7E"/>
    <w:rsid w:val="0ED939EE"/>
    <w:rsid w:val="0F227143"/>
    <w:rsid w:val="0F434789"/>
    <w:rsid w:val="0FDA60D9"/>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B26063"/>
    <w:rsid w:val="14ED2C64"/>
    <w:rsid w:val="150B73E5"/>
    <w:rsid w:val="16182198"/>
    <w:rsid w:val="167A3BEB"/>
    <w:rsid w:val="16976668"/>
    <w:rsid w:val="17D179F6"/>
    <w:rsid w:val="17D271A5"/>
    <w:rsid w:val="1925480E"/>
    <w:rsid w:val="195E6FCA"/>
    <w:rsid w:val="19605858"/>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595BAC"/>
    <w:rsid w:val="1F5D01EE"/>
    <w:rsid w:val="1FAA76A9"/>
    <w:rsid w:val="205E01F7"/>
    <w:rsid w:val="209E05F3"/>
    <w:rsid w:val="20DF0472"/>
    <w:rsid w:val="210F504D"/>
    <w:rsid w:val="214B2529"/>
    <w:rsid w:val="214C004F"/>
    <w:rsid w:val="215E5805"/>
    <w:rsid w:val="21613AFB"/>
    <w:rsid w:val="219E431E"/>
    <w:rsid w:val="21BC5F59"/>
    <w:rsid w:val="21C852FC"/>
    <w:rsid w:val="2254540E"/>
    <w:rsid w:val="22E47CDA"/>
    <w:rsid w:val="230B0B8F"/>
    <w:rsid w:val="23174C3D"/>
    <w:rsid w:val="232B2612"/>
    <w:rsid w:val="23487B36"/>
    <w:rsid w:val="23A93535"/>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844FB6"/>
    <w:rsid w:val="2BCC070B"/>
    <w:rsid w:val="2C5C5266"/>
    <w:rsid w:val="2C5E758C"/>
    <w:rsid w:val="2C863E1B"/>
    <w:rsid w:val="2CDA0C05"/>
    <w:rsid w:val="2CFC5020"/>
    <w:rsid w:val="2DDA5E77"/>
    <w:rsid w:val="2DDB4ECD"/>
    <w:rsid w:val="2E7D01D3"/>
    <w:rsid w:val="2EAA0F6F"/>
    <w:rsid w:val="2EE93382"/>
    <w:rsid w:val="2FA43123"/>
    <w:rsid w:val="2FEC3129"/>
    <w:rsid w:val="300C37CC"/>
    <w:rsid w:val="30370D29"/>
    <w:rsid w:val="307B625B"/>
    <w:rsid w:val="30B671AF"/>
    <w:rsid w:val="312406A1"/>
    <w:rsid w:val="313E70A8"/>
    <w:rsid w:val="31434FCB"/>
    <w:rsid w:val="31AA0FF7"/>
    <w:rsid w:val="32333292"/>
    <w:rsid w:val="32707A13"/>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DC3A83"/>
    <w:rsid w:val="38685317"/>
    <w:rsid w:val="38C43B0D"/>
    <w:rsid w:val="393D49F6"/>
    <w:rsid w:val="39BC1DBE"/>
    <w:rsid w:val="39FA28E7"/>
    <w:rsid w:val="39FA54EB"/>
    <w:rsid w:val="3A1F118D"/>
    <w:rsid w:val="3A4122DA"/>
    <w:rsid w:val="3A6100A6"/>
    <w:rsid w:val="3AC4433E"/>
    <w:rsid w:val="3AE55345"/>
    <w:rsid w:val="3B23648E"/>
    <w:rsid w:val="3BC778AB"/>
    <w:rsid w:val="3BE50162"/>
    <w:rsid w:val="3BEE2675"/>
    <w:rsid w:val="3BEE63D9"/>
    <w:rsid w:val="3CA1704A"/>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A169A4"/>
    <w:rsid w:val="4DA216F1"/>
    <w:rsid w:val="4DAB09FB"/>
    <w:rsid w:val="4DC95721"/>
    <w:rsid w:val="4ED21F96"/>
    <w:rsid w:val="4EEF5810"/>
    <w:rsid w:val="4F605256"/>
    <w:rsid w:val="50632B3C"/>
    <w:rsid w:val="50C04376"/>
    <w:rsid w:val="526D7CA2"/>
    <w:rsid w:val="5290573F"/>
    <w:rsid w:val="52F537F4"/>
    <w:rsid w:val="537A15D5"/>
    <w:rsid w:val="538E7ED0"/>
    <w:rsid w:val="54A2356C"/>
    <w:rsid w:val="54DE7749"/>
    <w:rsid w:val="55AE1598"/>
    <w:rsid w:val="56B258E8"/>
    <w:rsid w:val="57AA1051"/>
    <w:rsid w:val="57B36157"/>
    <w:rsid w:val="58024B0A"/>
    <w:rsid w:val="58156E12"/>
    <w:rsid w:val="58374EF4"/>
    <w:rsid w:val="585C2C99"/>
    <w:rsid w:val="58F00CE5"/>
    <w:rsid w:val="58F05189"/>
    <w:rsid w:val="59B61EBB"/>
    <w:rsid w:val="5A576337"/>
    <w:rsid w:val="5AC435AB"/>
    <w:rsid w:val="5AE118F2"/>
    <w:rsid w:val="5B8E709E"/>
    <w:rsid w:val="5BAF6C35"/>
    <w:rsid w:val="5CA13024"/>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6B53FCE"/>
    <w:rsid w:val="6707201B"/>
    <w:rsid w:val="67AF4D35"/>
    <w:rsid w:val="67B32C30"/>
    <w:rsid w:val="68086D5E"/>
    <w:rsid w:val="68A45648"/>
    <w:rsid w:val="68BC6E36"/>
    <w:rsid w:val="69146C72"/>
    <w:rsid w:val="698C05B6"/>
    <w:rsid w:val="69A2602B"/>
    <w:rsid w:val="6B3727A3"/>
    <w:rsid w:val="6B6362E7"/>
    <w:rsid w:val="6B7023ED"/>
    <w:rsid w:val="6B741C4A"/>
    <w:rsid w:val="6BDF5289"/>
    <w:rsid w:val="6BE24E05"/>
    <w:rsid w:val="6CD669C1"/>
    <w:rsid w:val="6CF407BE"/>
    <w:rsid w:val="6D522077"/>
    <w:rsid w:val="6D88378A"/>
    <w:rsid w:val="6E0031F1"/>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B4909FD"/>
    <w:rsid w:val="7BF87D2D"/>
    <w:rsid w:val="7E074257"/>
    <w:rsid w:val="7E5B31DA"/>
    <w:rsid w:val="7EA15985"/>
    <w:rsid w:val="7F0D1D41"/>
    <w:rsid w:val="7F470032"/>
    <w:rsid w:val="7F4E65E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27"/>
    <w:qFormat/>
    <w:uiPriority w:val="0"/>
    <w:pPr>
      <w:jc w:val="left"/>
    </w:pPr>
  </w:style>
  <w:style w:type="paragraph" w:styleId="6">
    <w:name w:val="Body Text"/>
    <w:basedOn w:val="1"/>
    <w:next w:val="7"/>
    <w:qFormat/>
    <w:uiPriority w:val="0"/>
  </w:style>
  <w:style w:type="paragraph" w:styleId="7">
    <w:name w:val="Plain Text"/>
    <w:basedOn w:val="1"/>
    <w:next w:val="4"/>
    <w:qFormat/>
    <w:uiPriority w:val="0"/>
    <w:rPr>
      <w:rFonts w:ascii="宋体" w:hAnsi="Courier New"/>
      <w:szCs w:val="20"/>
    </w:r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Body Text Indent 2"/>
    <w:basedOn w:val="1"/>
    <w:semiHidden/>
    <w:qFormat/>
    <w:uiPriority w:val="0"/>
    <w:pPr>
      <w:spacing w:after="120" w:line="480" w:lineRule="auto"/>
      <w:ind w:left="420" w:leftChars="200"/>
      <w:jc w:val="left"/>
    </w:pPr>
    <w:rPr>
      <w:color w:val="1D1B11"/>
    </w:rPr>
  </w:style>
  <w:style w:type="paragraph" w:styleId="10">
    <w:name w:val="Balloon Text"/>
    <w:basedOn w:val="1"/>
    <w:link w:val="26"/>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4">
    <w:name w:val="annotation subject"/>
    <w:basedOn w:val="5"/>
    <w:next w:val="5"/>
    <w:link w:val="28"/>
    <w:qFormat/>
    <w:uiPriority w:val="0"/>
    <w:rPr>
      <w:b/>
      <w:bCs/>
    </w:rPr>
  </w:style>
  <w:style w:type="table" w:styleId="16">
    <w:name w:val="Table Grid"/>
    <w:basedOn w:val="15"/>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qFormat/>
    <w:uiPriority w:val="0"/>
    <w:rPr>
      <w:color w:val="333333"/>
      <w:u w:val="none"/>
    </w:rPr>
  </w:style>
  <w:style w:type="character" w:styleId="19">
    <w:name w:val="Hyperlink"/>
    <w:basedOn w:val="17"/>
    <w:qFormat/>
    <w:uiPriority w:val="0"/>
    <w:rPr>
      <w:color w:val="333333"/>
      <w:u w:val="none"/>
    </w:rPr>
  </w:style>
  <w:style w:type="character" w:styleId="20">
    <w:name w:val="annotation reference"/>
    <w:basedOn w:val="17"/>
    <w:qFormat/>
    <w:uiPriority w:val="0"/>
    <w:rPr>
      <w:sz w:val="21"/>
      <w:szCs w:val="21"/>
    </w:rPr>
  </w:style>
  <w:style w:type="character" w:customStyle="1" w:styleId="21">
    <w:name w:val="页眉 Char"/>
    <w:basedOn w:val="17"/>
    <w:link w:val="12"/>
    <w:qFormat/>
    <w:uiPriority w:val="0"/>
    <w:rPr>
      <w:kern w:val="2"/>
      <w:sz w:val="18"/>
      <w:szCs w:val="18"/>
    </w:rPr>
  </w:style>
  <w:style w:type="character" w:customStyle="1" w:styleId="22">
    <w:name w:val="页脚 Char"/>
    <w:basedOn w:val="17"/>
    <w:link w:val="11"/>
    <w:qFormat/>
    <w:uiPriority w:val="99"/>
    <w:rPr>
      <w:kern w:val="2"/>
      <w:sz w:val="18"/>
      <w:szCs w:val="18"/>
    </w:rPr>
  </w:style>
  <w:style w:type="paragraph" w:customStyle="1" w:styleId="23">
    <w:name w:val="正文正"/>
    <w:basedOn w:val="1"/>
    <w:qFormat/>
    <w:uiPriority w:val="0"/>
    <w:pPr>
      <w:spacing w:line="560" w:lineRule="exact"/>
      <w:ind w:firstLine="561"/>
    </w:pPr>
    <w:rPr>
      <w:rFonts w:eastAsia="仿宋_GB2312"/>
      <w:sz w:val="28"/>
      <w:szCs w:val="24"/>
    </w:rPr>
  </w:style>
  <w:style w:type="paragraph" w:styleId="24">
    <w:name w:val="List Paragraph"/>
    <w:basedOn w:val="1"/>
    <w:qFormat/>
    <w:uiPriority w:val="34"/>
    <w:pPr>
      <w:ind w:firstLine="420" w:firstLineChars="200"/>
    </w:pPr>
    <w:rPr>
      <w:rFonts w:asciiTheme="minorHAnsi" w:hAnsiTheme="minorHAnsi" w:eastAsiaTheme="minorEastAsia" w:cstheme="minorBidi"/>
    </w:rPr>
  </w:style>
  <w:style w:type="paragraph" w:customStyle="1" w:styleId="25">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6">
    <w:name w:val="批注框文本 Char"/>
    <w:basedOn w:val="17"/>
    <w:link w:val="10"/>
    <w:qFormat/>
    <w:uiPriority w:val="0"/>
    <w:rPr>
      <w:kern w:val="2"/>
      <w:sz w:val="18"/>
      <w:szCs w:val="18"/>
    </w:rPr>
  </w:style>
  <w:style w:type="character" w:customStyle="1" w:styleId="27">
    <w:name w:val="批注文字 Char"/>
    <w:basedOn w:val="17"/>
    <w:link w:val="5"/>
    <w:qFormat/>
    <w:uiPriority w:val="0"/>
    <w:rPr>
      <w:kern w:val="2"/>
      <w:sz w:val="21"/>
      <w:szCs w:val="21"/>
    </w:rPr>
  </w:style>
  <w:style w:type="character" w:customStyle="1" w:styleId="28">
    <w:name w:val="批注主题 Char"/>
    <w:basedOn w:val="27"/>
    <w:link w:val="14"/>
    <w:qFormat/>
    <w:uiPriority w:val="0"/>
    <w:rPr>
      <w:b/>
      <w:bCs/>
      <w:kern w:val="2"/>
      <w:sz w:val="21"/>
      <w:szCs w:val="21"/>
    </w:rPr>
  </w:style>
  <w:style w:type="character" w:customStyle="1" w:styleId="29">
    <w:name w:val="second"/>
    <w:basedOn w:val="17"/>
    <w:qFormat/>
    <w:uiPriority w:val="0"/>
    <w:rPr>
      <w:color w:val="FFB800"/>
    </w:rPr>
  </w:style>
  <w:style w:type="character" w:customStyle="1" w:styleId="30">
    <w:name w:val="first"/>
    <w:basedOn w:val="17"/>
    <w:qFormat/>
    <w:uiPriority w:val="0"/>
    <w:rPr>
      <w:color w:val="FF5722"/>
    </w:rPr>
  </w:style>
  <w:style w:type="character" w:customStyle="1" w:styleId="31">
    <w:name w:val="first-child"/>
    <w:basedOn w:val="17"/>
    <w:qFormat/>
    <w:uiPriority w:val="0"/>
  </w:style>
  <w:style w:type="character" w:customStyle="1" w:styleId="32">
    <w:name w:val="first-child1"/>
    <w:basedOn w:val="17"/>
    <w:qFormat/>
    <w:uiPriority w:val="0"/>
  </w:style>
  <w:style w:type="character" w:customStyle="1" w:styleId="33">
    <w:name w:val="layui-laypage-curr"/>
    <w:basedOn w:val="17"/>
    <w:qFormat/>
    <w:uiPriority w:val="0"/>
  </w:style>
  <w:style w:type="character" w:customStyle="1" w:styleId="34">
    <w:name w:val="third"/>
    <w:basedOn w:val="17"/>
    <w:qFormat/>
    <w:uiPriority w:val="0"/>
    <w:rPr>
      <w:color w:val="5FB878"/>
    </w:rPr>
  </w:style>
  <w:style w:type="character" w:customStyle="1" w:styleId="35">
    <w:name w:val="layui-this4"/>
    <w:basedOn w:val="17"/>
    <w:qFormat/>
    <w:uiPriority w:val="0"/>
    <w:rPr>
      <w:bdr w:val="single" w:color="EEEEEE" w:sz="6" w:space="0"/>
      <w:shd w:val="clear" w:color="auto" w:fill="FFFFFF"/>
    </w:rPr>
  </w:style>
  <w:style w:type="character" w:customStyle="1" w:styleId="36">
    <w:name w:val="hover17"/>
    <w:basedOn w:val="17"/>
    <w:qFormat/>
    <w:uiPriority w:val="0"/>
    <w:rPr>
      <w:color w:val="5FB878"/>
    </w:rPr>
  </w:style>
  <w:style w:type="character" w:customStyle="1" w:styleId="37">
    <w:name w:val="hover18"/>
    <w:basedOn w:val="17"/>
    <w:qFormat/>
    <w:uiPriority w:val="0"/>
    <w:rPr>
      <w:color w:val="5FB878"/>
    </w:rPr>
  </w:style>
  <w:style w:type="character" w:customStyle="1" w:styleId="38">
    <w:name w:val="hover19"/>
    <w:basedOn w:val="17"/>
    <w:qFormat/>
    <w:uiPriority w:val="0"/>
    <w:rPr>
      <w:color w:val="FFFFFF"/>
    </w:rPr>
  </w:style>
  <w:style w:type="paragraph" w:customStyle="1" w:styleId="39">
    <w:name w:val="_Style 36"/>
    <w:basedOn w:val="1"/>
    <w:next w:val="1"/>
    <w:qFormat/>
    <w:uiPriority w:val="0"/>
    <w:pPr>
      <w:pBdr>
        <w:bottom w:val="single" w:color="auto" w:sz="6" w:space="1"/>
      </w:pBdr>
      <w:jc w:val="center"/>
    </w:pPr>
    <w:rPr>
      <w:rFonts w:ascii="Arial"/>
      <w:vanish/>
      <w:sz w:val="16"/>
    </w:rPr>
  </w:style>
  <w:style w:type="paragraph" w:customStyle="1" w:styleId="40">
    <w:name w:val="_Style 37"/>
    <w:basedOn w:val="1"/>
    <w:next w:val="1"/>
    <w:qFormat/>
    <w:uiPriority w:val="0"/>
    <w:pPr>
      <w:pBdr>
        <w:top w:val="single" w:color="auto" w:sz="6" w:space="1"/>
      </w:pBdr>
      <w:jc w:val="center"/>
    </w:pPr>
    <w:rPr>
      <w:rFonts w:ascii="Arial"/>
      <w:vanish/>
      <w:sz w:val="16"/>
    </w:rPr>
  </w:style>
  <w:style w:type="character" w:customStyle="1" w:styleId="41">
    <w:name w:val="layui-this"/>
    <w:basedOn w:val="17"/>
    <w:qFormat/>
    <w:uiPriority w:val="0"/>
    <w:rPr>
      <w:bdr w:val="single" w:color="EEEEEE" w:sz="6" w:space="0"/>
      <w:shd w:val="clear" w:color="auto" w:fill="FFFFFF"/>
    </w:rPr>
  </w:style>
  <w:style w:type="character" w:customStyle="1" w:styleId="42">
    <w:name w:val="font131"/>
    <w:basedOn w:val="17"/>
    <w:qFormat/>
    <w:uiPriority w:val="0"/>
    <w:rPr>
      <w:rFonts w:hint="eastAsia" w:ascii="宋体" w:hAnsi="宋体" w:eastAsia="宋体" w:cs="宋体"/>
      <w:color w:val="000000"/>
      <w:sz w:val="20"/>
      <w:szCs w:val="20"/>
      <w:u w:val="none"/>
    </w:rPr>
  </w:style>
  <w:style w:type="character" w:customStyle="1" w:styleId="43">
    <w:name w:val="font71"/>
    <w:basedOn w:val="17"/>
    <w:qFormat/>
    <w:uiPriority w:val="0"/>
    <w:rPr>
      <w:rFonts w:hint="eastAsia" w:ascii="宋体" w:hAnsi="宋体" w:eastAsia="宋体" w:cs="宋体"/>
      <w:color w:val="000000"/>
      <w:sz w:val="20"/>
      <w:szCs w:val="20"/>
      <w:u w:val="none"/>
    </w:rPr>
  </w:style>
  <w:style w:type="character" w:customStyle="1" w:styleId="44">
    <w:name w:val="font41"/>
    <w:basedOn w:val="17"/>
    <w:qFormat/>
    <w:uiPriority w:val="0"/>
    <w:rPr>
      <w:rFonts w:hint="eastAsia" w:ascii="宋体" w:hAnsi="宋体" w:eastAsia="宋体" w:cs="宋体"/>
      <w:color w:val="000000"/>
      <w:sz w:val="24"/>
      <w:szCs w:val="24"/>
      <w:u w:val="none"/>
    </w:rPr>
  </w:style>
  <w:style w:type="paragraph" w:customStyle="1" w:styleId="45">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46">
    <w:name w:val="font81"/>
    <w:basedOn w:val="17"/>
    <w:qFormat/>
    <w:uiPriority w:val="0"/>
    <w:rPr>
      <w:rFonts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7415</Words>
  <Characters>7685</Characters>
  <Lines>129</Lines>
  <Paragraphs>36</Paragraphs>
  <TotalTime>45</TotalTime>
  <ScaleCrop>false</ScaleCrop>
  <LinksUpToDate>false</LinksUpToDate>
  <CharactersWithSpaces>7798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2025-06-03T07:19:00Z</dcterms:created>
  <dc:creator>hhyl</dc:creator>
  <cp:lastModifiedBy>古文</cp:lastModifiedBy>
  <cp:lastPrinted>2024-09-10T09:20:00Z</cp:lastPrinted>
  <dcterms:modified xsi:type="dcterms:W3CDTF">2026-01-22T07:25:57Z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65A0CBCD37764985B4CAFD5FC626968C_13</vt:lpwstr>
  </property>
  <property fmtid="{D5CDD505-2E9C-101B-9397-08002B2CF9AE}" pid="4" name="KSOTemplateDocerSaveRecord">
    <vt:lpwstr>eyJoZGlkIjoiMmRmN2ZjMTNlYWZlYzRlMTI0ZmRmM2ExNjI1Mjk3MWEiLCJ1c2VySWQiOiI2MTY4MTIyMDIifQ==</vt:lpwstr>
  </property>
</Properties>
</file>