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
        <w:gridCol w:w="932"/>
        <w:gridCol w:w="2008"/>
        <w:gridCol w:w="6925"/>
        <w:gridCol w:w="537"/>
        <w:gridCol w:w="537"/>
        <w:gridCol w:w="1265"/>
        <w:gridCol w:w="1433"/>
      </w:tblGrid>
      <w:tr w14:paraId="3AFB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gridSpan w:val="8"/>
            <w:tcBorders>
              <w:top w:val="nil"/>
              <w:left w:val="nil"/>
              <w:bottom w:val="nil"/>
              <w:right w:val="nil"/>
            </w:tcBorders>
            <w:noWrap/>
            <w:vAlign w:val="center"/>
          </w:tcPr>
          <w:p w14:paraId="0D8080F0">
            <w:pPr>
              <w:keepNext w:val="0"/>
              <w:keepLines w:val="0"/>
              <w:widowControl/>
              <w:suppressLineNumbers w:val="0"/>
              <w:jc w:val="center"/>
              <w:textAlignment w:val="center"/>
              <w:rPr>
                <w:rFonts w:hint="eastAsia" w:ascii="宋体" w:hAnsi="宋体" w:eastAsia="宋体" w:cs="宋体"/>
                <w:i w:val="0"/>
                <w:iCs w:val="0"/>
                <w:color w:val="000000"/>
                <w:sz w:val="36"/>
                <w:szCs w:val="36"/>
                <w:highlight w:val="none"/>
                <w:u w:val="none"/>
              </w:rPr>
            </w:pPr>
            <w:r>
              <w:rPr>
                <w:rFonts w:hint="eastAsia" w:ascii="宋体" w:hAnsi="宋体" w:eastAsia="宋体" w:cs="宋体"/>
                <w:color w:val="000000"/>
                <w:kern w:val="0"/>
                <w:sz w:val="36"/>
                <w:szCs w:val="36"/>
                <w:highlight w:val="none"/>
                <w:u w:val="none"/>
                <w:lang w:bidi="ar"/>
              </w:rPr>
              <w:t>广西自然资源职业技术学院机房冷通道机柜采购项目</w:t>
            </w:r>
            <w:r>
              <w:rPr>
                <w:rFonts w:hint="eastAsia" w:ascii="宋体" w:hAnsi="宋体" w:eastAsia="宋体" w:cs="宋体"/>
                <w:i w:val="0"/>
                <w:iCs w:val="0"/>
                <w:color w:val="000000"/>
                <w:kern w:val="0"/>
                <w:sz w:val="36"/>
                <w:szCs w:val="36"/>
                <w:highlight w:val="none"/>
                <w:u w:val="none"/>
                <w:lang w:val="en-US" w:eastAsia="zh-CN" w:bidi="ar"/>
              </w:rPr>
              <w:t>需求</w:t>
            </w:r>
            <w:r>
              <w:rPr>
                <w:rFonts w:hint="eastAsia" w:ascii="宋体" w:hAnsi="宋体" w:cs="宋体"/>
                <w:i w:val="0"/>
                <w:iCs w:val="0"/>
                <w:color w:val="000000"/>
                <w:kern w:val="0"/>
                <w:sz w:val="36"/>
                <w:szCs w:val="36"/>
                <w:highlight w:val="none"/>
                <w:u w:val="none"/>
                <w:lang w:val="en-US" w:eastAsia="zh-CN" w:bidi="ar"/>
              </w:rPr>
              <w:t>文件</w:t>
            </w:r>
          </w:p>
        </w:tc>
      </w:tr>
      <w:tr w14:paraId="3C62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gridSpan w:val="8"/>
            <w:tcBorders>
              <w:top w:val="nil"/>
              <w:left w:val="nil"/>
              <w:bottom w:val="nil"/>
              <w:right w:val="nil"/>
            </w:tcBorders>
            <w:noWrap w:val="0"/>
            <w:vAlign w:val="center"/>
          </w:tcPr>
          <w:p w14:paraId="51B43B92">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说明：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1、本采购需求</w:t>
            </w:r>
            <w:r>
              <w:rPr>
                <w:rFonts w:hint="eastAsia" w:ascii="宋体" w:hAnsi="宋体" w:cs="宋体"/>
                <w:i w:val="0"/>
                <w:iCs w:val="0"/>
                <w:color w:val="000000"/>
                <w:kern w:val="0"/>
                <w:sz w:val="24"/>
                <w:szCs w:val="24"/>
                <w:highlight w:val="none"/>
                <w:u w:val="none"/>
                <w:lang w:val="en-US" w:eastAsia="zh-CN" w:bidi="ar"/>
              </w:rPr>
              <w:t>成交</w:t>
            </w:r>
            <w:r>
              <w:rPr>
                <w:rFonts w:hint="eastAsia" w:ascii="宋体" w:hAnsi="宋体" w:eastAsia="宋体" w:cs="宋体"/>
                <w:i w:val="0"/>
                <w:iCs w:val="0"/>
                <w:color w:val="000000"/>
                <w:kern w:val="0"/>
                <w:sz w:val="24"/>
                <w:szCs w:val="24"/>
                <w:highlight w:val="none"/>
                <w:u w:val="none"/>
                <w:lang w:val="en-US" w:eastAsia="zh-CN" w:bidi="ar"/>
              </w:rPr>
              <w:t>注▲号的内容为实质性要求和条件，竞价人须满足或响应，若无法完全满足，视为无效竞价。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2、竞价时必须上传响应文件，响应文件内容包含报价清单（注明所投品牌型号）、商务条款偏离表（注明“正偏离”、“负偏离”或“无偏离”）、技术需求偏离表（注明“正偏离”、“负偏离”或“无偏离”）和“采购需求”中的“技术参数要求”要求提供的相关检测报告</w:t>
            </w:r>
            <w:r>
              <w:rPr>
                <w:rFonts w:hint="eastAsia" w:ascii="宋体" w:hAnsi="宋体" w:cs="宋体"/>
                <w:b/>
                <w:bCs/>
                <w:i w:val="0"/>
                <w:iCs w:val="0"/>
                <w:color w:val="000000"/>
                <w:kern w:val="0"/>
                <w:sz w:val="24"/>
                <w:szCs w:val="24"/>
                <w:highlight w:val="none"/>
                <w:u w:val="none"/>
                <w:lang w:val="en-US" w:eastAsia="zh-CN" w:bidi="ar"/>
              </w:rPr>
              <w:t>、承诺函</w:t>
            </w:r>
            <w:r>
              <w:rPr>
                <w:rFonts w:hint="eastAsia" w:ascii="宋体" w:hAnsi="宋体" w:eastAsia="宋体" w:cs="宋体"/>
                <w:b/>
                <w:bCs/>
                <w:i w:val="0"/>
                <w:iCs w:val="0"/>
                <w:color w:val="000000"/>
                <w:kern w:val="0"/>
                <w:sz w:val="24"/>
                <w:szCs w:val="24"/>
                <w:highlight w:val="none"/>
                <w:u w:val="none"/>
                <w:lang w:val="en-US" w:eastAsia="zh-CN" w:bidi="ar"/>
              </w:rPr>
              <w:t>复印件等，如所提供的响应文件内容不全或者不符的，视为无效竞价；本项目仅接受意向品牌的产品参与报价，意向品牌以外的产品报价无效。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3、竞价人必须认真审核</w:t>
            </w:r>
            <w:r>
              <w:rPr>
                <w:rFonts w:hint="eastAsia" w:ascii="宋体" w:hAnsi="宋体" w:cs="宋体"/>
                <w:i w:val="0"/>
                <w:iCs w:val="0"/>
                <w:color w:val="000000"/>
                <w:kern w:val="0"/>
                <w:sz w:val="24"/>
                <w:szCs w:val="24"/>
                <w:highlight w:val="none"/>
                <w:u w:val="none"/>
                <w:lang w:val="en-US" w:eastAsia="zh-CN" w:bidi="ar"/>
              </w:rPr>
              <w:t>采购</w:t>
            </w:r>
            <w:r>
              <w:rPr>
                <w:rFonts w:hint="eastAsia" w:ascii="宋体" w:hAnsi="宋体" w:eastAsia="宋体" w:cs="宋体"/>
                <w:i w:val="0"/>
                <w:iCs w:val="0"/>
                <w:color w:val="000000"/>
                <w:kern w:val="0"/>
                <w:sz w:val="24"/>
                <w:szCs w:val="24"/>
                <w:highlight w:val="none"/>
                <w:u w:val="none"/>
                <w:lang w:val="en-US" w:eastAsia="zh-CN" w:bidi="ar"/>
              </w:rPr>
              <w:t>文件所有要求，若发现竞价人存在未实质性响应</w:t>
            </w:r>
            <w:r>
              <w:rPr>
                <w:rFonts w:hint="eastAsia" w:ascii="宋体" w:hAnsi="宋体" w:cs="宋体"/>
                <w:i w:val="0"/>
                <w:iCs w:val="0"/>
                <w:color w:val="000000"/>
                <w:kern w:val="0"/>
                <w:sz w:val="24"/>
                <w:szCs w:val="24"/>
                <w:highlight w:val="none"/>
                <w:u w:val="none"/>
                <w:lang w:val="en-US" w:eastAsia="zh-CN" w:bidi="ar"/>
              </w:rPr>
              <w:t>采购</w:t>
            </w:r>
            <w:r>
              <w:rPr>
                <w:rFonts w:hint="eastAsia" w:ascii="宋体" w:hAnsi="宋体" w:eastAsia="宋体" w:cs="宋体"/>
                <w:i w:val="0"/>
                <w:iCs w:val="0"/>
                <w:color w:val="000000"/>
                <w:kern w:val="0"/>
                <w:sz w:val="24"/>
                <w:szCs w:val="24"/>
                <w:highlight w:val="none"/>
                <w:u w:val="none"/>
                <w:lang w:val="en-US" w:eastAsia="zh-CN" w:bidi="ar"/>
              </w:rPr>
              <w:t>文件行为，将视为无效竞价处理；如明知不满足竞价文件对于品牌、型号、单位资质等要求而进行恶意竞争的，或因竞价人虚假竞价导致竞价无效造成的工期延误及损失，将根据《政采云平台电子卖场权益维护及纠纷处理规则》的规定报有关部门处理，并在税务采购网平台列为失信供应</w:t>
            </w:r>
            <w:bookmarkStart w:id="0" w:name="_GoBack"/>
            <w:bookmarkEnd w:id="0"/>
            <w:r>
              <w:rPr>
                <w:rFonts w:hint="eastAsia" w:ascii="宋体" w:hAnsi="宋体" w:eastAsia="宋体" w:cs="宋体"/>
                <w:i w:val="0"/>
                <w:iCs w:val="0"/>
                <w:color w:val="000000"/>
                <w:kern w:val="0"/>
                <w:sz w:val="24"/>
                <w:szCs w:val="24"/>
                <w:highlight w:val="none"/>
                <w:u w:val="none"/>
                <w:lang w:val="en-US" w:eastAsia="zh-CN" w:bidi="ar"/>
              </w:rPr>
              <w:t>商记录备案。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4、竞价人竞价时提供的证明材料应真实，如出现虚假应标情况，竞价人除了应接受有关部门的处罚外，还应依据《中华人民共和国民法典》的相关条款来确定赔偿金额。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5、本次货物采购最高限价为人民币529000元。货物分项最高限价详见表格。</w:t>
            </w:r>
          </w:p>
        </w:tc>
      </w:tr>
      <w:tr w14:paraId="7643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BB6F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6A2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1171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意向品牌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BA10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31F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D85B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54E95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最高限价单价（元）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A0A1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最高限价单项合计金额（元）</w:t>
            </w:r>
          </w:p>
        </w:tc>
      </w:tr>
      <w:tr w14:paraId="5372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DCEB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0EF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rPr>
              <w:t>UPS配电一体柜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12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rPr>
              <w:t>H3C UPS-Y25-150-B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3D2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rPr>
              <w:t>1.UPS配电一体柜应支持集成模块化UPS、进线开关、UPS输入开关、UPS输出开关、维修旁路、IT配电、空调配电及照明配电于单一柜体内，行级空调直接从一体化UPS供电，具备主支路监测功能，10英寸触摸屏。一体化UPS机框容量不小于150KVA</w:t>
            </w:r>
            <w:r>
              <w:rPr>
                <w:rFonts w:hint="eastAsia" w:ascii="宋体" w:hAnsi="宋体" w:eastAsia="宋体" w:cs="宋体"/>
                <w:color w:val="000000"/>
                <w:sz w:val="24"/>
              </w:rPr>
              <w:br w:type="textWrapping"/>
            </w:r>
            <w:r>
              <w:rPr>
                <w:rFonts w:hint="eastAsia" w:ascii="宋体" w:hAnsi="宋体" w:eastAsia="宋体" w:cs="宋体"/>
                <w:color w:val="000000"/>
                <w:sz w:val="24"/>
              </w:rPr>
              <w:t>2.支持主路开关不小于1*400A/3P、UPS输入,输出开关：2*250A/3P维修旁路开关(带锁)1*250A/4P、UPS输出支路：24*40A/1P、市电输出开关：4*63A/3P空调，24*40A/1P、防雷模块不低于C级防雷模块。</w:t>
            </w:r>
            <w:r>
              <w:rPr>
                <w:rFonts w:hint="eastAsia" w:ascii="宋体" w:hAnsi="宋体" w:eastAsia="宋体" w:cs="宋体"/>
                <w:color w:val="000000"/>
                <w:sz w:val="24"/>
              </w:rPr>
              <w:br w:type="textWrapping"/>
            </w:r>
            <w:r>
              <w:rPr>
                <w:rFonts w:hint="eastAsia" w:ascii="宋体" w:hAnsi="宋体" w:eastAsia="宋体" w:cs="宋体"/>
                <w:color w:val="000000"/>
                <w:sz w:val="24"/>
              </w:rPr>
              <w:t>3.为保证UPS产品的高效节能、绿色环保，UPS输入功率因数高达0.99，整机效率＞95%。</w:t>
            </w:r>
            <w:r>
              <w:rPr>
                <w:rFonts w:hint="eastAsia" w:ascii="宋体" w:hAnsi="宋体" w:eastAsia="宋体" w:cs="宋体"/>
                <w:color w:val="000000"/>
                <w:sz w:val="24"/>
              </w:rPr>
              <w:br w:type="textWrapping"/>
            </w:r>
            <w:r>
              <w:rPr>
                <w:rFonts w:hint="eastAsia" w:ascii="宋体" w:hAnsi="宋体" w:eastAsia="宋体" w:cs="宋体"/>
                <w:color w:val="000000"/>
                <w:sz w:val="24"/>
              </w:rPr>
              <w:t>4.UPS系统采用分散非主从控制方式，每个功率模块采用独立的双DSP控制技术，单个模块可独立运行，不依赖集中控制器控制，具备不转旁路热插拔功能，使整个系统独立性增强，互相干扰少。</w:t>
            </w:r>
            <w:r>
              <w:rPr>
                <w:rFonts w:hint="eastAsia" w:ascii="宋体" w:hAnsi="宋体" w:eastAsia="宋体" w:cs="宋体"/>
                <w:color w:val="000000"/>
                <w:sz w:val="24"/>
              </w:rPr>
              <w:br w:type="textWrapping"/>
            </w:r>
            <w:r>
              <w:rPr>
                <w:rFonts w:hint="eastAsia" w:ascii="宋体" w:hAnsi="宋体" w:eastAsia="宋体" w:cs="宋体"/>
                <w:color w:val="000000"/>
                <w:sz w:val="24"/>
              </w:rPr>
              <w:t>5.要求整机采用集中旁路设计，静态旁路模块采用大功率SCR集成模块，杜绝采用小功率单管SCR+继电器方案，避免旁路造成环流问题而引发故障。</w:t>
            </w:r>
            <w:r>
              <w:rPr>
                <w:rFonts w:hint="eastAsia" w:ascii="宋体" w:hAnsi="宋体" w:eastAsia="宋体" w:cs="宋体"/>
                <w:color w:val="000000"/>
                <w:sz w:val="24"/>
              </w:rPr>
              <w:br w:type="textWrapping"/>
            </w:r>
            <w:r>
              <w:rPr>
                <w:rFonts w:hint="eastAsia" w:ascii="宋体" w:hAnsi="宋体" w:eastAsia="宋体" w:cs="宋体"/>
                <w:color w:val="000000"/>
                <w:sz w:val="24"/>
              </w:rPr>
              <w:t>6.模块化UPS的所有模块包括旁路单元、控制单元、功率单元、充电单元等均须支持在线热插拔，达到所有模块全冗余方式，提升系统高可靠性及高可用性。</w:t>
            </w:r>
            <w:r>
              <w:rPr>
                <w:rFonts w:hint="eastAsia" w:ascii="宋体" w:hAnsi="宋体" w:eastAsia="宋体" w:cs="宋体"/>
                <w:color w:val="000000"/>
                <w:sz w:val="24"/>
              </w:rPr>
              <w:br w:type="textWrapping"/>
            </w:r>
            <w:r>
              <w:rPr>
                <w:rFonts w:hint="eastAsia" w:ascii="宋体" w:hAnsi="宋体" w:eastAsia="宋体" w:cs="宋体"/>
                <w:color w:val="000000"/>
                <w:sz w:val="24"/>
              </w:rPr>
              <w:t>7.为便于操作和维护，系统显示须采用7英寸及以上LCD大屏幕触摸屏+LED+按键方式，可提供简体中文、英文、繁体中文及法文四种语言显示。系统应采用分散充电设计，每个功率模块应具有独立的充电功能，避免充电器单点故障，提高系统的可靠性；充电功率可进行1～20%的设置。</w:t>
            </w:r>
            <w:r>
              <w:rPr>
                <w:rFonts w:hint="eastAsia" w:ascii="宋体" w:hAnsi="宋体" w:eastAsia="宋体" w:cs="宋体"/>
                <w:color w:val="000000"/>
                <w:sz w:val="24"/>
              </w:rPr>
              <w:br w:type="textWrapping"/>
            </w:r>
            <w:r>
              <w:rPr>
                <w:rFonts w:hint="eastAsia" w:ascii="宋体" w:hAnsi="宋体" w:eastAsia="宋体" w:cs="宋体"/>
                <w:color w:val="000000"/>
                <w:sz w:val="24"/>
              </w:rPr>
              <w:t>8.输出电流不均衡度≤0.9%。所有电路板均需要采用三防工艺，确保在低恶劣环境下的使用寿命。UPS输出功率因数必须为1，以便与负载完美匹配。系统须满足下述过载能力： 125%额定阻性负载＞10分钟后转旁路输出。机柜之间可以直接并机运行、支持≥3台并机。</w:t>
            </w:r>
            <w:r>
              <w:rPr>
                <w:rFonts w:hint="eastAsia" w:ascii="宋体" w:hAnsi="宋体" w:eastAsia="宋体" w:cs="宋体"/>
                <w:color w:val="000000"/>
                <w:sz w:val="24"/>
              </w:rPr>
              <w:br w:type="textWrapping"/>
            </w:r>
            <w:r>
              <w:rPr>
                <w:rFonts w:hint="eastAsia" w:ascii="宋体" w:hAnsi="宋体" w:eastAsia="宋体" w:cs="宋体"/>
                <w:color w:val="000000"/>
                <w:sz w:val="24"/>
              </w:rPr>
              <w:t>9.电池组节数可进行±32～±40节设置，便于未来遭遇个别电池故障需要维护、更换时, 可灵活调节电池节数的需要。</w:t>
            </w:r>
            <w:r>
              <w:rPr>
                <w:rFonts w:hint="eastAsia" w:ascii="宋体" w:hAnsi="宋体" w:eastAsia="宋体" w:cs="宋体"/>
                <w:color w:val="000000"/>
                <w:sz w:val="24"/>
              </w:rPr>
              <w:br w:type="textWrapping"/>
            </w:r>
            <w:r>
              <w:rPr>
                <w:rFonts w:hint="eastAsia" w:ascii="宋体" w:hAnsi="宋体" w:eastAsia="宋体" w:cs="宋体"/>
                <w:color w:val="000000"/>
                <w:sz w:val="24"/>
              </w:rPr>
              <w:t>10.具备智能休眠模式，当模块的负载率小于休眠负载级别时，控制器根据当前负载量来决定进入休眠模式的模块数量，并在根据所设置的轮休时间来进行休眠轮换，以节省能耗真正实现绿色节能，同时提高系统综合使用寿命。</w:t>
            </w:r>
            <w:r>
              <w:rPr>
                <w:rFonts w:hint="eastAsia" w:ascii="宋体" w:hAnsi="宋体" w:eastAsia="宋体" w:cs="宋体"/>
                <w:color w:val="000000"/>
                <w:sz w:val="24"/>
              </w:rPr>
              <w:br w:type="textWrapping"/>
            </w:r>
            <w:r>
              <w:rPr>
                <w:rFonts w:hint="eastAsia" w:ascii="宋体" w:hAnsi="宋体" w:eastAsia="宋体" w:cs="宋体"/>
                <w:color w:val="000000"/>
                <w:sz w:val="24"/>
              </w:rPr>
              <w:t>11. UPS为保证UPS的先进性，具有机柜CE检测报告</w:t>
            </w:r>
            <w:r>
              <w:rPr>
                <w:rFonts w:hint="eastAsia" w:ascii="宋体" w:hAnsi="宋体" w:eastAsia="宋体" w:cs="宋体"/>
                <w:color w:val="000000"/>
                <w:sz w:val="24"/>
              </w:rPr>
              <w:br w:type="textWrapping"/>
            </w:r>
            <w:r>
              <w:rPr>
                <w:rFonts w:hint="eastAsia" w:ascii="宋体" w:hAnsi="宋体" w:eastAsia="宋体" w:cs="宋体"/>
                <w:color w:val="000000"/>
                <w:sz w:val="24"/>
              </w:rPr>
              <w:t>12.UPS应满足《不间断电源节能认证技术规范》。</w:t>
            </w:r>
            <w:r>
              <w:rPr>
                <w:rFonts w:hint="eastAsia" w:ascii="宋体" w:hAnsi="宋体" w:eastAsia="宋体" w:cs="宋体"/>
                <w:color w:val="000000"/>
                <w:sz w:val="24"/>
              </w:rPr>
              <w:br w:type="textWrapping"/>
            </w:r>
            <w:r>
              <w:rPr>
                <w:rFonts w:hint="eastAsia" w:ascii="宋体" w:hAnsi="宋体" w:eastAsia="宋体" w:cs="宋体"/>
                <w:color w:val="000000"/>
                <w:sz w:val="24"/>
              </w:rPr>
              <w:t>13.一体化UPS各支路输出电压显示误差应≤0.1%。</w:t>
            </w:r>
            <w:r>
              <w:rPr>
                <w:rFonts w:hint="eastAsia" w:ascii="宋体" w:hAnsi="宋体" w:eastAsia="宋体" w:cs="宋体"/>
                <w:color w:val="000000"/>
                <w:sz w:val="24"/>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sz w:val="24"/>
              </w:rPr>
              <w:t>14.产品应与采购人所采购的动环监控系统兼容，</w:t>
            </w:r>
            <w:r>
              <w:rPr>
                <w:rFonts w:hint="eastAsia" w:ascii="宋体" w:hAnsi="宋体" w:cs="宋体"/>
                <w:color w:val="000000"/>
                <w:sz w:val="24"/>
                <w:lang w:eastAsia="zh-CN"/>
              </w:rPr>
              <w:t>竞标</w:t>
            </w:r>
            <w:r>
              <w:rPr>
                <w:rFonts w:hint="eastAsia" w:ascii="宋体" w:hAnsi="宋体" w:eastAsia="宋体" w:cs="宋体"/>
                <w:color w:val="000000"/>
                <w:sz w:val="24"/>
              </w:rPr>
              <w:t>人须承诺承担所投产品与动环监控系统的对接开发费用，无须采购人额外支出成本，</w:t>
            </w:r>
            <w:r>
              <w:rPr>
                <w:rFonts w:hint="eastAsia" w:ascii="宋体" w:hAnsi="宋体" w:cs="宋体"/>
                <w:color w:val="000000"/>
                <w:sz w:val="24"/>
                <w:lang w:eastAsia="zh-CN"/>
              </w:rPr>
              <w:t>竞标</w:t>
            </w:r>
            <w:r>
              <w:rPr>
                <w:rFonts w:hint="eastAsia" w:ascii="宋体" w:hAnsi="宋体" w:eastAsia="宋体" w:cs="宋体"/>
                <w:color w:val="000000"/>
                <w:sz w:val="24"/>
              </w:rPr>
              <w:t>时须出具动环监控系统原厂兼容性</w:t>
            </w:r>
            <w:r>
              <w:rPr>
                <w:rFonts w:hint="eastAsia" w:ascii="宋体" w:hAnsi="宋体" w:cs="宋体"/>
                <w:color w:val="000000"/>
                <w:sz w:val="24"/>
                <w:lang w:val="en-US" w:eastAsia="zh-CN"/>
              </w:rPr>
              <w:t>承诺</w:t>
            </w:r>
            <w:r>
              <w:rPr>
                <w:rFonts w:hint="eastAsia" w:ascii="宋体" w:hAnsi="宋体" w:eastAsia="宋体" w:cs="宋体"/>
                <w:color w:val="000000"/>
                <w:sz w:val="24"/>
              </w:rPr>
              <w:t>函。</w:t>
            </w:r>
            <w:r>
              <w:rPr>
                <w:rFonts w:hint="eastAsia" w:ascii="宋体" w:hAnsi="宋体" w:eastAsia="宋体" w:cs="宋体"/>
                <w:color w:val="000000"/>
                <w:sz w:val="24"/>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sz w:val="24"/>
              </w:rPr>
              <w:t>15.质保三年，</w:t>
            </w:r>
            <w:r>
              <w:rPr>
                <w:rFonts w:hint="eastAsia" w:ascii="宋体" w:hAnsi="宋体" w:cs="宋体"/>
                <w:color w:val="000000"/>
                <w:sz w:val="24"/>
                <w:lang w:eastAsia="zh-CN"/>
              </w:rPr>
              <w:t>成交</w:t>
            </w:r>
            <w:r>
              <w:rPr>
                <w:rFonts w:hint="eastAsia" w:ascii="宋体" w:hAnsi="宋体" w:eastAsia="宋体" w:cs="宋体"/>
                <w:color w:val="000000"/>
                <w:sz w:val="24"/>
              </w:rPr>
              <w:t>后提供所投品牌原厂授权函</w:t>
            </w:r>
            <w:r>
              <w:rPr>
                <w:rFonts w:hint="eastAsia" w:ascii="宋体" w:hAnsi="宋体" w:cs="宋体"/>
                <w:color w:val="000000"/>
                <w:sz w:val="24"/>
                <w:lang w:eastAsia="zh-CN"/>
              </w:rPr>
              <w:t>、</w:t>
            </w:r>
            <w:r>
              <w:rPr>
                <w:rFonts w:hint="eastAsia" w:ascii="宋体" w:hAnsi="宋体" w:cs="宋体"/>
                <w:color w:val="000000"/>
                <w:sz w:val="24"/>
                <w:lang w:val="en-US" w:eastAsia="zh-CN"/>
              </w:rPr>
              <w:t>供货证明</w:t>
            </w:r>
            <w:r>
              <w:rPr>
                <w:rFonts w:hint="eastAsia" w:ascii="宋体" w:hAnsi="宋体" w:eastAsia="宋体" w:cs="宋体"/>
                <w:color w:val="000000"/>
                <w:sz w:val="24"/>
              </w:rPr>
              <w:t>、售后服务承诺函，并加盖所投品牌厂商公章。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DF80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44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1C48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140000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CC98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140000</w:t>
            </w:r>
          </w:p>
        </w:tc>
      </w:tr>
      <w:tr w14:paraId="1B0C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512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BA64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sz w:val="24"/>
              </w:rPr>
              <w:t>功率模块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55E9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sz w:val="24"/>
              </w:rPr>
              <w:t>H3C UPS-MM25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386D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rPr>
              <w:t>1.UPS配套使用功率模块，单块容量不小于25KVA，三进三出；</w:t>
            </w:r>
            <w:r>
              <w:rPr>
                <w:rFonts w:hint="eastAsia" w:ascii="宋体" w:hAnsi="宋体" w:eastAsia="宋体" w:cs="宋体"/>
                <w:color w:val="000000"/>
                <w:sz w:val="24"/>
              </w:rPr>
              <w:br w:type="textWrapping"/>
            </w:r>
            <w:r>
              <w:rPr>
                <w:rFonts w:hint="eastAsia" w:ascii="宋体" w:hAnsi="宋体" w:eastAsia="宋体" w:cs="宋体"/>
                <w:color w:val="000000"/>
                <w:sz w:val="24"/>
              </w:rPr>
              <w:t>2.输入输出电压：380V/380V</w:t>
            </w:r>
            <w:r>
              <w:rPr>
                <w:rFonts w:hint="eastAsia" w:ascii="宋体" w:hAnsi="宋体" w:eastAsia="宋体" w:cs="宋体"/>
                <w:color w:val="000000"/>
                <w:sz w:val="24"/>
              </w:rPr>
              <w:br w:type="textWrapping"/>
            </w:r>
            <w:r>
              <w:rPr>
                <w:rFonts w:hint="eastAsia" w:ascii="宋体" w:hAnsi="宋体" w:eastAsia="宋体" w:cs="宋体"/>
                <w:color w:val="000000"/>
                <w:sz w:val="24"/>
              </w:rPr>
              <w:t>3.50%额定阻性负载情况下，功率模块效率＞95%；</w:t>
            </w:r>
            <w:r>
              <w:rPr>
                <w:rFonts w:hint="eastAsia" w:ascii="宋体" w:hAnsi="宋体" w:eastAsia="宋体" w:cs="宋体"/>
                <w:color w:val="000000"/>
                <w:sz w:val="24"/>
              </w:rPr>
              <w:br w:type="textWrapping"/>
            </w:r>
            <w:r>
              <w:rPr>
                <w:rFonts w:hint="eastAsia" w:ascii="宋体" w:hAnsi="宋体" w:eastAsia="宋体" w:cs="宋体"/>
                <w:color w:val="000000"/>
                <w:sz w:val="24"/>
              </w:rPr>
              <w:t>4.具有故障自动退出功能，系统运行中，如果功率模块发生故障，故障模块应自动退出运行，不影响系统输出；</w:t>
            </w:r>
            <w:r>
              <w:rPr>
                <w:rFonts w:hint="eastAsia" w:ascii="宋体" w:hAnsi="宋体" w:eastAsia="宋体" w:cs="宋体"/>
                <w:color w:val="000000"/>
                <w:sz w:val="24"/>
              </w:rPr>
              <w:br w:type="textWrapping"/>
            </w:r>
            <w:r>
              <w:rPr>
                <w:rFonts w:hint="eastAsia" w:ascii="宋体" w:hAnsi="宋体" w:eastAsia="宋体" w:cs="宋体"/>
                <w:color w:val="000000"/>
                <w:sz w:val="24"/>
              </w:rPr>
              <w:t>5.产品应与采购人所采购的动环监控系统兼容，</w:t>
            </w:r>
            <w:r>
              <w:rPr>
                <w:rFonts w:hint="eastAsia" w:ascii="宋体" w:hAnsi="宋体" w:cs="宋体"/>
                <w:color w:val="000000"/>
                <w:sz w:val="24"/>
                <w:lang w:eastAsia="zh-CN"/>
              </w:rPr>
              <w:t>竞标</w:t>
            </w:r>
            <w:r>
              <w:rPr>
                <w:rFonts w:hint="eastAsia" w:ascii="宋体" w:hAnsi="宋体" w:eastAsia="宋体" w:cs="宋体"/>
                <w:color w:val="000000"/>
                <w:sz w:val="24"/>
              </w:rPr>
              <w:t>人须承诺承担所投产品与动环监控系统的对接开发费用，无须采购人额外支出成本，</w:t>
            </w:r>
            <w:r>
              <w:rPr>
                <w:rFonts w:hint="eastAsia" w:ascii="宋体" w:hAnsi="宋体" w:cs="宋体"/>
                <w:color w:val="000000"/>
                <w:sz w:val="24"/>
                <w:lang w:eastAsia="zh-CN"/>
              </w:rPr>
              <w:t>竞标</w:t>
            </w:r>
            <w:r>
              <w:rPr>
                <w:rFonts w:hint="eastAsia" w:ascii="宋体" w:hAnsi="宋体" w:eastAsia="宋体" w:cs="宋体"/>
                <w:color w:val="000000"/>
                <w:sz w:val="24"/>
              </w:rPr>
              <w:t>时须出具动环监控系统原厂兼容性</w:t>
            </w:r>
            <w:r>
              <w:rPr>
                <w:rFonts w:hint="eastAsia" w:ascii="宋体" w:hAnsi="宋体" w:cs="宋体"/>
                <w:color w:val="000000"/>
                <w:sz w:val="24"/>
                <w:lang w:val="en-US" w:eastAsia="zh-CN"/>
              </w:rPr>
              <w:t>承诺</w:t>
            </w:r>
            <w:r>
              <w:rPr>
                <w:rFonts w:hint="eastAsia" w:ascii="宋体" w:hAnsi="宋体" w:eastAsia="宋体" w:cs="宋体"/>
                <w:color w:val="000000"/>
                <w:sz w:val="24"/>
              </w:rPr>
              <w:t>函。</w:t>
            </w:r>
            <w:r>
              <w:rPr>
                <w:rFonts w:hint="eastAsia" w:ascii="宋体" w:hAnsi="宋体" w:eastAsia="宋体" w:cs="宋体"/>
                <w:color w:val="000000"/>
                <w:sz w:val="24"/>
              </w:rPr>
              <w:br w:type="textWrapping"/>
            </w:r>
            <w:r>
              <w:rPr>
                <w:rFonts w:hint="eastAsia" w:ascii="宋体" w:hAnsi="宋体" w:eastAsia="宋体" w:cs="宋体"/>
                <w:color w:val="000000"/>
                <w:sz w:val="24"/>
              </w:rPr>
              <w:t>6.质保三年，</w:t>
            </w:r>
            <w:r>
              <w:rPr>
                <w:rFonts w:hint="eastAsia" w:ascii="宋体" w:hAnsi="宋体" w:cs="宋体"/>
                <w:color w:val="000000"/>
                <w:sz w:val="24"/>
                <w:lang w:eastAsia="zh-CN"/>
              </w:rPr>
              <w:t>成交</w:t>
            </w:r>
            <w:r>
              <w:rPr>
                <w:rFonts w:hint="eastAsia" w:ascii="宋体" w:hAnsi="宋体" w:eastAsia="宋体" w:cs="宋体"/>
                <w:color w:val="000000"/>
                <w:sz w:val="24"/>
              </w:rPr>
              <w:t>后提供所投品牌原厂授权函</w:t>
            </w:r>
            <w:r>
              <w:rPr>
                <w:rFonts w:hint="eastAsia" w:ascii="宋体" w:hAnsi="宋体" w:cs="宋体"/>
                <w:color w:val="000000"/>
                <w:sz w:val="24"/>
                <w:lang w:eastAsia="zh-CN"/>
              </w:rPr>
              <w:t>、</w:t>
            </w:r>
            <w:r>
              <w:rPr>
                <w:rFonts w:hint="eastAsia" w:ascii="宋体" w:hAnsi="宋体" w:cs="宋体"/>
                <w:color w:val="000000"/>
                <w:sz w:val="24"/>
                <w:lang w:val="en-US" w:eastAsia="zh-CN"/>
              </w:rPr>
              <w:t>供货证明</w:t>
            </w:r>
            <w:r>
              <w:rPr>
                <w:rFonts w:hint="eastAsia" w:ascii="宋体" w:hAnsi="宋体" w:eastAsia="宋体" w:cs="宋体"/>
                <w:color w:val="000000"/>
                <w:sz w:val="24"/>
              </w:rPr>
              <w:t>、售后服务承诺函，并加盖所投品牌厂商公章。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E24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2E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A023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5683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90000</w:t>
            </w:r>
          </w:p>
        </w:tc>
      </w:tr>
      <w:tr w14:paraId="19D8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E94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466D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rPr>
              <w:t>智慧机房铅酸蓄电池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A10F25">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rPr>
              <w:t>双登 6-GFM-200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FF5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rPr>
              <w:t>1.蓄电池规格为12V200AH；</w:t>
            </w:r>
            <w:r>
              <w:rPr>
                <w:rFonts w:hint="eastAsia" w:ascii="宋体" w:hAnsi="宋体" w:eastAsia="宋体" w:cs="宋体"/>
                <w:color w:val="000000"/>
                <w:sz w:val="24"/>
              </w:rPr>
              <w:br w:type="textWrapping"/>
            </w:r>
            <w:r>
              <w:rPr>
                <w:rFonts w:hint="eastAsia" w:ascii="宋体" w:hAnsi="宋体" w:eastAsia="宋体" w:cs="宋体"/>
                <w:color w:val="000000"/>
                <w:sz w:val="24"/>
              </w:rPr>
              <w:t>2.蓄电池的连续浮充工作寿命应不少于5年（使用环境温度25℃）。</w:t>
            </w:r>
            <w:r>
              <w:rPr>
                <w:rFonts w:hint="eastAsia" w:ascii="宋体" w:hAnsi="宋体" w:eastAsia="宋体" w:cs="宋体"/>
                <w:color w:val="000000"/>
                <w:sz w:val="24"/>
              </w:rPr>
              <w:br w:type="textWrapping"/>
            </w:r>
            <w:r>
              <w:rPr>
                <w:rFonts w:hint="eastAsia" w:ascii="宋体" w:hAnsi="宋体" w:eastAsia="宋体" w:cs="宋体"/>
                <w:color w:val="000000"/>
                <w:sz w:val="24"/>
              </w:rPr>
              <w:t>3.蓄电池应能承受50kPa的正压或负压而不破裂，压力释放后壳体无残余变形。在正常工作中应无酸雾逸出；在充电过程中遇有明火，内部不应引爆；</w:t>
            </w:r>
            <w:r>
              <w:rPr>
                <w:rFonts w:hint="eastAsia" w:ascii="宋体" w:hAnsi="宋体" w:eastAsia="宋体" w:cs="宋体"/>
                <w:color w:val="000000"/>
                <w:sz w:val="24"/>
              </w:rPr>
              <w:br w:type="textWrapping"/>
            </w:r>
            <w:r>
              <w:rPr>
                <w:rFonts w:hint="eastAsia" w:ascii="宋体" w:hAnsi="宋体" w:eastAsia="宋体" w:cs="宋体"/>
                <w:color w:val="000000"/>
                <w:sz w:val="24"/>
              </w:rPr>
              <w:t>4.蓄电池的安全阀应具有滤酸和自动开启、自动关闭的功能，其开阀压力应为10kPa～49kPa，闭阀压力应为1kPa～20kPa。</w:t>
            </w:r>
            <w:r>
              <w:rPr>
                <w:rFonts w:hint="eastAsia" w:ascii="宋体" w:hAnsi="宋体" w:eastAsia="宋体" w:cs="宋体"/>
                <w:color w:val="000000"/>
                <w:sz w:val="24"/>
              </w:rPr>
              <w:br w:type="textWrapping"/>
            </w:r>
            <w:r>
              <w:rPr>
                <w:rFonts w:hint="eastAsia" w:ascii="宋体" w:hAnsi="宋体" w:eastAsia="宋体" w:cs="宋体"/>
                <w:color w:val="000000"/>
                <w:sz w:val="24"/>
              </w:rPr>
              <w:t>5.蓄电池在使用中应无渗液、漏液、爬液和膨胀现象。极性正确，正负极性及端子有明显标志，便于连接。</w:t>
            </w:r>
            <w:r>
              <w:rPr>
                <w:rFonts w:hint="eastAsia" w:ascii="宋体" w:hAnsi="宋体" w:eastAsia="宋体" w:cs="宋体"/>
                <w:color w:val="000000"/>
                <w:sz w:val="24"/>
              </w:rPr>
              <w:br w:type="textWrapping"/>
            </w:r>
            <w:r>
              <w:rPr>
                <w:rFonts w:hint="eastAsia" w:ascii="宋体" w:hAnsi="宋体" w:eastAsia="宋体" w:cs="宋体"/>
                <w:color w:val="000000"/>
                <w:sz w:val="24"/>
              </w:rPr>
              <w:t>6.含1组电池配套电池连接线、电池架、电池开关和电池开关箱；支持负载40.8KW，延时60分钟。</w:t>
            </w:r>
            <w:r>
              <w:rPr>
                <w:rFonts w:hint="eastAsia" w:ascii="宋体" w:hAnsi="宋体" w:eastAsia="宋体" w:cs="宋体"/>
                <w:color w:val="000000"/>
                <w:sz w:val="24"/>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sz w:val="24"/>
              </w:rPr>
              <w:t>7.产品应与采购人所采购的动环监控系统兼容，</w:t>
            </w:r>
            <w:r>
              <w:rPr>
                <w:rFonts w:hint="eastAsia" w:ascii="宋体" w:hAnsi="宋体" w:cs="宋体"/>
                <w:color w:val="000000"/>
                <w:sz w:val="24"/>
                <w:lang w:eastAsia="zh-CN"/>
              </w:rPr>
              <w:t>竞标</w:t>
            </w:r>
            <w:r>
              <w:rPr>
                <w:rFonts w:hint="eastAsia" w:ascii="宋体" w:hAnsi="宋体" w:eastAsia="宋体" w:cs="宋体"/>
                <w:color w:val="000000"/>
                <w:sz w:val="24"/>
              </w:rPr>
              <w:t>人须承诺承担所投产品与动环监控系统的对接开发费用，无须采购人额外支出成本，</w:t>
            </w:r>
            <w:r>
              <w:rPr>
                <w:rFonts w:hint="eastAsia" w:ascii="宋体" w:hAnsi="宋体" w:cs="宋体"/>
                <w:color w:val="000000"/>
                <w:sz w:val="24"/>
                <w:lang w:eastAsia="zh-CN"/>
              </w:rPr>
              <w:t>竞标</w:t>
            </w:r>
            <w:r>
              <w:rPr>
                <w:rFonts w:hint="eastAsia" w:ascii="宋体" w:hAnsi="宋体" w:eastAsia="宋体" w:cs="宋体"/>
                <w:color w:val="000000"/>
                <w:sz w:val="24"/>
              </w:rPr>
              <w:t>时须出具动环监控系统原厂兼容性</w:t>
            </w:r>
            <w:r>
              <w:rPr>
                <w:rFonts w:hint="eastAsia" w:ascii="宋体" w:hAnsi="宋体" w:cs="宋体"/>
                <w:color w:val="000000"/>
                <w:sz w:val="24"/>
                <w:lang w:val="en-US" w:eastAsia="zh-CN"/>
              </w:rPr>
              <w:t>承诺</w:t>
            </w:r>
            <w:r>
              <w:rPr>
                <w:rFonts w:hint="eastAsia" w:ascii="宋体" w:hAnsi="宋体" w:eastAsia="宋体" w:cs="宋体"/>
                <w:color w:val="000000"/>
                <w:sz w:val="24"/>
              </w:rPr>
              <w:t>函。</w:t>
            </w:r>
            <w:r>
              <w:rPr>
                <w:rFonts w:hint="eastAsia" w:ascii="宋体" w:hAnsi="宋体" w:eastAsia="宋体" w:cs="宋体"/>
                <w:color w:val="000000"/>
                <w:sz w:val="24"/>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sz w:val="24"/>
              </w:rPr>
              <w:t>8.质保三年，</w:t>
            </w:r>
            <w:r>
              <w:rPr>
                <w:rFonts w:hint="eastAsia" w:ascii="宋体" w:hAnsi="宋体" w:cs="宋体"/>
                <w:color w:val="000000"/>
                <w:sz w:val="24"/>
                <w:lang w:eastAsia="zh-CN"/>
              </w:rPr>
              <w:t>成交</w:t>
            </w:r>
            <w:r>
              <w:rPr>
                <w:rFonts w:hint="eastAsia" w:ascii="宋体" w:hAnsi="宋体" w:eastAsia="宋体" w:cs="宋体"/>
                <w:color w:val="000000"/>
                <w:sz w:val="24"/>
              </w:rPr>
              <w:t>后提供所投品牌原厂授权函</w:t>
            </w:r>
            <w:r>
              <w:rPr>
                <w:rFonts w:hint="eastAsia" w:ascii="宋体" w:hAnsi="宋体" w:cs="宋体"/>
                <w:color w:val="000000"/>
                <w:sz w:val="24"/>
                <w:lang w:eastAsia="zh-CN"/>
              </w:rPr>
              <w:t>、</w:t>
            </w:r>
            <w:r>
              <w:rPr>
                <w:rFonts w:hint="eastAsia" w:ascii="宋体" w:hAnsi="宋体" w:cs="宋体"/>
                <w:color w:val="000000"/>
                <w:sz w:val="24"/>
                <w:lang w:val="en-US" w:eastAsia="zh-CN"/>
              </w:rPr>
              <w:t>供货证明</w:t>
            </w:r>
            <w:r>
              <w:rPr>
                <w:rFonts w:hint="eastAsia" w:ascii="宋体" w:hAnsi="宋体" w:eastAsia="宋体" w:cs="宋体"/>
                <w:color w:val="000000"/>
                <w:sz w:val="24"/>
              </w:rPr>
              <w:t>、售后服务承诺函，并加盖所投品牌厂商公章。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6EA11">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C256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FB8D4">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1800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FD268">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72000</w:t>
            </w:r>
          </w:p>
        </w:tc>
      </w:tr>
      <w:tr w14:paraId="5486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027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F828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rPr>
              <w:t>列间空调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71C6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rPr>
              <w:t>H3C KT-LFP-40-WS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A1686">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rPr>
              <w:t>1.尺寸：宽度600mm，高度深度与服务器机柜一致；总冷量≥42kw，显冷量≥42kw，风量≥8500m3/h，加湿量≥3kg/h，加热量≥6kW，水平送风模式；</w:t>
            </w:r>
            <w:r>
              <w:rPr>
                <w:rFonts w:hint="eastAsia" w:ascii="宋体" w:hAnsi="宋体" w:eastAsia="宋体" w:cs="宋体"/>
                <w:color w:val="000000"/>
                <w:sz w:val="24"/>
              </w:rPr>
              <w:br w:type="textWrapping"/>
            </w:r>
            <w:r>
              <w:rPr>
                <w:rFonts w:hint="eastAsia" w:ascii="宋体" w:hAnsi="宋体" w:eastAsia="宋体" w:cs="宋体"/>
                <w:color w:val="000000"/>
                <w:sz w:val="24"/>
              </w:rPr>
              <w:t>2.可以实现常温情况下最低10%的IT负载（即制冷量的10%）稳定除湿量功能，降低高湿环境下数据中心低载运行的IT设备结露风险。</w:t>
            </w:r>
            <w:r>
              <w:rPr>
                <w:rFonts w:hint="eastAsia" w:ascii="宋体" w:hAnsi="宋体" w:eastAsia="宋体" w:cs="宋体"/>
                <w:color w:val="000000"/>
                <w:sz w:val="24"/>
              </w:rPr>
              <w:br w:type="textWrapping"/>
            </w:r>
            <w:r>
              <w:rPr>
                <w:rFonts w:hint="eastAsia" w:ascii="宋体" w:hAnsi="宋体" w:eastAsia="宋体" w:cs="宋体"/>
                <w:color w:val="000000"/>
                <w:sz w:val="24"/>
              </w:rPr>
              <w:t>3.精密空调室内机采用高效工业用直流变频压缩机，可实现10%～100%宽冷量输出，压缩机品牌要求采用三菱、日立、谷轮或同档次及以上产品。；</w:t>
            </w:r>
            <w:r>
              <w:rPr>
                <w:rFonts w:hint="eastAsia" w:ascii="宋体" w:hAnsi="宋体" w:eastAsia="宋体" w:cs="宋体"/>
                <w:color w:val="000000"/>
                <w:sz w:val="24"/>
              </w:rPr>
              <w:br w:type="textWrapping"/>
            </w:r>
            <w:r>
              <w:rPr>
                <w:rFonts w:hint="eastAsia" w:ascii="宋体" w:hAnsi="宋体" w:eastAsia="宋体" w:cs="宋体"/>
                <w:color w:val="000000"/>
                <w:sz w:val="24"/>
              </w:rPr>
              <w:t>4.为了相应国家节能节耗政策，要求空调全年能效比应不小于4.1；</w:t>
            </w:r>
            <w:r>
              <w:rPr>
                <w:rFonts w:hint="eastAsia" w:ascii="宋体" w:hAnsi="宋体" w:eastAsia="宋体" w:cs="宋体"/>
                <w:color w:val="000000"/>
                <w:sz w:val="24"/>
              </w:rPr>
              <w:br w:type="textWrapping"/>
            </w:r>
            <w:r>
              <w:rPr>
                <w:rFonts w:hint="eastAsia" w:ascii="宋体" w:hAnsi="宋体" w:eastAsia="宋体" w:cs="宋体"/>
                <w:color w:val="000000"/>
                <w:sz w:val="24"/>
              </w:rPr>
              <w:t>5.具≥7寸LCD的真彩触摸显示屏，可以显示设备的运行模式与状态，并可设定设备参数，实现良好的人机交互.</w:t>
            </w:r>
            <w:r>
              <w:rPr>
                <w:rFonts w:hint="eastAsia" w:ascii="宋体" w:hAnsi="宋体" w:eastAsia="宋体" w:cs="宋体"/>
                <w:color w:val="000000"/>
                <w:sz w:val="24"/>
              </w:rPr>
              <w:br w:type="textWrapping"/>
            </w:r>
            <w:r>
              <w:rPr>
                <w:rFonts w:hint="eastAsia" w:ascii="宋体" w:hAnsi="宋体" w:eastAsia="宋体" w:cs="宋体"/>
                <w:color w:val="000000"/>
                <w:sz w:val="24"/>
              </w:rPr>
              <w:t>6.机组具备联动与群控功能，群控采用高速、灵活的CAN通讯协议，同一区域可以将≥32套机组进行统一控制管理；</w:t>
            </w:r>
            <w:r>
              <w:rPr>
                <w:rFonts w:hint="eastAsia" w:ascii="宋体" w:hAnsi="宋体" w:eastAsia="宋体" w:cs="宋体"/>
                <w:color w:val="000000"/>
                <w:sz w:val="24"/>
              </w:rPr>
              <w:br w:type="textWrapping"/>
            </w:r>
            <w:r>
              <w:rPr>
                <w:rFonts w:hint="eastAsia" w:ascii="宋体" w:hAnsi="宋体" w:eastAsia="宋体" w:cs="宋体"/>
                <w:color w:val="000000"/>
                <w:sz w:val="24"/>
              </w:rPr>
              <w:t>7.室内风机：要求采用高效后倾离心式EC风机。风机N+1冗余配置，风机数量≤3个，任意风机故障，仍可确保全风量运行；机房列间空调应有较大的送风量。</w:t>
            </w:r>
            <w:r>
              <w:rPr>
                <w:rFonts w:hint="eastAsia" w:ascii="宋体" w:hAnsi="宋体" w:eastAsia="宋体" w:cs="宋体"/>
                <w:color w:val="000000"/>
                <w:sz w:val="24"/>
              </w:rPr>
              <w:br w:type="textWrapping"/>
            </w:r>
            <w:r>
              <w:rPr>
                <w:rFonts w:hint="eastAsia" w:ascii="宋体" w:hAnsi="宋体" w:eastAsia="宋体" w:cs="宋体"/>
                <w:color w:val="000000"/>
                <w:sz w:val="24"/>
              </w:rPr>
              <w:t>8.要求空调机组设备符合GB19413相关标准，经中国制冷空调设备产业联盟、中国制冷空调工业协会、中国冷冻空调设备标准化技术委员会联合确认的中国机房空调专业认证，并通过相关证书。</w:t>
            </w:r>
            <w:r>
              <w:rPr>
                <w:rFonts w:hint="eastAsia" w:ascii="宋体" w:hAnsi="宋体" w:eastAsia="宋体" w:cs="宋体"/>
                <w:color w:val="000000"/>
                <w:sz w:val="24"/>
              </w:rPr>
              <w:br w:type="textWrapping"/>
            </w:r>
            <w:r>
              <w:rPr>
                <w:rFonts w:hint="eastAsia" w:ascii="宋体" w:hAnsi="宋体" w:eastAsia="宋体" w:cs="宋体"/>
                <w:color w:val="000000"/>
                <w:sz w:val="24"/>
              </w:rPr>
              <w:t>9.满足CE认证要求。</w:t>
            </w:r>
            <w:r>
              <w:rPr>
                <w:rFonts w:hint="eastAsia" w:ascii="宋体" w:hAnsi="宋体" w:eastAsia="宋体" w:cs="宋体"/>
                <w:color w:val="000000"/>
                <w:sz w:val="24"/>
              </w:rPr>
              <w:br w:type="textWrapping"/>
            </w:r>
            <w:r>
              <w:rPr>
                <w:rFonts w:hint="eastAsia" w:ascii="宋体" w:hAnsi="宋体" w:eastAsia="宋体" w:cs="宋体"/>
                <w:color w:val="000000"/>
                <w:sz w:val="24"/>
              </w:rPr>
              <w:t>10.空调应满足《单元式空气调节机能效限定值及能效等级》。</w:t>
            </w:r>
            <w:r>
              <w:rPr>
                <w:rFonts w:hint="eastAsia" w:ascii="宋体" w:hAnsi="宋体" w:eastAsia="宋体" w:cs="宋体"/>
                <w:color w:val="000000"/>
                <w:sz w:val="24"/>
              </w:rPr>
              <w:br w:type="textWrapping"/>
            </w:r>
            <w:r>
              <w:rPr>
                <w:rFonts w:hint="eastAsia" w:ascii="宋体" w:hAnsi="宋体" w:eastAsia="宋体" w:cs="宋体"/>
                <w:color w:val="000000"/>
                <w:sz w:val="24"/>
              </w:rPr>
              <w:t>11.支持空调机组380V±15%，50Hz±2Hz范围供电，适应恶劣电网环境。</w:t>
            </w:r>
            <w:r>
              <w:rPr>
                <w:rFonts w:hint="eastAsia" w:ascii="宋体" w:hAnsi="宋体" w:eastAsia="宋体" w:cs="宋体"/>
                <w:color w:val="000000"/>
                <w:sz w:val="24"/>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sz w:val="24"/>
              </w:rPr>
              <w:t>12.产品应与采购人所采购的动环监控系统兼容，</w:t>
            </w:r>
            <w:r>
              <w:rPr>
                <w:rFonts w:hint="eastAsia" w:ascii="宋体" w:hAnsi="宋体" w:cs="宋体"/>
                <w:color w:val="000000"/>
                <w:sz w:val="24"/>
                <w:lang w:eastAsia="zh-CN"/>
              </w:rPr>
              <w:t>竞标</w:t>
            </w:r>
            <w:r>
              <w:rPr>
                <w:rFonts w:hint="eastAsia" w:ascii="宋体" w:hAnsi="宋体" w:eastAsia="宋体" w:cs="宋体"/>
                <w:color w:val="000000"/>
                <w:sz w:val="24"/>
              </w:rPr>
              <w:t>人须承诺承担所投产品与动环监控系统的对接开发费用，无须采购人额外支出成本，</w:t>
            </w:r>
            <w:r>
              <w:rPr>
                <w:rFonts w:hint="eastAsia" w:ascii="宋体" w:hAnsi="宋体" w:cs="宋体"/>
                <w:color w:val="000000"/>
                <w:sz w:val="24"/>
                <w:lang w:eastAsia="zh-CN"/>
              </w:rPr>
              <w:t>竞标</w:t>
            </w:r>
            <w:r>
              <w:rPr>
                <w:rFonts w:hint="eastAsia" w:ascii="宋体" w:hAnsi="宋体" w:eastAsia="宋体" w:cs="宋体"/>
                <w:color w:val="000000"/>
                <w:sz w:val="24"/>
              </w:rPr>
              <w:t>时须出具动环监控系统原厂兼容性</w:t>
            </w:r>
            <w:r>
              <w:rPr>
                <w:rFonts w:hint="eastAsia" w:ascii="宋体" w:hAnsi="宋体" w:cs="宋体"/>
                <w:color w:val="000000"/>
                <w:sz w:val="24"/>
                <w:lang w:val="en-US" w:eastAsia="zh-CN"/>
              </w:rPr>
              <w:t>承诺</w:t>
            </w:r>
            <w:r>
              <w:rPr>
                <w:rFonts w:hint="eastAsia" w:ascii="宋体" w:hAnsi="宋体" w:eastAsia="宋体" w:cs="宋体"/>
                <w:color w:val="000000"/>
                <w:sz w:val="24"/>
              </w:rPr>
              <w:t>函。</w:t>
            </w:r>
            <w:r>
              <w:rPr>
                <w:rFonts w:hint="eastAsia" w:ascii="宋体" w:hAnsi="宋体" w:eastAsia="宋体" w:cs="宋体"/>
                <w:color w:val="000000"/>
                <w:sz w:val="24"/>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sz w:val="24"/>
              </w:rPr>
              <w:t>13.质保三年，</w:t>
            </w:r>
            <w:r>
              <w:rPr>
                <w:rFonts w:hint="eastAsia" w:ascii="宋体" w:hAnsi="宋体" w:cs="宋体"/>
                <w:color w:val="000000"/>
                <w:sz w:val="24"/>
                <w:lang w:eastAsia="zh-CN"/>
              </w:rPr>
              <w:t>成交</w:t>
            </w:r>
            <w:r>
              <w:rPr>
                <w:rFonts w:hint="eastAsia" w:ascii="宋体" w:hAnsi="宋体" w:eastAsia="宋体" w:cs="宋体"/>
                <w:color w:val="000000"/>
                <w:sz w:val="24"/>
              </w:rPr>
              <w:t>后提供所投品牌原厂授权函</w:t>
            </w:r>
            <w:r>
              <w:rPr>
                <w:rFonts w:hint="eastAsia" w:ascii="宋体" w:hAnsi="宋体" w:cs="宋体"/>
                <w:color w:val="000000"/>
                <w:sz w:val="24"/>
                <w:lang w:eastAsia="zh-CN"/>
              </w:rPr>
              <w:t>、</w:t>
            </w:r>
            <w:r>
              <w:rPr>
                <w:rFonts w:hint="eastAsia" w:ascii="宋体" w:hAnsi="宋体" w:cs="宋体"/>
                <w:color w:val="000000"/>
                <w:sz w:val="24"/>
                <w:lang w:val="en-US" w:eastAsia="zh-CN"/>
              </w:rPr>
              <w:t>供货证明</w:t>
            </w:r>
            <w:r>
              <w:rPr>
                <w:rFonts w:hint="eastAsia" w:ascii="宋体" w:hAnsi="宋体" w:eastAsia="宋体" w:cs="宋体"/>
                <w:color w:val="000000"/>
                <w:sz w:val="24"/>
              </w:rPr>
              <w:t>、售后服务承诺函，并加盖所投品牌厂商公章。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A59E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09B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A66A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113500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F06F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227000</w:t>
            </w:r>
          </w:p>
        </w:tc>
      </w:tr>
      <w:tr w14:paraId="307C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single" w:color="000000" w:sz="4" w:space="0"/>
              <w:right w:val="single" w:color="000000" w:sz="4" w:space="0"/>
            </w:tcBorders>
            <w:noWrap w:val="0"/>
            <w:vAlign w:val="center"/>
          </w:tcPr>
          <w:p w14:paraId="39F73EA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上控价合计金额</w:t>
            </w:r>
            <w:r>
              <w:rPr>
                <w:rFonts w:hint="eastAsia" w:ascii="宋体" w:hAnsi="宋体" w:cs="宋体"/>
                <w:b/>
                <w:bCs/>
                <w:i w:val="0"/>
                <w:iCs w:val="0"/>
                <w:color w:val="000000"/>
                <w:kern w:val="0"/>
                <w:sz w:val="24"/>
                <w:szCs w:val="24"/>
                <w:highlight w:val="none"/>
                <w:u w:val="none"/>
                <w:lang w:val="en-US" w:eastAsia="zh-CN" w:bidi="ar"/>
              </w:rPr>
              <w:t xml:space="preserve"> 伍拾贰万玖仟元整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0AECD">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 xml:space="preserve"> </w:t>
            </w:r>
            <w:r>
              <w:rPr>
                <w:rFonts w:hint="eastAsia" w:ascii="宋体" w:hAnsi="宋体" w:cs="宋体"/>
                <w:b/>
                <w:bCs/>
                <w:i w:val="0"/>
                <w:iCs w:val="0"/>
                <w:color w:val="000000"/>
                <w:kern w:val="0"/>
                <w:sz w:val="24"/>
                <w:szCs w:val="24"/>
                <w:highlight w:val="none"/>
                <w:u w:val="none"/>
                <w:lang w:val="en-US" w:eastAsia="zh-CN" w:bidi="ar"/>
              </w:rPr>
              <w:t>529000</w:t>
            </w:r>
          </w:p>
        </w:tc>
      </w:tr>
      <w:tr w14:paraId="1336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8"/>
            <w:tcBorders>
              <w:top w:val="single" w:color="000000" w:sz="4" w:space="0"/>
              <w:left w:val="single" w:color="000000" w:sz="4" w:space="0"/>
              <w:bottom w:val="single" w:color="000000" w:sz="4" w:space="0"/>
              <w:right w:val="single" w:color="000000" w:sz="4" w:space="0"/>
            </w:tcBorders>
            <w:noWrap/>
            <w:vAlign w:val="center"/>
          </w:tcPr>
          <w:p w14:paraId="1982817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商务条款要求</w:t>
            </w:r>
          </w:p>
        </w:tc>
      </w:tr>
      <w:tr w14:paraId="7C94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1C62CE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一、合同签订期：自</w:t>
            </w:r>
            <w:r>
              <w:rPr>
                <w:rFonts w:hint="eastAsia" w:ascii="宋体" w:hAnsi="宋体" w:cs="宋体"/>
                <w:i w:val="0"/>
                <w:iCs w:val="0"/>
                <w:color w:val="000000"/>
                <w:kern w:val="0"/>
                <w:sz w:val="22"/>
                <w:szCs w:val="22"/>
                <w:highlight w:val="none"/>
                <w:u w:val="none"/>
                <w:lang w:val="en-US" w:eastAsia="zh-CN" w:bidi="ar"/>
              </w:rPr>
              <w:t>成交</w:t>
            </w:r>
            <w:r>
              <w:rPr>
                <w:rFonts w:hint="eastAsia" w:ascii="宋体" w:hAnsi="宋体" w:eastAsia="宋体" w:cs="宋体"/>
                <w:i w:val="0"/>
                <w:iCs w:val="0"/>
                <w:color w:val="000000"/>
                <w:kern w:val="0"/>
                <w:sz w:val="22"/>
                <w:szCs w:val="22"/>
                <w:highlight w:val="none"/>
                <w:u w:val="none"/>
                <w:lang w:val="en-US" w:eastAsia="zh-CN" w:bidi="ar"/>
              </w:rPr>
              <w:t xml:space="preserve">通知书发出之日起 </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天内</w:t>
            </w:r>
            <w:r>
              <w:rPr>
                <w:rFonts w:hint="eastAsia" w:ascii="宋体" w:hAnsi="宋体" w:cs="宋体"/>
                <w:i w:val="0"/>
                <w:iCs w:val="0"/>
                <w:color w:val="000000"/>
                <w:kern w:val="0"/>
                <w:sz w:val="22"/>
                <w:szCs w:val="22"/>
                <w:highlight w:val="none"/>
                <w:u w:val="none"/>
                <w:lang w:val="en-US" w:eastAsia="zh-CN" w:bidi="ar"/>
              </w:rPr>
              <w:t>签订</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▲二、交付时间：自签订合同之日起</w:t>
            </w:r>
            <w:r>
              <w:rPr>
                <w:rFonts w:hint="eastAsia" w:ascii="宋体" w:hAnsi="宋体" w:cs="宋体"/>
                <w:i w:val="0"/>
                <w:iCs w:val="0"/>
                <w:color w:val="000000"/>
                <w:kern w:val="0"/>
                <w:sz w:val="22"/>
                <w:szCs w:val="22"/>
                <w:highlight w:val="none"/>
                <w:u w:val="none"/>
                <w:lang w:val="en-US" w:eastAsia="zh-CN" w:bidi="ar"/>
              </w:rPr>
              <w:t>15</w:t>
            </w:r>
            <w:r>
              <w:rPr>
                <w:rFonts w:hint="eastAsia" w:ascii="宋体" w:hAnsi="宋体" w:eastAsia="宋体" w:cs="宋体"/>
                <w:i w:val="0"/>
                <w:iCs w:val="0"/>
                <w:color w:val="000000"/>
                <w:kern w:val="0"/>
                <w:sz w:val="22"/>
                <w:szCs w:val="22"/>
                <w:highlight w:val="none"/>
                <w:u w:val="none"/>
                <w:lang w:val="en-US" w:eastAsia="zh-CN" w:bidi="ar"/>
              </w:rPr>
              <w:t xml:space="preserve">个日历日内安装调试完毕并合格交付使用；供应商逾期交付货物的，应按逾期交付价值总额每日千分之十的标准向采购方支付违约金，由采购方从待付货款中直接扣除，供应商逾期时间超过3天仍不能交付的，视为不能履约，采购方可解除采购合同，供应商需支付合同款20%的违约金。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▲三、交货地点：崇左市内（采购人指定地点）；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▲四、质保期：按国家有关产品“三包”规定执行“三包”，自货物验收合格之日起计算，产品质保期不少于</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年（厂家质保期超过此年限的按厂家规定执行）。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五、付款方式：合同签订后5个工作日内采购人向供应商预付</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0%合同款，供应商安装调试完毕并经采购人验收合格后，5个工作日内采购人向供应商支付</w:t>
            </w:r>
            <w:r>
              <w:rPr>
                <w:rFonts w:hint="eastAsia" w:ascii="宋体" w:hAnsi="宋体" w:cs="宋体"/>
                <w:i w:val="0"/>
                <w:iCs w:val="0"/>
                <w:color w:val="000000"/>
                <w:kern w:val="0"/>
                <w:sz w:val="22"/>
                <w:szCs w:val="22"/>
                <w:highlight w:val="none"/>
                <w:u w:val="none"/>
                <w:lang w:val="en-US" w:eastAsia="zh-CN" w:bidi="ar"/>
              </w:rPr>
              <w:t>7</w:t>
            </w:r>
            <w:r>
              <w:rPr>
                <w:rFonts w:hint="eastAsia" w:ascii="宋体" w:hAnsi="宋体" w:eastAsia="宋体" w:cs="宋体"/>
                <w:i w:val="0"/>
                <w:iCs w:val="0"/>
                <w:color w:val="000000"/>
                <w:kern w:val="0"/>
                <w:sz w:val="22"/>
                <w:szCs w:val="22"/>
                <w:highlight w:val="none"/>
                <w:u w:val="none"/>
                <w:lang w:val="en-US" w:eastAsia="zh-CN" w:bidi="ar"/>
              </w:rPr>
              <w:t>0%合同款。 采购人付款前，成交人应向采购人开具等额有效的增值税专用发票，采购人未收到发票的，有权不予支付相应款项直至成交人提供合格发票，并不承担延迟付款责任。发票认证通过是付款的必要前提之一。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六、质量保障要求：</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1、竞价时必须上传响应文件，响应文件内容包含报价清单（注明所投品牌型号）、商务条款偏离表（注明“正偏离”、“负偏离”或“无偏离”）、技术需求偏离表（注明“正偏离”、“负偏离”或“无偏离”）和“采购需求”中的“技术参数要求”要求提供的相关</w:t>
            </w:r>
            <w:r>
              <w:rPr>
                <w:rFonts w:hint="eastAsia" w:ascii="宋体" w:hAnsi="宋体" w:cs="宋体"/>
                <w:b/>
                <w:bCs/>
                <w:i w:val="0"/>
                <w:iCs w:val="0"/>
                <w:color w:val="000000"/>
                <w:kern w:val="0"/>
                <w:sz w:val="22"/>
                <w:szCs w:val="22"/>
                <w:highlight w:val="none"/>
                <w:u w:val="none"/>
                <w:lang w:val="en-US" w:eastAsia="zh-CN" w:bidi="ar"/>
              </w:rPr>
              <w:t>材料</w:t>
            </w:r>
            <w:r>
              <w:rPr>
                <w:rFonts w:hint="eastAsia" w:ascii="宋体" w:hAnsi="宋体" w:eastAsia="宋体" w:cs="宋体"/>
                <w:b/>
                <w:bCs/>
                <w:i w:val="0"/>
                <w:iCs w:val="0"/>
                <w:color w:val="000000"/>
                <w:kern w:val="0"/>
                <w:sz w:val="22"/>
                <w:szCs w:val="22"/>
                <w:highlight w:val="none"/>
                <w:u w:val="none"/>
                <w:lang w:val="en-US" w:eastAsia="zh-CN" w:bidi="ar"/>
              </w:rPr>
              <w:t>复印件等，如所提供的响应文件内容不全或者不符的，视为无效竞价；本项目仅接受意向品牌的产品参与报价，意向品牌以外的产品报价无效。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▲2、为了保障产品性能符合竞价文件要求，防止虚假应标，竞标时必须提供与技术参数要求及功能符合的</w:t>
            </w:r>
            <w:r>
              <w:rPr>
                <w:rFonts w:hint="eastAsia" w:ascii="宋体" w:hAnsi="宋体" w:cs="宋体"/>
                <w:b/>
                <w:bCs/>
                <w:i w:val="0"/>
                <w:iCs w:val="0"/>
                <w:color w:val="000000"/>
                <w:kern w:val="0"/>
                <w:sz w:val="22"/>
                <w:szCs w:val="22"/>
                <w:highlight w:val="none"/>
                <w:u w:val="none"/>
                <w:lang w:val="en-US" w:eastAsia="zh-CN" w:bidi="ar"/>
              </w:rPr>
              <w:t>“动环监控系统原厂兼容性承诺函”原件作</w:t>
            </w:r>
            <w:r>
              <w:rPr>
                <w:rFonts w:hint="eastAsia" w:ascii="宋体" w:hAnsi="宋体" w:eastAsia="宋体" w:cs="宋体"/>
                <w:b/>
                <w:bCs/>
                <w:i w:val="0"/>
                <w:iCs w:val="0"/>
                <w:color w:val="000000"/>
                <w:kern w:val="0"/>
                <w:sz w:val="22"/>
                <w:szCs w:val="22"/>
                <w:highlight w:val="none"/>
                <w:u w:val="none"/>
                <w:lang w:val="en-US" w:eastAsia="zh-CN" w:bidi="ar"/>
              </w:rPr>
              <w:t>为合同确认的标准依据，如出现所提供样品不符技术参数要求或无法提供所有样品，均视为虚假应标处理，采购人有权拒签合同，并取消其</w:t>
            </w:r>
            <w:r>
              <w:rPr>
                <w:rFonts w:hint="eastAsia" w:ascii="宋体" w:hAnsi="宋体" w:cs="宋体"/>
                <w:b/>
                <w:bCs/>
                <w:i w:val="0"/>
                <w:iCs w:val="0"/>
                <w:color w:val="000000"/>
                <w:kern w:val="0"/>
                <w:sz w:val="22"/>
                <w:szCs w:val="22"/>
                <w:highlight w:val="none"/>
                <w:u w:val="none"/>
                <w:lang w:val="en-US" w:eastAsia="zh-CN" w:bidi="ar"/>
              </w:rPr>
              <w:t>成交</w:t>
            </w:r>
            <w:r>
              <w:rPr>
                <w:rFonts w:hint="eastAsia" w:ascii="宋体" w:hAnsi="宋体" w:eastAsia="宋体" w:cs="宋体"/>
                <w:b/>
                <w:bCs/>
                <w:i w:val="0"/>
                <w:iCs w:val="0"/>
                <w:color w:val="000000"/>
                <w:kern w:val="0"/>
                <w:sz w:val="22"/>
                <w:szCs w:val="22"/>
                <w:highlight w:val="none"/>
                <w:u w:val="none"/>
                <w:lang w:val="en-US" w:eastAsia="zh-CN" w:bidi="ar"/>
              </w:rPr>
              <w:t>资格；如出现以上虚假应标行为，采购人有权依法追求法律责任，并将依法向政采云平台举报，上报政府采购监管部门，予以禁止报价、扣除诚信分等处罚，政采云全平台各区划联动生效。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 ▲3、正品保障：本项目</w:t>
            </w:r>
            <w:r>
              <w:rPr>
                <w:rFonts w:hint="eastAsia" w:ascii="宋体" w:hAnsi="宋体" w:cs="宋体"/>
                <w:b/>
                <w:bCs/>
                <w:i w:val="0"/>
                <w:iCs w:val="0"/>
                <w:color w:val="000000"/>
                <w:kern w:val="0"/>
                <w:sz w:val="22"/>
                <w:szCs w:val="22"/>
                <w:highlight w:val="none"/>
                <w:u w:val="none"/>
                <w:lang w:val="en-US" w:eastAsia="zh-CN" w:bidi="ar"/>
              </w:rPr>
              <w:t>成交</w:t>
            </w:r>
            <w:r>
              <w:rPr>
                <w:rFonts w:hint="eastAsia" w:ascii="宋体" w:hAnsi="宋体" w:eastAsia="宋体" w:cs="宋体"/>
                <w:b/>
                <w:bCs/>
                <w:i w:val="0"/>
                <w:iCs w:val="0"/>
                <w:color w:val="000000"/>
                <w:kern w:val="0"/>
                <w:sz w:val="22"/>
                <w:szCs w:val="22"/>
                <w:highlight w:val="none"/>
                <w:u w:val="none"/>
                <w:lang w:val="en-US" w:eastAsia="zh-CN" w:bidi="ar"/>
              </w:rPr>
              <w:t xml:space="preserve">供应商必须按采购需求中意向的品牌进行供货，不接受意向品牌外的产品，供应商不得以任何理由更改设备的品牌、型号、配置，配置必须是原厂出厂配置，不接受出厂后加装， </w:t>
            </w:r>
            <w:r>
              <w:rPr>
                <w:rFonts w:hint="eastAsia" w:ascii="宋体" w:hAnsi="宋体" w:cs="宋体"/>
                <w:b/>
                <w:bCs/>
                <w:i w:val="0"/>
                <w:iCs w:val="0"/>
                <w:color w:val="000000"/>
                <w:kern w:val="0"/>
                <w:sz w:val="22"/>
                <w:szCs w:val="22"/>
                <w:highlight w:val="none"/>
                <w:u w:val="none"/>
                <w:lang w:val="en-US" w:eastAsia="zh-CN" w:bidi="ar"/>
              </w:rPr>
              <w:t>供货时成交</w:t>
            </w:r>
            <w:r>
              <w:rPr>
                <w:rFonts w:hint="eastAsia" w:ascii="宋体" w:hAnsi="宋体" w:eastAsia="宋体" w:cs="宋体"/>
                <w:b/>
                <w:bCs/>
                <w:i w:val="0"/>
                <w:iCs w:val="0"/>
                <w:color w:val="000000"/>
                <w:kern w:val="0"/>
                <w:sz w:val="22"/>
                <w:szCs w:val="22"/>
                <w:highlight w:val="none"/>
                <w:u w:val="none"/>
                <w:lang w:val="en-US" w:eastAsia="zh-CN" w:bidi="ar"/>
              </w:rPr>
              <w:t>供应商需提供品牌合法授权函、供货证明、售后服务承诺函</w:t>
            </w:r>
            <w:r>
              <w:rPr>
                <w:rFonts w:hint="eastAsia" w:ascii="宋体" w:hAnsi="宋体" w:cs="宋体"/>
                <w:b/>
                <w:bCs/>
                <w:i w:val="0"/>
                <w:iCs w:val="0"/>
                <w:color w:val="000000"/>
                <w:kern w:val="0"/>
                <w:sz w:val="22"/>
                <w:szCs w:val="22"/>
                <w:highlight w:val="none"/>
                <w:u w:val="none"/>
                <w:lang w:val="en-US" w:eastAsia="zh-CN" w:bidi="ar"/>
              </w:rPr>
              <w:t>原件</w:t>
            </w:r>
            <w:r>
              <w:rPr>
                <w:rFonts w:hint="eastAsia" w:ascii="宋体" w:hAnsi="宋体" w:eastAsia="宋体" w:cs="宋体"/>
                <w:b/>
                <w:bCs/>
                <w:i w:val="0"/>
                <w:iCs w:val="0"/>
                <w:color w:val="000000"/>
                <w:kern w:val="0"/>
                <w:sz w:val="22"/>
                <w:szCs w:val="22"/>
                <w:highlight w:val="none"/>
                <w:u w:val="none"/>
                <w:lang w:val="en-US" w:eastAsia="zh-CN" w:bidi="ar"/>
              </w:rPr>
              <w:t xml:space="preserve">，产品保持原厂包装不开封，不接受注册为其他单位的商品，验收时查询产品及原厂保修信息，并提供原厂供货证明，否则不予验收。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七、售后服务要求：处理问题响应时间：设备出现故障，技术维护力量1小时内到达现场，到达现场后3小时内解决问题，并免费更换有缺陷的货物或零部件，一般故障处理时限不超过6小时，6小时内不能修复的，提供替代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八、其他要求：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1、报价为采购人指定地点的现场交货价，包括： （1）货物的价格； （2）货物的标准附件、备品备件、专用工具的价格； （3）采购、利润、运输、装卸、安装、调试、培训、技术支持、售后服务等费用； （4）必要的保险费用和各项税费。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验收要求：项目验收时成交供应商需提供采购需求中要求提供的相关证明资料原件进行核查，成交供应商应提供货物的有效检验文件，经采购人认可后，与合同的性能指标一起作为货物验收标准，采购人可对货物进行复检与性能测试，成交供应商应派出有经验、高水平的技术人员协助此项工作。采购人对货物验收合格后，签署验收合格证书，验收标准应符合中国有关的国家、地方、行业标准；如验收不合格，成交供应商应在3个工作日内对不合格产品进行更换、调试，未按要求进行更换、调试或再次验收不合格的，采购人有权解除合同，由此造成的损失由供应商自行承担。</w:t>
            </w:r>
          </w:p>
        </w:tc>
      </w:tr>
    </w:tbl>
    <w:p w14:paraId="5AE932A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FA4B1"/>
    <w:rsid w:val="05E41BF9"/>
    <w:rsid w:val="0A8213F4"/>
    <w:rsid w:val="101822F4"/>
    <w:rsid w:val="1FCB2EDF"/>
    <w:rsid w:val="21DE15EF"/>
    <w:rsid w:val="2B0B6795"/>
    <w:rsid w:val="2C0F5159"/>
    <w:rsid w:val="38957D13"/>
    <w:rsid w:val="3FDB9A8F"/>
    <w:rsid w:val="4B970CB3"/>
    <w:rsid w:val="4CEF795D"/>
    <w:rsid w:val="50704A07"/>
    <w:rsid w:val="51EE1332"/>
    <w:rsid w:val="67F3434E"/>
    <w:rsid w:val="6C7613C0"/>
    <w:rsid w:val="717FA4B1"/>
    <w:rsid w:val="77AB69F3"/>
    <w:rsid w:val="78D635FC"/>
    <w:rsid w:val="7DFA5F11"/>
    <w:rsid w:val="B2DD964D"/>
    <w:rsid w:val="EFE3D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4389</Words>
  <Characters>4779</Characters>
  <Lines>0</Lines>
  <Paragraphs>0</Paragraphs>
  <TotalTime>6</TotalTime>
  <ScaleCrop>false</ScaleCrop>
  <LinksUpToDate>false</LinksUpToDate>
  <CharactersWithSpaces>4801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2026-03-31T18:53:00Z</dcterms:created>
  <dc:creator>WPS_1602155600</dc:creator>
  <cp:lastModifiedBy>劳雅涵</cp:lastModifiedBy>
  <dcterms:modified xsi:type="dcterms:W3CDTF">2026-04-13T02:05:41Z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0935384EC17E40BEAC9B4DDF7F6FA0FB_13</vt:lpwstr>
  </property>
  <property fmtid="{D5CDD505-2E9C-101B-9397-08002B2CF9AE}" pid="4" name="KSOTemplateDocerSaveRecord">
    <vt:lpwstr>eyJoZGlkIjoiMTJhNTAwZGNjZTgzYmU1YzJmZDVkZTAyZGQzM2JiODkiLCJ1c2VySWQiOiIxNjMxMTMyNDUwIn0=</vt:lpwstr>
  </property>
</Properties>
</file>