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F3A076">
      <w:pPr>
        <w:jc w:val="center"/>
        <w:rPr>
          <w:rFonts w:hint="default" w:ascii="宋体" w:hAnsi="宋体"/>
          <w:b/>
          <w:bCs/>
          <w:color w:val="auto"/>
          <w:sz w:val="48"/>
          <w:szCs w:val="48"/>
          <w:highlight w:val="none"/>
        </w:rPr>
      </w:pPr>
      <w:r>
        <w:rPr>
          <w:rFonts w:ascii="宋体" w:hAnsi="宋体"/>
          <w:color w:val="auto"/>
          <w:highlight w:val="none"/>
        </w:rPr>
        <w:drawing>
          <wp:anchor distT="0" distB="0" distL="114300" distR="114300" simplePos="0" relativeHeight="251661312" behindDoc="0" locked="0" layoutInCell="1" allowOverlap="1">
            <wp:simplePos x="0" y="0"/>
            <wp:positionH relativeFrom="column">
              <wp:posOffset>2428875</wp:posOffset>
            </wp:positionH>
            <wp:positionV relativeFrom="paragraph">
              <wp:posOffset>-143510</wp:posOffset>
            </wp:positionV>
            <wp:extent cx="686435" cy="686435"/>
            <wp:effectExtent l="0" t="0" r="18415" b="18415"/>
            <wp:wrapSquare wrapText="left"/>
            <wp:docPr id="2" name="图片 5" descr="638238BB99A253FEB9BED4DA40F3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638238BB99A253FEB9BED4DA40F32CE"/>
                    <pic:cNvPicPr>
                      <a:picLocks noChangeAspect="1"/>
                    </pic:cNvPicPr>
                  </pic:nvPicPr>
                  <pic:blipFill>
                    <a:blip r:embed="rId22"/>
                    <a:stretch>
                      <a:fillRect/>
                    </a:stretch>
                  </pic:blipFill>
                  <pic:spPr>
                    <a:xfrm>
                      <a:off x="0" y="0"/>
                      <a:ext cx="686435" cy="686435"/>
                    </a:xfrm>
                    <a:prstGeom prst="rect">
                      <a:avLst/>
                    </a:prstGeom>
                    <a:noFill/>
                    <a:ln>
                      <a:noFill/>
                    </a:ln>
                  </pic:spPr>
                </pic:pic>
              </a:graphicData>
            </a:graphic>
          </wp:anchor>
        </w:drawing>
      </w:r>
    </w:p>
    <w:p w14:paraId="3E35BCB8">
      <w:pPr>
        <w:jc w:val="center"/>
        <w:rPr>
          <w:rFonts w:hint="eastAsia" w:ascii="宋体" w:hAnsi="宋体"/>
          <w:b/>
          <w:bCs/>
          <w:color w:val="auto"/>
          <w:sz w:val="48"/>
          <w:szCs w:val="48"/>
          <w:highlight w:val="none"/>
        </w:rPr>
      </w:pPr>
    </w:p>
    <w:p w14:paraId="67747837">
      <w:pPr>
        <w:jc w:val="center"/>
        <w:rPr>
          <w:rFonts w:hint="eastAsia" w:ascii="宋体" w:hAnsi="宋体"/>
          <w:b/>
          <w:bCs/>
          <w:color w:val="auto"/>
          <w:sz w:val="48"/>
          <w:szCs w:val="48"/>
          <w:highlight w:val="none"/>
        </w:rPr>
      </w:pPr>
      <w:r>
        <w:rPr>
          <w:rFonts w:hint="eastAsia" w:ascii="宋体" w:hAnsi="宋体"/>
          <w:b/>
          <w:bCs/>
          <w:color w:val="auto"/>
          <w:sz w:val="48"/>
          <w:szCs w:val="48"/>
          <w:highlight w:val="none"/>
        </w:rPr>
        <w:t>广西中信恒泰工程顾问有限公司</w:t>
      </w:r>
    </w:p>
    <w:p w14:paraId="557E4268">
      <w:pPr>
        <w:jc w:val="center"/>
        <w:rPr>
          <w:rFonts w:hint="eastAsia" w:ascii="宋体" w:hAnsi="宋体"/>
          <w:b/>
          <w:bCs/>
          <w:color w:val="auto"/>
          <w:sz w:val="30"/>
          <w:szCs w:val="30"/>
          <w:highlight w:val="none"/>
        </w:rPr>
      </w:pPr>
      <w:r>
        <w:rPr>
          <w:rFonts w:hint="eastAsia" w:ascii="宋体" w:hAnsi="宋体"/>
          <w:b/>
          <w:color w:val="auto"/>
          <w:sz w:val="30"/>
          <w:szCs w:val="30"/>
          <w:highlight w:val="none"/>
        </w:rPr>
        <w:t xml:space="preserve">Guangxi Zhongxinhengtai </w:t>
      </w:r>
      <w:r>
        <w:rPr>
          <w:rFonts w:hint="eastAsia" w:ascii="宋体" w:hAnsi="宋体"/>
          <w:b/>
          <w:caps/>
          <w:color w:val="auto"/>
          <w:sz w:val="30"/>
          <w:szCs w:val="30"/>
          <w:highlight w:val="none"/>
        </w:rPr>
        <w:t>e</w:t>
      </w:r>
      <w:r>
        <w:rPr>
          <w:rFonts w:hint="eastAsia" w:ascii="宋体" w:hAnsi="宋体"/>
          <w:b/>
          <w:color w:val="auto"/>
          <w:sz w:val="30"/>
          <w:szCs w:val="30"/>
          <w:highlight w:val="none"/>
        </w:rPr>
        <w:t xml:space="preserve">ngineering </w:t>
      </w:r>
      <w:r>
        <w:rPr>
          <w:rFonts w:hint="eastAsia" w:ascii="宋体" w:hAnsi="宋体"/>
          <w:b/>
          <w:caps/>
          <w:color w:val="auto"/>
          <w:sz w:val="30"/>
          <w:szCs w:val="30"/>
          <w:highlight w:val="none"/>
        </w:rPr>
        <w:t>c</w:t>
      </w:r>
      <w:r>
        <w:rPr>
          <w:rFonts w:hint="eastAsia" w:ascii="宋体" w:hAnsi="宋体"/>
          <w:b/>
          <w:color w:val="auto"/>
          <w:sz w:val="30"/>
          <w:szCs w:val="30"/>
          <w:highlight w:val="none"/>
        </w:rPr>
        <w:t xml:space="preserve">onsulting </w:t>
      </w:r>
      <w:r>
        <w:rPr>
          <w:rFonts w:hint="eastAsia" w:ascii="宋体" w:hAnsi="宋体"/>
          <w:b/>
          <w:caps/>
          <w:color w:val="auto"/>
          <w:sz w:val="30"/>
          <w:szCs w:val="30"/>
          <w:highlight w:val="none"/>
        </w:rPr>
        <w:t>c</w:t>
      </w:r>
      <w:r>
        <w:rPr>
          <w:rFonts w:hint="eastAsia" w:ascii="宋体" w:hAnsi="宋体"/>
          <w:b/>
          <w:color w:val="auto"/>
          <w:sz w:val="30"/>
          <w:szCs w:val="30"/>
          <w:highlight w:val="none"/>
        </w:rPr>
        <w:t xml:space="preserve">o., </w:t>
      </w:r>
      <w:r>
        <w:rPr>
          <w:rFonts w:hint="eastAsia" w:ascii="宋体" w:hAnsi="宋体"/>
          <w:b/>
          <w:caps/>
          <w:color w:val="auto"/>
          <w:sz w:val="30"/>
          <w:szCs w:val="30"/>
          <w:highlight w:val="none"/>
        </w:rPr>
        <w:t>l</w:t>
      </w:r>
      <w:r>
        <w:rPr>
          <w:rFonts w:hint="eastAsia" w:ascii="宋体" w:hAnsi="宋体"/>
          <w:b/>
          <w:color w:val="auto"/>
          <w:sz w:val="30"/>
          <w:szCs w:val="30"/>
          <w:highlight w:val="none"/>
        </w:rPr>
        <w:t>td</w:t>
      </w:r>
    </w:p>
    <w:p w14:paraId="44213C76">
      <w:pPr>
        <w:spacing w:after="120"/>
        <w:ind w:firstLine="400"/>
        <w:rPr>
          <w:rFonts w:hint="eastAsia" w:ascii="宋体" w:hAnsi="宋体"/>
          <w:color w:val="auto"/>
          <w:szCs w:val="21"/>
          <w:highlight w:val="none"/>
        </w:rPr>
      </w:pPr>
      <w:r>
        <w:rPr>
          <w:rFonts w:ascii="宋体" w:hAnsi="宋体"/>
          <w:color w:val="auto"/>
          <w:sz w:val="20"/>
          <w:highlight w:val="none"/>
          <w:u w:val="single"/>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58420</wp:posOffset>
                </wp:positionV>
                <wp:extent cx="5944235" cy="8255"/>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6.75pt;margin-top:4.6pt;height:0.65pt;width:468.05pt;z-index:251660288;mso-width-relative:page;mso-height-relative:page;" filled="f" stroked="t" coordsize="21600,21600" o:gfxdata="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I3WvVAAAABwEAAA8AAAAAAAAAAQAgAAAAIgAAAGRycy9kb3du&#10;cmV2LnhtbFBLAQIUABQAAAAIAIdO4kCZeIBsAgIAAAAEAAAOAAAAAAAAAAEAIAAAACQBAABkcnMv&#10;ZTJvRG9jLnhtbFBLBQYAAAAABgAGAFkBAACYBQAAAAA=&#10;">
                <v:fill on="f" focussize="0,0"/>
                <v:stroke weight="2.25pt" color="#000000" joinstyle="round"/>
                <v:imagedata o:title=""/>
                <o:lock v:ext="edit" aspectratio="f"/>
              </v:line>
            </w:pict>
          </mc:Fallback>
        </mc:AlternateContent>
      </w:r>
      <w:r>
        <w:rPr>
          <w:rFonts w:hint="eastAsia" w:ascii="宋体" w:hAnsi="宋体"/>
          <w:b/>
          <w:bCs/>
          <w:color w:val="auto"/>
          <w:sz w:val="10"/>
          <w:highlight w:val="none"/>
        </w:rPr>
        <w:t xml:space="preserve">                                                                                                </w:t>
      </w:r>
    </w:p>
    <w:p w14:paraId="306E50D0">
      <w:pPr>
        <w:spacing w:line="360" w:lineRule="auto"/>
        <w:jc w:val="center"/>
        <w:rPr>
          <w:rFonts w:hint="eastAsia" w:ascii="宋体" w:hAnsi="宋体"/>
          <w:color w:val="auto"/>
          <w:highlight w:val="none"/>
        </w:rPr>
      </w:pPr>
    </w:p>
    <w:p w14:paraId="2499F0B8">
      <w:pPr>
        <w:spacing w:before="120" w:beforeLines="50"/>
        <w:jc w:val="center"/>
        <w:rPr>
          <w:rFonts w:ascii="宋体" w:hAnsi="宋体"/>
          <w:color w:val="auto"/>
          <w:sz w:val="52"/>
          <w:szCs w:val="52"/>
          <w:highlight w:val="none"/>
        </w:rPr>
      </w:pPr>
      <w:r>
        <w:rPr>
          <w:rFonts w:hint="eastAsia" w:ascii="宋体" w:hAnsi="宋体"/>
          <w:color w:val="auto"/>
          <w:sz w:val="52"/>
          <w:szCs w:val="52"/>
          <w:highlight w:val="none"/>
        </w:rPr>
        <w:t>政府采购公开招标文件</w:t>
      </w:r>
    </w:p>
    <w:p w14:paraId="3C58866A">
      <w:pPr>
        <w:spacing w:line="360" w:lineRule="auto"/>
        <w:jc w:val="center"/>
        <w:rPr>
          <w:rFonts w:hint="eastAsia" w:ascii="宋体" w:hAnsi="宋体" w:cs="方正小标宋简体"/>
          <w:b/>
          <w:color w:val="auto"/>
          <w:sz w:val="44"/>
          <w:szCs w:val="44"/>
          <w:highlight w:val="none"/>
        </w:rPr>
      </w:pPr>
      <w:r>
        <w:rPr>
          <w:rFonts w:hint="eastAsia" w:ascii="宋体" w:hAnsi="宋体"/>
          <w:color w:val="auto"/>
          <w:sz w:val="52"/>
          <w:szCs w:val="52"/>
          <w:highlight w:val="none"/>
        </w:rPr>
        <w:t>（</w:t>
      </w:r>
      <w:r>
        <w:rPr>
          <w:rFonts w:hint="eastAsia" w:ascii="宋体" w:hAnsi="宋体"/>
          <w:color w:val="auto"/>
          <w:sz w:val="52"/>
          <w:szCs w:val="52"/>
          <w:highlight w:val="none"/>
          <w:lang w:eastAsia="zh-CN"/>
        </w:rPr>
        <w:t>服务</w:t>
      </w:r>
      <w:r>
        <w:rPr>
          <w:rFonts w:hint="eastAsia" w:ascii="宋体" w:hAnsi="宋体"/>
          <w:color w:val="auto"/>
          <w:sz w:val="52"/>
          <w:szCs w:val="52"/>
          <w:highlight w:val="none"/>
        </w:rPr>
        <w:t>类）</w:t>
      </w:r>
    </w:p>
    <w:p w14:paraId="30CF4006">
      <w:pPr>
        <w:rPr>
          <w:rFonts w:hint="eastAsia"/>
          <w:color w:val="auto"/>
          <w:highlight w:val="none"/>
        </w:rPr>
      </w:pPr>
    </w:p>
    <w:p w14:paraId="74F55FDA">
      <w:pPr>
        <w:snapToGrid w:val="0"/>
        <w:spacing w:before="120" w:beforeLines="50" w:line="360" w:lineRule="auto"/>
        <w:jc w:val="center"/>
        <w:rPr>
          <w:rFonts w:hint="eastAsia" w:ascii="宋体" w:hAnsi="宋体"/>
          <w:color w:val="auto"/>
          <w:sz w:val="72"/>
          <w:szCs w:val="72"/>
          <w:highlight w:val="none"/>
        </w:rPr>
      </w:pPr>
      <w:r>
        <w:rPr>
          <w:rFonts w:hint="eastAsia" w:ascii="宋体" w:hAnsi="宋体"/>
          <w:color w:val="auto"/>
          <w:sz w:val="72"/>
          <w:szCs w:val="72"/>
          <w:highlight w:val="none"/>
        </w:rPr>
        <w:t>招 标 文 件</w:t>
      </w:r>
    </w:p>
    <w:p w14:paraId="51246807">
      <w:pPr>
        <w:rPr>
          <w:rFonts w:hint="eastAsia"/>
          <w:color w:val="auto"/>
          <w:highlight w:val="none"/>
        </w:rPr>
      </w:pPr>
    </w:p>
    <w:p w14:paraId="37512E63">
      <w:pPr>
        <w:snapToGrid w:val="0"/>
        <w:spacing w:before="120" w:beforeLines="50" w:line="360" w:lineRule="auto"/>
        <w:jc w:val="center"/>
        <w:rPr>
          <w:rFonts w:ascii="宋体" w:hAnsi="宋体"/>
          <w:b/>
          <w:color w:val="auto"/>
          <w:sz w:val="48"/>
          <w:szCs w:val="48"/>
          <w:highlight w:val="none"/>
        </w:rPr>
      </w:pPr>
      <w:r>
        <w:rPr>
          <w:rFonts w:hint="eastAsia" w:ascii="宋体" w:hAnsi="宋体"/>
          <w:b/>
          <w:color w:val="auto"/>
          <w:sz w:val="48"/>
          <w:szCs w:val="48"/>
          <w:highlight w:val="none"/>
        </w:rPr>
        <w:t>（全流程电子化采购）</w:t>
      </w:r>
    </w:p>
    <w:p w14:paraId="3AFB44E9">
      <w:pPr>
        <w:pStyle w:val="24"/>
        <w:snapToGrid w:val="0"/>
        <w:spacing w:line="360" w:lineRule="auto"/>
        <w:ind w:firstLine="1560" w:firstLineChars="518"/>
        <w:rPr>
          <w:rFonts w:hint="eastAsia" w:hAnsi="宋体"/>
          <w:b/>
          <w:bCs/>
          <w:color w:val="auto"/>
          <w:sz w:val="30"/>
          <w:szCs w:val="30"/>
          <w:highlight w:val="none"/>
        </w:rPr>
      </w:pPr>
    </w:p>
    <w:p w14:paraId="5082D30F">
      <w:pPr>
        <w:pStyle w:val="24"/>
        <w:snapToGrid w:val="0"/>
        <w:spacing w:line="360" w:lineRule="auto"/>
        <w:ind w:firstLine="1560" w:firstLineChars="518"/>
        <w:rPr>
          <w:rFonts w:hint="eastAsia" w:hAnsi="宋体"/>
          <w:b/>
          <w:bCs/>
          <w:color w:val="auto"/>
          <w:sz w:val="30"/>
          <w:szCs w:val="30"/>
          <w:highlight w:val="none"/>
        </w:rPr>
      </w:pPr>
    </w:p>
    <w:p w14:paraId="77E8AE9D">
      <w:pPr>
        <w:pStyle w:val="24"/>
        <w:snapToGrid w:val="0"/>
        <w:spacing w:line="360" w:lineRule="auto"/>
        <w:ind w:firstLine="1419" w:firstLineChars="471"/>
        <w:rPr>
          <w:rFonts w:hint="eastAsia" w:hAnsi="宋体" w:eastAsia="宋体"/>
          <w:b/>
          <w:bCs/>
          <w:color w:val="auto"/>
          <w:sz w:val="30"/>
          <w:szCs w:val="30"/>
          <w:highlight w:val="none"/>
          <w:lang w:val="en-US" w:eastAsia="zh-CN"/>
        </w:rPr>
      </w:pPr>
      <w:r>
        <w:rPr>
          <w:rFonts w:hint="eastAsia" w:hAnsi="宋体"/>
          <w:b/>
          <w:bCs/>
          <w:color w:val="auto"/>
          <w:sz w:val="30"/>
          <w:szCs w:val="30"/>
          <w:highlight w:val="none"/>
        </w:rPr>
        <w:t>项目</w:t>
      </w:r>
      <w:r>
        <w:rPr>
          <w:rFonts w:hint="eastAsia" w:hAnsi="宋体" w:cs="Courier New"/>
          <w:b/>
          <w:bCs/>
          <w:color w:val="auto"/>
          <w:w w:val="95"/>
          <w:sz w:val="30"/>
          <w:szCs w:val="30"/>
          <w:highlight w:val="none"/>
        </w:rPr>
        <w:t>名称</w:t>
      </w:r>
      <w:r>
        <w:rPr>
          <w:rFonts w:hint="eastAsia" w:hAnsi="宋体"/>
          <w:b/>
          <w:bCs/>
          <w:color w:val="auto"/>
          <w:sz w:val="30"/>
          <w:szCs w:val="30"/>
          <w:highlight w:val="none"/>
        </w:rPr>
        <w:t>：</w:t>
      </w:r>
      <w:r>
        <w:rPr>
          <w:rFonts w:hint="eastAsia" w:hAnsi="宋体"/>
          <w:b/>
          <w:bCs/>
          <w:color w:val="auto"/>
          <w:sz w:val="30"/>
          <w:szCs w:val="30"/>
          <w:highlight w:val="none"/>
          <w:lang w:eastAsia="zh-CN"/>
        </w:rPr>
        <w:t>蒙山县环卫服务一体化管理项目</w:t>
      </w:r>
    </w:p>
    <w:p w14:paraId="75A575DF">
      <w:pPr>
        <w:pStyle w:val="24"/>
        <w:snapToGrid w:val="0"/>
        <w:spacing w:line="360" w:lineRule="auto"/>
        <w:ind w:firstLine="1482" w:firstLineChars="518"/>
        <w:rPr>
          <w:rFonts w:hint="eastAsia" w:hAnsi="宋体" w:eastAsia="宋体"/>
          <w:b/>
          <w:bCs/>
          <w:color w:val="auto"/>
          <w:sz w:val="30"/>
          <w:szCs w:val="30"/>
          <w:highlight w:val="none"/>
          <w:lang w:eastAsia="zh-CN"/>
        </w:rPr>
      </w:pPr>
      <w:r>
        <w:rPr>
          <w:rFonts w:hint="eastAsia" w:hAnsi="宋体" w:cs="Courier New"/>
          <w:b/>
          <w:bCs/>
          <w:color w:val="auto"/>
          <w:w w:val="95"/>
          <w:sz w:val="30"/>
          <w:szCs w:val="30"/>
          <w:highlight w:val="none"/>
        </w:rPr>
        <w:t>项目</w:t>
      </w:r>
      <w:r>
        <w:rPr>
          <w:rFonts w:hint="eastAsia" w:hAnsi="宋体"/>
          <w:b/>
          <w:bCs/>
          <w:color w:val="auto"/>
          <w:sz w:val="30"/>
          <w:szCs w:val="30"/>
          <w:highlight w:val="none"/>
        </w:rPr>
        <w:t>编号</w:t>
      </w:r>
      <w:r>
        <w:rPr>
          <w:rFonts w:hint="eastAsia" w:hAnsi="宋体" w:cs="Courier New"/>
          <w:b/>
          <w:bCs/>
          <w:color w:val="auto"/>
          <w:w w:val="95"/>
          <w:sz w:val="30"/>
          <w:szCs w:val="30"/>
          <w:highlight w:val="none"/>
        </w:rPr>
        <w:t>：</w:t>
      </w:r>
      <w:r>
        <w:rPr>
          <w:rFonts w:hint="eastAsia" w:hAnsi="宋体" w:cs="Courier New"/>
          <w:b/>
          <w:bCs/>
          <w:color w:val="auto"/>
          <w:w w:val="95"/>
          <w:sz w:val="30"/>
          <w:szCs w:val="30"/>
          <w:highlight w:val="none"/>
          <w:lang w:eastAsia="zh-CN"/>
        </w:rPr>
        <w:t xml:space="preserve"> </w:t>
      </w:r>
    </w:p>
    <w:p w14:paraId="61EF1D0B">
      <w:pPr>
        <w:pStyle w:val="24"/>
        <w:snapToGrid w:val="0"/>
        <w:spacing w:line="360" w:lineRule="auto"/>
        <w:ind w:firstLine="1482" w:firstLineChars="518"/>
        <w:rPr>
          <w:rFonts w:hint="eastAsia" w:hAnsi="宋体" w:eastAsia="宋体"/>
          <w:b/>
          <w:bCs/>
          <w:color w:val="auto"/>
          <w:w w:val="95"/>
          <w:sz w:val="30"/>
          <w:szCs w:val="30"/>
          <w:highlight w:val="none"/>
          <w:lang w:val="en-US" w:eastAsia="zh-CN"/>
        </w:rPr>
      </w:pPr>
      <w:r>
        <w:rPr>
          <w:rFonts w:hint="eastAsia" w:hAnsi="宋体"/>
          <w:b/>
          <w:bCs/>
          <w:color w:val="auto"/>
          <w:w w:val="95"/>
          <w:sz w:val="30"/>
          <w:szCs w:val="30"/>
          <w:highlight w:val="none"/>
        </w:rPr>
        <w:t>采购人：</w:t>
      </w:r>
      <w:r>
        <w:rPr>
          <w:rFonts w:hint="eastAsia" w:hAnsi="宋体"/>
          <w:b/>
          <w:bCs/>
          <w:color w:val="auto"/>
          <w:w w:val="95"/>
          <w:sz w:val="30"/>
          <w:szCs w:val="30"/>
          <w:highlight w:val="none"/>
          <w:lang w:eastAsia="zh-CN"/>
        </w:rPr>
        <w:t xml:space="preserve"> 蒙山县城镇环境卫生管理站</w:t>
      </w:r>
    </w:p>
    <w:p w14:paraId="32DC13EA">
      <w:pPr>
        <w:pStyle w:val="24"/>
        <w:snapToGrid w:val="0"/>
        <w:spacing w:line="360" w:lineRule="auto"/>
        <w:ind w:firstLine="1482" w:firstLineChars="518"/>
        <w:rPr>
          <w:rFonts w:hint="eastAsia" w:hAnsi="宋体"/>
          <w:b/>
          <w:bCs/>
          <w:color w:val="auto"/>
          <w:w w:val="95"/>
          <w:sz w:val="30"/>
          <w:szCs w:val="30"/>
          <w:highlight w:val="none"/>
        </w:rPr>
      </w:pPr>
      <w:r>
        <w:rPr>
          <w:rFonts w:hint="eastAsia" w:hAnsi="宋体"/>
          <w:b/>
          <w:bCs/>
          <w:color w:val="auto"/>
          <w:w w:val="95"/>
          <w:sz w:val="30"/>
          <w:szCs w:val="30"/>
          <w:highlight w:val="none"/>
        </w:rPr>
        <w:t>采购代理机构：广西中信恒泰工程顾问有限公司</w:t>
      </w:r>
    </w:p>
    <w:p w14:paraId="2F236183">
      <w:pPr>
        <w:rPr>
          <w:rFonts w:hint="eastAsia"/>
          <w:color w:val="auto"/>
          <w:highlight w:val="none"/>
        </w:rPr>
      </w:pPr>
    </w:p>
    <w:p w14:paraId="74DA144F">
      <w:pPr>
        <w:spacing w:line="360" w:lineRule="auto"/>
        <w:jc w:val="center"/>
        <w:rPr>
          <w:rFonts w:hint="eastAsia" w:hAnsi="宋体"/>
          <w:b/>
          <w:bCs/>
          <w:color w:val="auto"/>
          <w:w w:val="95"/>
          <w:sz w:val="30"/>
          <w:szCs w:val="30"/>
          <w:highlight w:val="none"/>
          <w:lang w:eastAsia="zh-CN"/>
        </w:rPr>
        <w:sectPr>
          <w:headerReference r:id="rId3" w:type="first"/>
          <w:footerReference r:id="rId5" w:type="first"/>
          <w:footerReference r:id="rId4" w:type="default"/>
          <w:pgSz w:w="11910" w:h="16840"/>
          <w:pgMar w:top="1304" w:right="1247" w:bottom="1304" w:left="1247" w:header="720" w:footer="720" w:gutter="0"/>
          <w:pgNumType w:start="0"/>
          <w:cols w:space="720" w:num="1"/>
          <w:titlePg/>
          <w:docGrid w:linePitch="286" w:charSpace="0"/>
        </w:sectPr>
      </w:pPr>
      <w:r>
        <w:rPr>
          <w:rFonts w:hint="eastAsia" w:hAnsi="宋体"/>
          <w:b/>
          <w:bCs/>
          <w:color w:val="auto"/>
          <w:w w:val="95"/>
          <w:sz w:val="30"/>
          <w:szCs w:val="30"/>
          <w:highlight w:val="none"/>
          <w:lang w:eastAsia="zh-CN"/>
        </w:rPr>
        <w:t>202</w:t>
      </w:r>
      <w:r>
        <w:rPr>
          <w:rFonts w:hint="eastAsia" w:hAnsi="宋体"/>
          <w:b/>
          <w:bCs/>
          <w:color w:val="auto"/>
          <w:w w:val="95"/>
          <w:sz w:val="30"/>
          <w:szCs w:val="30"/>
          <w:highlight w:val="none"/>
          <w:lang w:val="en-US" w:eastAsia="zh-CN"/>
        </w:rPr>
        <w:t>6</w:t>
      </w:r>
      <w:r>
        <w:rPr>
          <w:rFonts w:hint="eastAsia" w:hAnsi="宋体"/>
          <w:b/>
          <w:bCs/>
          <w:color w:val="auto"/>
          <w:w w:val="95"/>
          <w:sz w:val="30"/>
          <w:szCs w:val="30"/>
          <w:highlight w:val="none"/>
          <w:lang w:eastAsia="zh-CN"/>
        </w:rPr>
        <w:t>年</w:t>
      </w:r>
      <w:r>
        <w:rPr>
          <w:rFonts w:hint="eastAsia" w:hAnsi="宋体"/>
          <w:b/>
          <w:bCs/>
          <w:color w:val="auto"/>
          <w:w w:val="95"/>
          <w:sz w:val="30"/>
          <w:szCs w:val="30"/>
          <w:highlight w:val="none"/>
          <w:lang w:val="en-US" w:eastAsia="zh-CN"/>
        </w:rPr>
        <w:t>5</w:t>
      </w:r>
      <w:r>
        <w:rPr>
          <w:rFonts w:hint="eastAsia" w:hAnsi="宋体"/>
          <w:b/>
          <w:bCs/>
          <w:color w:val="auto"/>
          <w:w w:val="95"/>
          <w:sz w:val="30"/>
          <w:szCs w:val="30"/>
          <w:highlight w:val="none"/>
          <w:lang w:eastAsia="zh-CN"/>
        </w:rPr>
        <w:t>月</w:t>
      </w:r>
    </w:p>
    <w:p w14:paraId="22A89588">
      <w:pPr>
        <w:spacing w:line="360" w:lineRule="auto"/>
        <w:jc w:val="center"/>
        <w:rPr>
          <w:rFonts w:hint="eastAsia" w:ascii="宋体" w:hAnsi="宋体" w:cs="宋体"/>
          <w:b/>
          <w:color w:val="auto"/>
          <w:sz w:val="44"/>
          <w:szCs w:val="44"/>
        </w:rPr>
      </w:pPr>
      <w:r>
        <w:rPr>
          <w:rFonts w:hint="eastAsia" w:ascii="宋体" w:hAnsi="宋体" w:cs="宋体"/>
          <w:b/>
          <w:color w:val="auto"/>
          <w:sz w:val="44"/>
          <w:szCs w:val="44"/>
        </w:rPr>
        <w:t>目 录</w:t>
      </w:r>
    </w:p>
    <w:p w14:paraId="31DED0CA">
      <w:pPr>
        <w:pStyle w:val="32"/>
        <w:tabs>
          <w:tab w:val="right" w:leader="dot" w:pos="9188"/>
          <w:tab w:val="clear" w:pos="8398"/>
        </w:tabs>
        <w:spacing w:line="360" w:lineRule="auto"/>
        <w:rPr>
          <w:color w:val="auto"/>
          <w:sz w:val="28"/>
          <w:szCs w:val="28"/>
        </w:rPr>
      </w:pPr>
      <w:r>
        <w:rPr>
          <w:rFonts w:hint="eastAsia" w:cs="宋体"/>
          <w:b w:val="0"/>
          <w:color w:val="auto"/>
          <w:sz w:val="28"/>
          <w:szCs w:val="28"/>
        </w:rPr>
        <w:fldChar w:fldCharType="begin"/>
      </w:r>
      <w:r>
        <w:rPr>
          <w:rFonts w:hint="eastAsia" w:cs="宋体"/>
          <w:b w:val="0"/>
          <w:color w:val="auto"/>
          <w:sz w:val="28"/>
          <w:szCs w:val="28"/>
        </w:rPr>
        <w:instrText xml:space="preserve"> TOC \o "1-2" \h \z \u </w:instrText>
      </w:r>
      <w:r>
        <w:rPr>
          <w:rFonts w:hint="eastAsia" w:cs="宋体"/>
          <w:b w:val="0"/>
          <w:color w:val="auto"/>
          <w:sz w:val="28"/>
          <w:szCs w:val="28"/>
        </w:rPr>
        <w:fldChar w:fldCharType="separate"/>
      </w:r>
      <w:r>
        <w:rPr>
          <w:rFonts w:hint="eastAsia" w:cs="宋体"/>
          <w:color w:val="auto"/>
          <w:sz w:val="28"/>
          <w:szCs w:val="28"/>
        </w:rPr>
        <w:fldChar w:fldCharType="begin"/>
      </w:r>
      <w:r>
        <w:rPr>
          <w:rFonts w:hint="eastAsia" w:cs="宋体"/>
          <w:color w:val="auto"/>
          <w:sz w:val="28"/>
          <w:szCs w:val="28"/>
        </w:rPr>
        <w:instrText xml:space="preserve"> HYPERLINK \l _Toc17904 </w:instrText>
      </w:r>
      <w:r>
        <w:rPr>
          <w:rFonts w:hint="eastAsia" w:cs="宋体"/>
          <w:color w:val="auto"/>
          <w:sz w:val="28"/>
          <w:szCs w:val="28"/>
        </w:rPr>
        <w:fldChar w:fldCharType="separate"/>
      </w:r>
      <w:r>
        <w:rPr>
          <w:rFonts w:hint="eastAsia" w:ascii="宋体" w:hAnsi="宋体" w:cs="宋体"/>
          <w:color w:val="auto"/>
          <w:sz w:val="28"/>
          <w:szCs w:val="28"/>
        </w:rPr>
        <w:t xml:space="preserve">第一章 </w:t>
      </w:r>
      <w:r>
        <w:rPr>
          <w:rFonts w:hint="eastAsia" w:cs="宋体"/>
          <w:color w:val="auto"/>
          <w:sz w:val="28"/>
          <w:szCs w:val="28"/>
          <w:lang w:val="en-US" w:eastAsia="zh-CN"/>
        </w:rPr>
        <w:t xml:space="preserve"> </w:t>
      </w:r>
      <w:r>
        <w:rPr>
          <w:rFonts w:hint="eastAsia" w:ascii="宋体" w:hAnsi="宋体" w:cs="宋体"/>
          <w:color w:val="auto"/>
          <w:sz w:val="28"/>
          <w:szCs w:val="28"/>
        </w:rPr>
        <w:t>招标公告</w:t>
      </w:r>
      <w:r>
        <w:rPr>
          <w:color w:val="auto"/>
          <w:sz w:val="28"/>
          <w:szCs w:val="28"/>
        </w:rPr>
        <w:tab/>
      </w:r>
      <w:r>
        <w:rPr>
          <w:color w:val="auto"/>
          <w:sz w:val="28"/>
          <w:szCs w:val="28"/>
        </w:rPr>
        <w:fldChar w:fldCharType="begin"/>
      </w:r>
      <w:r>
        <w:rPr>
          <w:color w:val="auto"/>
          <w:sz w:val="28"/>
          <w:szCs w:val="28"/>
        </w:rPr>
        <w:instrText xml:space="preserve"> PAGEREF _Toc17904 \h </w:instrText>
      </w:r>
      <w:r>
        <w:rPr>
          <w:color w:val="auto"/>
          <w:sz w:val="28"/>
          <w:szCs w:val="28"/>
        </w:rPr>
        <w:fldChar w:fldCharType="separate"/>
      </w:r>
      <w:r>
        <w:rPr>
          <w:color w:val="auto"/>
          <w:sz w:val="28"/>
          <w:szCs w:val="28"/>
        </w:rPr>
        <w:t>2</w:t>
      </w:r>
      <w:r>
        <w:rPr>
          <w:color w:val="auto"/>
          <w:sz w:val="28"/>
          <w:szCs w:val="28"/>
        </w:rPr>
        <w:fldChar w:fldCharType="end"/>
      </w:r>
      <w:r>
        <w:rPr>
          <w:rFonts w:hint="eastAsia" w:cs="宋体"/>
          <w:color w:val="auto"/>
          <w:sz w:val="28"/>
          <w:szCs w:val="28"/>
        </w:rPr>
        <w:fldChar w:fldCharType="end"/>
      </w:r>
    </w:p>
    <w:p w14:paraId="50EFBAAD">
      <w:pPr>
        <w:pStyle w:val="32"/>
        <w:tabs>
          <w:tab w:val="right" w:leader="dot" w:pos="9188"/>
          <w:tab w:val="clear" w:pos="8398"/>
        </w:tabs>
        <w:spacing w:line="360" w:lineRule="auto"/>
        <w:rPr>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_Toc21521 </w:instrText>
      </w:r>
      <w:r>
        <w:rPr>
          <w:rFonts w:hint="eastAsia" w:ascii="宋体" w:hAnsi="宋体" w:cs="宋体"/>
          <w:color w:val="auto"/>
          <w:sz w:val="28"/>
          <w:szCs w:val="28"/>
        </w:rPr>
        <w:fldChar w:fldCharType="separate"/>
      </w:r>
      <w:r>
        <w:rPr>
          <w:rFonts w:hint="eastAsia" w:ascii="宋体" w:hAnsi="宋体" w:cs="宋体"/>
          <w:bCs/>
          <w:color w:val="auto"/>
          <w:sz w:val="28"/>
          <w:szCs w:val="28"/>
        </w:rPr>
        <w:t>第二章  采购需求</w:t>
      </w:r>
      <w:r>
        <w:rPr>
          <w:color w:val="auto"/>
          <w:sz w:val="28"/>
          <w:szCs w:val="28"/>
        </w:rPr>
        <w:tab/>
      </w:r>
      <w:r>
        <w:rPr>
          <w:color w:val="auto"/>
          <w:sz w:val="28"/>
          <w:szCs w:val="28"/>
        </w:rPr>
        <w:fldChar w:fldCharType="begin"/>
      </w:r>
      <w:r>
        <w:rPr>
          <w:color w:val="auto"/>
          <w:sz w:val="28"/>
          <w:szCs w:val="28"/>
        </w:rPr>
        <w:instrText xml:space="preserve"> PAGEREF _Toc21521 \h </w:instrText>
      </w:r>
      <w:r>
        <w:rPr>
          <w:color w:val="auto"/>
          <w:sz w:val="28"/>
          <w:szCs w:val="28"/>
        </w:rPr>
        <w:fldChar w:fldCharType="separate"/>
      </w:r>
      <w:r>
        <w:rPr>
          <w:color w:val="auto"/>
          <w:sz w:val="28"/>
          <w:szCs w:val="28"/>
        </w:rPr>
        <w:t>6</w:t>
      </w:r>
      <w:r>
        <w:rPr>
          <w:color w:val="auto"/>
          <w:sz w:val="28"/>
          <w:szCs w:val="28"/>
        </w:rPr>
        <w:fldChar w:fldCharType="end"/>
      </w:r>
      <w:r>
        <w:rPr>
          <w:rFonts w:hint="eastAsia" w:ascii="宋体" w:hAnsi="宋体" w:cs="宋体"/>
          <w:color w:val="auto"/>
          <w:sz w:val="28"/>
          <w:szCs w:val="28"/>
        </w:rPr>
        <w:fldChar w:fldCharType="end"/>
      </w:r>
    </w:p>
    <w:p w14:paraId="288349D5">
      <w:pPr>
        <w:pStyle w:val="32"/>
        <w:tabs>
          <w:tab w:val="right" w:leader="dot" w:pos="9188"/>
          <w:tab w:val="clear" w:pos="8398"/>
        </w:tabs>
        <w:spacing w:line="360" w:lineRule="auto"/>
        <w:rPr>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_Toc2468 </w:instrText>
      </w:r>
      <w:r>
        <w:rPr>
          <w:rFonts w:hint="eastAsia" w:ascii="宋体" w:hAnsi="宋体" w:cs="宋体"/>
          <w:color w:val="auto"/>
          <w:sz w:val="28"/>
          <w:szCs w:val="28"/>
        </w:rPr>
        <w:fldChar w:fldCharType="separate"/>
      </w:r>
      <w:r>
        <w:rPr>
          <w:rFonts w:hint="eastAsia" w:ascii="宋体" w:hAnsi="宋体" w:cs="宋体"/>
          <w:color w:val="auto"/>
          <w:sz w:val="28"/>
          <w:szCs w:val="28"/>
        </w:rPr>
        <w:t>第三章  投标人须知</w:t>
      </w:r>
      <w:r>
        <w:rPr>
          <w:color w:val="auto"/>
          <w:sz w:val="28"/>
          <w:szCs w:val="28"/>
        </w:rPr>
        <w:tab/>
      </w:r>
      <w:r>
        <w:rPr>
          <w:color w:val="auto"/>
          <w:sz w:val="28"/>
          <w:szCs w:val="28"/>
        </w:rPr>
        <w:fldChar w:fldCharType="begin"/>
      </w:r>
      <w:r>
        <w:rPr>
          <w:color w:val="auto"/>
          <w:sz w:val="28"/>
          <w:szCs w:val="28"/>
        </w:rPr>
        <w:instrText xml:space="preserve"> PAGEREF _Toc2468 \h </w:instrText>
      </w:r>
      <w:r>
        <w:rPr>
          <w:color w:val="auto"/>
          <w:sz w:val="28"/>
          <w:szCs w:val="28"/>
        </w:rPr>
        <w:fldChar w:fldCharType="separate"/>
      </w:r>
      <w:r>
        <w:rPr>
          <w:color w:val="auto"/>
          <w:sz w:val="28"/>
          <w:szCs w:val="28"/>
        </w:rPr>
        <w:t>23</w:t>
      </w:r>
      <w:r>
        <w:rPr>
          <w:color w:val="auto"/>
          <w:sz w:val="28"/>
          <w:szCs w:val="28"/>
        </w:rPr>
        <w:fldChar w:fldCharType="end"/>
      </w:r>
      <w:r>
        <w:rPr>
          <w:rFonts w:hint="eastAsia" w:ascii="宋体" w:hAnsi="宋体" w:cs="宋体"/>
          <w:color w:val="auto"/>
          <w:sz w:val="28"/>
          <w:szCs w:val="28"/>
        </w:rPr>
        <w:fldChar w:fldCharType="end"/>
      </w:r>
    </w:p>
    <w:p w14:paraId="76AEF238">
      <w:pPr>
        <w:pStyle w:val="32"/>
        <w:tabs>
          <w:tab w:val="right" w:leader="dot" w:pos="9188"/>
          <w:tab w:val="clear" w:pos="8398"/>
        </w:tabs>
        <w:spacing w:line="360" w:lineRule="auto"/>
        <w:rPr>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_Toc4469 </w:instrText>
      </w:r>
      <w:r>
        <w:rPr>
          <w:rFonts w:hint="eastAsia" w:ascii="宋体" w:hAnsi="宋体" w:cs="宋体"/>
          <w:color w:val="auto"/>
          <w:sz w:val="28"/>
          <w:szCs w:val="28"/>
        </w:rPr>
        <w:fldChar w:fldCharType="separate"/>
      </w:r>
      <w:r>
        <w:rPr>
          <w:rFonts w:hint="eastAsia" w:ascii="宋体" w:hAnsi="宋体" w:cs="宋体"/>
          <w:color w:val="auto"/>
          <w:sz w:val="28"/>
          <w:szCs w:val="28"/>
        </w:rPr>
        <w:t>第四章  评标方法及评标标准</w:t>
      </w:r>
      <w:r>
        <w:rPr>
          <w:color w:val="auto"/>
          <w:sz w:val="28"/>
          <w:szCs w:val="28"/>
        </w:rPr>
        <w:tab/>
      </w:r>
      <w:r>
        <w:rPr>
          <w:color w:val="auto"/>
          <w:sz w:val="28"/>
          <w:szCs w:val="28"/>
        </w:rPr>
        <w:fldChar w:fldCharType="begin"/>
      </w:r>
      <w:r>
        <w:rPr>
          <w:color w:val="auto"/>
          <w:sz w:val="28"/>
          <w:szCs w:val="28"/>
        </w:rPr>
        <w:instrText xml:space="preserve"> PAGEREF _Toc4469 \h </w:instrText>
      </w:r>
      <w:r>
        <w:rPr>
          <w:color w:val="auto"/>
          <w:sz w:val="28"/>
          <w:szCs w:val="28"/>
        </w:rPr>
        <w:fldChar w:fldCharType="separate"/>
      </w:r>
      <w:r>
        <w:rPr>
          <w:color w:val="auto"/>
          <w:sz w:val="28"/>
          <w:szCs w:val="28"/>
        </w:rPr>
        <w:t>46</w:t>
      </w:r>
      <w:r>
        <w:rPr>
          <w:color w:val="auto"/>
          <w:sz w:val="28"/>
          <w:szCs w:val="28"/>
        </w:rPr>
        <w:fldChar w:fldCharType="end"/>
      </w:r>
      <w:r>
        <w:rPr>
          <w:rFonts w:hint="eastAsia" w:ascii="宋体" w:hAnsi="宋体" w:cs="宋体"/>
          <w:color w:val="auto"/>
          <w:sz w:val="28"/>
          <w:szCs w:val="28"/>
        </w:rPr>
        <w:fldChar w:fldCharType="end"/>
      </w:r>
    </w:p>
    <w:p w14:paraId="43B14A21">
      <w:pPr>
        <w:pStyle w:val="32"/>
        <w:tabs>
          <w:tab w:val="right" w:leader="dot" w:pos="9188"/>
          <w:tab w:val="clear" w:pos="8398"/>
        </w:tabs>
        <w:spacing w:line="360" w:lineRule="auto"/>
        <w:rPr>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_Toc26388 </w:instrText>
      </w:r>
      <w:r>
        <w:rPr>
          <w:rFonts w:hint="eastAsia" w:ascii="宋体" w:hAnsi="宋体" w:cs="宋体"/>
          <w:color w:val="auto"/>
          <w:sz w:val="28"/>
          <w:szCs w:val="28"/>
        </w:rPr>
        <w:fldChar w:fldCharType="separate"/>
      </w:r>
      <w:r>
        <w:rPr>
          <w:rFonts w:hint="eastAsia" w:ascii="宋体" w:hAnsi="宋体" w:cs="宋体"/>
          <w:color w:val="auto"/>
          <w:sz w:val="28"/>
          <w:szCs w:val="28"/>
        </w:rPr>
        <w:t>第五章  拟签订的合同文本</w:t>
      </w:r>
      <w:r>
        <w:rPr>
          <w:color w:val="auto"/>
          <w:sz w:val="28"/>
          <w:szCs w:val="28"/>
        </w:rPr>
        <w:tab/>
      </w:r>
      <w:r>
        <w:rPr>
          <w:color w:val="auto"/>
          <w:sz w:val="28"/>
          <w:szCs w:val="28"/>
        </w:rPr>
        <w:fldChar w:fldCharType="begin"/>
      </w:r>
      <w:r>
        <w:rPr>
          <w:color w:val="auto"/>
          <w:sz w:val="28"/>
          <w:szCs w:val="28"/>
        </w:rPr>
        <w:instrText xml:space="preserve"> PAGEREF _Toc26388 \h </w:instrText>
      </w:r>
      <w:r>
        <w:rPr>
          <w:color w:val="auto"/>
          <w:sz w:val="28"/>
          <w:szCs w:val="28"/>
        </w:rPr>
        <w:fldChar w:fldCharType="separate"/>
      </w:r>
      <w:r>
        <w:rPr>
          <w:color w:val="auto"/>
          <w:sz w:val="28"/>
          <w:szCs w:val="28"/>
        </w:rPr>
        <w:t>57</w:t>
      </w:r>
      <w:r>
        <w:rPr>
          <w:color w:val="auto"/>
          <w:sz w:val="28"/>
          <w:szCs w:val="28"/>
        </w:rPr>
        <w:fldChar w:fldCharType="end"/>
      </w:r>
      <w:r>
        <w:rPr>
          <w:rFonts w:hint="eastAsia" w:ascii="宋体" w:hAnsi="宋体" w:cs="宋体"/>
          <w:color w:val="auto"/>
          <w:sz w:val="28"/>
          <w:szCs w:val="28"/>
        </w:rPr>
        <w:fldChar w:fldCharType="end"/>
      </w:r>
    </w:p>
    <w:p w14:paraId="6655CD10">
      <w:pPr>
        <w:pStyle w:val="32"/>
        <w:tabs>
          <w:tab w:val="right" w:leader="dot" w:pos="9188"/>
          <w:tab w:val="clear" w:pos="8398"/>
        </w:tabs>
        <w:spacing w:line="360" w:lineRule="auto"/>
        <w:rPr>
          <w:color w:val="auto"/>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_Toc10994 </w:instrText>
      </w:r>
      <w:r>
        <w:rPr>
          <w:rFonts w:hint="eastAsia" w:ascii="宋体" w:hAnsi="宋体" w:cs="宋体"/>
          <w:color w:val="auto"/>
          <w:sz w:val="28"/>
          <w:szCs w:val="28"/>
        </w:rPr>
        <w:fldChar w:fldCharType="separate"/>
      </w:r>
      <w:r>
        <w:rPr>
          <w:rFonts w:hint="eastAsia" w:ascii="宋体" w:hAnsi="宋体" w:cs="宋体"/>
          <w:color w:val="auto"/>
          <w:sz w:val="28"/>
          <w:szCs w:val="28"/>
        </w:rPr>
        <w:t>第六章</w:t>
      </w:r>
      <w:r>
        <w:rPr>
          <w:rFonts w:hint="eastAsia" w:ascii="宋体" w:hAnsi="宋体" w:cs="宋体"/>
          <w:color w:val="auto"/>
          <w:sz w:val="28"/>
          <w:szCs w:val="28"/>
          <w:lang w:val="en-US" w:eastAsia="zh-CN"/>
        </w:rPr>
        <w:t xml:space="preserve">  </w:t>
      </w:r>
      <w:r>
        <w:rPr>
          <w:rFonts w:hint="eastAsia" w:ascii="宋体" w:hAnsi="宋体" w:cs="宋体"/>
          <w:color w:val="auto"/>
          <w:sz w:val="28"/>
          <w:szCs w:val="28"/>
        </w:rPr>
        <w:t>投标文件格式</w:t>
      </w:r>
      <w:r>
        <w:rPr>
          <w:color w:val="auto"/>
          <w:sz w:val="28"/>
          <w:szCs w:val="28"/>
        </w:rPr>
        <w:tab/>
      </w:r>
      <w:r>
        <w:rPr>
          <w:color w:val="auto"/>
          <w:sz w:val="28"/>
          <w:szCs w:val="28"/>
        </w:rPr>
        <w:fldChar w:fldCharType="begin"/>
      </w:r>
      <w:r>
        <w:rPr>
          <w:color w:val="auto"/>
          <w:sz w:val="28"/>
          <w:szCs w:val="28"/>
        </w:rPr>
        <w:instrText xml:space="preserve"> PAGEREF _Toc10994 \h </w:instrText>
      </w:r>
      <w:r>
        <w:rPr>
          <w:color w:val="auto"/>
          <w:sz w:val="28"/>
          <w:szCs w:val="28"/>
        </w:rPr>
        <w:fldChar w:fldCharType="separate"/>
      </w:r>
      <w:r>
        <w:rPr>
          <w:color w:val="auto"/>
          <w:sz w:val="28"/>
          <w:szCs w:val="28"/>
        </w:rPr>
        <w:t>76</w:t>
      </w:r>
      <w:r>
        <w:rPr>
          <w:color w:val="auto"/>
          <w:sz w:val="28"/>
          <w:szCs w:val="28"/>
        </w:rPr>
        <w:fldChar w:fldCharType="end"/>
      </w:r>
      <w:r>
        <w:rPr>
          <w:rFonts w:hint="eastAsia" w:ascii="宋体" w:hAnsi="宋体" w:cs="宋体"/>
          <w:color w:val="auto"/>
          <w:sz w:val="28"/>
          <w:szCs w:val="28"/>
        </w:rPr>
        <w:fldChar w:fldCharType="end"/>
      </w:r>
    </w:p>
    <w:p w14:paraId="47A5CF0A">
      <w:pPr>
        <w:tabs>
          <w:tab w:val="right" w:leader="dot" w:pos="8789"/>
        </w:tabs>
        <w:snapToGrid w:val="0"/>
        <w:spacing w:line="500" w:lineRule="atLeast"/>
        <w:rPr>
          <w:rFonts w:hint="eastAsia" w:ascii="宋体" w:hAnsi="宋体" w:cs="宋体"/>
          <w:color w:val="auto"/>
          <w:sz w:val="24"/>
        </w:rPr>
      </w:pPr>
      <w:r>
        <w:rPr>
          <w:rFonts w:hint="eastAsia" w:ascii="宋体" w:hAnsi="宋体" w:cs="宋体"/>
          <w:color w:val="auto"/>
          <w:szCs w:val="28"/>
        </w:rPr>
        <w:fldChar w:fldCharType="end"/>
      </w:r>
    </w:p>
    <w:p w14:paraId="30F7FF8D">
      <w:pPr>
        <w:spacing w:before="120" w:beforeLines="50" w:line="480" w:lineRule="exact"/>
        <w:rPr>
          <w:rFonts w:hint="eastAsia" w:ascii="宋体" w:hAnsi="宋体" w:cs="宋体"/>
          <w:color w:val="auto"/>
          <w:sz w:val="30"/>
        </w:rPr>
      </w:pPr>
    </w:p>
    <w:p w14:paraId="6825EB5F">
      <w:pPr>
        <w:rPr>
          <w:rFonts w:hint="eastAsia" w:ascii="宋体" w:hAnsi="宋体" w:cs="宋体"/>
          <w:color w:val="auto"/>
        </w:rPr>
      </w:pPr>
    </w:p>
    <w:p w14:paraId="481DD496">
      <w:pPr>
        <w:spacing w:before="120" w:beforeLines="50" w:line="480" w:lineRule="exact"/>
        <w:rPr>
          <w:rFonts w:hint="eastAsia" w:ascii="宋体" w:hAnsi="宋体" w:cs="宋体"/>
          <w:color w:val="auto"/>
          <w:sz w:val="30"/>
        </w:rPr>
      </w:pPr>
    </w:p>
    <w:p w14:paraId="3A1C8699">
      <w:pPr>
        <w:spacing w:before="120" w:beforeLines="50" w:line="480" w:lineRule="exact"/>
        <w:rPr>
          <w:rFonts w:hint="eastAsia" w:ascii="宋体" w:hAnsi="宋体" w:cs="宋体"/>
          <w:color w:val="auto"/>
          <w:sz w:val="30"/>
        </w:rPr>
      </w:pPr>
    </w:p>
    <w:p w14:paraId="4B8B6726">
      <w:pPr>
        <w:pStyle w:val="16"/>
        <w:rPr>
          <w:rFonts w:hint="eastAsia" w:ascii="宋体" w:hAnsi="宋体" w:cs="宋体"/>
          <w:b/>
          <w:bCs/>
          <w:color w:val="auto"/>
        </w:rPr>
      </w:pPr>
      <w:bookmarkStart w:id="0" w:name="_Toc254970489"/>
      <w:bookmarkStart w:id="1" w:name="_Toc254970630"/>
    </w:p>
    <w:p w14:paraId="3F88C2A7">
      <w:pPr>
        <w:pStyle w:val="2"/>
        <w:keepNext w:val="0"/>
        <w:keepLines w:val="0"/>
        <w:numPr>
          <w:ilvl w:val="0"/>
          <w:numId w:val="3"/>
        </w:numPr>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rPr>
      </w:pPr>
      <w:r>
        <w:rPr>
          <w:rFonts w:hint="eastAsia" w:ascii="宋体" w:hAnsi="宋体" w:cs="宋体"/>
          <w:b w:val="0"/>
          <w:bCs w:val="0"/>
          <w:color w:val="auto"/>
        </w:rPr>
        <w:br w:type="page"/>
      </w:r>
      <w:bookmarkEnd w:id="0"/>
      <w:bookmarkEnd w:id="1"/>
      <w:bookmarkStart w:id="2" w:name="_Toc15668"/>
      <w:bookmarkStart w:id="3" w:name="_Toc29553"/>
      <w:bookmarkStart w:id="4" w:name="_Toc17563"/>
      <w:bookmarkStart w:id="5" w:name="_Toc1730"/>
      <w:bookmarkStart w:id="6" w:name="_Toc17904"/>
      <w:bookmarkStart w:id="7" w:name="_Toc4088"/>
      <w:bookmarkStart w:id="8" w:name="_Toc28359001"/>
      <w:bookmarkStart w:id="9" w:name="_Toc31257"/>
      <w:bookmarkStart w:id="10" w:name="_Toc35393789"/>
      <w:bookmarkStart w:id="11" w:name="_Toc14477"/>
      <w:r>
        <w:rPr>
          <w:rFonts w:hint="eastAsia" w:ascii="宋体" w:hAnsi="宋体" w:cs="宋体"/>
          <w:color w:val="auto"/>
        </w:rPr>
        <w:t>招标公告</w:t>
      </w:r>
      <w:bookmarkEnd w:id="2"/>
      <w:bookmarkEnd w:id="3"/>
      <w:bookmarkEnd w:id="4"/>
      <w:bookmarkEnd w:id="5"/>
      <w:bookmarkEnd w:id="6"/>
      <w:bookmarkEnd w:id="7"/>
      <w:bookmarkEnd w:id="8"/>
      <w:bookmarkEnd w:id="9"/>
      <w:bookmarkEnd w:id="10"/>
      <w:bookmarkEnd w:id="11"/>
    </w:p>
    <w:p w14:paraId="43EACF86">
      <w:pPr>
        <w:spacing w:line="500" w:lineRule="exact"/>
        <w:jc w:val="center"/>
        <w:rPr>
          <w:rFonts w:hint="eastAsia" w:ascii="宋体" w:hAnsi="宋体" w:cs="宋体"/>
          <w:b/>
          <w:color w:val="auto"/>
          <w:sz w:val="32"/>
          <w:szCs w:val="32"/>
        </w:rPr>
      </w:pPr>
      <w:r>
        <w:rPr>
          <w:rFonts w:hint="eastAsia" w:ascii="宋体" w:hAnsi="宋体" w:cs="宋体"/>
          <w:b/>
          <w:color w:val="auto"/>
          <w:sz w:val="32"/>
          <w:szCs w:val="32"/>
        </w:rPr>
        <w:t>广西中信恒泰工程顾问有限公司关于</w:t>
      </w:r>
      <w:r>
        <w:rPr>
          <w:rFonts w:hint="eastAsia" w:ascii="宋体" w:hAnsi="宋体" w:cs="宋体"/>
          <w:b/>
          <w:color w:val="auto"/>
          <w:sz w:val="32"/>
          <w:szCs w:val="32"/>
          <w:lang w:eastAsia="zh-CN"/>
        </w:rPr>
        <w:t>蒙山县环卫服务一体化管理项目</w:t>
      </w:r>
      <w:r>
        <w:rPr>
          <w:rFonts w:hint="eastAsia" w:ascii="宋体" w:hAnsi="宋体" w:cs="宋体"/>
          <w:b/>
          <w:color w:val="auto"/>
          <w:sz w:val="32"/>
          <w:szCs w:val="32"/>
        </w:rPr>
        <w:t>（项目编号：</w:t>
      </w:r>
      <w:r>
        <w:rPr>
          <w:rFonts w:hint="eastAsia" w:ascii="宋体" w:hAnsi="宋体" w:cs="宋体"/>
          <w:b/>
          <w:color w:val="auto"/>
          <w:sz w:val="32"/>
          <w:szCs w:val="32"/>
          <w:lang w:eastAsia="zh-CN"/>
        </w:rPr>
        <w:t xml:space="preserve"> </w:t>
      </w:r>
      <w:r>
        <w:rPr>
          <w:rFonts w:hint="eastAsia" w:ascii="宋体" w:hAnsi="宋体" w:cs="宋体"/>
          <w:b/>
          <w:color w:val="auto"/>
          <w:sz w:val="32"/>
          <w:szCs w:val="32"/>
        </w:rPr>
        <w:t>）</w:t>
      </w:r>
      <w:r>
        <w:rPr>
          <w:rFonts w:hint="eastAsia" w:ascii="宋体" w:hAnsi="宋体" w:cs="宋体"/>
          <w:b/>
          <w:color w:val="auto"/>
          <w:sz w:val="32"/>
          <w:szCs w:val="32"/>
          <w:lang w:eastAsia="zh-CN"/>
        </w:rPr>
        <w:t>公开</w:t>
      </w:r>
      <w:r>
        <w:rPr>
          <w:rFonts w:hint="eastAsia" w:ascii="宋体" w:hAnsi="宋体" w:cs="宋体"/>
          <w:b/>
          <w:color w:val="auto"/>
          <w:sz w:val="32"/>
          <w:szCs w:val="32"/>
        </w:rPr>
        <w:t>招标公告</w:t>
      </w:r>
    </w:p>
    <w:p w14:paraId="71BFDA47">
      <w:pPr>
        <w:pBdr>
          <w:top w:val="single" w:color="auto" w:sz="4" w:space="1"/>
          <w:left w:val="single" w:color="auto" w:sz="4" w:space="4"/>
          <w:bottom w:val="single" w:color="auto" w:sz="4" w:space="1"/>
          <w:right w:val="single" w:color="auto" w:sz="4" w:space="4"/>
        </w:pBdr>
        <w:spacing w:line="500" w:lineRule="exact"/>
        <w:rPr>
          <w:rFonts w:hint="eastAsia" w:ascii="宋体" w:hAnsi="宋体" w:cs="宋体"/>
          <w:color w:val="auto"/>
          <w:szCs w:val="21"/>
        </w:rPr>
      </w:pPr>
      <w:r>
        <w:rPr>
          <w:rFonts w:hint="eastAsia" w:ascii="宋体" w:hAnsi="宋体" w:cs="宋体"/>
          <w:color w:val="auto"/>
          <w:szCs w:val="21"/>
        </w:rPr>
        <w:t>项目概况</w:t>
      </w:r>
    </w:p>
    <w:p w14:paraId="5FD92838">
      <w:pPr>
        <w:pBdr>
          <w:top w:val="single" w:color="auto" w:sz="4" w:space="1"/>
          <w:left w:val="single" w:color="auto" w:sz="4" w:space="4"/>
          <w:bottom w:val="single" w:color="auto" w:sz="4" w:space="1"/>
          <w:right w:val="single" w:color="auto" w:sz="4" w:space="4"/>
        </w:pBdr>
        <w:spacing w:line="500" w:lineRule="exact"/>
        <w:ind w:firstLine="420" w:firstLineChars="200"/>
        <w:rPr>
          <w:rFonts w:hint="eastAsia" w:ascii="宋体" w:hAnsi="宋体" w:cs="宋体"/>
          <w:color w:val="auto"/>
          <w:szCs w:val="21"/>
        </w:rPr>
      </w:pPr>
      <w:r>
        <w:rPr>
          <w:rFonts w:hint="eastAsia" w:ascii="宋体" w:hAnsi="宋体" w:cs="宋体"/>
          <w:color w:val="auto"/>
          <w:szCs w:val="21"/>
          <w:u w:val="single"/>
          <w:lang w:eastAsia="zh-CN"/>
        </w:rPr>
        <w:t>蒙山县环卫服务一体化管理项目</w:t>
      </w:r>
      <w:r>
        <w:rPr>
          <w:rFonts w:hint="eastAsia" w:ascii="宋体" w:hAnsi="宋体" w:cs="宋体"/>
          <w:color w:val="auto"/>
          <w:szCs w:val="21"/>
        </w:rPr>
        <w:t>的潜在投标人应在广西政府采购云平台（https://www.gcy.zfcg.gxzf.gov.cn</w:t>
      </w:r>
      <w:r>
        <w:rPr>
          <w:rFonts w:hint="eastAsia" w:ascii="宋体" w:hAnsi="宋体" w:cs="宋体"/>
          <w:color w:val="auto"/>
          <w:szCs w:val="21"/>
          <w:lang w:eastAsia="zh-CN"/>
        </w:rPr>
        <w:t>）</w:t>
      </w:r>
      <w:r>
        <w:rPr>
          <w:rFonts w:hint="eastAsia" w:ascii="宋体" w:hAnsi="宋体" w:cs="宋体"/>
          <w:color w:val="auto"/>
          <w:szCs w:val="21"/>
        </w:rPr>
        <w:t>获取招标文件，并于202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 xml:space="preserve">  </w:t>
      </w:r>
      <w:r>
        <w:rPr>
          <w:rFonts w:hint="eastAsia" w:ascii="宋体" w:hAnsi="宋体" w:cs="宋体"/>
          <w:bCs/>
          <w:color w:val="auto"/>
          <w:szCs w:val="21"/>
        </w:rPr>
        <w:t>月</w:t>
      </w:r>
      <w:r>
        <w:rPr>
          <w:rFonts w:hint="eastAsia" w:ascii="宋体" w:hAnsi="宋体" w:cs="宋体"/>
          <w:bCs/>
          <w:color w:val="auto"/>
          <w:szCs w:val="21"/>
          <w:lang w:val="en-US" w:eastAsia="zh-CN"/>
        </w:rPr>
        <w:t xml:space="preserve">  </w:t>
      </w:r>
      <w:r>
        <w:rPr>
          <w:rFonts w:hint="eastAsia" w:ascii="宋体" w:hAnsi="宋体" w:cs="宋体"/>
          <w:bCs/>
          <w:color w:val="auto"/>
          <w:szCs w:val="21"/>
        </w:rPr>
        <w:t>日9时30分（北京时间）前递交投标文件</w:t>
      </w:r>
      <w:r>
        <w:rPr>
          <w:rFonts w:hint="eastAsia" w:ascii="宋体" w:hAnsi="宋体" w:cs="宋体"/>
          <w:color w:val="auto"/>
          <w:szCs w:val="21"/>
        </w:rPr>
        <w:t>。</w:t>
      </w:r>
    </w:p>
    <w:p w14:paraId="54FD235D">
      <w:pPr>
        <w:spacing w:line="500" w:lineRule="exact"/>
        <w:ind w:firstLine="422" w:firstLineChars="200"/>
        <w:rPr>
          <w:rFonts w:hint="eastAsia" w:ascii="宋体" w:hAnsi="宋体" w:cs="宋体"/>
          <w:b/>
          <w:bCs/>
          <w:color w:val="auto"/>
          <w:szCs w:val="21"/>
        </w:rPr>
      </w:pPr>
      <w:bookmarkStart w:id="12" w:name="_Toc28359002"/>
      <w:bookmarkStart w:id="13" w:name="_Toc35393790"/>
      <w:bookmarkStart w:id="14" w:name="_Toc28359079"/>
      <w:bookmarkStart w:id="15" w:name="_Toc35393621"/>
      <w:bookmarkStart w:id="16" w:name="_Hlk24379207"/>
      <w:r>
        <w:rPr>
          <w:rFonts w:hint="eastAsia" w:ascii="宋体" w:hAnsi="宋体" w:cs="宋体"/>
          <w:b/>
          <w:bCs/>
          <w:color w:val="auto"/>
          <w:szCs w:val="21"/>
        </w:rPr>
        <w:t>一、项目基本情况</w:t>
      </w:r>
      <w:bookmarkEnd w:id="12"/>
      <w:bookmarkEnd w:id="13"/>
      <w:bookmarkEnd w:id="14"/>
      <w:bookmarkEnd w:id="15"/>
    </w:p>
    <w:bookmarkEnd w:id="16"/>
    <w:p w14:paraId="7409F0A6">
      <w:pPr>
        <w:spacing w:line="5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eastAsia="宋体" w:cs="宋体"/>
          <w:color w:val="auto"/>
          <w:szCs w:val="21"/>
          <w:highlight w:val="none"/>
          <w:lang w:eastAsia="zh-CN"/>
        </w:rPr>
        <w:t xml:space="preserve"> （采购计划文号：）</w:t>
      </w:r>
    </w:p>
    <w:p w14:paraId="6DEAC7E7">
      <w:pPr>
        <w:spacing w:line="500" w:lineRule="exact"/>
        <w:ind w:firstLine="420" w:firstLineChars="200"/>
        <w:rPr>
          <w:rFonts w:hint="eastAsia" w:ascii="宋体" w:hAnsi="宋体" w:eastAsia="宋体" w:cs="宋体"/>
          <w:color w:val="auto"/>
          <w:spacing w:val="2"/>
          <w:sz w:val="20"/>
          <w:szCs w:val="20"/>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蒙山县环卫服务一体化管理项目</w:t>
      </w:r>
    </w:p>
    <w:p w14:paraId="50351BB7">
      <w:pPr>
        <w:spacing w:line="500" w:lineRule="exact"/>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预算金额：人民币</w:t>
      </w:r>
      <w:r>
        <w:rPr>
          <w:rFonts w:hint="eastAsia" w:ascii="宋体" w:hAnsi="宋体" w:cs="宋体"/>
          <w:color w:val="auto"/>
          <w:szCs w:val="21"/>
          <w:highlight w:val="none"/>
          <w:lang w:val="en-US" w:eastAsia="zh-CN"/>
        </w:rPr>
        <w:t>陆仟贰佰零肆万叁仟元整</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r>
        <w:rPr>
          <w:rFonts w:hint="eastAsia" w:ascii="宋体" w:hAnsi="宋体" w:eastAsia="宋体" w:cs="宋体"/>
          <w:sz w:val="24"/>
          <w:szCs w:val="24"/>
          <w:highlight w:val="none"/>
          <w:u w:val="single"/>
          <w:lang w:val="en-US" w:eastAsia="zh-CN"/>
        </w:rPr>
        <w:t>62043000.00</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553AA386">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最高限价：人民币</w:t>
      </w:r>
      <w:r>
        <w:rPr>
          <w:rFonts w:hint="eastAsia" w:ascii="宋体" w:hAnsi="宋体" w:cs="宋体"/>
          <w:color w:val="auto"/>
          <w:szCs w:val="21"/>
          <w:highlight w:val="none"/>
          <w:lang w:val="en-US" w:eastAsia="zh-CN"/>
        </w:rPr>
        <w:t>陆仟贰佰零肆万叁仟元整</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r>
        <w:rPr>
          <w:rFonts w:hint="eastAsia" w:ascii="宋体" w:hAnsi="宋体" w:eastAsia="宋体" w:cs="宋体"/>
          <w:sz w:val="24"/>
          <w:szCs w:val="24"/>
          <w:highlight w:val="none"/>
          <w:u w:val="single"/>
          <w:lang w:val="en-US" w:eastAsia="zh-CN"/>
        </w:rPr>
        <w:t>62043000.00</w:t>
      </w:r>
      <w:r>
        <w:rPr>
          <w:rFonts w:hint="eastAsia" w:ascii="宋体" w:hAnsi="宋体" w:cs="宋体"/>
          <w:color w:val="auto"/>
          <w:szCs w:val="21"/>
          <w:highlight w:val="none"/>
          <w:lang w:eastAsia="zh-CN"/>
        </w:rPr>
        <w:t>）</w:t>
      </w:r>
    </w:p>
    <w:p w14:paraId="404981BB">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tbl>
      <w:tblPr>
        <w:tblStyle w:val="46"/>
        <w:tblW w:w="9144" w:type="dxa"/>
        <w:tblInd w:w="29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0"/>
        <w:gridCol w:w="3435"/>
        <w:gridCol w:w="960"/>
        <w:gridCol w:w="3999"/>
      </w:tblGrid>
      <w:tr w14:paraId="655CB4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14:paraId="0F97C4D8">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435" w:type="dxa"/>
            <w:tcBorders>
              <w:top w:val="single" w:color="auto" w:sz="4" w:space="0"/>
              <w:left w:val="single" w:color="auto" w:sz="4" w:space="0"/>
              <w:bottom w:val="single" w:color="auto" w:sz="4" w:space="0"/>
              <w:right w:val="single" w:color="auto" w:sz="4" w:space="0"/>
            </w:tcBorders>
            <w:noWrap w:val="0"/>
            <w:vAlign w:val="center"/>
          </w:tcPr>
          <w:p w14:paraId="0181E274">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标的名称</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6C611ED">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3999" w:type="dxa"/>
            <w:tcBorders>
              <w:top w:val="single" w:color="auto" w:sz="4" w:space="0"/>
              <w:left w:val="single" w:color="auto" w:sz="4" w:space="0"/>
              <w:bottom w:val="single" w:color="auto" w:sz="4" w:space="0"/>
              <w:right w:val="single" w:color="auto" w:sz="4" w:space="0"/>
            </w:tcBorders>
            <w:noWrap w:val="0"/>
            <w:vAlign w:val="center"/>
          </w:tcPr>
          <w:p w14:paraId="7FFE0F88">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简要技术需求或者服务要求</w:t>
            </w:r>
          </w:p>
        </w:tc>
      </w:tr>
      <w:tr w14:paraId="7778B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14:paraId="5E4E136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435" w:type="dxa"/>
            <w:tcBorders>
              <w:top w:val="single" w:color="auto" w:sz="4" w:space="0"/>
              <w:left w:val="single" w:color="auto" w:sz="4" w:space="0"/>
              <w:bottom w:val="single" w:color="auto" w:sz="4" w:space="0"/>
              <w:right w:val="single" w:color="auto" w:sz="4" w:space="0"/>
            </w:tcBorders>
            <w:noWrap w:val="0"/>
            <w:vAlign w:val="center"/>
          </w:tcPr>
          <w:p w14:paraId="6186F0D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sz w:val="24"/>
                <w:szCs w:val="24"/>
                <w:highlight w:val="none"/>
                <w:lang w:eastAsia="zh-CN"/>
              </w:rPr>
              <w:t>蒙山县环卫服务一体化管理项目</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704420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1项</w:t>
            </w:r>
          </w:p>
        </w:tc>
        <w:tc>
          <w:tcPr>
            <w:tcW w:w="3999" w:type="dxa"/>
            <w:tcBorders>
              <w:top w:val="single" w:color="auto" w:sz="4" w:space="0"/>
              <w:left w:val="single" w:color="auto" w:sz="4" w:space="0"/>
              <w:right w:val="single" w:color="auto" w:sz="4" w:space="0"/>
            </w:tcBorders>
            <w:noWrap w:val="0"/>
            <w:vAlign w:val="center"/>
          </w:tcPr>
          <w:p w14:paraId="7CB7057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详见本招标文件第二章“采购需求”</w:t>
            </w:r>
          </w:p>
        </w:tc>
      </w:tr>
    </w:tbl>
    <w:p w14:paraId="27DD532E">
      <w:pPr>
        <w:spacing w:line="500" w:lineRule="exact"/>
        <w:ind w:firstLine="420" w:firstLineChars="200"/>
        <w:rPr>
          <w:rFonts w:hint="eastAsia" w:ascii="宋体" w:hAnsi="宋体" w:eastAsia="宋体" w:cs="宋体"/>
          <w:color w:val="auto"/>
          <w:szCs w:val="21"/>
          <w:highlight w:val="none"/>
          <w:lang w:val="en-US" w:eastAsia="zh-CN"/>
        </w:rPr>
      </w:pPr>
      <w:bookmarkStart w:id="17" w:name="交付时间1"/>
      <w:r>
        <w:rPr>
          <w:rFonts w:hint="eastAsia" w:ascii="宋体" w:hAnsi="宋体" w:eastAsia="宋体" w:cs="宋体"/>
          <w:color w:val="auto"/>
          <w:szCs w:val="21"/>
          <w:highlight w:val="none"/>
          <w:lang w:val="en-US" w:eastAsia="zh-CN"/>
        </w:rPr>
        <w:t>运营周期：详见本招标文件第二章“采购需求”。</w:t>
      </w:r>
    </w:p>
    <w:bookmarkEnd w:id="17"/>
    <w:p w14:paraId="1CC632CA">
      <w:pPr>
        <w:spacing w:line="5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本项目接受联合体投标。</w:t>
      </w:r>
    </w:p>
    <w:p w14:paraId="746FAE93">
      <w:pPr>
        <w:spacing w:line="500" w:lineRule="exact"/>
        <w:ind w:firstLine="422" w:firstLineChars="200"/>
        <w:rPr>
          <w:rFonts w:hint="eastAsia" w:ascii="宋体" w:hAnsi="宋体" w:cs="宋体"/>
          <w:b/>
          <w:bCs/>
          <w:color w:val="auto"/>
          <w:szCs w:val="21"/>
        </w:rPr>
      </w:pPr>
      <w:bookmarkStart w:id="18" w:name="_Toc35393791"/>
      <w:bookmarkStart w:id="19" w:name="_Toc28359080"/>
      <w:bookmarkStart w:id="20" w:name="_Toc28359003"/>
      <w:bookmarkStart w:id="21" w:name="_Toc35393622"/>
      <w:r>
        <w:rPr>
          <w:rFonts w:hint="eastAsia" w:ascii="宋体" w:hAnsi="宋体" w:cs="宋体"/>
          <w:b/>
          <w:bCs/>
          <w:color w:val="auto"/>
          <w:szCs w:val="21"/>
        </w:rPr>
        <w:t>二、申请人的资格要求：</w:t>
      </w:r>
      <w:bookmarkEnd w:id="18"/>
      <w:bookmarkEnd w:id="19"/>
      <w:bookmarkEnd w:id="20"/>
      <w:bookmarkEnd w:id="21"/>
    </w:p>
    <w:p w14:paraId="7C8BE9A8">
      <w:pPr>
        <w:spacing w:line="500" w:lineRule="exact"/>
        <w:ind w:firstLine="420" w:firstLineChars="200"/>
        <w:rPr>
          <w:rFonts w:hint="eastAsia" w:ascii="宋体" w:hAnsi="宋体" w:cs="宋体"/>
          <w:color w:val="auto"/>
          <w:szCs w:val="21"/>
        </w:rPr>
      </w:pPr>
      <w:bookmarkStart w:id="22" w:name="_Hlk51746371"/>
      <w:bookmarkStart w:id="23" w:name="采购人资格"/>
      <w:bookmarkStart w:id="24" w:name="_Toc28359004"/>
      <w:bookmarkStart w:id="25" w:name="_Toc28359081"/>
      <w:bookmarkStart w:id="26" w:name="_Toc35393792"/>
      <w:bookmarkStart w:id="27" w:name="_Toc35393623"/>
      <w:r>
        <w:rPr>
          <w:rFonts w:hint="eastAsia" w:ascii="宋体" w:hAnsi="宋体" w:cs="宋体"/>
          <w:color w:val="auto"/>
          <w:szCs w:val="21"/>
        </w:rPr>
        <w:t>1.满足《中华人民共和国政府采购法》第二十二条规定；</w:t>
      </w:r>
    </w:p>
    <w:p w14:paraId="56F2D3CD">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2.落实政府采购政策需满足的资格要求：非专门面向中小企业采购的项目；</w:t>
      </w:r>
    </w:p>
    <w:p w14:paraId="6100A06D">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3.本项目的特定资格要求：无。</w:t>
      </w:r>
    </w:p>
    <w:bookmarkEnd w:id="22"/>
    <w:bookmarkEnd w:id="23"/>
    <w:p w14:paraId="603DF8FD">
      <w:pPr>
        <w:spacing w:line="500" w:lineRule="exact"/>
        <w:ind w:firstLine="422" w:firstLineChars="200"/>
        <w:rPr>
          <w:rFonts w:hint="eastAsia" w:ascii="宋体" w:hAnsi="宋体" w:cs="宋体"/>
          <w:b/>
          <w:bCs/>
          <w:color w:val="auto"/>
          <w:szCs w:val="21"/>
        </w:rPr>
      </w:pPr>
      <w:r>
        <w:rPr>
          <w:rFonts w:hint="eastAsia" w:ascii="宋体" w:hAnsi="宋体" w:cs="宋体"/>
          <w:b/>
          <w:bCs/>
          <w:color w:val="auto"/>
          <w:szCs w:val="21"/>
        </w:rPr>
        <w:t>三、获取招标文件</w:t>
      </w:r>
      <w:bookmarkEnd w:id="24"/>
      <w:bookmarkEnd w:id="25"/>
      <w:bookmarkEnd w:id="26"/>
      <w:bookmarkEnd w:id="27"/>
    </w:p>
    <w:p w14:paraId="1F6032B8">
      <w:pPr>
        <w:spacing w:line="500" w:lineRule="exact"/>
        <w:ind w:firstLine="420" w:firstLineChars="200"/>
        <w:rPr>
          <w:rFonts w:hint="eastAsia" w:ascii="宋体" w:hAnsi="宋体" w:cs="宋体"/>
          <w:bCs/>
          <w:color w:val="auto"/>
          <w:kern w:val="0"/>
          <w:szCs w:val="21"/>
        </w:rPr>
      </w:pPr>
      <w:r>
        <w:rPr>
          <w:rFonts w:hint="eastAsia" w:ascii="宋体" w:hAnsi="宋体" w:cs="宋体"/>
          <w:bCs/>
          <w:color w:val="auto"/>
          <w:kern w:val="0"/>
          <w:szCs w:val="21"/>
        </w:rPr>
        <w:t>1.时间：</w:t>
      </w:r>
      <w:r>
        <w:rPr>
          <w:rFonts w:hint="eastAsia" w:ascii="宋体" w:hAnsi="宋体" w:cs="宋体"/>
          <w:color w:val="auto"/>
          <w:szCs w:val="21"/>
          <w:u w:val="single"/>
        </w:rPr>
        <w:t>202</w:t>
      </w:r>
      <w:r>
        <w:rPr>
          <w:rFonts w:hint="eastAsia" w:ascii="宋体" w:hAnsi="宋体" w:cs="宋体"/>
          <w:color w:val="auto"/>
          <w:szCs w:val="21"/>
          <w:u w:val="single"/>
          <w:lang w:val="en-US" w:eastAsia="zh-CN"/>
        </w:rPr>
        <w:t>6</w:t>
      </w:r>
      <w:r>
        <w:rPr>
          <w:rFonts w:hint="eastAsia" w:ascii="宋体" w:hAnsi="宋体" w:cs="宋体"/>
          <w:color w:val="auto"/>
          <w:szCs w:val="21"/>
          <w:u w:val="single"/>
        </w:rPr>
        <w:t>年</w:t>
      </w:r>
      <w:r>
        <w:rPr>
          <w:rFonts w:hint="eastAsia" w:ascii="宋体" w:hAnsi="宋体" w:cs="宋体"/>
          <w:color w:val="auto"/>
          <w:szCs w:val="21"/>
          <w:u w:val="single"/>
          <w:lang w:val="en-US" w:eastAsia="zh-CN"/>
        </w:rPr>
        <w:t xml:space="preserve">  </w:t>
      </w:r>
      <w:r>
        <w:rPr>
          <w:rFonts w:hint="eastAsia" w:ascii="宋体" w:hAnsi="宋体" w:cs="宋体"/>
          <w:bCs/>
          <w:color w:val="auto"/>
          <w:szCs w:val="21"/>
          <w:u w:val="single"/>
        </w:rPr>
        <w:t>月</w:t>
      </w:r>
      <w:r>
        <w:rPr>
          <w:rFonts w:hint="eastAsia" w:ascii="宋体" w:hAnsi="宋体" w:cs="宋体"/>
          <w:bCs/>
          <w:color w:val="auto"/>
          <w:szCs w:val="21"/>
          <w:u w:val="single"/>
          <w:lang w:val="en-US" w:eastAsia="zh-CN"/>
        </w:rPr>
        <w:t xml:space="preserve">  </w:t>
      </w:r>
      <w:r>
        <w:rPr>
          <w:rFonts w:hint="eastAsia" w:ascii="宋体" w:hAnsi="宋体" w:cs="宋体"/>
          <w:bCs/>
          <w:color w:val="auto"/>
          <w:szCs w:val="21"/>
          <w:u w:val="single"/>
        </w:rPr>
        <w:t>日</w:t>
      </w:r>
      <w:r>
        <w:rPr>
          <w:rFonts w:hint="eastAsia" w:ascii="宋体" w:hAnsi="宋体" w:cs="宋体"/>
          <w:bCs/>
          <w:color w:val="auto"/>
          <w:kern w:val="0"/>
          <w:szCs w:val="21"/>
        </w:rPr>
        <w:t>至</w:t>
      </w:r>
      <w:r>
        <w:rPr>
          <w:rFonts w:hint="eastAsia" w:ascii="宋体" w:hAnsi="宋体" w:cs="宋体"/>
          <w:color w:val="auto"/>
          <w:szCs w:val="21"/>
          <w:u w:val="single"/>
        </w:rPr>
        <w:t>202</w:t>
      </w:r>
      <w:r>
        <w:rPr>
          <w:rFonts w:hint="eastAsia" w:ascii="宋体" w:hAnsi="宋体" w:cs="宋体"/>
          <w:color w:val="auto"/>
          <w:szCs w:val="21"/>
          <w:u w:val="single"/>
          <w:lang w:val="en-US" w:eastAsia="zh-CN"/>
        </w:rPr>
        <w:t>6</w:t>
      </w:r>
      <w:r>
        <w:rPr>
          <w:rFonts w:hint="eastAsia" w:ascii="宋体" w:hAnsi="宋体" w:cs="宋体"/>
          <w:color w:val="auto"/>
          <w:szCs w:val="21"/>
          <w:u w:val="single"/>
        </w:rPr>
        <w:t>年</w:t>
      </w:r>
      <w:r>
        <w:rPr>
          <w:rFonts w:hint="eastAsia" w:ascii="宋体" w:hAnsi="宋体" w:cs="宋体"/>
          <w:color w:val="auto"/>
          <w:szCs w:val="21"/>
          <w:u w:val="single"/>
          <w:lang w:val="en-US" w:eastAsia="zh-CN"/>
        </w:rPr>
        <w:t xml:space="preserve">  </w:t>
      </w:r>
      <w:r>
        <w:rPr>
          <w:rFonts w:hint="eastAsia" w:ascii="宋体" w:hAnsi="宋体" w:cs="宋体"/>
          <w:bCs/>
          <w:color w:val="auto"/>
          <w:szCs w:val="21"/>
          <w:u w:val="single"/>
        </w:rPr>
        <w:t>月</w:t>
      </w:r>
      <w:r>
        <w:rPr>
          <w:rFonts w:hint="eastAsia" w:ascii="宋体" w:hAnsi="宋体" w:cs="宋体"/>
          <w:bCs/>
          <w:color w:val="auto"/>
          <w:szCs w:val="21"/>
          <w:u w:val="single"/>
          <w:lang w:val="en-US" w:eastAsia="zh-CN"/>
        </w:rPr>
        <w:t xml:space="preserve">  </w:t>
      </w:r>
      <w:r>
        <w:rPr>
          <w:rFonts w:hint="eastAsia" w:ascii="宋体" w:hAnsi="宋体" w:cs="宋体"/>
          <w:bCs/>
          <w:color w:val="auto"/>
          <w:szCs w:val="21"/>
          <w:u w:val="single"/>
        </w:rPr>
        <w:t>日</w:t>
      </w:r>
      <w:r>
        <w:rPr>
          <w:rFonts w:hint="eastAsia" w:ascii="宋体" w:hAnsi="宋体" w:cs="宋体"/>
          <w:bCs/>
          <w:color w:val="auto"/>
          <w:kern w:val="0"/>
          <w:szCs w:val="21"/>
        </w:rPr>
        <w:t>，每天上午</w:t>
      </w:r>
      <w:r>
        <w:rPr>
          <w:rFonts w:hint="eastAsia" w:ascii="宋体" w:hAnsi="宋体" w:cs="宋体"/>
          <w:bCs/>
          <w:color w:val="auto"/>
          <w:kern w:val="0"/>
          <w:szCs w:val="21"/>
          <w:u w:val="single"/>
        </w:rPr>
        <w:t>0:00至12:00</w:t>
      </w:r>
      <w:r>
        <w:rPr>
          <w:rFonts w:hint="eastAsia" w:ascii="宋体" w:hAnsi="宋体" w:cs="宋体"/>
          <w:bCs/>
          <w:color w:val="auto"/>
          <w:kern w:val="0"/>
          <w:szCs w:val="21"/>
        </w:rPr>
        <w:t>，</w:t>
      </w:r>
      <w:r>
        <w:rPr>
          <w:rFonts w:hint="eastAsia" w:ascii="宋体" w:hAnsi="宋体" w:cs="宋体"/>
          <w:bCs/>
          <w:color w:val="auto"/>
          <w:kern w:val="0"/>
          <w:szCs w:val="21"/>
          <w:u w:val="single"/>
        </w:rPr>
        <w:t>下午12:00至23:59</w:t>
      </w:r>
      <w:r>
        <w:rPr>
          <w:rFonts w:hint="eastAsia" w:ascii="宋体" w:hAnsi="宋体" w:cs="宋体"/>
          <w:bCs/>
          <w:color w:val="auto"/>
          <w:kern w:val="0"/>
          <w:szCs w:val="21"/>
        </w:rPr>
        <w:t>（北京时间</w:t>
      </w:r>
      <w:r>
        <w:rPr>
          <w:rFonts w:hint="eastAsia" w:ascii="宋体" w:hAnsi="宋体" w:cs="宋体"/>
          <w:color w:val="auto"/>
          <w:szCs w:val="21"/>
        </w:rPr>
        <w:t>，法定节假日除外</w:t>
      </w:r>
      <w:r>
        <w:rPr>
          <w:rFonts w:hint="eastAsia" w:ascii="宋体" w:hAnsi="宋体" w:cs="宋体"/>
          <w:bCs/>
          <w:color w:val="auto"/>
          <w:kern w:val="0"/>
          <w:szCs w:val="21"/>
        </w:rPr>
        <w:t>）。</w:t>
      </w:r>
    </w:p>
    <w:p w14:paraId="0F17863C">
      <w:pPr>
        <w:spacing w:line="500" w:lineRule="exact"/>
        <w:ind w:firstLine="420" w:firstLineChars="200"/>
        <w:rPr>
          <w:rFonts w:hint="eastAsia" w:ascii="宋体" w:hAnsi="宋体" w:cs="宋体"/>
          <w:bCs/>
          <w:color w:val="auto"/>
          <w:kern w:val="0"/>
          <w:szCs w:val="21"/>
        </w:rPr>
      </w:pPr>
      <w:r>
        <w:rPr>
          <w:rFonts w:hint="eastAsia" w:ascii="宋体" w:hAnsi="宋体" w:cs="宋体"/>
          <w:bCs/>
          <w:color w:val="auto"/>
          <w:kern w:val="0"/>
          <w:szCs w:val="21"/>
        </w:rPr>
        <w:t>2.地点：广西政府采购云平台（https://www.gcy.zfcg.gxzf.gov.cn</w:t>
      </w:r>
      <w:r>
        <w:rPr>
          <w:rFonts w:hint="eastAsia" w:ascii="宋体" w:hAnsi="宋体" w:cs="宋体"/>
          <w:bCs/>
          <w:color w:val="auto"/>
          <w:kern w:val="0"/>
          <w:szCs w:val="21"/>
          <w:lang w:eastAsia="zh-CN"/>
        </w:rPr>
        <w:t>）</w:t>
      </w:r>
    </w:p>
    <w:p w14:paraId="51A3B40F">
      <w:pPr>
        <w:spacing w:line="500" w:lineRule="exact"/>
        <w:ind w:firstLine="420" w:firstLineChars="200"/>
        <w:rPr>
          <w:rFonts w:hint="eastAsia" w:ascii="宋体" w:hAnsi="宋体" w:cs="宋体"/>
          <w:bCs/>
          <w:color w:val="auto"/>
          <w:kern w:val="0"/>
          <w:szCs w:val="21"/>
        </w:rPr>
      </w:pPr>
      <w:r>
        <w:rPr>
          <w:rFonts w:hint="eastAsia" w:ascii="宋体" w:hAnsi="宋体" w:cs="宋体"/>
          <w:bCs/>
          <w:color w:val="auto"/>
          <w:kern w:val="0"/>
          <w:szCs w:val="21"/>
        </w:rPr>
        <w:t>3.方式：网上下载。本项目不发放纸质文件，投标人可登录广西政府采购云平台（https://www.gcy.zfcg.gxzf.gov.cn</w:t>
      </w:r>
      <w:r>
        <w:rPr>
          <w:rFonts w:hint="eastAsia" w:ascii="宋体" w:hAnsi="宋体" w:cs="宋体"/>
          <w:bCs/>
          <w:color w:val="auto"/>
          <w:kern w:val="0"/>
          <w:szCs w:val="21"/>
          <w:lang w:eastAsia="zh-CN"/>
        </w:rPr>
        <w:t>）</w:t>
      </w:r>
      <w:r>
        <w:rPr>
          <w:rFonts w:hint="eastAsia" w:ascii="宋体" w:hAnsi="宋体" w:cs="宋体"/>
          <w:bCs/>
          <w:color w:val="auto"/>
          <w:kern w:val="0"/>
          <w:szCs w:val="21"/>
        </w:rPr>
        <w:t>在线申请获取</w:t>
      </w:r>
      <w:r>
        <w:rPr>
          <w:rFonts w:hint="eastAsia" w:ascii="宋体" w:hAnsi="宋体" w:cs="宋体"/>
          <w:bCs/>
          <w:color w:val="auto"/>
          <w:kern w:val="0"/>
          <w:szCs w:val="21"/>
          <w:lang w:eastAsia="zh-CN"/>
        </w:rPr>
        <w:t>招标</w:t>
      </w:r>
      <w:r>
        <w:rPr>
          <w:rFonts w:hint="eastAsia" w:ascii="宋体" w:hAnsi="宋体" w:cs="宋体"/>
          <w:bCs/>
          <w:color w:val="auto"/>
          <w:kern w:val="0"/>
          <w:szCs w:val="21"/>
        </w:rPr>
        <w:t>文件（进入“项目采购”应用，在获取</w:t>
      </w:r>
      <w:r>
        <w:rPr>
          <w:rFonts w:hint="eastAsia" w:ascii="宋体" w:hAnsi="宋体" w:cs="宋体"/>
          <w:bCs/>
          <w:color w:val="auto"/>
          <w:kern w:val="0"/>
          <w:szCs w:val="21"/>
          <w:lang w:eastAsia="zh-CN"/>
        </w:rPr>
        <w:t>招标</w:t>
      </w:r>
      <w:r>
        <w:rPr>
          <w:rFonts w:hint="eastAsia" w:ascii="宋体" w:hAnsi="宋体" w:cs="宋体"/>
          <w:bCs/>
          <w:color w:val="auto"/>
          <w:kern w:val="0"/>
          <w:szCs w:val="21"/>
        </w:rPr>
        <w:t>文件菜单中选择项目，申请获取</w:t>
      </w:r>
      <w:r>
        <w:rPr>
          <w:rFonts w:hint="eastAsia" w:ascii="宋体" w:hAnsi="宋体" w:cs="宋体"/>
          <w:bCs/>
          <w:color w:val="auto"/>
          <w:kern w:val="0"/>
          <w:szCs w:val="21"/>
          <w:lang w:eastAsia="zh-CN"/>
        </w:rPr>
        <w:t>招标</w:t>
      </w:r>
      <w:r>
        <w:rPr>
          <w:rFonts w:hint="eastAsia" w:ascii="宋体" w:hAnsi="宋体" w:cs="宋体"/>
          <w:bCs/>
          <w:color w:val="auto"/>
          <w:kern w:val="0"/>
          <w:szCs w:val="21"/>
        </w:rPr>
        <w:t>文件），电子投标文件制作需要基于广西政府采购云平台获取的招标文件编制。</w:t>
      </w:r>
    </w:p>
    <w:p w14:paraId="4D231162">
      <w:pPr>
        <w:spacing w:line="500" w:lineRule="exact"/>
        <w:ind w:firstLine="420" w:firstLineChars="200"/>
        <w:rPr>
          <w:rFonts w:hint="eastAsia" w:ascii="宋体" w:hAnsi="宋体" w:cs="宋体"/>
          <w:color w:val="auto"/>
          <w:szCs w:val="21"/>
        </w:rPr>
      </w:pPr>
      <w:r>
        <w:rPr>
          <w:rFonts w:hint="eastAsia" w:ascii="宋体" w:hAnsi="宋体" w:cs="宋体"/>
          <w:bCs/>
          <w:color w:val="auto"/>
          <w:kern w:val="0"/>
          <w:szCs w:val="21"/>
        </w:rPr>
        <w:t>4.售价：</w:t>
      </w:r>
      <w:r>
        <w:rPr>
          <w:rFonts w:hint="eastAsia" w:ascii="宋体" w:hAnsi="宋体" w:cs="宋体"/>
          <w:color w:val="auto"/>
          <w:szCs w:val="21"/>
        </w:rPr>
        <w:t>0元</w:t>
      </w:r>
    </w:p>
    <w:p w14:paraId="74773980">
      <w:pPr>
        <w:spacing w:line="500" w:lineRule="exact"/>
        <w:ind w:firstLine="422" w:firstLineChars="200"/>
        <w:rPr>
          <w:rFonts w:hint="eastAsia" w:ascii="宋体" w:hAnsi="宋体" w:cs="宋体"/>
          <w:b/>
          <w:bCs/>
          <w:color w:val="auto"/>
          <w:szCs w:val="21"/>
        </w:rPr>
      </w:pPr>
      <w:bookmarkStart w:id="28" w:name="_Toc28359005"/>
      <w:bookmarkStart w:id="29" w:name="_Toc28359082"/>
      <w:bookmarkStart w:id="30" w:name="_Toc35393624"/>
      <w:bookmarkStart w:id="31" w:name="_Toc35393793"/>
      <w:r>
        <w:rPr>
          <w:rFonts w:hint="eastAsia" w:ascii="宋体" w:hAnsi="宋体" w:cs="宋体"/>
          <w:b/>
          <w:bCs/>
          <w:color w:val="auto"/>
          <w:szCs w:val="21"/>
        </w:rPr>
        <w:t>四、提交投标文件</w:t>
      </w:r>
      <w:bookmarkEnd w:id="28"/>
      <w:bookmarkEnd w:id="29"/>
      <w:r>
        <w:rPr>
          <w:rFonts w:hint="eastAsia" w:ascii="宋体" w:hAnsi="宋体" w:cs="宋体"/>
          <w:b/>
          <w:bCs/>
          <w:color w:val="auto"/>
          <w:szCs w:val="21"/>
        </w:rPr>
        <w:t>截止时间、开标时间和地点</w:t>
      </w:r>
      <w:bookmarkEnd w:id="30"/>
      <w:bookmarkEnd w:id="31"/>
    </w:p>
    <w:p w14:paraId="619A38B5">
      <w:pPr>
        <w:spacing w:line="500" w:lineRule="exact"/>
        <w:ind w:firstLine="420" w:firstLineChars="200"/>
        <w:rPr>
          <w:rFonts w:hint="eastAsia" w:ascii="宋体" w:hAnsi="宋体" w:cs="宋体"/>
          <w:color w:val="auto"/>
          <w:szCs w:val="21"/>
        </w:rPr>
      </w:pPr>
      <w:bookmarkStart w:id="32" w:name="_Toc28359007"/>
      <w:bookmarkStart w:id="33" w:name="_Toc35393794"/>
      <w:bookmarkStart w:id="34" w:name="_Toc28359084"/>
      <w:bookmarkStart w:id="35" w:name="_Toc35393625"/>
      <w:r>
        <w:rPr>
          <w:rFonts w:hint="eastAsia" w:ascii="宋体" w:hAnsi="宋体" w:cs="宋体"/>
          <w:color w:val="auto"/>
          <w:szCs w:val="21"/>
        </w:rPr>
        <w:t>1.提交投标文件截止时间：202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 xml:space="preserve">  </w:t>
      </w:r>
      <w:r>
        <w:rPr>
          <w:rFonts w:hint="eastAsia" w:ascii="宋体" w:hAnsi="宋体" w:cs="宋体"/>
          <w:color w:val="auto"/>
          <w:szCs w:val="21"/>
        </w:rPr>
        <w:t>月</w:t>
      </w:r>
      <w:r>
        <w:rPr>
          <w:rFonts w:hint="eastAsia" w:ascii="宋体" w:hAnsi="宋体" w:cs="宋体"/>
          <w:color w:val="auto"/>
          <w:szCs w:val="21"/>
          <w:lang w:val="en-US" w:eastAsia="zh-CN"/>
        </w:rPr>
        <w:t xml:space="preserve">  </w:t>
      </w:r>
      <w:r>
        <w:rPr>
          <w:rFonts w:hint="eastAsia" w:ascii="宋体" w:hAnsi="宋体" w:cs="宋体"/>
          <w:color w:val="auto"/>
          <w:szCs w:val="21"/>
        </w:rPr>
        <w:t>日9时30分（北京时间）</w:t>
      </w:r>
    </w:p>
    <w:p w14:paraId="1568F6A0">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2.投标地点：广西政府采购云平台（https://www.gcy.zfcg.gxzf.gov.cn</w:t>
      </w:r>
      <w:r>
        <w:rPr>
          <w:rFonts w:hint="eastAsia" w:ascii="宋体" w:hAnsi="宋体" w:cs="宋体"/>
          <w:color w:val="auto"/>
          <w:szCs w:val="21"/>
          <w:lang w:eastAsia="zh-CN"/>
        </w:rPr>
        <w:t>）</w:t>
      </w:r>
      <w:r>
        <w:rPr>
          <w:rFonts w:hint="eastAsia" w:ascii="宋体" w:hAnsi="宋体" w:cs="宋体"/>
          <w:color w:val="auto"/>
          <w:szCs w:val="21"/>
        </w:rPr>
        <w:t>。</w:t>
      </w:r>
    </w:p>
    <w:p w14:paraId="4F32A6BC">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3.开标时间：202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 xml:space="preserve">  </w:t>
      </w:r>
      <w:r>
        <w:rPr>
          <w:rFonts w:hint="eastAsia" w:ascii="宋体" w:hAnsi="宋体" w:cs="宋体"/>
          <w:color w:val="auto"/>
          <w:szCs w:val="21"/>
        </w:rPr>
        <w:t>月</w:t>
      </w:r>
      <w:r>
        <w:rPr>
          <w:rFonts w:hint="eastAsia" w:ascii="宋体" w:hAnsi="宋体" w:cs="宋体"/>
          <w:color w:val="auto"/>
          <w:szCs w:val="21"/>
          <w:lang w:val="en-US" w:eastAsia="zh-CN"/>
        </w:rPr>
        <w:t xml:space="preserve">  </w:t>
      </w:r>
      <w:r>
        <w:rPr>
          <w:rFonts w:hint="eastAsia" w:ascii="宋体" w:hAnsi="宋体" w:cs="宋体"/>
          <w:color w:val="auto"/>
          <w:szCs w:val="21"/>
        </w:rPr>
        <w:t>日9时30分（北京时间）</w:t>
      </w:r>
    </w:p>
    <w:p w14:paraId="64A68BFE">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4.开标地点：本项目将在“广西政府采购云平台”电子开标大厅解密、开标。</w:t>
      </w:r>
    </w:p>
    <w:p w14:paraId="4F3CB961">
      <w:pPr>
        <w:spacing w:line="500" w:lineRule="exact"/>
        <w:ind w:firstLine="422" w:firstLineChars="200"/>
        <w:rPr>
          <w:rFonts w:hint="eastAsia" w:ascii="宋体" w:hAnsi="宋体" w:cs="宋体"/>
          <w:b/>
          <w:bCs/>
          <w:color w:val="auto"/>
          <w:szCs w:val="21"/>
        </w:rPr>
      </w:pPr>
      <w:r>
        <w:rPr>
          <w:rFonts w:hint="eastAsia" w:ascii="宋体" w:hAnsi="宋体" w:cs="宋体"/>
          <w:b/>
          <w:bCs/>
          <w:color w:val="auto"/>
          <w:szCs w:val="21"/>
        </w:rPr>
        <w:t>五、公告期限</w:t>
      </w:r>
      <w:bookmarkEnd w:id="32"/>
      <w:bookmarkEnd w:id="33"/>
      <w:bookmarkEnd w:id="34"/>
      <w:bookmarkEnd w:id="35"/>
    </w:p>
    <w:p w14:paraId="13042359">
      <w:pPr>
        <w:spacing w:line="50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自本公告发布之日起5个工作日。</w:t>
      </w:r>
    </w:p>
    <w:p w14:paraId="6DEE4940">
      <w:pPr>
        <w:spacing w:line="500" w:lineRule="exact"/>
        <w:ind w:firstLine="422" w:firstLineChars="200"/>
        <w:rPr>
          <w:rFonts w:hint="eastAsia" w:ascii="宋体" w:hAnsi="宋体" w:cs="宋体"/>
          <w:b/>
          <w:bCs/>
          <w:color w:val="auto"/>
          <w:szCs w:val="21"/>
        </w:rPr>
      </w:pPr>
      <w:bookmarkStart w:id="36" w:name="_Toc35393626"/>
      <w:bookmarkStart w:id="37" w:name="_Toc35393795"/>
      <w:r>
        <w:rPr>
          <w:rFonts w:hint="eastAsia" w:ascii="宋体" w:hAnsi="宋体" w:cs="宋体"/>
          <w:b/>
          <w:bCs/>
          <w:color w:val="auto"/>
          <w:szCs w:val="21"/>
        </w:rPr>
        <w:t>六、其他补充事宜</w:t>
      </w:r>
      <w:bookmarkEnd w:id="36"/>
      <w:bookmarkEnd w:id="37"/>
    </w:p>
    <w:p w14:paraId="0B187C56">
      <w:pPr>
        <w:keepNext w:val="0"/>
        <w:keepLines w:val="0"/>
        <w:pageBreakBefore w:val="0"/>
        <w:kinsoku/>
        <w:wordWrap/>
        <w:overflowPunct/>
        <w:topLinePunct w:val="0"/>
        <w:bidi w:val="0"/>
        <w:spacing w:line="480" w:lineRule="exact"/>
        <w:ind w:left="0" w:leftChars="0" w:firstLine="420" w:firstLineChars="200"/>
        <w:textAlignment w:val="auto"/>
        <w:rPr>
          <w:rFonts w:hint="default" w:ascii="宋体" w:hAnsi="宋体" w:eastAsia="宋体" w:cs="宋体"/>
          <w:color w:val="auto"/>
          <w:sz w:val="21"/>
          <w:szCs w:val="21"/>
          <w:highlight w:val="none"/>
          <w:lang w:val="en-US" w:eastAsia="zh-CN"/>
        </w:rPr>
      </w:pPr>
      <w:bookmarkStart w:id="38" w:name="_Hlk37429585"/>
      <w:bookmarkStart w:id="39" w:name="_Hlk37429595"/>
      <w:bookmarkStart w:id="40" w:name="_Toc35393627"/>
      <w:bookmarkStart w:id="41" w:name="_Toc35393796"/>
      <w:bookmarkStart w:id="42" w:name="_Toc28359008"/>
      <w:bookmarkStart w:id="43" w:name="_Toc28359085"/>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投标保证金（人民币）：</w:t>
      </w:r>
      <w:r>
        <w:rPr>
          <w:rFonts w:hint="eastAsia" w:ascii="宋体" w:hAnsi="宋体" w:eastAsia="宋体" w:cs="宋体"/>
          <w:color w:val="auto"/>
          <w:sz w:val="21"/>
          <w:szCs w:val="21"/>
          <w:highlight w:val="none"/>
          <w:lang w:val="en-US" w:eastAsia="zh-CN"/>
        </w:rPr>
        <w:t>62000元</w:t>
      </w:r>
    </w:p>
    <w:p w14:paraId="58D0366D">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保证金的缴纳方式：以银行转账、支票、汇票、本票或者金融机构、担保机构出具的保函等非现金形式提交。采用银行转账方式的，在投标截止时间前交至采购代理机构指定账户并且到账。缴纳投标保证金指定账户的信息：</w:t>
      </w:r>
    </w:p>
    <w:p w14:paraId="30F4676D">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开户名称：广西中信恒泰工程顾问有限公司</w:t>
      </w:r>
    </w:p>
    <w:p w14:paraId="48AFDF78">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开户银行：建行南宁金湖广场支行</w:t>
      </w:r>
    </w:p>
    <w:p w14:paraId="07205F1D">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银行账号：4500 1604 2660 5250 2851</w:t>
      </w:r>
    </w:p>
    <w:p w14:paraId="0DE175CB">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采用支票、汇票、本票或者保函等方式的，在投标截止时间前，投标人必须递交单独密封的支票、汇票、本票或者保函等原件给采购代理机构。</w:t>
      </w:r>
      <w:r>
        <w:rPr>
          <w:rFonts w:hint="eastAsia" w:ascii="宋体" w:hAnsi="宋体" w:eastAsia="宋体" w:cs="宋体"/>
          <w:b/>
          <w:bCs/>
          <w:color w:val="auto"/>
          <w:kern w:val="0"/>
          <w:sz w:val="21"/>
          <w:szCs w:val="21"/>
          <w:highlight w:val="none"/>
        </w:rPr>
        <w:t>否则视为无效投标保证金</w:t>
      </w:r>
      <w:r>
        <w:rPr>
          <w:rFonts w:hint="eastAsia" w:ascii="宋体" w:hAnsi="宋体" w:eastAsia="宋体" w:cs="宋体"/>
          <w:color w:val="auto"/>
          <w:kern w:val="0"/>
          <w:sz w:val="21"/>
          <w:szCs w:val="21"/>
          <w:highlight w:val="none"/>
        </w:rPr>
        <w:t>。</w:t>
      </w:r>
    </w:p>
    <w:p w14:paraId="06DF1DEC">
      <w:pPr>
        <w:spacing w:line="500" w:lineRule="exact"/>
        <w:ind w:firstLine="420" w:firstLineChars="200"/>
        <w:rPr>
          <w:rFonts w:hint="eastAsia" w:ascii="宋体" w:hAns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3D1B301">
      <w:pPr>
        <w:spacing w:line="50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3.根据财政部《关于在政府采购活动中查询及使用信用记录有关问题的通知》（财库〔2016〕125号）的规定，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98C8B50">
      <w:pPr>
        <w:spacing w:line="500" w:lineRule="exact"/>
        <w:ind w:firstLine="420" w:firstLineChars="200"/>
        <w:rPr>
          <w:rFonts w:hint="eastAsia" w:ascii="宋体" w:hAnsi="宋体" w:cs="宋体"/>
          <w:color w:val="auto"/>
          <w:szCs w:val="21"/>
        </w:rPr>
      </w:pPr>
      <w:r>
        <w:rPr>
          <w:rFonts w:hint="eastAsia" w:ascii="宋体" w:hAnsi="宋体" w:cs="宋体"/>
          <w:color w:val="auto"/>
          <w:kern w:val="0"/>
          <w:szCs w:val="21"/>
        </w:rPr>
        <w:t>4.网上查询地址：</w:t>
      </w:r>
      <w:bookmarkEnd w:id="38"/>
      <w:r>
        <w:rPr>
          <w:rFonts w:hint="eastAsia" w:ascii="宋体" w:hAnsi="宋体" w:cs="宋体"/>
          <w:color w:val="auto"/>
          <w:szCs w:val="21"/>
        </w:rPr>
        <w:t>http://www.ccgp.gov.cn（中国政府采购网）、http://zfcg.gxzf.gov.cn（广西壮族自治区政府采购网）、http://gxggzy.gxzf.gov.cn/（广西壮族自治区公共资源交易中心）</w:t>
      </w:r>
    </w:p>
    <w:bookmarkEnd w:id="39"/>
    <w:p w14:paraId="5964474A">
      <w:pPr>
        <w:spacing w:line="500" w:lineRule="exact"/>
        <w:ind w:firstLine="424" w:firstLineChars="202"/>
        <w:rPr>
          <w:rFonts w:hint="eastAsia" w:ascii="宋体" w:hAnsi="宋体" w:cs="宋体"/>
          <w:color w:val="auto"/>
          <w:kern w:val="0"/>
          <w:szCs w:val="21"/>
        </w:rPr>
      </w:pPr>
      <w:bookmarkStart w:id="44" w:name="_Hlk37429674"/>
      <w:r>
        <w:rPr>
          <w:rFonts w:hint="eastAsia" w:ascii="宋体" w:hAnsi="宋体" w:cs="宋体"/>
          <w:color w:val="auto"/>
          <w:kern w:val="0"/>
          <w:szCs w:val="21"/>
        </w:rPr>
        <w:t>5.本项目需要</w:t>
      </w:r>
      <w:r>
        <w:rPr>
          <w:rFonts w:hint="eastAsia" w:ascii="宋体" w:hAnsi="宋体" w:cs="宋体"/>
          <w:color w:val="auto"/>
          <w:szCs w:val="21"/>
        </w:rPr>
        <w:t>落实的政府采</w:t>
      </w:r>
      <w:r>
        <w:rPr>
          <w:rFonts w:hint="eastAsia" w:ascii="宋体" w:hAnsi="宋体" w:cs="宋体"/>
          <w:color w:val="auto"/>
          <w:kern w:val="0"/>
          <w:szCs w:val="21"/>
        </w:rPr>
        <w:t>购政策</w:t>
      </w:r>
    </w:p>
    <w:bookmarkEnd w:id="44"/>
    <w:p w14:paraId="2E8916FE">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（1）政府采购促进中小企业发展。</w:t>
      </w:r>
    </w:p>
    <w:p w14:paraId="547107FE">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（2）政府采购支持采用本国产品的政策。</w:t>
      </w:r>
    </w:p>
    <w:p w14:paraId="0A18C148">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（3）政府采购促进残疾人就业政策。</w:t>
      </w:r>
    </w:p>
    <w:p w14:paraId="4DA982C0">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（4）政府采购支持监狱企业发展。</w:t>
      </w:r>
    </w:p>
    <w:p w14:paraId="52B41CA3">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（5）扶持不发达地区和少数民族地区政策。</w:t>
      </w:r>
    </w:p>
    <w:p w14:paraId="14F80EC9">
      <w:pPr>
        <w:widowControl/>
        <w:spacing w:line="500" w:lineRule="exact"/>
        <w:ind w:firstLine="420" w:firstLineChars="200"/>
        <w:jc w:val="left"/>
        <w:rPr>
          <w:rFonts w:hint="eastAsia" w:ascii="宋体" w:hAnsi="宋体" w:cs="宋体"/>
          <w:color w:val="auto"/>
          <w:szCs w:val="21"/>
        </w:rPr>
      </w:pPr>
      <w:r>
        <w:rPr>
          <w:rFonts w:hint="eastAsia" w:ascii="宋体" w:hAnsi="宋体" w:cs="宋体"/>
          <w:color w:val="auto"/>
          <w:kern w:val="0"/>
          <w:szCs w:val="21"/>
        </w:rPr>
        <w:t>6.投标人</w:t>
      </w:r>
      <w:r>
        <w:rPr>
          <w:rFonts w:hint="eastAsia" w:ascii="宋体" w:hAnsi="宋体" w:cs="宋体"/>
          <w:color w:val="auto"/>
          <w:szCs w:val="21"/>
        </w:rPr>
        <w:t>投标注意事项</w:t>
      </w:r>
    </w:p>
    <w:p w14:paraId="3E81115A">
      <w:pPr>
        <w:keepNext w:val="0"/>
        <w:keepLines w:val="0"/>
        <w:pageBreakBefore w:val="0"/>
        <w:widowControl/>
        <w:kinsoku/>
        <w:wordWrap w:val="0"/>
        <w:overflowPunct/>
        <w:topLinePunct w:val="0"/>
        <w:autoSpaceDE/>
        <w:autoSpaceDN/>
        <w:bidi w:val="0"/>
        <w:adjustRightInd/>
        <w:snapToGrid/>
        <w:spacing w:line="500" w:lineRule="exact"/>
        <w:ind w:firstLine="420" w:firstLineChars="200"/>
        <w:jc w:val="left"/>
        <w:textAlignment w:val="auto"/>
        <w:rPr>
          <w:rFonts w:hint="eastAsia" w:ascii="宋体" w:hAnsi="宋体" w:cs="宋体"/>
          <w:color w:val="auto"/>
          <w:szCs w:val="21"/>
        </w:rPr>
      </w:pPr>
      <w:r>
        <w:rPr>
          <w:rFonts w:hint="eastAsia" w:ascii="宋体" w:hAnsi="宋体" w:cs="宋体"/>
          <w:color w:val="auto"/>
          <w:szCs w:val="21"/>
        </w:rPr>
        <w:t>（1）本项目为全流程电子化采购项目，通过广西政府采购云平台（https://www.gcy.zfcg.gxzf.gov.cn</w:t>
      </w:r>
      <w:r>
        <w:rPr>
          <w:rFonts w:hint="eastAsia" w:ascii="宋体" w:hAnsi="宋体" w:cs="宋体"/>
          <w:color w:val="auto"/>
          <w:szCs w:val="21"/>
          <w:lang w:eastAsia="zh-CN"/>
        </w:rPr>
        <w:t>）</w:t>
      </w:r>
      <w:r>
        <w:rPr>
          <w:rFonts w:hint="eastAsia" w:ascii="宋体" w:hAnsi="宋体" w:cs="宋体"/>
          <w:color w:val="auto"/>
          <w:szCs w:val="21"/>
        </w:rPr>
        <w:t>实行在线电子投标，投标人应先安装“</w:t>
      </w:r>
      <w:r>
        <w:rPr>
          <w:rFonts w:hint="eastAsia" w:ascii="宋体" w:hAnsi="宋体" w:cs="宋体"/>
          <w:color w:val="auto"/>
          <w:kern w:val="0"/>
          <w:szCs w:val="21"/>
        </w:rPr>
        <w:t>广西政府采购云</w:t>
      </w:r>
      <w:r>
        <w:rPr>
          <w:rFonts w:hint="eastAsia" w:ascii="宋体" w:hAnsi="宋体" w:cs="宋体"/>
          <w:color w:val="auto"/>
          <w:szCs w:val="21"/>
        </w:rPr>
        <w:t>电子投标客户端”（请自行前往广西政府采购云平台进行下载），并按照本项目招标文件和</w:t>
      </w:r>
      <w:r>
        <w:rPr>
          <w:rFonts w:hint="eastAsia" w:ascii="宋体" w:hAnsi="宋体" w:cs="宋体"/>
          <w:color w:val="auto"/>
          <w:kern w:val="0"/>
          <w:szCs w:val="21"/>
        </w:rPr>
        <w:t>广西政府采购云平台</w:t>
      </w:r>
      <w:r>
        <w:rPr>
          <w:rFonts w:hint="eastAsia" w:ascii="宋体" w:hAnsi="宋体" w:cs="宋体"/>
          <w:color w:val="auto"/>
          <w:szCs w:val="21"/>
        </w:rPr>
        <w:t>的要求编制、加密后在投标截止时间前通过网络上传至</w:t>
      </w:r>
      <w:r>
        <w:rPr>
          <w:rFonts w:hint="eastAsia" w:ascii="宋体" w:hAnsi="宋体" w:cs="宋体"/>
          <w:color w:val="auto"/>
          <w:kern w:val="0"/>
          <w:szCs w:val="21"/>
        </w:rPr>
        <w:t>广西政府采购云平台</w:t>
      </w:r>
      <w:r>
        <w:rPr>
          <w:rFonts w:hint="eastAsia" w:ascii="宋体" w:hAnsi="宋体" w:cs="宋体"/>
          <w:color w:val="auto"/>
          <w:szCs w:val="21"/>
        </w:rPr>
        <w:t>（加密的电子投标文件是指后缀名为“jmbs”的文件），</w:t>
      </w:r>
      <w:r>
        <w:rPr>
          <w:rFonts w:hint="eastAsia" w:ascii="宋体" w:hAnsi="宋体" w:cs="宋体"/>
          <w:b/>
          <w:color w:val="auto"/>
          <w:szCs w:val="21"/>
        </w:rPr>
        <w:t>投标人在</w:t>
      </w:r>
      <w:r>
        <w:rPr>
          <w:rFonts w:hint="eastAsia" w:ascii="宋体" w:hAnsi="宋体" w:cs="宋体"/>
          <w:color w:val="auto"/>
          <w:kern w:val="0"/>
          <w:szCs w:val="21"/>
        </w:rPr>
        <w:t>广西政府采购云平台</w:t>
      </w:r>
      <w:r>
        <w:rPr>
          <w:rFonts w:hint="eastAsia" w:ascii="宋体" w:hAnsi="宋体" w:cs="宋体"/>
          <w:b/>
          <w:color w:val="auto"/>
          <w:szCs w:val="21"/>
        </w:rPr>
        <w:t>提交电子投标文件时，请填写参加远程开标活</w:t>
      </w:r>
      <w:r>
        <w:rPr>
          <w:rFonts w:hint="eastAsia" w:ascii="宋体" w:hAnsi="宋体" w:cs="宋体"/>
          <w:b/>
          <w:color w:val="auto"/>
          <w:szCs w:val="21"/>
          <w:lang w:eastAsia="zh-CN"/>
        </w:rPr>
        <w:t>动的</w:t>
      </w:r>
      <w:r>
        <w:rPr>
          <w:rFonts w:hint="eastAsia" w:ascii="宋体" w:hAnsi="宋体" w:cs="宋体"/>
          <w:b/>
          <w:color w:val="auto"/>
          <w:szCs w:val="21"/>
        </w:rPr>
        <w:t>经办人联系方式。</w:t>
      </w:r>
      <w:r>
        <w:rPr>
          <w:rFonts w:hint="eastAsia" w:ascii="宋体" w:hAnsi="宋体" w:cs="宋体"/>
          <w:color w:val="auto"/>
          <w:szCs w:val="21"/>
        </w:rPr>
        <w:t>投标人登录</w:t>
      </w:r>
      <w:r>
        <w:rPr>
          <w:rFonts w:hint="eastAsia" w:ascii="宋体" w:hAnsi="宋体" w:cs="宋体"/>
          <w:color w:val="auto"/>
          <w:kern w:val="0"/>
          <w:szCs w:val="21"/>
        </w:rPr>
        <w:t>广西政府采购云平台</w:t>
      </w:r>
      <w:r>
        <w:rPr>
          <w:rFonts w:hint="eastAsia" w:ascii="宋体" w:hAnsi="宋体" w:cs="宋体"/>
          <w:color w:val="auto"/>
          <w:szCs w:val="21"/>
        </w:rPr>
        <w:t>，依次进入“服务中心－项目采购－操作流程－电子招投标－政府采购项目电子交易管理操作指南－供应商”查看电子投标具体操作流程。</w:t>
      </w:r>
    </w:p>
    <w:p w14:paraId="21FB50E8">
      <w:pPr>
        <w:widowControl/>
        <w:spacing w:line="500" w:lineRule="exact"/>
        <w:ind w:firstLine="420" w:firstLineChars="200"/>
        <w:jc w:val="left"/>
        <w:rPr>
          <w:rFonts w:hint="eastAsia" w:ascii="宋体" w:hAnsi="宋体" w:cs="宋体"/>
          <w:color w:val="auto"/>
          <w:szCs w:val="21"/>
        </w:rPr>
      </w:pPr>
      <w:r>
        <w:rPr>
          <w:rFonts w:hint="eastAsia" w:ascii="宋体" w:hAnsi="宋体" w:cs="宋体"/>
          <w:color w:val="auto"/>
          <w:szCs w:val="2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Pr>
          <w:rFonts w:hint="eastAsia" w:ascii="宋体" w:hAnsi="宋体" w:cs="宋体"/>
          <w:color w:val="auto"/>
          <w:kern w:val="0"/>
          <w:szCs w:val="21"/>
        </w:rPr>
        <w:t>广西政府采购云平台，</w:t>
      </w:r>
      <w:r>
        <w:rPr>
          <w:rFonts w:hint="eastAsia" w:ascii="宋体" w:hAnsi="宋体" w:cs="宋体"/>
          <w:color w:val="auto"/>
          <w:szCs w:val="21"/>
        </w:rPr>
        <w:t>依次进入“服务中心－入驻与配置”中查看CA数字证书办理操作流程）。</w:t>
      </w:r>
    </w:p>
    <w:p w14:paraId="3BDD626E">
      <w:pPr>
        <w:snapToGrid w:val="0"/>
        <w:spacing w:line="50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（3）CA证书在线解密：投标人投标时，需凭制作投标文件时用来加密的有效数字证书（CA认证）登录广西政府采购云平台电子开标大厅现场按规定时间对加密的投标文件进行解密，否则后果自负。</w:t>
      </w:r>
    </w:p>
    <w:p w14:paraId="6A3FE460">
      <w:pPr>
        <w:spacing w:line="500" w:lineRule="exact"/>
        <w:ind w:firstLine="424" w:firstLineChars="202"/>
        <w:rPr>
          <w:rFonts w:hint="eastAsia" w:ascii="宋体" w:hAnsi="宋体" w:cs="宋体"/>
          <w:bCs/>
          <w:color w:val="auto"/>
          <w:szCs w:val="21"/>
        </w:rPr>
      </w:pPr>
      <w:r>
        <w:rPr>
          <w:rFonts w:hint="eastAsia" w:ascii="宋体" w:hAnsi="宋体" w:cs="宋体"/>
          <w:color w:val="auto"/>
          <w:szCs w:val="21"/>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宋体" w:hAnsi="宋体" w:cs="宋体"/>
          <w:bCs/>
          <w:color w:val="auto"/>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s="宋体"/>
          <w:color w:val="auto"/>
          <w:kern w:val="0"/>
          <w:szCs w:val="21"/>
        </w:rPr>
        <w:t>广西政府采购云平台</w:t>
      </w:r>
      <w:r>
        <w:rPr>
          <w:rFonts w:hint="eastAsia" w:ascii="宋体" w:hAnsi="宋体" w:cs="宋体"/>
          <w:bCs/>
          <w:color w:val="auto"/>
          <w:szCs w:val="21"/>
        </w:rPr>
        <w:t>将予以拒收。</w:t>
      </w:r>
    </w:p>
    <w:p w14:paraId="3DBC3455">
      <w:pPr>
        <w:widowControl/>
        <w:spacing w:line="500" w:lineRule="exact"/>
        <w:ind w:firstLine="420" w:firstLineChars="200"/>
        <w:jc w:val="left"/>
        <w:rPr>
          <w:rFonts w:hint="eastAsia" w:ascii="宋体" w:hAnsi="宋体" w:cs="宋体"/>
          <w:color w:val="auto"/>
          <w:szCs w:val="21"/>
        </w:rPr>
      </w:pPr>
      <w:r>
        <w:rPr>
          <w:rFonts w:hint="eastAsia" w:ascii="宋体" w:hAnsi="宋体" w:cs="宋体"/>
          <w:color w:val="auto"/>
          <w:szCs w:val="21"/>
        </w:rPr>
        <w:t>7.采购意向公开链接：https://zfcg.gxzf.gov.cn/luban/detail?parentId=66485&amp;articleId=ann_gyOcq3amnVrHcB44LtdN79D5ndTMr3NGt5TILBJnhQo=&amp;utm=app-announcement-front.5cc075f2.0.0.0f86b240423d11f1bb7c616b7b1e7270</w:t>
      </w:r>
    </w:p>
    <w:p w14:paraId="2B2325EC">
      <w:pPr>
        <w:spacing w:line="500" w:lineRule="exact"/>
        <w:ind w:firstLine="422" w:firstLineChars="200"/>
        <w:rPr>
          <w:rFonts w:hint="eastAsia" w:ascii="宋体" w:hAnsi="宋体" w:cs="宋体"/>
          <w:b/>
          <w:bCs/>
          <w:color w:val="auto"/>
          <w:szCs w:val="21"/>
        </w:rPr>
      </w:pPr>
      <w:r>
        <w:rPr>
          <w:rFonts w:hint="eastAsia" w:ascii="宋体" w:hAnsi="宋体" w:cs="宋体"/>
          <w:b/>
          <w:bCs/>
          <w:color w:val="auto"/>
          <w:szCs w:val="21"/>
        </w:rPr>
        <w:t>七、对本次招标提出询问，请按以下方式联系。</w:t>
      </w:r>
      <w:bookmarkEnd w:id="40"/>
      <w:bookmarkEnd w:id="41"/>
      <w:bookmarkEnd w:id="42"/>
      <w:bookmarkEnd w:id="43"/>
    </w:p>
    <w:p w14:paraId="59B0B1A8">
      <w:pPr>
        <w:spacing w:line="500" w:lineRule="exact"/>
        <w:ind w:firstLine="424" w:firstLineChars="202"/>
        <w:rPr>
          <w:rFonts w:hint="eastAsia" w:ascii="宋体" w:hAnsi="宋体" w:cs="宋体"/>
          <w:bCs/>
          <w:color w:val="auto"/>
          <w:szCs w:val="21"/>
        </w:rPr>
      </w:pPr>
      <w:bookmarkStart w:id="45" w:name="_Toc28359009"/>
      <w:bookmarkStart w:id="46" w:name="_Toc28359086"/>
      <w:r>
        <w:rPr>
          <w:rFonts w:hint="eastAsia" w:ascii="宋体" w:hAnsi="宋体" w:cs="宋体"/>
          <w:bCs/>
          <w:color w:val="auto"/>
          <w:szCs w:val="21"/>
        </w:rPr>
        <w:t>1.采购人信息</w:t>
      </w:r>
    </w:p>
    <w:p w14:paraId="4F64C1CA">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名称：</w:t>
      </w:r>
      <w:r>
        <w:rPr>
          <w:rFonts w:hint="eastAsia" w:ascii="宋体" w:hAnsi="宋体" w:cs="宋体"/>
          <w:bCs/>
          <w:color w:val="auto"/>
          <w:szCs w:val="21"/>
          <w:lang w:eastAsia="zh-CN"/>
        </w:rPr>
        <w:t xml:space="preserve"> 蒙山县城镇环境卫生管理站</w:t>
      </w:r>
    </w:p>
    <w:p w14:paraId="1448A0A3">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地址：</w:t>
      </w:r>
      <w:r>
        <w:rPr>
          <w:rFonts w:hint="eastAsia" w:ascii="宋体" w:hAnsi="宋体" w:cs="宋体"/>
          <w:bCs/>
          <w:color w:val="auto"/>
          <w:szCs w:val="21"/>
          <w:lang w:eastAsia="zh-CN"/>
        </w:rPr>
        <w:t>蒙山镇永安街旧县巷</w:t>
      </w:r>
    </w:p>
    <w:p w14:paraId="4A6E5D32">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项目联系人：</w:t>
      </w:r>
      <w:r>
        <w:rPr>
          <w:rFonts w:hint="eastAsia" w:ascii="宋体" w:hAnsi="宋体" w:cs="宋体"/>
          <w:bCs/>
          <w:color w:val="auto"/>
          <w:szCs w:val="21"/>
          <w:lang w:eastAsia="zh-CN"/>
        </w:rPr>
        <w:t>黄燕玲</w:t>
      </w:r>
    </w:p>
    <w:p w14:paraId="5BF61A2C">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联系电话：</w:t>
      </w:r>
      <w:bookmarkEnd w:id="45"/>
      <w:bookmarkEnd w:id="46"/>
      <w:r>
        <w:rPr>
          <w:rFonts w:hint="eastAsia" w:ascii="宋体" w:hAnsi="宋体" w:cs="宋体"/>
          <w:bCs/>
          <w:color w:val="auto"/>
          <w:szCs w:val="21"/>
          <w:lang w:eastAsia="zh-CN"/>
        </w:rPr>
        <w:t>0774-6280902</w:t>
      </w:r>
    </w:p>
    <w:p w14:paraId="2B9AD07C">
      <w:pPr>
        <w:spacing w:line="500" w:lineRule="exact"/>
        <w:ind w:firstLine="424" w:firstLineChars="202"/>
        <w:rPr>
          <w:rFonts w:hint="eastAsia" w:ascii="宋体" w:hAnsi="宋体" w:cs="宋体"/>
          <w:bCs/>
          <w:color w:val="auto"/>
          <w:szCs w:val="21"/>
        </w:rPr>
      </w:pPr>
      <w:r>
        <w:rPr>
          <w:rFonts w:hint="eastAsia" w:ascii="宋体" w:hAnsi="宋体" w:cs="宋体"/>
          <w:bCs/>
          <w:color w:val="auto"/>
          <w:szCs w:val="21"/>
        </w:rPr>
        <w:t>2.采购代理机构信息</w:t>
      </w:r>
    </w:p>
    <w:p w14:paraId="280175B6">
      <w:pPr>
        <w:spacing w:line="500" w:lineRule="exact"/>
        <w:ind w:firstLine="424" w:firstLineChars="202"/>
        <w:rPr>
          <w:rFonts w:hint="eastAsia" w:ascii="宋体" w:hAnsi="宋体" w:cs="宋体"/>
          <w:bCs/>
          <w:color w:val="auto"/>
          <w:szCs w:val="21"/>
        </w:rPr>
      </w:pPr>
      <w:r>
        <w:rPr>
          <w:rFonts w:hint="eastAsia" w:ascii="宋体" w:hAnsi="宋体" w:cs="宋体"/>
          <w:bCs/>
          <w:color w:val="auto"/>
          <w:szCs w:val="21"/>
        </w:rPr>
        <w:t>名 称：广西中信恒泰工程顾问有限公司</w:t>
      </w:r>
    </w:p>
    <w:p w14:paraId="205224A0">
      <w:pPr>
        <w:spacing w:line="500" w:lineRule="exact"/>
        <w:ind w:firstLine="424" w:firstLineChars="202"/>
        <w:rPr>
          <w:rFonts w:hint="eastAsia" w:ascii="宋体" w:hAnsi="宋体" w:cs="宋体"/>
          <w:bCs/>
          <w:color w:val="auto"/>
          <w:szCs w:val="21"/>
        </w:rPr>
      </w:pPr>
      <w:r>
        <w:rPr>
          <w:rFonts w:hint="eastAsia" w:ascii="宋体" w:hAnsi="宋体" w:cs="宋体"/>
          <w:bCs/>
          <w:color w:val="auto"/>
          <w:szCs w:val="21"/>
        </w:rPr>
        <w:t>地址：广西南宁市青秀区云景路69号南宁轨道大厦B</w:t>
      </w:r>
      <w:r>
        <w:rPr>
          <w:rFonts w:hint="eastAsia" w:ascii="宋体" w:hAnsi="宋体" w:cs="宋体"/>
          <w:bCs/>
          <w:color w:val="auto"/>
          <w:szCs w:val="21"/>
          <w:lang w:val="en-US" w:eastAsia="zh-CN"/>
        </w:rPr>
        <w:t>座8</w:t>
      </w:r>
      <w:r>
        <w:rPr>
          <w:rFonts w:hint="eastAsia" w:ascii="宋体" w:hAnsi="宋体" w:cs="宋体"/>
          <w:bCs/>
          <w:color w:val="auto"/>
          <w:szCs w:val="21"/>
        </w:rPr>
        <w:t>层</w:t>
      </w:r>
    </w:p>
    <w:p w14:paraId="3CD03B39">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联系方式：</w:t>
      </w:r>
      <w:r>
        <w:rPr>
          <w:rFonts w:hint="eastAsia" w:ascii="宋体" w:hAnsi="宋体" w:cs="宋体"/>
          <w:bCs/>
          <w:color w:val="auto"/>
          <w:szCs w:val="21"/>
          <w:lang w:eastAsia="zh-CN"/>
        </w:rPr>
        <w:t>0771-5776253</w:t>
      </w:r>
    </w:p>
    <w:p w14:paraId="452E7307">
      <w:pPr>
        <w:spacing w:line="500" w:lineRule="exact"/>
        <w:ind w:firstLine="424" w:firstLineChars="202"/>
        <w:rPr>
          <w:rFonts w:hint="eastAsia" w:ascii="宋体" w:hAnsi="宋体" w:cs="宋体"/>
          <w:bCs/>
          <w:color w:val="auto"/>
          <w:szCs w:val="21"/>
        </w:rPr>
      </w:pPr>
      <w:r>
        <w:rPr>
          <w:rFonts w:hint="eastAsia" w:ascii="宋体" w:hAnsi="宋体" w:cs="宋体"/>
          <w:bCs/>
          <w:color w:val="auto"/>
          <w:szCs w:val="21"/>
        </w:rPr>
        <w:t>3.项目联系方式</w:t>
      </w:r>
    </w:p>
    <w:p w14:paraId="2B8A0A5C">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项目联系人：</w:t>
      </w:r>
      <w:r>
        <w:rPr>
          <w:rFonts w:hint="eastAsia" w:ascii="宋体" w:hAnsi="宋体" w:cs="宋体"/>
          <w:bCs/>
          <w:color w:val="auto"/>
          <w:szCs w:val="21"/>
          <w:lang w:eastAsia="zh-CN"/>
        </w:rPr>
        <w:t>黄红琳</w:t>
      </w:r>
    </w:p>
    <w:p w14:paraId="63B22158">
      <w:pPr>
        <w:spacing w:line="500" w:lineRule="exact"/>
        <w:ind w:firstLine="424" w:firstLineChars="202"/>
        <w:rPr>
          <w:rFonts w:hint="eastAsia" w:ascii="宋体" w:hAnsi="宋体" w:eastAsia="宋体" w:cs="宋体"/>
          <w:color w:val="auto"/>
          <w:szCs w:val="21"/>
          <w:lang w:eastAsia="zh-CN"/>
        </w:rPr>
      </w:pPr>
      <w:r>
        <w:rPr>
          <w:rFonts w:hint="eastAsia" w:ascii="宋体" w:hAnsi="宋体" w:cs="宋体"/>
          <w:bCs/>
          <w:color w:val="auto"/>
          <w:szCs w:val="21"/>
        </w:rPr>
        <w:t>电话：</w:t>
      </w:r>
      <w:r>
        <w:rPr>
          <w:rFonts w:hint="eastAsia" w:ascii="宋体" w:hAnsi="宋体" w:cs="宋体"/>
          <w:bCs/>
          <w:color w:val="auto"/>
          <w:szCs w:val="21"/>
          <w:lang w:eastAsia="zh-CN"/>
        </w:rPr>
        <w:t>0771-5776253</w:t>
      </w:r>
    </w:p>
    <w:p w14:paraId="56FA42C1">
      <w:pPr>
        <w:spacing w:line="500" w:lineRule="exact"/>
        <w:ind w:firstLine="5460" w:firstLineChars="2600"/>
        <w:jc w:val="right"/>
        <w:rPr>
          <w:rFonts w:hint="eastAsia" w:ascii="宋体" w:hAnsi="宋体" w:cs="宋体"/>
          <w:color w:val="auto"/>
          <w:szCs w:val="21"/>
        </w:rPr>
      </w:pPr>
      <w:r>
        <w:rPr>
          <w:rFonts w:hint="eastAsia" w:ascii="宋体" w:hAnsi="宋体" w:cs="宋体"/>
          <w:color w:val="auto"/>
          <w:szCs w:val="21"/>
        </w:rPr>
        <w:t>广西中信恒泰工程顾问有限公司</w:t>
      </w:r>
    </w:p>
    <w:p w14:paraId="4D2025FC">
      <w:pPr>
        <w:tabs>
          <w:tab w:val="left" w:pos="0"/>
          <w:tab w:val="left" w:pos="3165"/>
          <w:tab w:val="center" w:pos="4153"/>
        </w:tabs>
        <w:wordWrap w:val="0"/>
        <w:autoSpaceDE w:val="0"/>
        <w:autoSpaceDN w:val="0"/>
        <w:adjustRightInd w:val="0"/>
        <w:spacing w:line="500" w:lineRule="exact"/>
        <w:jc w:val="right"/>
        <w:rPr>
          <w:rFonts w:hint="eastAsia" w:ascii="宋体" w:hAnsi="宋体" w:cs="宋体"/>
          <w:b/>
          <w:bCs/>
          <w:color w:val="auto"/>
          <w:szCs w:val="21"/>
        </w:rPr>
      </w:pPr>
      <w:r>
        <w:rPr>
          <w:rFonts w:hint="eastAsia" w:ascii="宋体" w:hAnsi="宋体" w:cs="宋体"/>
          <w:color w:val="auto"/>
          <w:szCs w:val="21"/>
        </w:rPr>
        <w:t>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 xml:space="preserve">  </w:t>
      </w:r>
      <w:r>
        <w:rPr>
          <w:rFonts w:hint="eastAsia" w:ascii="宋体" w:hAnsi="宋体" w:cs="宋体"/>
          <w:color w:val="auto"/>
          <w:szCs w:val="21"/>
        </w:rPr>
        <w:t>月</w:t>
      </w:r>
      <w:r>
        <w:rPr>
          <w:rFonts w:hint="eastAsia" w:ascii="宋体" w:hAnsi="宋体" w:cs="宋体"/>
          <w:color w:val="auto"/>
          <w:szCs w:val="21"/>
          <w:lang w:val="en-US" w:eastAsia="zh-CN"/>
        </w:rPr>
        <w:t xml:space="preserve">  </w:t>
      </w:r>
      <w:r>
        <w:rPr>
          <w:rFonts w:hint="eastAsia" w:ascii="宋体" w:hAnsi="宋体" w:cs="宋体"/>
          <w:color w:val="auto"/>
          <w:szCs w:val="21"/>
        </w:rPr>
        <w:t>日</w:t>
      </w:r>
    </w:p>
    <w:p w14:paraId="004CE247">
      <w:pPr>
        <w:jc w:val="center"/>
        <w:outlineLvl w:val="0"/>
        <w:rPr>
          <w:rFonts w:hint="eastAsia" w:ascii="宋体" w:hAnsi="宋体" w:cs="宋体"/>
          <w:color w:val="auto"/>
        </w:rPr>
      </w:pPr>
      <w:r>
        <w:rPr>
          <w:rFonts w:hint="eastAsia" w:ascii="宋体" w:hAnsi="宋体" w:cs="宋体"/>
          <w:color w:val="auto"/>
        </w:rPr>
        <w:br w:type="page"/>
      </w:r>
      <w:bookmarkStart w:id="47" w:name="_Toc22529"/>
      <w:bookmarkStart w:id="48" w:name="_Toc21094"/>
      <w:bookmarkStart w:id="49" w:name="_Toc31818"/>
      <w:bookmarkStart w:id="50" w:name="_Toc18863"/>
      <w:bookmarkStart w:id="51" w:name="_Toc9484"/>
      <w:bookmarkStart w:id="52" w:name="_Toc16307"/>
      <w:bookmarkStart w:id="53" w:name="_Toc21521"/>
      <w:bookmarkStart w:id="54" w:name="_Toc11700"/>
      <w:r>
        <w:rPr>
          <w:rFonts w:hint="eastAsia" w:ascii="宋体" w:hAnsi="宋体" w:cs="宋体"/>
          <w:b/>
          <w:bCs/>
          <w:color w:val="auto"/>
          <w:sz w:val="44"/>
          <w:szCs w:val="44"/>
        </w:rPr>
        <w:t>第二章  采购需求</w:t>
      </w:r>
      <w:bookmarkEnd w:id="47"/>
      <w:bookmarkEnd w:id="48"/>
      <w:bookmarkEnd w:id="49"/>
      <w:bookmarkEnd w:id="50"/>
      <w:bookmarkEnd w:id="51"/>
      <w:bookmarkEnd w:id="52"/>
      <w:bookmarkEnd w:id="53"/>
      <w:bookmarkEnd w:id="54"/>
    </w:p>
    <w:p w14:paraId="37EF1419">
      <w:pPr>
        <w:spacing w:line="500" w:lineRule="exact"/>
        <w:jc w:val="left"/>
        <w:rPr>
          <w:rFonts w:hint="eastAsia" w:ascii="宋体" w:hAnsi="宋体" w:cs="宋体"/>
          <w:color w:val="auto"/>
          <w:szCs w:val="21"/>
        </w:rPr>
      </w:pPr>
      <w:bookmarkStart w:id="55" w:name="_Toc254970631"/>
      <w:bookmarkStart w:id="56" w:name="_Toc254970490"/>
      <w:r>
        <w:rPr>
          <w:rFonts w:hint="eastAsia" w:ascii="宋体" w:hAnsi="宋体" w:cs="宋体"/>
          <w:color w:val="auto"/>
          <w:szCs w:val="21"/>
        </w:rPr>
        <w:t>说明：</w:t>
      </w:r>
    </w:p>
    <w:p w14:paraId="6B624421">
      <w:pPr>
        <w:spacing w:line="500" w:lineRule="exact"/>
        <w:ind w:firstLine="424" w:firstLineChars="202"/>
        <w:jc w:val="left"/>
        <w:rPr>
          <w:rFonts w:hint="eastAsia" w:ascii="宋体" w:hAnsi="宋体" w:cs="宋体"/>
          <w:color w:val="auto"/>
          <w:szCs w:val="21"/>
        </w:rPr>
      </w:pPr>
      <w:r>
        <w:rPr>
          <w:rFonts w:hint="eastAsia" w:ascii="宋体" w:hAnsi="宋体" w:cs="宋体"/>
          <w:color w:val="auto"/>
        </w:rPr>
        <w:t>1.</w:t>
      </w:r>
      <w:r>
        <w:rPr>
          <w:rFonts w:hint="eastAsia" w:ascii="宋体" w:hAnsi="宋体" w:cs="宋体"/>
          <w:color w:val="auto"/>
          <w:szCs w:val="21"/>
        </w:rPr>
        <w:t>“实质性要求”是指招标文件中已经指明不满足则投标无效的条款，或者不能负偏离的条款，或者采购需求中带“▲”的条款。</w:t>
      </w:r>
    </w:p>
    <w:p w14:paraId="441F81C6">
      <w:pPr>
        <w:spacing w:line="500" w:lineRule="exact"/>
        <w:ind w:firstLine="424" w:firstLineChars="202"/>
        <w:jc w:val="left"/>
        <w:rPr>
          <w:rFonts w:hint="eastAsia" w:ascii="宋体" w:hAnsi="宋体" w:cs="宋体"/>
          <w:color w:val="auto"/>
        </w:rPr>
      </w:pPr>
      <w:r>
        <w:rPr>
          <w:rFonts w:hint="eastAsia" w:ascii="宋体" w:hAnsi="宋体" w:cs="宋体"/>
          <w:color w:val="auto"/>
          <w:szCs w:val="21"/>
        </w:rPr>
        <w:t>3.</w:t>
      </w:r>
      <w:r>
        <w:rPr>
          <w:rFonts w:hint="eastAsia" w:ascii="宋体" w:hAnsi="宋体" w:cs="宋体"/>
          <w:color w:val="auto"/>
        </w:rPr>
        <w:t>投标人必须自行为其投标产品侵犯他人的知识产权或者专利成果的行为承担相应法律责任。</w:t>
      </w:r>
    </w:p>
    <w:p w14:paraId="1EB5E73F">
      <w:pPr>
        <w:spacing w:line="500" w:lineRule="exact"/>
        <w:ind w:firstLine="426" w:firstLineChars="202"/>
        <w:jc w:val="left"/>
        <w:rPr>
          <w:rFonts w:hint="eastAsia" w:ascii="宋体" w:hAnsi="宋体" w:cs="宋体"/>
          <w:color w:val="auto"/>
          <w:szCs w:val="21"/>
        </w:rPr>
      </w:pPr>
      <w:r>
        <w:rPr>
          <w:rFonts w:hint="eastAsia" w:ascii="宋体" w:hAnsi="宋体" w:cs="宋体"/>
          <w:b/>
          <w:color w:val="auto"/>
          <w:szCs w:val="21"/>
        </w:rPr>
        <w:t>4.采购内容的中小企业划分标准所属行业名称：</w:t>
      </w:r>
      <w:r>
        <w:rPr>
          <w:rFonts w:hint="eastAsia" w:ascii="宋体" w:hAnsi="宋体" w:eastAsia="宋体" w:cs="宋体"/>
          <w:color w:val="auto"/>
          <w:szCs w:val="21"/>
          <w:lang w:eastAsia="en-US"/>
        </w:rPr>
        <w:t>其他未列明行业</w:t>
      </w:r>
      <w:r>
        <w:rPr>
          <w:rFonts w:hint="eastAsia" w:ascii="宋体" w:hAnsi="宋体" w:cs="宋体"/>
          <w:b/>
          <w:bCs/>
          <w:color w:val="auto"/>
          <w:kern w:val="0"/>
          <w:szCs w:val="21"/>
          <w:highlight w:val="none"/>
          <w:lang w:bidi="ar"/>
        </w:rPr>
        <w:t>。</w:t>
      </w:r>
      <w:r>
        <w:rPr>
          <w:rFonts w:hint="eastAsia" w:ascii="宋体" w:hAnsi="宋体" w:cs="宋体"/>
          <w:color w:val="auto"/>
          <w:szCs w:val="21"/>
        </w:rPr>
        <w:t>【见本章附件1】。</w:t>
      </w:r>
    </w:p>
    <w:p w14:paraId="4E0DE74B">
      <w:pPr>
        <w:spacing w:line="500" w:lineRule="exact"/>
        <w:ind w:firstLine="424" w:firstLineChars="202"/>
        <w:jc w:val="left"/>
        <w:rPr>
          <w:rFonts w:hint="eastAsia" w:ascii="宋体" w:hAnsi="宋体" w:cs="宋体"/>
          <w:bCs/>
          <w:color w:val="auto"/>
          <w:szCs w:val="21"/>
        </w:rPr>
      </w:pPr>
      <w:r>
        <w:rPr>
          <w:rFonts w:hint="eastAsia" w:ascii="宋体" w:hAnsi="宋体" w:cs="宋体"/>
          <w:bCs/>
          <w:color w:val="auto"/>
          <w:szCs w:val="21"/>
        </w:rPr>
        <w:t>5.本项目为服务采购，无核心产品。</w:t>
      </w:r>
    </w:p>
    <w:p w14:paraId="73F30921">
      <w:pPr>
        <w:spacing w:line="500" w:lineRule="exact"/>
        <w:ind w:firstLine="426" w:firstLineChars="202"/>
        <w:jc w:val="left"/>
        <w:rPr>
          <w:rFonts w:hint="eastAsia" w:ascii="宋体" w:hAnsi="宋体" w:cs="宋体"/>
          <w:color w:val="auto"/>
          <w:szCs w:val="21"/>
          <w:lang w:eastAsia="zh-CN"/>
        </w:rPr>
      </w:pPr>
      <w:r>
        <w:rPr>
          <w:rFonts w:hint="eastAsia" w:ascii="宋体" w:hAnsi="宋体" w:cs="宋体"/>
          <w:b/>
          <w:color w:val="auto"/>
          <w:szCs w:val="21"/>
        </w:rPr>
        <w:t>6.采购预算</w:t>
      </w:r>
      <w:r>
        <w:rPr>
          <w:rFonts w:hint="eastAsia" w:ascii="宋体" w:hAnsi="宋体" w:cs="宋体"/>
          <w:b/>
          <w:color w:val="auto"/>
          <w:szCs w:val="21"/>
          <w:lang w:eastAsia="zh-CN"/>
        </w:rPr>
        <w:t>及最高限价</w:t>
      </w:r>
      <w:r>
        <w:rPr>
          <w:rFonts w:hint="eastAsia" w:ascii="宋体" w:hAnsi="宋体" w:cs="宋体"/>
          <w:bCs/>
          <w:color w:val="auto"/>
          <w:szCs w:val="21"/>
        </w:rPr>
        <w:t>：</w:t>
      </w:r>
      <w:r>
        <w:rPr>
          <w:rFonts w:hint="eastAsia" w:ascii="宋体" w:hAnsi="宋体" w:cs="宋体"/>
          <w:color w:val="auto"/>
          <w:szCs w:val="21"/>
        </w:rPr>
        <w:t>人民币</w:t>
      </w:r>
      <w:r>
        <w:rPr>
          <w:rFonts w:hint="eastAsia" w:ascii="宋体" w:hAnsi="宋体" w:cs="宋体"/>
          <w:color w:val="auto"/>
          <w:szCs w:val="21"/>
          <w:lang w:val="en-US" w:eastAsia="zh-CN"/>
        </w:rPr>
        <w:t>陆仟贰佰零肆万叁仟元整</w:t>
      </w:r>
      <w:r>
        <w:rPr>
          <w:rFonts w:hint="eastAsia" w:ascii="宋体" w:hAnsi="宋体" w:cs="宋体"/>
          <w:color w:val="auto"/>
          <w:szCs w:val="21"/>
          <w:lang w:eastAsia="zh-CN"/>
        </w:rPr>
        <w:t>（</w:t>
      </w:r>
      <w:r>
        <w:rPr>
          <w:rFonts w:hint="eastAsia" w:ascii="宋体" w:hAnsi="宋体" w:cs="宋体"/>
          <w:color w:val="auto"/>
          <w:szCs w:val="21"/>
          <w:lang w:val="en-US" w:eastAsia="zh-CN"/>
        </w:rPr>
        <w:t>¥</w:t>
      </w:r>
      <w:r>
        <w:rPr>
          <w:rFonts w:hint="eastAsia" w:ascii="宋体" w:hAnsi="宋体" w:eastAsia="宋体" w:cs="宋体"/>
          <w:sz w:val="24"/>
          <w:szCs w:val="24"/>
          <w:u w:val="single"/>
          <w:lang w:val="en-US" w:eastAsia="zh-CN"/>
        </w:rPr>
        <w:t>62043000.00</w:t>
      </w:r>
      <w:r>
        <w:rPr>
          <w:rFonts w:hint="eastAsia" w:ascii="宋体" w:hAnsi="宋体" w:cs="宋体"/>
          <w:color w:val="auto"/>
          <w:szCs w:val="21"/>
          <w:lang w:eastAsia="zh-CN"/>
        </w:rPr>
        <w:t>）</w:t>
      </w:r>
    </w:p>
    <w:p w14:paraId="79F98640">
      <w:pPr>
        <w:spacing w:line="360" w:lineRule="auto"/>
        <w:rPr>
          <w:rFonts w:ascii="宋体" w:hAnsi="宋体" w:cs="宋体"/>
          <w:b/>
          <w:color w:val="auto"/>
          <w:kern w:val="0"/>
          <w:szCs w:val="21"/>
        </w:rPr>
        <w:sectPr>
          <w:footerReference r:id="rId7" w:type="first"/>
          <w:footerReference r:id="rId6" w:type="default"/>
          <w:pgSz w:w="11910" w:h="16840"/>
          <w:pgMar w:top="1304" w:right="1247" w:bottom="1304" w:left="1247" w:header="720" w:footer="720" w:gutter="0"/>
          <w:pgNumType w:fmt="decimal" w:start="1"/>
          <w:cols w:space="720" w:num="1"/>
          <w:titlePg/>
          <w:docGrid w:linePitch="286" w:charSpace="0"/>
        </w:sectPr>
      </w:pPr>
    </w:p>
    <w:p w14:paraId="14D025CD">
      <w:pPr>
        <w:numPr>
          <w:ilvl w:val="0"/>
          <w:numId w:val="4"/>
        </w:numPr>
        <w:spacing w:line="480" w:lineRule="exact"/>
        <w:jc w:val="left"/>
        <w:rPr>
          <w:rFonts w:hint="eastAsia" w:ascii="宋体" w:hAnsi="宋体" w:eastAsia="宋体" w:cs="宋体"/>
          <w:b/>
          <w:bCs/>
          <w:sz w:val="24"/>
          <w:szCs w:val="24"/>
        </w:rPr>
      </w:pPr>
      <w:r>
        <w:rPr>
          <w:rFonts w:hint="eastAsia" w:ascii="宋体" w:hAnsi="宋体" w:eastAsia="宋体" w:cs="宋体"/>
          <w:b/>
          <w:bCs/>
          <w:sz w:val="24"/>
          <w:szCs w:val="24"/>
        </w:rPr>
        <w:t>本次采购的内容及要求：</w:t>
      </w:r>
      <w:bookmarkStart w:id="57" w:name="_Hlk100950595"/>
    </w:p>
    <w:p w14:paraId="4812FA05">
      <w:pPr>
        <w:numPr>
          <w:ilvl w:val="0"/>
          <w:numId w:val="0"/>
        </w:numPr>
        <w:spacing w:line="480" w:lineRule="exact"/>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技术要求：</w:t>
      </w:r>
    </w:p>
    <w:p w14:paraId="29632EFD">
      <w:pPr>
        <w:spacing w:line="360" w:lineRule="auto"/>
        <w:rPr>
          <w:rFonts w:hint="default"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1.服务范围及内容：</w:t>
      </w:r>
    </w:p>
    <w:p w14:paraId="162E7EC5">
      <w:pPr>
        <w:spacing w:line="360" w:lineRule="auto"/>
        <w:ind w:firstLine="420" w:firstLineChars="200"/>
        <w:rPr>
          <w:rFonts w:hint="default" w:ascii="宋体" w:hAnsi="宋体" w:eastAsia="宋体" w:cs="Times New Roman"/>
          <w:bCs/>
          <w:color w:val="auto"/>
          <w:szCs w:val="21"/>
          <w:highlight w:val="none"/>
          <w:lang w:eastAsia="zh-CN"/>
        </w:rPr>
      </w:pPr>
      <w:r>
        <w:rPr>
          <w:rFonts w:hint="default" w:ascii="宋体" w:hAnsi="宋体" w:eastAsia="宋体" w:cs="Times New Roman"/>
          <w:bCs/>
          <w:color w:val="auto"/>
          <w:szCs w:val="21"/>
          <w:highlight w:val="none"/>
        </w:rPr>
        <w:t>（一）</w:t>
      </w:r>
      <w:r>
        <w:rPr>
          <w:rFonts w:hint="default" w:ascii="宋体" w:hAnsi="宋体" w:eastAsia="宋体" w:cs="Times New Roman"/>
          <w:bCs/>
          <w:color w:val="auto"/>
          <w:szCs w:val="21"/>
          <w:highlight w:val="none"/>
          <w:lang w:eastAsia="zh-CN"/>
        </w:rPr>
        <w:t>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lang w:eastAsia="zh-CN"/>
        </w:rPr>
        <w:t>内服务范围及内容</w:t>
      </w:r>
    </w:p>
    <w:p w14:paraId="2F7D1E05">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1.道路综合清扫保洁服务。</w:t>
      </w:r>
      <w:r>
        <w:rPr>
          <w:rFonts w:hint="eastAsia" w:ascii="宋体" w:hAnsi="宋体" w:eastAsia="宋体" w:cs="宋体"/>
          <w:bCs/>
          <w:color w:val="auto"/>
          <w:szCs w:val="21"/>
          <w:highlight w:val="none"/>
        </w:rPr>
        <w:t>负责县城</w:t>
      </w:r>
      <w:r>
        <w:rPr>
          <w:rFonts w:hint="eastAsia" w:ascii="宋体" w:hAnsi="宋体" w:eastAsia="宋体" w:cs="宋体"/>
          <w:bCs/>
          <w:color w:val="auto"/>
          <w:szCs w:val="21"/>
          <w:highlight w:val="none"/>
          <w:lang w:eastAsia="zh-CN"/>
        </w:rPr>
        <w:t>建成区（含承包期间新增建成区域）</w:t>
      </w:r>
      <w:r>
        <w:rPr>
          <w:rFonts w:hint="eastAsia" w:ascii="宋体" w:hAnsi="宋体" w:eastAsia="宋体" w:cs="宋体"/>
          <w:bCs/>
          <w:color w:val="auto"/>
          <w:szCs w:val="21"/>
          <w:highlight w:val="none"/>
        </w:rPr>
        <w:t>主次干道</w:t>
      </w:r>
      <w:r>
        <w:rPr>
          <w:rFonts w:hint="eastAsia" w:ascii="宋体" w:hAnsi="宋体" w:eastAsia="宋体" w:cs="宋体"/>
          <w:bCs/>
          <w:color w:val="auto"/>
          <w:szCs w:val="21"/>
          <w:highlight w:val="none"/>
          <w:lang w:eastAsia="zh-CN"/>
        </w:rPr>
        <w:t>（含车行道、辅道、人行道及绿化带）</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背街小巷、公共</w:t>
      </w:r>
      <w:r>
        <w:rPr>
          <w:rFonts w:hint="eastAsia" w:ascii="宋体" w:hAnsi="宋体" w:eastAsia="宋体" w:cs="宋体"/>
          <w:bCs/>
          <w:color w:val="auto"/>
          <w:szCs w:val="21"/>
          <w:highlight w:val="none"/>
        </w:rPr>
        <w:t>广场、公园</w:t>
      </w:r>
      <w:r>
        <w:rPr>
          <w:rFonts w:hint="eastAsia" w:ascii="宋体" w:hAnsi="宋体" w:eastAsia="宋体" w:cs="宋体"/>
          <w:bCs/>
          <w:color w:val="auto"/>
          <w:szCs w:val="21"/>
          <w:highlight w:val="none"/>
          <w:lang w:eastAsia="zh-CN"/>
        </w:rPr>
        <w:t>、桥梁、一河两岸等全部公共区域的</w:t>
      </w:r>
      <w:r>
        <w:rPr>
          <w:rFonts w:hint="eastAsia" w:ascii="宋体" w:hAnsi="宋体" w:eastAsia="宋体" w:cs="宋体"/>
          <w:bCs/>
          <w:color w:val="auto"/>
          <w:szCs w:val="21"/>
          <w:highlight w:val="none"/>
        </w:rPr>
        <w:t>清扫保洁</w:t>
      </w:r>
      <w:r>
        <w:rPr>
          <w:rFonts w:hint="eastAsia" w:ascii="宋体" w:hAnsi="宋体" w:eastAsia="宋体" w:cs="宋体"/>
          <w:bCs/>
          <w:color w:val="auto"/>
          <w:szCs w:val="21"/>
          <w:highlight w:val="none"/>
          <w:lang w:eastAsia="zh-CN"/>
        </w:rPr>
        <w:t>（机械化清扫率不低于</w:t>
      </w:r>
      <w:r>
        <w:rPr>
          <w:rFonts w:hint="eastAsia" w:ascii="宋体" w:hAnsi="宋体" w:eastAsia="宋体" w:cs="宋体"/>
          <w:bCs/>
          <w:color w:val="auto"/>
          <w:szCs w:val="21"/>
          <w:highlight w:val="none"/>
          <w:lang w:val="en-US" w:eastAsia="zh-CN"/>
        </w:rPr>
        <w:t>85%</w:t>
      </w:r>
      <w:r>
        <w:rPr>
          <w:rFonts w:hint="eastAsia" w:ascii="宋体" w:hAnsi="宋体" w:eastAsia="宋体" w:cs="宋体"/>
          <w:bCs/>
          <w:color w:val="auto"/>
          <w:szCs w:val="21"/>
          <w:highlight w:val="none"/>
          <w:lang w:eastAsia="zh-CN"/>
        </w:rPr>
        <w:t>）。按规范频次开展日常清扫作业、及时清除路面垃圾、废弃物、落叶及杂物，做到路面干净整洁、无明显垃圾散落、无卫生死角、无积存杂物。如遇台风、暴雨等特殊恶劣天气，需在天气转好后</w:t>
      </w:r>
      <w:r>
        <w:rPr>
          <w:rFonts w:hint="eastAsia" w:ascii="宋体" w:hAnsi="宋体" w:eastAsia="宋体" w:cs="宋体"/>
          <w:bCs/>
          <w:color w:val="auto"/>
          <w:szCs w:val="21"/>
          <w:highlight w:val="none"/>
          <w:lang w:val="en-US" w:eastAsia="zh-CN"/>
        </w:rPr>
        <w:t>2小时内启动应急清扫作业，</w:t>
      </w:r>
      <w:r>
        <w:rPr>
          <w:rFonts w:hint="eastAsia" w:ascii="宋体" w:hAnsi="宋体" w:eastAsia="宋体" w:cs="宋体"/>
          <w:bCs/>
          <w:color w:val="auto"/>
          <w:szCs w:val="21"/>
          <w:highlight w:val="none"/>
          <w:lang w:eastAsia="zh-CN"/>
        </w:rPr>
        <w:t>加大保洁清扫力度，迅速恢复道路整洁，保障通行环境干净有序。</w:t>
      </w:r>
    </w:p>
    <w:p w14:paraId="1695AB68">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2.道路洒水降尘作业。日常按规定频次开展道路洒水、冲洗、降尘作业，</w:t>
      </w:r>
      <w:r>
        <w:rPr>
          <w:rFonts w:hint="eastAsia" w:ascii="宋体" w:hAnsi="宋体" w:eastAsia="宋体" w:cs="宋体"/>
          <w:bCs/>
          <w:color w:val="auto"/>
          <w:szCs w:val="21"/>
          <w:highlight w:val="none"/>
          <w:lang w:eastAsia="zh-CN"/>
        </w:rPr>
        <w:t>如遇高温干旱、空气污染等天气时段，需提高道路洒水频次，有效抑制道路扬尘，减少空气污染，改善区域空气质量及市容环境。</w:t>
      </w:r>
    </w:p>
    <w:p w14:paraId="26F18A5E">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3.杂草清理整治。负责建成区</w:t>
      </w:r>
      <w:r>
        <w:rPr>
          <w:rFonts w:hint="eastAsia" w:ascii="宋体" w:hAnsi="宋体" w:eastAsia="宋体" w:cs="宋体"/>
          <w:bCs/>
          <w:color w:val="auto"/>
          <w:szCs w:val="21"/>
          <w:highlight w:val="none"/>
          <w:lang w:eastAsia="zh-CN"/>
        </w:rPr>
        <w:t>次干道两侧人行道、路肩、路缘石、背街小巷、交通护栏、道路隔离带、桥梁及附属设施周边杂草常态化清理；城乡结合部定期开展杂草整治，做到无成片丛生杂草、无高杆杂草、无杂草积存，清理产生的杂草做到随清随运、日产日清，保持道路沿线及公共区域市容整洁美观。</w:t>
      </w:r>
    </w:p>
    <w:p w14:paraId="26E00161">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4</w:t>
      </w:r>
      <w:r>
        <w:rPr>
          <w:rFonts w:hint="eastAsia" w:ascii="宋体" w:hAnsi="宋体" w:eastAsia="宋体" w:cs="Times New Roman"/>
          <w:bCs/>
          <w:color w:val="auto"/>
          <w:szCs w:val="21"/>
          <w:highlight w:val="none"/>
          <w:lang w:val="en-US" w:eastAsia="zh-CN"/>
        </w:rPr>
        <w:t>.垃圾收集容器保洁及更新采购。负责蒙山县建成区内公共区域所有的垃圾桶、果皮箱等垃圾收集容器的更新、补充及采购工作（生活垃圾公共堆放点由县环卫站结合实际需求确定），需严格保障容器数量充足、完好无损，且容器符合环保标准，满足公共区域垃圾收集基本需求；每日对其进行全面清掏、擦洗保洁，确保容器内外整洁无污垢、无异味、无垃圾残留、摆放规范有序，确保垃圾收集工作正常有序开展。</w:t>
      </w:r>
    </w:p>
    <w:p w14:paraId="5AA95B4C">
      <w:pPr>
        <w:spacing w:line="360" w:lineRule="auto"/>
        <w:ind w:firstLine="420" w:firstLineChars="200"/>
        <w:rPr>
          <w:rFonts w:hint="default" w:ascii="宋体" w:hAnsi="宋体" w:eastAsia="宋体" w:cs="Times New Roman"/>
          <w:bCs/>
          <w:color w:val="auto"/>
          <w:szCs w:val="21"/>
          <w:highlight w:val="none"/>
        </w:rPr>
      </w:pPr>
      <w:r>
        <w:rPr>
          <w:rFonts w:hint="eastAsia" w:ascii="宋体" w:hAnsi="宋体" w:cs="Times New Roman"/>
          <w:bCs/>
          <w:color w:val="auto"/>
          <w:szCs w:val="21"/>
          <w:highlight w:val="none"/>
          <w:lang w:val="en-US" w:eastAsia="zh-CN"/>
        </w:rPr>
        <w:t>5</w:t>
      </w:r>
      <w:r>
        <w:rPr>
          <w:rFonts w:hint="default" w:ascii="宋体" w:hAnsi="宋体" w:eastAsia="宋体" w:cs="Times New Roman"/>
          <w:bCs/>
          <w:color w:val="auto"/>
          <w:szCs w:val="21"/>
          <w:highlight w:val="none"/>
          <w:lang w:val="en-US" w:eastAsia="zh-CN"/>
        </w:rPr>
        <w:t>.生活垃圾收运服务。</w:t>
      </w:r>
      <w:r>
        <w:rPr>
          <w:rFonts w:hint="default" w:ascii="宋体" w:hAnsi="宋体" w:eastAsia="宋体" w:cs="Times New Roman"/>
          <w:bCs/>
          <w:color w:val="auto"/>
          <w:szCs w:val="21"/>
          <w:highlight w:val="none"/>
        </w:rPr>
        <w:t>负责县城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rPr>
        <w:t>内居民住户、商住小区、单位、铺面、商场</w:t>
      </w:r>
      <w:r>
        <w:rPr>
          <w:rFonts w:hint="default" w:ascii="宋体" w:hAnsi="宋体" w:eastAsia="宋体" w:cs="Times New Roman"/>
          <w:bCs/>
          <w:color w:val="auto"/>
          <w:szCs w:val="21"/>
          <w:highlight w:val="none"/>
          <w:lang w:eastAsia="zh-CN"/>
        </w:rPr>
        <w:t>、学校、医院等各类场所的生活垃圾上门收集或定点清运工作；将</w:t>
      </w:r>
      <w:r>
        <w:rPr>
          <w:rFonts w:hint="default" w:ascii="宋体" w:hAnsi="宋体" w:eastAsia="宋体" w:cs="Times New Roman"/>
          <w:bCs/>
          <w:color w:val="auto"/>
          <w:szCs w:val="21"/>
          <w:highlight w:val="none"/>
        </w:rPr>
        <w:t>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rPr>
        <w:t>范围内所有收集</w:t>
      </w:r>
      <w:r>
        <w:rPr>
          <w:rFonts w:hint="default" w:ascii="宋体" w:hAnsi="宋体" w:eastAsia="宋体" w:cs="Times New Roman"/>
          <w:bCs/>
          <w:color w:val="auto"/>
          <w:szCs w:val="21"/>
          <w:highlight w:val="none"/>
          <w:lang w:eastAsia="zh-CN"/>
        </w:rPr>
        <w:t>的生活垃圾统一</w:t>
      </w:r>
      <w:r>
        <w:rPr>
          <w:rFonts w:hint="default" w:ascii="宋体" w:hAnsi="宋体" w:eastAsia="宋体" w:cs="Times New Roman"/>
          <w:bCs/>
          <w:color w:val="auto"/>
          <w:szCs w:val="21"/>
          <w:highlight w:val="none"/>
        </w:rPr>
        <w:t>转运至</w:t>
      </w:r>
      <w:r>
        <w:rPr>
          <w:rFonts w:hint="eastAsia" w:ascii="宋体" w:hAnsi="宋体" w:eastAsia="宋体" w:cs="Times New Roman"/>
          <w:bCs/>
          <w:color w:val="auto"/>
          <w:szCs w:val="21"/>
          <w:highlight w:val="none"/>
          <w:lang w:eastAsia="zh-CN"/>
        </w:rPr>
        <w:t>蒙山</w:t>
      </w:r>
      <w:r>
        <w:rPr>
          <w:rFonts w:hint="default" w:ascii="宋体" w:hAnsi="宋体" w:eastAsia="宋体" w:cs="Times New Roman"/>
          <w:bCs/>
          <w:color w:val="auto"/>
          <w:szCs w:val="21"/>
          <w:highlight w:val="none"/>
        </w:rPr>
        <w:t>县生活垃圾填埋场</w:t>
      </w:r>
      <w:r>
        <w:rPr>
          <w:rFonts w:hint="default" w:ascii="宋体" w:hAnsi="宋体" w:eastAsia="宋体" w:cs="Times New Roman"/>
          <w:bCs/>
          <w:color w:val="auto"/>
          <w:szCs w:val="21"/>
          <w:highlight w:val="none"/>
          <w:lang w:eastAsia="zh-CN"/>
        </w:rPr>
        <w:t>配套转运站，需配备符合标准的垃圾收运车辆，做到日产日清，车走地净，收运过程中避免垃圾遗撒、污水滴漏，收运车辆每日作业结束后需进行消杀除臭，杜绝异味扩散</w:t>
      </w:r>
      <w:r>
        <w:rPr>
          <w:rFonts w:hint="default" w:ascii="宋体" w:hAnsi="宋体" w:eastAsia="宋体" w:cs="Times New Roman"/>
          <w:bCs/>
          <w:color w:val="auto"/>
          <w:szCs w:val="21"/>
          <w:highlight w:val="none"/>
        </w:rPr>
        <w:t>。</w:t>
      </w:r>
    </w:p>
    <w:p w14:paraId="47334581">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cs="Times New Roman"/>
          <w:bCs/>
          <w:color w:val="auto"/>
          <w:szCs w:val="21"/>
          <w:highlight w:val="none"/>
          <w:lang w:val="en-US" w:eastAsia="zh-CN"/>
        </w:rPr>
        <w:t>6</w:t>
      </w:r>
      <w:r>
        <w:rPr>
          <w:rFonts w:hint="default" w:ascii="宋体" w:hAnsi="宋体" w:eastAsia="宋体" w:cs="Times New Roman"/>
          <w:bCs/>
          <w:color w:val="auto"/>
          <w:szCs w:val="21"/>
          <w:highlight w:val="none"/>
          <w:lang w:val="en-US" w:eastAsia="zh-CN"/>
        </w:rPr>
        <w:t>.垃圾中转站运营管理。</w:t>
      </w:r>
      <w:r>
        <w:rPr>
          <w:rFonts w:hint="default" w:ascii="宋体" w:hAnsi="宋体" w:eastAsia="宋体" w:cs="Times New Roman"/>
          <w:bCs/>
          <w:color w:val="auto"/>
          <w:szCs w:val="21"/>
          <w:highlight w:val="none"/>
        </w:rPr>
        <w:t>负责</w:t>
      </w:r>
      <w:r>
        <w:rPr>
          <w:rFonts w:hint="default" w:ascii="宋体" w:hAnsi="宋体" w:eastAsia="宋体" w:cs="Times New Roman"/>
          <w:bCs/>
          <w:color w:val="auto"/>
          <w:szCs w:val="21"/>
          <w:highlight w:val="none"/>
          <w:lang w:eastAsia="zh-CN"/>
        </w:rPr>
        <w:t>对</w:t>
      </w:r>
      <w:r>
        <w:rPr>
          <w:rFonts w:hint="default" w:ascii="宋体" w:hAnsi="宋体" w:eastAsia="宋体" w:cs="Times New Roman"/>
          <w:bCs/>
          <w:color w:val="auto"/>
          <w:szCs w:val="21"/>
          <w:highlight w:val="none"/>
        </w:rPr>
        <w:t>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rPr>
        <w:t>内</w:t>
      </w:r>
      <w:r>
        <w:rPr>
          <w:rFonts w:hint="default" w:ascii="宋体" w:hAnsi="宋体" w:eastAsia="宋体" w:cs="Times New Roman"/>
          <w:bCs/>
          <w:color w:val="auto"/>
          <w:szCs w:val="21"/>
          <w:highlight w:val="none"/>
          <w:lang w:eastAsia="zh-CN"/>
        </w:rPr>
        <w:t>所有生活</w:t>
      </w:r>
      <w:r>
        <w:rPr>
          <w:rFonts w:hint="default" w:ascii="宋体" w:hAnsi="宋体" w:eastAsia="宋体" w:cs="Times New Roman"/>
          <w:bCs/>
          <w:color w:val="auto"/>
          <w:szCs w:val="21"/>
          <w:highlight w:val="none"/>
        </w:rPr>
        <w:t>垃圾</w:t>
      </w:r>
      <w:r>
        <w:rPr>
          <w:rFonts w:hint="default" w:ascii="宋体" w:hAnsi="宋体" w:eastAsia="宋体" w:cs="Times New Roman"/>
          <w:bCs/>
          <w:color w:val="auto"/>
          <w:szCs w:val="21"/>
          <w:highlight w:val="none"/>
          <w:lang w:eastAsia="zh-CN"/>
        </w:rPr>
        <w:t>中转站进行日常运营管理，包括</w:t>
      </w:r>
      <w:r>
        <w:rPr>
          <w:rFonts w:hint="default" w:ascii="宋体" w:hAnsi="宋体" w:eastAsia="宋体" w:cs="Times New Roman"/>
          <w:bCs/>
          <w:color w:val="auto"/>
          <w:szCs w:val="21"/>
          <w:highlight w:val="none"/>
        </w:rPr>
        <w:t>设备</w:t>
      </w:r>
      <w:r>
        <w:rPr>
          <w:rFonts w:hint="default" w:ascii="宋体" w:hAnsi="宋体" w:eastAsia="宋体" w:cs="Times New Roman"/>
          <w:bCs/>
          <w:color w:val="auto"/>
          <w:szCs w:val="21"/>
          <w:highlight w:val="none"/>
          <w:lang w:eastAsia="zh-CN"/>
        </w:rPr>
        <w:t>操作</w:t>
      </w:r>
      <w:r>
        <w:rPr>
          <w:rFonts w:hint="eastAsia" w:ascii="宋体" w:hAnsi="宋体" w:eastAsia="宋体" w:cs="Times New Roman"/>
          <w:bCs/>
          <w:color w:val="auto"/>
          <w:szCs w:val="21"/>
          <w:highlight w:val="none"/>
          <w:lang w:eastAsia="zh-CN"/>
        </w:rPr>
        <w:t>、日常巡检、车辆维护</w:t>
      </w:r>
      <w:r>
        <w:rPr>
          <w:rFonts w:hint="default" w:ascii="宋体" w:hAnsi="宋体" w:eastAsia="宋体" w:cs="Times New Roman"/>
          <w:bCs/>
          <w:color w:val="auto"/>
          <w:szCs w:val="21"/>
          <w:highlight w:val="none"/>
          <w:lang w:eastAsia="zh-CN"/>
        </w:rPr>
        <w:t>、站内</w:t>
      </w:r>
      <w:r>
        <w:rPr>
          <w:rFonts w:hint="eastAsia" w:ascii="宋体" w:hAnsi="宋体" w:eastAsia="宋体" w:cs="Times New Roman"/>
          <w:bCs/>
          <w:color w:val="auto"/>
          <w:szCs w:val="21"/>
          <w:highlight w:val="none"/>
          <w:lang w:eastAsia="zh-CN"/>
        </w:rPr>
        <w:t>卫生</w:t>
      </w:r>
      <w:r>
        <w:rPr>
          <w:rFonts w:hint="default" w:ascii="宋体" w:hAnsi="宋体" w:eastAsia="宋体" w:cs="Times New Roman"/>
          <w:bCs/>
          <w:color w:val="auto"/>
          <w:szCs w:val="21"/>
          <w:highlight w:val="none"/>
          <w:lang w:eastAsia="zh-CN"/>
        </w:rPr>
        <w:t>消杀除臭、垃圾暂存与转运协调等工作，确保中转站设备、运输车辆正常运行，站内环境整洁、无垃圾堆积、污水横流等现象，严格遵守环保操作规程；建立设备运行台账，每月提交至县环卫站。</w:t>
      </w:r>
    </w:p>
    <w:p w14:paraId="60F69AF6">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7</w:t>
      </w:r>
      <w:r>
        <w:rPr>
          <w:rFonts w:hint="default" w:ascii="宋体" w:hAnsi="宋体" w:eastAsia="宋体" w:cs="Times New Roman"/>
          <w:bCs/>
          <w:color w:val="auto"/>
          <w:szCs w:val="21"/>
          <w:highlight w:val="none"/>
          <w:lang w:val="en-US" w:eastAsia="zh-CN"/>
        </w:rPr>
        <w:t>.市政公厕运营管理。</w:t>
      </w:r>
      <w:r>
        <w:rPr>
          <w:rFonts w:hint="default" w:ascii="宋体" w:hAnsi="宋体" w:eastAsia="宋体" w:cs="Times New Roman"/>
          <w:bCs/>
          <w:color w:val="auto"/>
          <w:szCs w:val="21"/>
          <w:highlight w:val="none"/>
        </w:rPr>
        <w:t>负责县城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rPr>
        <w:t>内</w:t>
      </w:r>
      <w:r>
        <w:rPr>
          <w:rFonts w:hint="default" w:ascii="宋体" w:hAnsi="宋体" w:eastAsia="宋体" w:cs="Times New Roman"/>
          <w:bCs/>
          <w:color w:val="auto"/>
          <w:szCs w:val="21"/>
          <w:highlight w:val="none"/>
          <w:lang w:eastAsia="zh-CN"/>
        </w:rPr>
        <w:t>所有</w:t>
      </w:r>
      <w:r>
        <w:rPr>
          <w:rFonts w:hint="default" w:ascii="宋体" w:hAnsi="宋体" w:eastAsia="宋体" w:cs="Times New Roman"/>
          <w:bCs/>
          <w:color w:val="auto"/>
          <w:szCs w:val="21"/>
          <w:highlight w:val="none"/>
        </w:rPr>
        <w:t>市政公厕</w:t>
      </w:r>
      <w:r>
        <w:rPr>
          <w:rFonts w:hint="default" w:ascii="宋体" w:hAnsi="宋体" w:eastAsia="宋体" w:cs="Times New Roman"/>
          <w:bCs/>
          <w:color w:val="auto"/>
          <w:szCs w:val="21"/>
          <w:highlight w:val="none"/>
          <w:lang w:eastAsia="zh-CN"/>
        </w:rPr>
        <w:t>（含承包期间新增市政公厕）的日常运营维护，包括卫生清扫、消杀除臭</w:t>
      </w:r>
      <w:r>
        <w:rPr>
          <w:rFonts w:hint="default" w:ascii="宋体" w:hAnsi="宋体" w:eastAsia="宋体" w:cs="Times New Roman"/>
          <w:bCs/>
          <w:color w:val="auto"/>
          <w:szCs w:val="21"/>
          <w:highlight w:val="none"/>
        </w:rPr>
        <w:t>、</w:t>
      </w:r>
      <w:r>
        <w:rPr>
          <w:rFonts w:hint="default" w:ascii="宋体" w:hAnsi="宋体" w:eastAsia="宋体" w:cs="Times New Roman"/>
          <w:bCs/>
          <w:color w:val="auto"/>
          <w:szCs w:val="21"/>
          <w:highlight w:val="none"/>
          <w:lang w:eastAsia="zh-CN"/>
        </w:rPr>
        <w:t>设施设备维修更换等工作，确保公厕</w:t>
      </w:r>
      <w:r>
        <w:rPr>
          <w:rFonts w:hint="default" w:ascii="宋体" w:hAnsi="宋体" w:eastAsia="宋体" w:cs="Times New Roman"/>
          <w:bCs/>
          <w:color w:val="auto"/>
          <w:szCs w:val="21"/>
          <w:highlight w:val="none"/>
          <w:lang w:val="en-US" w:eastAsia="zh-CN"/>
        </w:rPr>
        <w:t>24小时开放，内部环境干净、无异味、无积水、无蚊蝇滋生、设施完好，为群众提供便捷、舒适的如厕环境。</w:t>
      </w:r>
      <w:r>
        <w:rPr>
          <w:rFonts w:hint="eastAsia" w:ascii="宋体" w:hAnsi="宋体" w:eastAsia="宋体" w:cs="Times New Roman"/>
          <w:bCs/>
          <w:color w:val="auto"/>
          <w:szCs w:val="21"/>
          <w:highlight w:val="none"/>
          <w:lang w:val="en-US" w:eastAsia="zh-CN"/>
        </w:rPr>
        <w:t xml:space="preserve">  </w:t>
      </w:r>
    </w:p>
    <w:p w14:paraId="61B72244">
      <w:pPr>
        <w:spacing w:line="360" w:lineRule="auto"/>
        <w:ind w:firstLine="420" w:firstLineChars="200"/>
        <w:rPr>
          <w:rFonts w:hint="default" w:ascii="宋体" w:hAnsi="宋体" w:eastAsia="宋体" w:cs="Times New Roman"/>
          <w:bCs/>
          <w:color w:val="auto"/>
          <w:szCs w:val="21"/>
          <w:highlight w:val="none"/>
        </w:rPr>
      </w:pPr>
      <w:r>
        <w:rPr>
          <w:rFonts w:hint="eastAsia" w:ascii="宋体" w:hAnsi="宋体" w:cs="Times New Roman"/>
          <w:bCs/>
          <w:color w:val="auto"/>
          <w:szCs w:val="21"/>
          <w:highlight w:val="none"/>
          <w:lang w:val="en-US" w:eastAsia="zh-CN"/>
        </w:rPr>
        <w:t>8</w:t>
      </w:r>
      <w:r>
        <w:rPr>
          <w:rFonts w:hint="default" w:ascii="宋体" w:hAnsi="宋体" w:eastAsia="宋体" w:cs="Times New Roman"/>
          <w:bCs/>
          <w:color w:val="auto"/>
          <w:szCs w:val="21"/>
          <w:highlight w:val="none"/>
          <w:lang w:val="en-US" w:eastAsia="zh-CN"/>
        </w:rPr>
        <w:t>.非承包范畴界定说明。</w:t>
      </w:r>
      <w:r>
        <w:rPr>
          <w:rFonts w:hint="default" w:ascii="宋体" w:hAnsi="宋体" w:eastAsia="宋体" w:cs="Times New Roman"/>
          <w:bCs/>
          <w:color w:val="auto"/>
          <w:szCs w:val="21"/>
          <w:highlight w:val="none"/>
        </w:rPr>
        <w:t>根据《城市市容和环境卫生管理条例》(国务院第</w:t>
      </w:r>
      <w:r>
        <w:rPr>
          <w:rFonts w:hint="eastAsia" w:ascii="宋体" w:hAnsi="宋体" w:eastAsia="宋体" w:cs="Times New Roman"/>
          <w:bCs/>
          <w:color w:val="auto"/>
          <w:szCs w:val="21"/>
          <w:highlight w:val="none"/>
          <w:lang w:val="en-US" w:eastAsia="zh-CN"/>
        </w:rPr>
        <w:t>676</w:t>
      </w:r>
      <w:r>
        <w:rPr>
          <w:rFonts w:hint="default" w:ascii="宋体" w:hAnsi="宋体" w:eastAsia="宋体" w:cs="Times New Roman"/>
          <w:bCs/>
          <w:color w:val="auto"/>
          <w:szCs w:val="21"/>
          <w:highlight w:val="none"/>
        </w:rPr>
        <w:t>号令)</w:t>
      </w:r>
      <w:r>
        <w:rPr>
          <w:rFonts w:hint="default" w:ascii="宋体" w:hAnsi="宋体" w:eastAsia="宋体" w:cs="Times New Roman"/>
          <w:bCs/>
          <w:color w:val="auto"/>
          <w:szCs w:val="21"/>
          <w:highlight w:val="none"/>
          <w:lang w:eastAsia="zh-CN"/>
        </w:rPr>
        <w:t>规定</w:t>
      </w:r>
      <w:r>
        <w:rPr>
          <w:rFonts w:hint="default" w:ascii="宋体" w:hAnsi="宋体" w:eastAsia="宋体" w:cs="Times New Roman"/>
          <w:bCs/>
          <w:color w:val="auto"/>
          <w:szCs w:val="21"/>
          <w:highlight w:val="none"/>
        </w:rPr>
        <w:t>，</w:t>
      </w:r>
      <w:r>
        <w:rPr>
          <w:rFonts w:hint="default" w:ascii="宋体" w:hAnsi="宋体" w:eastAsia="宋体" w:cs="Times New Roman"/>
          <w:bCs/>
          <w:color w:val="auto"/>
          <w:szCs w:val="21"/>
          <w:highlight w:val="none"/>
          <w:lang w:eastAsia="zh-CN"/>
        </w:rPr>
        <w:t>各农贸市场、商住小区及单位、学校、医院等，由各场所</w:t>
      </w:r>
      <w:r>
        <w:rPr>
          <w:rFonts w:hint="default" w:ascii="宋体" w:hAnsi="宋体" w:eastAsia="宋体" w:cs="Times New Roman"/>
          <w:bCs/>
          <w:color w:val="auto"/>
          <w:szCs w:val="21"/>
          <w:highlight w:val="none"/>
        </w:rPr>
        <w:t>管理方自行</w:t>
      </w:r>
      <w:r>
        <w:rPr>
          <w:rFonts w:hint="default" w:ascii="宋体" w:hAnsi="宋体" w:eastAsia="宋体" w:cs="Times New Roman"/>
          <w:bCs/>
          <w:color w:val="auto"/>
          <w:szCs w:val="21"/>
          <w:highlight w:val="none"/>
          <w:lang w:eastAsia="zh-CN"/>
        </w:rPr>
        <w:t>负责清理至指定收运点</w:t>
      </w:r>
      <w:r>
        <w:rPr>
          <w:rFonts w:hint="default" w:ascii="宋体" w:hAnsi="宋体" w:eastAsia="宋体" w:cs="Times New Roman"/>
          <w:bCs/>
          <w:color w:val="auto"/>
          <w:szCs w:val="21"/>
          <w:highlight w:val="none"/>
        </w:rPr>
        <w:t>，不</w:t>
      </w:r>
      <w:r>
        <w:rPr>
          <w:rFonts w:hint="default" w:ascii="宋体" w:hAnsi="宋体" w:eastAsia="宋体" w:cs="Times New Roman"/>
          <w:bCs/>
          <w:color w:val="auto"/>
          <w:szCs w:val="21"/>
          <w:highlight w:val="none"/>
          <w:lang w:eastAsia="zh-CN"/>
        </w:rPr>
        <w:t>纳入</w:t>
      </w:r>
      <w:r>
        <w:rPr>
          <w:rFonts w:hint="default" w:ascii="宋体" w:hAnsi="宋体" w:eastAsia="宋体" w:cs="Times New Roman"/>
          <w:bCs/>
          <w:color w:val="auto"/>
          <w:szCs w:val="21"/>
          <w:highlight w:val="none"/>
        </w:rPr>
        <w:t>清扫</w:t>
      </w:r>
      <w:r>
        <w:rPr>
          <w:rFonts w:hint="default" w:ascii="宋体" w:hAnsi="宋体" w:eastAsia="宋体" w:cs="Times New Roman"/>
          <w:bCs/>
          <w:color w:val="auto"/>
          <w:szCs w:val="21"/>
          <w:highlight w:val="none"/>
          <w:lang w:eastAsia="zh-CN"/>
        </w:rPr>
        <w:t>保洁</w:t>
      </w:r>
      <w:r>
        <w:rPr>
          <w:rFonts w:hint="default" w:ascii="宋体" w:hAnsi="宋体" w:eastAsia="宋体" w:cs="Times New Roman"/>
          <w:bCs/>
          <w:color w:val="auto"/>
          <w:szCs w:val="21"/>
          <w:highlight w:val="none"/>
        </w:rPr>
        <w:t>范畴，县环卫站</w:t>
      </w:r>
      <w:r>
        <w:rPr>
          <w:rFonts w:hint="default" w:ascii="宋体" w:hAnsi="宋体" w:eastAsia="宋体" w:cs="Times New Roman"/>
          <w:bCs/>
          <w:color w:val="auto"/>
          <w:szCs w:val="21"/>
          <w:highlight w:val="none"/>
          <w:lang w:eastAsia="zh-CN"/>
        </w:rPr>
        <w:t>仅负责</w:t>
      </w:r>
      <w:r>
        <w:rPr>
          <w:rFonts w:hint="default" w:ascii="宋体" w:hAnsi="宋体" w:eastAsia="宋体" w:cs="Times New Roman"/>
          <w:bCs/>
          <w:color w:val="auto"/>
          <w:szCs w:val="21"/>
          <w:highlight w:val="none"/>
        </w:rPr>
        <w:t>收取生活垃圾处理费</w:t>
      </w:r>
      <w:r>
        <w:rPr>
          <w:rFonts w:hint="default" w:ascii="宋体" w:hAnsi="宋体" w:eastAsia="宋体" w:cs="Times New Roman"/>
          <w:bCs/>
          <w:color w:val="auto"/>
          <w:szCs w:val="21"/>
          <w:highlight w:val="none"/>
          <w:lang w:eastAsia="zh-CN"/>
        </w:rPr>
        <w:t>，收费标准按《蒙山县人民政府关于统一征收城市生活垃圾处理费的通告》（蒙政通〔</w:t>
      </w:r>
      <w:r>
        <w:rPr>
          <w:rFonts w:hint="default" w:ascii="宋体" w:hAnsi="宋体" w:eastAsia="宋体" w:cs="Times New Roman"/>
          <w:bCs/>
          <w:color w:val="auto"/>
          <w:szCs w:val="21"/>
          <w:highlight w:val="none"/>
          <w:lang w:val="en-US" w:eastAsia="zh-CN"/>
        </w:rPr>
        <w:t>2009</w:t>
      </w:r>
      <w:r>
        <w:rPr>
          <w:rFonts w:hint="default" w:ascii="宋体" w:hAnsi="宋体" w:eastAsia="宋体" w:cs="Times New Roman"/>
          <w:bCs/>
          <w:color w:val="auto"/>
          <w:szCs w:val="21"/>
          <w:highlight w:val="none"/>
          <w:lang w:eastAsia="zh-CN"/>
        </w:rPr>
        <w:t>〕</w:t>
      </w:r>
      <w:r>
        <w:rPr>
          <w:rFonts w:hint="default" w:ascii="宋体" w:hAnsi="宋体" w:eastAsia="宋体" w:cs="Times New Roman"/>
          <w:bCs/>
          <w:color w:val="auto"/>
          <w:szCs w:val="21"/>
          <w:highlight w:val="none"/>
          <w:lang w:val="en-US" w:eastAsia="zh-CN"/>
        </w:rPr>
        <w:t>6号</w:t>
      </w:r>
      <w:r>
        <w:rPr>
          <w:rFonts w:hint="default" w:ascii="宋体" w:hAnsi="宋体" w:eastAsia="宋体" w:cs="Times New Roman"/>
          <w:bCs/>
          <w:color w:val="auto"/>
          <w:szCs w:val="21"/>
          <w:highlight w:val="none"/>
          <w:lang w:eastAsia="zh-CN"/>
        </w:rPr>
        <w:t>）文件执行</w:t>
      </w:r>
      <w:r>
        <w:rPr>
          <w:rFonts w:hint="default" w:ascii="宋体" w:hAnsi="宋体" w:eastAsia="宋体" w:cs="Times New Roman"/>
          <w:bCs/>
          <w:color w:val="auto"/>
          <w:szCs w:val="21"/>
          <w:highlight w:val="none"/>
        </w:rPr>
        <w:t>。</w:t>
      </w:r>
    </w:p>
    <w:p w14:paraId="1F715877">
      <w:pPr>
        <w:spacing w:line="360" w:lineRule="auto"/>
        <w:ind w:firstLine="420" w:firstLineChars="200"/>
        <w:rPr>
          <w:rFonts w:hint="default" w:ascii="宋体" w:hAnsi="宋体" w:eastAsia="宋体" w:cs="Times New Roman"/>
          <w:bCs/>
          <w:color w:val="auto"/>
          <w:szCs w:val="21"/>
          <w:highlight w:val="none"/>
        </w:rPr>
      </w:pPr>
      <w:r>
        <w:rPr>
          <w:rFonts w:hint="eastAsia" w:ascii="宋体" w:hAnsi="宋体" w:cs="Times New Roman"/>
          <w:bCs/>
          <w:color w:val="auto"/>
          <w:szCs w:val="21"/>
          <w:highlight w:val="none"/>
          <w:lang w:val="en-US" w:eastAsia="zh-CN"/>
        </w:rPr>
        <w:t>9</w:t>
      </w:r>
      <w:r>
        <w:rPr>
          <w:rFonts w:hint="default" w:ascii="宋体" w:hAnsi="宋体" w:eastAsia="宋体" w:cs="Times New Roman"/>
          <w:bCs/>
          <w:color w:val="auto"/>
          <w:szCs w:val="21"/>
          <w:highlight w:val="none"/>
          <w:lang w:val="en-US" w:eastAsia="zh-CN"/>
        </w:rPr>
        <w:t>.建筑垃圾处理。</w:t>
      </w:r>
      <w:r>
        <w:rPr>
          <w:rFonts w:hint="default" w:ascii="宋体" w:hAnsi="宋体" w:eastAsia="宋体" w:cs="Times New Roman"/>
          <w:bCs/>
          <w:color w:val="auto"/>
          <w:szCs w:val="21"/>
          <w:highlight w:val="none"/>
          <w:lang w:eastAsia="zh-CN"/>
        </w:rPr>
        <w:t>遵循“</w:t>
      </w:r>
      <w:r>
        <w:rPr>
          <w:rFonts w:hint="default" w:ascii="宋体" w:hAnsi="宋体" w:eastAsia="宋体" w:cs="Times New Roman"/>
          <w:bCs/>
          <w:color w:val="auto"/>
          <w:szCs w:val="21"/>
          <w:highlight w:val="none"/>
        </w:rPr>
        <w:t>谁污染</w:t>
      </w:r>
      <w:r>
        <w:rPr>
          <w:rFonts w:hint="default" w:ascii="宋体" w:hAnsi="宋体" w:eastAsia="宋体" w:cs="Times New Roman"/>
          <w:bCs/>
          <w:color w:val="auto"/>
          <w:szCs w:val="21"/>
          <w:highlight w:val="none"/>
          <w:lang w:eastAsia="zh-CN"/>
        </w:rPr>
        <w:t>、</w:t>
      </w:r>
      <w:r>
        <w:rPr>
          <w:rFonts w:hint="default" w:ascii="宋体" w:hAnsi="宋体" w:eastAsia="宋体" w:cs="Times New Roman"/>
          <w:bCs/>
          <w:color w:val="auto"/>
          <w:szCs w:val="21"/>
          <w:highlight w:val="none"/>
        </w:rPr>
        <w:t>谁负责</w:t>
      </w:r>
      <w:r>
        <w:rPr>
          <w:rFonts w:hint="default" w:ascii="宋体" w:hAnsi="宋体" w:eastAsia="宋体" w:cs="Times New Roman"/>
          <w:bCs/>
          <w:color w:val="auto"/>
          <w:szCs w:val="21"/>
          <w:highlight w:val="none"/>
          <w:lang w:eastAsia="zh-CN"/>
        </w:rPr>
        <w:t>”原则</w:t>
      </w:r>
      <w:r>
        <w:rPr>
          <w:rFonts w:hint="default" w:ascii="宋体" w:hAnsi="宋体" w:eastAsia="宋体" w:cs="Times New Roman"/>
          <w:bCs/>
          <w:color w:val="auto"/>
          <w:szCs w:val="21"/>
          <w:highlight w:val="none"/>
        </w:rPr>
        <w:t>，</w:t>
      </w:r>
      <w:r>
        <w:rPr>
          <w:rFonts w:hint="default" w:ascii="宋体" w:hAnsi="宋体" w:eastAsia="宋体" w:cs="Times New Roman"/>
          <w:bCs/>
          <w:color w:val="auto"/>
          <w:szCs w:val="21"/>
          <w:highlight w:val="none"/>
          <w:lang w:eastAsia="zh-CN"/>
        </w:rPr>
        <w:t>街道区域内的建筑垃圾由责任主体自行清理，</w:t>
      </w:r>
      <w:r>
        <w:rPr>
          <w:rFonts w:hint="default" w:ascii="宋体" w:hAnsi="宋体" w:eastAsia="宋体" w:cs="Times New Roman"/>
          <w:bCs/>
          <w:color w:val="auto"/>
          <w:szCs w:val="21"/>
          <w:highlight w:val="none"/>
        </w:rPr>
        <w:t>但少量即25公斤以下的装修垃圾纳入承包清扫内容。平时巡查</w:t>
      </w:r>
      <w:r>
        <w:rPr>
          <w:rFonts w:hint="default" w:ascii="宋体" w:hAnsi="宋体" w:eastAsia="宋体" w:cs="Times New Roman"/>
          <w:bCs/>
          <w:color w:val="auto"/>
          <w:szCs w:val="21"/>
          <w:highlight w:val="none"/>
          <w:lang w:eastAsia="zh-CN"/>
        </w:rPr>
        <w:t>发现的建筑装修垃圾应由承包公司的督查人员</w:t>
      </w:r>
      <w:r>
        <w:rPr>
          <w:rFonts w:hint="default" w:ascii="宋体" w:hAnsi="宋体" w:eastAsia="宋体" w:cs="Times New Roman"/>
          <w:bCs/>
          <w:color w:val="auto"/>
          <w:szCs w:val="21"/>
          <w:highlight w:val="none"/>
        </w:rPr>
        <w:t>及时通报城管</w:t>
      </w:r>
      <w:r>
        <w:rPr>
          <w:rFonts w:hint="default" w:ascii="宋体" w:hAnsi="宋体" w:eastAsia="宋体" w:cs="Times New Roman"/>
          <w:bCs/>
          <w:color w:val="auto"/>
          <w:szCs w:val="21"/>
          <w:highlight w:val="none"/>
          <w:lang w:eastAsia="zh-CN"/>
        </w:rPr>
        <w:t>部门</w:t>
      </w:r>
      <w:r>
        <w:rPr>
          <w:rFonts w:hint="default" w:ascii="宋体" w:hAnsi="宋体" w:eastAsia="宋体" w:cs="Times New Roman"/>
          <w:bCs/>
          <w:color w:val="auto"/>
          <w:szCs w:val="21"/>
          <w:highlight w:val="none"/>
        </w:rPr>
        <w:t>，</w:t>
      </w:r>
      <w:r>
        <w:rPr>
          <w:rFonts w:hint="default" w:ascii="宋体" w:hAnsi="宋体" w:eastAsia="宋体" w:cs="Times New Roman"/>
          <w:bCs/>
          <w:color w:val="auto"/>
          <w:szCs w:val="21"/>
          <w:highlight w:val="none"/>
          <w:lang w:eastAsia="zh-CN"/>
        </w:rPr>
        <w:t>由</w:t>
      </w:r>
      <w:r>
        <w:rPr>
          <w:rFonts w:hint="default" w:ascii="宋体" w:hAnsi="宋体" w:eastAsia="宋体" w:cs="Times New Roman"/>
          <w:bCs/>
          <w:color w:val="auto"/>
          <w:szCs w:val="21"/>
          <w:highlight w:val="none"/>
        </w:rPr>
        <w:t>城管部门催促业主尽快自行清理</w:t>
      </w:r>
      <w:r>
        <w:rPr>
          <w:rFonts w:hint="default" w:ascii="宋体" w:hAnsi="宋体" w:eastAsia="宋体" w:cs="Times New Roman"/>
          <w:bCs/>
          <w:color w:val="auto"/>
          <w:szCs w:val="21"/>
          <w:highlight w:val="none"/>
          <w:lang w:eastAsia="zh-CN"/>
        </w:rPr>
        <w:t>；严禁环卫工人通过堆积行为，造成大于</w:t>
      </w:r>
      <w:r>
        <w:rPr>
          <w:rFonts w:hint="default" w:ascii="宋体" w:hAnsi="宋体" w:eastAsia="宋体" w:cs="Times New Roman"/>
          <w:bCs/>
          <w:color w:val="auto"/>
          <w:szCs w:val="21"/>
          <w:highlight w:val="none"/>
          <w:lang w:val="en-US" w:eastAsia="zh-CN"/>
        </w:rPr>
        <w:t>25公斤以上的建筑垃圾逃避清运责任</w:t>
      </w:r>
      <w:r>
        <w:rPr>
          <w:rFonts w:hint="default" w:ascii="宋体" w:hAnsi="宋体" w:eastAsia="宋体" w:cs="Times New Roman"/>
          <w:bCs/>
          <w:color w:val="auto"/>
          <w:szCs w:val="21"/>
          <w:highlight w:val="none"/>
        </w:rPr>
        <w:t>。</w:t>
      </w:r>
    </w:p>
    <w:p w14:paraId="09DB07A1">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cs="Times New Roman"/>
          <w:bCs/>
          <w:color w:val="auto"/>
          <w:szCs w:val="21"/>
          <w:highlight w:val="none"/>
          <w:lang w:val="en-US" w:eastAsia="zh-CN"/>
        </w:rPr>
        <w:t>10</w:t>
      </w:r>
      <w:r>
        <w:rPr>
          <w:rFonts w:hint="default" w:ascii="宋体" w:hAnsi="宋体" w:eastAsia="宋体" w:cs="Times New Roman"/>
          <w:bCs/>
          <w:color w:val="auto"/>
          <w:szCs w:val="21"/>
          <w:highlight w:val="none"/>
          <w:lang w:val="en-US" w:eastAsia="zh-CN"/>
        </w:rPr>
        <w:t>.大</w:t>
      </w:r>
      <w:r>
        <w:rPr>
          <w:rFonts w:hint="eastAsia" w:ascii="宋体" w:hAnsi="宋体" w:eastAsia="宋体" w:cs="Times New Roman"/>
          <w:bCs/>
          <w:color w:val="auto"/>
          <w:szCs w:val="21"/>
          <w:highlight w:val="none"/>
          <w:lang w:val="en-US" w:eastAsia="zh-CN"/>
        </w:rPr>
        <w:t>件</w:t>
      </w:r>
      <w:r>
        <w:rPr>
          <w:rFonts w:hint="default" w:ascii="宋体" w:hAnsi="宋体" w:eastAsia="宋体" w:cs="Times New Roman"/>
          <w:bCs/>
          <w:color w:val="auto"/>
          <w:szCs w:val="21"/>
          <w:highlight w:val="none"/>
          <w:lang w:val="en-US" w:eastAsia="zh-CN"/>
        </w:rPr>
        <w:t>垃圾清运。</w:t>
      </w:r>
      <w:r>
        <w:rPr>
          <w:rFonts w:hint="default" w:ascii="宋体" w:hAnsi="宋体" w:eastAsia="宋体" w:cs="Times New Roman"/>
          <w:bCs/>
          <w:color w:val="auto"/>
          <w:szCs w:val="21"/>
          <w:highlight w:val="none"/>
          <w:lang w:eastAsia="zh-CN"/>
        </w:rPr>
        <w:t>对县城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lang w:eastAsia="zh-CN"/>
        </w:rPr>
        <w:t>内（含各小区）的大</w:t>
      </w:r>
      <w:r>
        <w:rPr>
          <w:rFonts w:hint="eastAsia" w:ascii="宋体" w:hAnsi="宋体" w:eastAsia="宋体" w:cs="Times New Roman"/>
          <w:bCs/>
          <w:color w:val="auto"/>
          <w:szCs w:val="21"/>
          <w:highlight w:val="none"/>
          <w:lang w:eastAsia="zh-CN"/>
        </w:rPr>
        <w:t>件</w:t>
      </w:r>
      <w:r>
        <w:rPr>
          <w:rFonts w:hint="default" w:ascii="宋体" w:hAnsi="宋体" w:eastAsia="宋体" w:cs="Times New Roman"/>
          <w:bCs/>
          <w:color w:val="auto"/>
          <w:szCs w:val="21"/>
          <w:highlight w:val="none"/>
          <w:lang w:eastAsia="zh-CN"/>
        </w:rPr>
        <w:t>垃圾（如床垫、沙发、废旧家具</w:t>
      </w:r>
      <w:r>
        <w:rPr>
          <w:rFonts w:hint="eastAsia" w:ascii="宋体" w:hAnsi="宋体" w:eastAsia="宋体" w:cs="Times New Roman"/>
          <w:bCs/>
          <w:color w:val="auto"/>
          <w:szCs w:val="21"/>
          <w:highlight w:val="none"/>
          <w:lang w:eastAsia="zh-CN"/>
        </w:rPr>
        <w:t>、玻璃</w:t>
      </w:r>
      <w:r>
        <w:rPr>
          <w:rFonts w:hint="default" w:ascii="宋体" w:hAnsi="宋体" w:eastAsia="宋体" w:cs="Times New Roman"/>
          <w:bCs/>
          <w:color w:val="auto"/>
          <w:szCs w:val="21"/>
          <w:highlight w:val="none"/>
          <w:lang w:eastAsia="zh-CN"/>
        </w:rPr>
        <w:t>等）实行随见随清，清运完成后需对现场进行清扫保洁。</w:t>
      </w:r>
    </w:p>
    <w:p w14:paraId="58F042AB">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11</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牛皮癣</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清理</w:t>
      </w:r>
      <w:r>
        <w:rPr>
          <w:rFonts w:hint="eastAsia" w:ascii="宋体" w:hAnsi="宋体" w:eastAsia="宋体" w:cs="Times New Roman"/>
          <w:bCs/>
          <w:color w:val="auto"/>
          <w:szCs w:val="21"/>
          <w:highlight w:val="none"/>
          <w:lang w:val="en-US" w:eastAsia="zh-CN"/>
        </w:rPr>
        <w:t>。清理道路两边可视范围区域乱张贴、乱涂写、乱刻画的小广告；不定期对公共广告信息张贴栏进行清洗，确保公共广告信息张贴栏干净整洁，便于市民张贴信息；</w:t>
      </w:r>
      <w:r>
        <w:rPr>
          <w:rFonts w:hint="eastAsia" w:ascii="宋体" w:hAnsi="宋体" w:eastAsia="宋体" w:cs="Times New Roman"/>
          <w:bCs/>
          <w:color w:val="auto"/>
          <w:szCs w:val="21"/>
          <w:highlight w:val="none"/>
          <w:lang w:val="zh-CN" w:eastAsia="zh-CN"/>
        </w:rPr>
        <w:t>作业</w:t>
      </w:r>
      <w:r>
        <w:rPr>
          <w:rFonts w:hint="eastAsia" w:ascii="宋体" w:hAnsi="宋体" w:eastAsia="宋体" w:cs="Times New Roman"/>
          <w:bCs/>
          <w:color w:val="auto"/>
          <w:szCs w:val="21"/>
          <w:highlight w:val="none"/>
          <w:lang w:val="en-US" w:eastAsia="zh-CN"/>
        </w:rPr>
        <w:t>人员在一级、二级、三级道路街道清扫保洁人员调配并需配备相关清理工具。</w:t>
      </w:r>
    </w:p>
    <w:p w14:paraId="15440FC8">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cs="Times New Roman"/>
          <w:bCs/>
          <w:color w:val="auto"/>
          <w:szCs w:val="21"/>
          <w:highlight w:val="none"/>
          <w:lang w:val="en-US" w:eastAsia="zh-CN"/>
        </w:rPr>
        <w:t>12</w:t>
      </w:r>
      <w:r>
        <w:rPr>
          <w:rFonts w:hint="default" w:ascii="宋体" w:hAnsi="宋体" w:eastAsia="宋体" w:cs="Times New Roman"/>
          <w:bCs/>
          <w:color w:val="auto"/>
          <w:szCs w:val="21"/>
          <w:highlight w:val="none"/>
          <w:lang w:val="en-US" w:eastAsia="zh-CN"/>
        </w:rPr>
        <w:t>.应急环境卫生保障。</w:t>
      </w:r>
      <w:r>
        <w:rPr>
          <w:rFonts w:hint="default" w:ascii="宋体" w:hAnsi="宋体" w:eastAsia="宋体" w:cs="Times New Roman"/>
          <w:bCs/>
          <w:color w:val="auto"/>
          <w:szCs w:val="21"/>
          <w:highlight w:val="none"/>
        </w:rPr>
        <w:t>无条件配合</w:t>
      </w:r>
      <w:r>
        <w:rPr>
          <w:rFonts w:hint="default" w:ascii="宋体" w:hAnsi="宋体" w:eastAsia="宋体" w:cs="Times New Roman"/>
          <w:bCs/>
          <w:color w:val="auto"/>
          <w:szCs w:val="21"/>
          <w:highlight w:val="none"/>
          <w:lang w:eastAsia="zh-CN"/>
        </w:rPr>
        <w:t>环卫主管部门</w:t>
      </w:r>
      <w:r>
        <w:rPr>
          <w:rFonts w:hint="default" w:ascii="宋体" w:hAnsi="宋体" w:eastAsia="宋体" w:cs="Times New Roman"/>
          <w:bCs/>
          <w:color w:val="auto"/>
          <w:szCs w:val="21"/>
          <w:highlight w:val="none"/>
        </w:rPr>
        <w:t>完成</w:t>
      </w:r>
      <w:r>
        <w:rPr>
          <w:rFonts w:hint="default" w:ascii="宋体" w:hAnsi="宋体" w:eastAsia="宋体" w:cs="Times New Roman"/>
          <w:bCs/>
          <w:color w:val="auto"/>
          <w:szCs w:val="21"/>
          <w:highlight w:val="none"/>
          <w:lang w:eastAsia="zh-CN"/>
        </w:rPr>
        <w:t>蒙山县</w:t>
      </w:r>
      <w:r>
        <w:rPr>
          <w:rFonts w:hint="default" w:ascii="宋体" w:hAnsi="宋体" w:eastAsia="宋体" w:cs="Times New Roman"/>
          <w:bCs/>
          <w:color w:val="auto"/>
          <w:szCs w:val="21"/>
          <w:highlight w:val="none"/>
        </w:rPr>
        <w:t>应急</w:t>
      </w:r>
      <w:r>
        <w:rPr>
          <w:rFonts w:hint="default" w:ascii="宋体" w:hAnsi="宋体" w:eastAsia="宋体" w:cs="Times New Roman"/>
          <w:bCs/>
          <w:color w:val="auto"/>
          <w:szCs w:val="21"/>
          <w:highlight w:val="none"/>
          <w:lang w:eastAsia="zh-CN"/>
        </w:rPr>
        <w:t>环境卫生</w:t>
      </w:r>
      <w:r>
        <w:rPr>
          <w:rFonts w:hint="default" w:ascii="宋体" w:hAnsi="宋体" w:eastAsia="宋体" w:cs="Times New Roman"/>
          <w:bCs/>
          <w:color w:val="auto"/>
          <w:szCs w:val="21"/>
          <w:highlight w:val="none"/>
        </w:rPr>
        <w:t>保障工作</w:t>
      </w:r>
      <w:r>
        <w:rPr>
          <w:rFonts w:hint="eastAsia" w:ascii="宋体" w:hAnsi="宋体" w:eastAsia="宋体" w:cs="Times New Roman"/>
          <w:bCs/>
          <w:color w:val="auto"/>
          <w:szCs w:val="21"/>
          <w:highlight w:val="none"/>
          <w:lang w:eastAsia="zh-CN"/>
        </w:rPr>
        <w:t>（</w:t>
      </w:r>
      <w:r>
        <w:rPr>
          <w:rFonts w:hint="default" w:ascii="宋体" w:hAnsi="宋体" w:eastAsia="宋体" w:cs="Times New Roman"/>
          <w:bCs/>
          <w:color w:val="auto"/>
          <w:szCs w:val="21"/>
          <w:highlight w:val="none"/>
        </w:rPr>
        <w:t>如重要社会活动、重大节假日、节庆庆典等</w:t>
      </w:r>
      <w:r>
        <w:rPr>
          <w:rFonts w:hint="default" w:ascii="宋体" w:hAnsi="宋体" w:eastAsia="宋体" w:cs="Times New Roman"/>
          <w:bCs/>
          <w:color w:val="auto"/>
          <w:szCs w:val="21"/>
          <w:highlight w:val="none"/>
          <w:lang w:eastAsia="zh-CN"/>
        </w:rPr>
        <w:t>期间</w:t>
      </w:r>
      <w:r>
        <w:rPr>
          <w:rFonts w:hint="eastAsia" w:ascii="宋体" w:hAnsi="宋体" w:eastAsia="宋体" w:cs="Times New Roman"/>
          <w:bCs/>
          <w:color w:val="auto"/>
          <w:szCs w:val="21"/>
          <w:highlight w:val="none"/>
          <w:lang w:eastAsia="zh-CN"/>
        </w:rPr>
        <w:t>）</w:t>
      </w:r>
      <w:r>
        <w:rPr>
          <w:rFonts w:hint="default" w:ascii="宋体" w:hAnsi="宋体" w:eastAsia="宋体" w:cs="Times New Roman"/>
          <w:bCs/>
          <w:color w:val="auto"/>
          <w:szCs w:val="21"/>
          <w:highlight w:val="none"/>
          <w:lang w:eastAsia="zh-CN"/>
        </w:rPr>
        <w:t>的环境卫生强化作业，增派人员与设备，确保保障期间环境整洁。</w:t>
      </w:r>
    </w:p>
    <w:p w14:paraId="6BD9235B">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cs="Times New Roman"/>
          <w:bCs/>
          <w:color w:val="auto"/>
          <w:szCs w:val="21"/>
          <w:highlight w:val="none"/>
          <w:lang w:val="en-US" w:eastAsia="zh-CN"/>
        </w:rPr>
        <w:t>13</w:t>
      </w:r>
      <w:r>
        <w:rPr>
          <w:rFonts w:hint="default" w:ascii="宋体" w:hAnsi="宋体" w:eastAsia="宋体" w:cs="Times New Roman"/>
          <w:bCs/>
          <w:color w:val="auto"/>
          <w:szCs w:val="21"/>
          <w:highlight w:val="none"/>
          <w:lang w:val="en-US" w:eastAsia="zh-CN"/>
        </w:rPr>
        <w:t>.生活垃圾处理费收缴。</w:t>
      </w:r>
      <w:r>
        <w:rPr>
          <w:rFonts w:hint="default" w:ascii="宋体" w:hAnsi="宋体" w:eastAsia="宋体" w:cs="Times New Roman"/>
          <w:bCs/>
          <w:color w:val="auto"/>
          <w:szCs w:val="21"/>
          <w:highlight w:val="none"/>
        </w:rPr>
        <w:t>按照</w:t>
      </w:r>
      <w:r>
        <w:rPr>
          <w:rFonts w:hint="default" w:ascii="宋体" w:hAnsi="宋体" w:eastAsia="宋体" w:cs="Times New Roman"/>
          <w:bCs/>
          <w:color w:val="auto"/>
          <w:szCs w:val="21"/>
          <w:highlight w:val="none"/>
          <w:lang w:eastAsia="zh-CN"/>
        </w:rPr>
        <w:t>环卫主管部门</w:t>
      </w:r>
      <w:r>
        <w:rPr>
          <w:rFonts w:hint="default" w:ascii="宋体" w:hAnsi="宋体" w:eastAsia="宋体" w:cs="Times New Roman"/>
          <w:bCs/>
          <w:color w:val="auto"/>
          <w:szCs w:val="21"/>
          <w:highlight w:val="none"/>
        </w:rPr>
        <w:t>要求负责县城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lang w:eastAsia="zh-CN"/>
        </w:rPr>
        <w:t>内生活垃圾处理费收缴等工作，收费人员由县环卫站统一管理、培训。</w:t>
      </w:r>
    </w:p>
    <w:p w14:paraId="2626FA87">
      <w:pPr>
        <w:spacing w:line="360" w:lineRule="auto"/>
        <w:ind w:firstLine="420" w:firstLineChars="200"/>
        <w:rPr>
          <w:rFonts w:hint="default" w:ascii="宋体" w:hAnsi="宋体" w:eastAsia="宋体" w:cs="Times New Roman"/>
          <w:bCs/>
          <w:color w:val="auto"/>
          <w:szCs w:val="21"/>
          <w:highlight w:val="none"/>
          <w:lang w:eastAsia="zh-CN"/>
        </w:rPr>
      </w:pPr>
      <w:r>
        <w:rPr>
          <w:rFonts w:hint="default" w:ascii="宋体" w:hAnsi="宋体" w:eastAsia="宋体" w:cs="Times New Roman"/>
          <w:bCs/>
          <w:color w:val="auto"/>
          <w:szCs w:val="21"/>
          <w:highlight w:val="none"/>
          <w:lang w:eastAsia="zh-CN"/>
        </w:rPr>
        <w:t>（二）乡（镇）服务范围及内容</w:t>
      </w:r>
    </w:p>
    <w:p w14:paraId="3B5377E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1.生活垃圾清运服务。按照“村收集、镇转运、县处理”模式，按规定清运乡镇生活垃圾</w:t>
      </w:r>
      <w:r>
        <w:rPr>
          <w:rFonts w:hint="eastAsia" w:ascii="宋体" w:hAnsi="宋体" w:eastAsia="宋体" w:cs="Times New Roman"/>
          <w:bCs/>
          <w:color w:val="auto"/>
          <w:szCs w:val="21"/>
          <w:highlight w:val="none"/>
          <w:lang w:val="en-US" w:eastAsia="zh-CN"/>
        </w:rPr>
        <w:t>（含大件垃圾，</w:t>
      </w:r>
      <w:r>
        <w:rPr>
          <w:rFonts w:hint="default" w:ascii="宋体" w:hAnsi="宋体" w:eastAsia="宋体" w:cs="Times New Roman"/>
          <w:bCs/>
          <w:color w:val="auto"/>
          <w:szCs w:val="21"/>
          <w:highlight w:val="none"/>
          <w:lang w:eastAsia="zh-CN"/>
        </w:rPr>
        <w:t>如床垫、沙发、废旧家具</w:t>
      </w:r>
      <w:r>
        <w:rPr>
          <w:rFonts w:hint="eastAsia" w:ascii="宋体" w:hAnsi="宋体" w:eastAsia="宋体" w:cs="Times New Roman"/>
          <w:bCs/>
          <w:color w:val="auto"/>
          <w:szCs w:val="21"/>
          <w:highlight w:val="none"/>
          <w:lang w:eastAsia="zh-CN"/>
        </w:rPr>
        <w:t>、玻璃</w:t>
      </w:r>
      <w:r>
        <w:rPr>
          <w:rFonts w:hint="default" w:ascii="宋体" w:hAnsi="宋体" w:eastAsia="宋体" w:cs="Times New Roman"/>
          <w:bCs/>
          <w:color w:val="auto"/>
          <w:szCs w:val="21"/>
          <w:highlight w:val="none"/>
          <w:lang w:eastAsia="zh-CN"/>
        </w:rPr>
        <w:t>等</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，确保乡（镇）生活垃圾桶点周边10米内无垃圾乱堆乱放</w:t>
      </w:r>
      <w:r>
        <w:rPr>
          <w:rFonts w:hint="eastAsia" w:ascii="宋体" w:hAnsi="宋体" w:eastAsia="宋体" w:cs="Times New Roman"/>
          <w:bCs/>
          <w:color w:val="auto"/>
          <w:szCs w:val="21"/>
          <w:highlight w:val="none"/>
          <w:lang w:val="en-US" w:eastAsia="zh-CN"/>
        </w:rPr>
        <w:t>现象</w:t>
      </w:r>
      <w:r>
        <w:rPr>
          <w:rFonts w:hint="default" w:ascii="宋体" w:hAnsi="宋体" w:eastAsia="宋体" w:cs="Times New Roman"/>
          <w:bCs/>
          <w:color w:val="auto"/>
          <w:szCs w:val="21"/>
          <w:highlight w:val="none"/>
          <w:lang w:val="en-US" w:eastAsia="zh-CN"/>
        </w:rPr>
        <w:t>，收运车辆需适应乡村道路条件，保障运输安全。</w:t>
      </w:r>
    </w:p>
    <w:p w14:paraId="2EEE5F87">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垃圾收集容器保洁及更新采购。负责各乡（镇）清运路线公共区域垃圾清运点所有垃圾收集容器的更新、补充及采购工作（生活垃圾公共堆放点由县环卫站会同属地乡镇人民政府结合实际需求统筹确定），需保障容器数量充足、完好无损，容器符合环保标准，及时更换破损、老化容器，确保垃圾收集工作正常有序开展。</w:t>
      </w:r>
    </w:p>
    <w:p w14:paraId="5D3D1EAE">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.生活垃圾中转站运营管理。对各乡（镇）生活垃圾中转站进行运营管理，</w:t>
      </w:r>
      <w:r>
        <w:rPr>
          <w:rFonts w:hint="default" w:ascii="宋体" w:hAnsi="宋体" w:eastAsia="宋体" w:cs="Times New Roman"/>
          <w:bCs/>
          <w:color w:val="auto"/>
          <w:szCs w:val="21"/>
          <w:highlight w:val="none"/>
          <w:lang w:eastAsia="zh-CN"/>
        </w:rPr>
        <w:t>包括</w:t>
      </w:r>
      <w:r>
        <w:rPr>
          <w:rFonts w:hint="default" w:ascii="宋体" w:hAnsi="宋体" w:eastAsia="宋体" w:cs="Times New Roman"/>
          <w:bCs/>
          <w:color w:val="auto"/>
          <w:szCs w:val="21"/>
          <w:highlight w:val="none"/>
        </w:rPr>
        <w:t>设备</w:t>
      </w:r>
      <w:r>
        <w:rPr>
          <w:rFonts w:hint="default" w:ascii="宋体" w:hAnsi="宋体" w:eastAsia="宋体" w:cs="Times New Roman"/>
          <w:bCs/>
          <w:color w:val="auto"/>
          <w:szCs w:val="21"/>
          <w:highlight w:val="none"/>
          <w:lang w:eastAsia="zh-CN"/>
        </w:rPr>
        <w:t>操作、日常巡检、车辆维护、站内卫生消杀除臭、垃圾暂存与转运协调等工作，确保中转站设备、运输车辆正常运行，站内环境整洁、无垃圾堆积、污水横流等现象，严格遵守环保操作规程；建立设备运行台账，每月提交至县环卫站。</w:t>
      </w:r>
    </w:p>
    <w:p w14:paraId="5EFD8BF3">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（三）生活垃圾外运焚烧处置服务范围及内容</w:t>
      </w:r>
    </w:p>
    <w:p w14:paraId="2B16DC6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全流程处置责任。负责将蒙山县全县城每天产生的生活垃圾从蒙山县转运平台转运到具备资质的焚烧发电厂进行无害化焚烧处置。转运平台内生活垃圾要进行规范化装车、装车前需对垃圾进行初步分拣，确保符合焚烧厂进料标准</w:t>
      </w:r>
      <w:r>
        <w:rPr>
          <w:rFonts w:hint="eastAsia" w:ascii="宋体" w:hAnsi="宋体" w:eastAsia="宋体" w:cs="Times New Roman"/>
          <w:bCs/>
          <w:color w:val="auto"/>
          <w:szCs w:val="21"/>
          <w:highlight w:val="none"/>
          <w:lang w:val="en-US" w:eastAsia="zh-CN"/>
        </w:rPr>
        <w:t>；设置大件垃圾及其他垃圾临时堆放点，</w:t>
      </w:r>
      <w:r>
        <w:rPr>
          <w:rFonts w:hint="default" w:ascii="宋体" w:hAnsi="宋体" w:eastAsia="宋体" w:cs="Times New Roman"/>
          <w:bCs/>
          <w:color w:val="auto"/>
          <w:szCs w:val="21"/>
          <w:highlight w:val="none"/>
          <w:lang w:val="en-US" w:eastAsia="zh-CN"/>
        </w:rPr>
        <w:t>对分拣出的建筑垃圾需转运至蒙山县建筑垃圾消纳场处置，大型垃圾需破拆后再进行装车处置；运输路线需提前报环卫主管部门备案，且不得擅自变更，运输过程需</w:t>
      </w:r>
      <w:r>
        <w:rPr>
          <w:rFonts w:hint="eastAsia" w:ascii="宋体" w:hAnsi="宋体" w:eastAsia="宋体" w:cs="Times New Roman"/>
          <w:bCs/>
          <w:color w:val="auto"/>
          <w:szCs w:val="21"/>
          <w:highlight w:val="none"/>
          <w:lang w:val="en-US" w:eastAsia="zh-CN"/>
        </w:rPr>
        <w:t>全程</w:t>
      </w:r>
      <w:r>
        <w:rPr>
          <w:rFonts w:hint="default" w:ascii="宋体" w:hAnsi="宋体" w:eastAsia="宋体" w:cs="Times New Roman"/>
          <w:bCs/>
          <w:color w:val="auto"/>
          <w:szCs w:val="21"/>
          <w:highlight w:val="none"/>
          <w:lang w:val="en-US" w:eastAsia="zh-CN"/>
        </w:rPr>
        <w:t>记录（含运输时间、装载量等），每日与焚烧厂核对处置量并留存凭证，确保垃圾处置可追溯，每月向县环卫站提交转运平台运营报告（含设备运行记录、垃圾运输量、处置量等）。</w:t>
      </w:r>
    </w:p>
    <w:p w14:paraId="6196BC6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转运平台与车辆配置要求。负责转运站的运营管理以及转运平台配置的车辆购置，运输车辆须与转运平台的设施设备相适应并能及时衔接转运垃圾，采用全密闭垃圾运输车辆，具有防臭味扩散、防遗撒、防渗滤液滴漏功能，清运能力不低于120吨/日；节假日及大型活动期间原有车辆不能满足垃圾清运的情况下，需无条件增加符合环保标准的运输车辆及时清运当天产生的生活垃圾，做到日产日清。</w:t>
      </w:r>
    </w:p>
    <w:p w14:paraId="0634C54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计量设备运维要求。承包公司应委托具备地磅校准资质的第三方机构，每6个月对地磅开展1次检查、校准和测试，确保计量数据准确，每次校准完成后10个工作日内，需将第三方机构出具的校准报告报县环卫站备案，定期检查、校准及测试产生的费用由承包公司全额承担，若因未按时校准导致计量数据偏差，造成的损失由承包公司负责。生活垃圾从转运平台出场重量与进入焚烧厂的称重重量若存在差异，且差异在合理误差范围内（±2%），以焚烧厂地磅称重重量</w:t>
      </w:r>
      <w:r>
        <w:rPr>
          <w:rFonts w:hint="eastAsia" w:ascii="宋体" w:hAnsi="宋体" w:eastAsia="宋体" w:cs="Times New Roman"/>
          <w:bCs/>
          <w:color w:val="auto"/>
          <w:szCs w:val="21"/>
          <w:highlight w:val="none"/>
          <w:lang w:val="en-US" w:eastAsia="zh-CN"/>
        </w:rPr>
        <w:t>做为</w:t>
      </w:r>
      <w:r>
        <w:rPr>
          <w:rFonts w:hint="default" w:ascii="宋体" w:hAnsi="宋体" w:eastAsia="宋体" w:cs="Times New Roman"/>
          <w:bCs/>
          <w:color w:val="auto"/>
          <w:szCs w:val="21"/>
          <w:highlight w:val="none"/>
          <w:lang w:val="en-US" w:eastAsia="zh-CN"/>
        </w:rPr>
        <w:t>最终认定依据；若差异超出合理误差范围，需由承包公司、县环卫站、焚烧厂三方共同核查原因，核查结果</w:t>
      </w:r>
      <w:r>
        <w:rPr>
          <w:rFonts w:hint="eastAsia" w:ascii="宋体" w:hAnsi="宋体" w:eastAsia="宋体" w:cs="Times New Roman"/>
          <w:bCs/>
          <w:color w:val="auto"/>
          <w:szCs w:val="21"/>
          <w:highlight w:val="none"/>
          <w:lang w:val="en-US" w:eastAsia="zh-CN"/>
        </w:rPr>
        <w:t>做为</w:t>
      </w:r>
      <w:r>
        <w:rPr>
          <w:rFonts w:hint="default" w:ascii="宋体" w:hAnsi="宋体" w:eastAsia="宋体" w:cs="Times New Roman"/>
          <w:bCs/>
          <w:color w:val="auto"/>
          <w:szCs w:val="21"/>
          <w:highlight w:val="none"/>
          <w:lang w:val="en-US" w:eastAsia="zh-CN"/>
        </w:rPr>
        <w:t>重量认定依据。</w:t>
      </w:r>
    </w:p>
    <w:p w14:paraId="7037670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（四）生活垃圾填埋场管理</w:t>
      </w:r>
    </w:p>
    <w:p w14:paraId="3CB19560">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日常维护管理。对蒙山县生活垃圾填埋场进行日常运营管理，包括防渗系统维护、填埋气体导排系统维护与处理、场区道路、截洪沟等安全巡查，做好相关台账记录，确保填埋场正常运行；按照《生活垃圾填埋场污染控制标准》（GB16889-2024）要求开展环境监测并向县环卫站提交监测报告。</w:t>
      </w:r>
    </w:p>
    <w:p w14:paraId="67081E37">
      <w:pPr>
        <w:spacing w:line="360" w:lineRule="auto"/>
        <w:ind w:firstLine="420" w:firstLineChars="200"/>
        <w:rPr>
          <w:rFonts w:hint="eastAsia"/>
          <w:color w:val="auto"/>
          <w:szCs w:val="21"/>
          <w:highlight w:val="none"/>
          <w:lang w:eastAsia="zh-CN"/>
        </w:rPr>
      </w:pPr>
      <w:r>
        <w:rPr>
          <w:rFonts w:hint="default" w:ascii="宋体" w:hAnsi="宋体" w:eastAsia="宋体" w:cs="Times New Roman"/>
          <w:bCs/>
          <w:color w:val="auto"/>
          <w:szCs w:val="21"/>
          <w:highlight w:val="none"/>
          <w:lang w:val="en-US" w:eastAsia="zh-CN"/>
        </w:rPr>
        <w:t>2.渗滤液处理站运行管理。对渗滤液处理设施设备进行日常巡检与定期维护，建立设备台账、记录设备运行参数；重大故障需制定修复方案并同步上报县环卫站；严格按照渗滤液处理工艺要求控制进水负荷，建立渗滤液处理台账，确保出水水质符合《生活垃圾填埋场污染控制标准》（GB16889-</w:t>
      </w:r>
      <w:r>
        <w:rPr>
          <w:rFonts w:hint="eastAsia" w:ascii="宋体" w:hAnsi="宋体" w:eastAsia="宋体" w:cs="Times New Roman"/>
          <w:bCs/>
          <w:color w:val="auto"/>
          <w:szCs w:val="21"/>
          <w:highlight w:val="none"/>
          <w:lang w:val="en-US" w:eastAsia="zh-CN"/>
        </w:rPr>
        <w:t>2024</w:t>
      </w:r>
      <w:r>
        <w:rPr>
          <w:rFonts w:hint="default" w:ascii="宋体" w:hAnsi="宋体" w:eastAsia="宋体" w:cs="Times New Roman"/>
          <w:bCs/>
          <w:color w:val="auto"/>
          <w:szCs w:val="21"/>
          <w:highlight w:val="none"/>
          <w:lang w:val="en-US" w:eastAsia="zh-CN"/>
        </w:rPr>
        <w:t>）中表2排放标准。</w:t>
      </w:r>
    </w:p>
    <w:p w14:paraId="058BFF96">
      <w:pPr>
        <w:spacing w:line="360" w:lineRule="auto"/>
        <w:rPr>
          <w:rFonts w:hint="eastAsia" w:ascii="宋体" w:hAnsi="宋体"/>
          <w:b/>
          <w:color w:val="auto"/>
          <w:szCs w:val="21"/>
          <w:highlight w:val="none"/>
        </w:rPr>
      </w:pPr>
      <w:r>
        <w:rPr>
          <w:rFonts w:hint="eastAsia" w:ascii="宋体" w:hAnsi="宋体"/>
          <w:b/>
          <w:color w:val="auto"/>
          <w:szCs w:val="21"/>
          <w:highlight w:val="none"/>
        </w:rPr>
        <w:t>2、服务质量要求：</w:t>
      </w:r>
    </w:p>
    <w:bookmarkEnd w:id="57"/>
    <w:p w14:paraId="1430EAB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为确保本项目各环节环卫服务规范、合规，严格依据国家及地方现行法规与技术标准制定作业要求，具体以《城市市容和环境卫生管理条例》(国务院第</w:t>
      </w:r>
      <w:r>
        <w:rPr>
          <w:rFonts w:hint="eastAsia" w:ascii="宋体" w:hAnsi="宋体" w:eastAsia="宋体" w:cs="Times New Roman"/>
          <w:bCs/>
          <w:color w:val="auto"/>
          <w:szCs w:val="21"/>
          <w:highlight w:val="none"/>
          <w:lang w:val="en-US" w:eastAsia="zh-CN"/>
        </w:rPr>
        <w:t>676</w:t>
      </w:r>
      <w:r>
        <w:rPr>
          <w:rFonts w:hint="default" w:ascii="宋体" w:hAnsi="宋体" w:eastAsia="宋体" w:cs="Times New Roman"/>
          <w:bCs/>
          <w:color w:val="auto"/>
          <w:szCs w:val="21"/>
          <w:highlight w:val="none"/>
          <w:lang w:val="en-US" w:eastAsia="zh-CN"/>
        </w:rPr>
        <w:t>号令)、《广西壮族自治区实施〈城市市容和环境卫生管理条例〉办法》</w:t>
      </w:r>
      <w:r>
        <w:rPr>
          <w:rFonts w:hint="eastAsia" w:ascii="宋体" w:hAnsi="宋体" w:eastAsia="宋体" w:cs="Times New Roman"/>
          <w:bCs/>
          <w:color w:val="auto"/>
          <w:szCs w:val="21"/>
          <w:highlight w:val="none"/>
          <w:lang w:val="en-US" w:eastAsia="zh-CN"/>
        </w:rPr>
        <w:t>（2025年第二次修正）</w:t>
      </w:r>
      <w:r>
        <w:rPr>
          <w:rFonts w:hint="default" w:ascii="宋体" w:hAnsi="宋体" w:eastAsia="宋体" w:cs="Times New Roman"/>
          <w:bCs/>
          <w:color w:val="auto"/>
          <w:szCs w:val="21"/>
          <w:highlight w:val="none"/>
          <w:lang w:val="en-US" w:eastAsia="zh-CN"/>
        </w:rPr>
        <w:t>、《城市道路清扫保洁质量与评价标准》(CJJ/T126-2</w:t>
      </w:r>
      <w:r>
        <w:rPr>
          <w:rFonts w:hint="eastAsia" w:ascii="宋体" w:hAnsi="宋体" w:eastAsia="宋体" w:cs="Times New Roman"/>
          <w:bCs/>
          <w:color w:val="auto"/>
          <w:szCs w:val="21"/>
          <w:highlight w:val="none"/>
          <w:lang w:val="en-US" w:eastAsia="zh-CN"/>
        </w:rPr>
        <w:t>022</w:t>
      </w:r>
      <w:r>
        <w:rPr>
          <w:rFonts w:hint="default" w:ascii="宋体" w:hAnsi="宋体" w:eastAsia="宋体" w:cs="Times New Roman"/>
          <w:bCs/>
          <w:color w:val="auto"/>
          <w:szCs w:val="21"/>
          <w:highlight w:val="none"/>
          <w:lang w:val="en-US" w:eastAsia="zh-CN"/>
        </w:rPr>
        <w:t>)、《城市公厕管理办法》（</w:t>
      </w:r>
      <w:r>
        <w:rPr>
          <w:rFonts w:hint="eastAsia" w:ascii="宋体" w:hAnsi="宋体" w:eastAsia="宋体" w:cs="Times New Roman"/>
          <w:bCs/>
          <w:color w:val="auto"/>
          <w:szCs w:val="21"/>
          <w:highlight w:val="none"/>
          <w:lang w:val="en-US" w:eastAsia="zh-CN"/>
        </w:rPr>
        <w:t>2011修正</w:t>
      </w:r>
      <w:r>
        <w:rPr>
          <w:rFonts w:hint="default" w:ascii="宋体" w:hAnsi="宋体" w:eastAsia="宋体" w:cs="Times New Roman"/>
          <w:bCs/>
          <w:color w:val="auto"/>
          <w:szCs w:val="21"/>
          <w:highlight w:val="none"/>
          <w:lang w:val="en-US" w:eastAsia="zh-CN"/>
        </w:rPr>
        <w:t>）、《生活垃圾转运站运行维护技术规程》(CJJ109-20</w:t>
      </w:r>
      <w:r>
        <w:rPr>
          <w:rFonts w:hint="eastAsia" w:ascii="宋体" w:hAnsi="宋体" w:eastAsia="宋体" w:cs="Times New Roman"/>
          <w:bCs/>
          <w:color w:val="auto"/>
          <w:szCs w:val="21"/>
          <w:highlight w:val="none"/>
          <w:lang w:val="en-US" w:eastAsia="zh-CN"/>
        </w:rPr>
        <w:t>23</w:t>
      </w:r>
      <w:r>
        <w:rPr>
          <w:rFonts w:hint="default" w:ascii="宋体" w:hAnsi="宋体" w:eastAsia="宋体" w:cs="Times New Roman"/>
          <w:bCs/>
          <w:color w:val="auto"/>
          <w:szCs w:val="21"/>
          <w:highlight w:val="none"/>
          <w:lang w:val="en-US" w:eastAsia="zh-CN"/>
        </w:rPr>
        <w:t>)、《生活垃圾</w:t>
      </w:r>
      <w:r>
        <w:rPr>
          <w:rFonts w:hint="eastAsia" w:ascii="宋体" w:hAnsi="宋体" w:eastAsia="宋体" w:cs="Times New Roman"/>
          <w:bCs/>
          <w:color w:val="auto"/>
          <w:szCs w:val="21"/>
          <w:highlight w:val="none"/>
          <w:lang w:val="en-US" w:eastAsia="zh-CN"/>
        </w:rPr>
        <w:t>卫生</w:t>
      </w:r>
      <w:r>
        <w:rPr>
          <w:rFonts w:hint="default" w:ascii="宋体" w:hAnsi="宋体" w:eastAsia="宋体" w:cs="Times New Roman"/>
          <w:bCs/>
          <w:color w:val="auto"/>
          <w:szCs w:val="21"/>
          <w:highlight w:val="none"/>
          <w:lang w:val="en-US" w:eastAsia="zh-CN"/>
        </w:rPr>
        <w:t>填埋场运行维护技术规程》（CJJ93-2011）</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《生活垃圾填埋场污染控制标准》</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GB16889-2024）等文件为核心依据，同时衔接最新修订标准针对本项目涵盖的道路清扫保洁、垃圾收运、中转站运营、公厕管理、生活垃圾外运焚烧处置、填埋场管理等不同作业内容，分类明确对应的作业标准与技术要求，确保各环节服务质量达标、流程合规。具体标准细则如下：</w:t>
      </w:r>
    </w:p>
    <w:p w14:paraId="5DA812DA">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（一）县城建成区内道路清扫保洁时间安排</w:t>
      </w:r>
    </w:p>
    <w:tbl>
      <w:tblPr>
        <w:tblStyle w:val="47"/>
        <w:tblW w:w="916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740"/>
        <w:gridCol w:w="2730"/>
        <w:gridCol w:w="2985"/>
      </w:tblGrid>
      <w:tr w14:paraId="5740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710" w:type="dxa"/>
            <w:noWrap w:val="0"/>
            <w:vAlign w:val="top"/>
          </w:tcPr>
          <w:p w14:paraId="6CCA003D">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道路级别</w:t>
            </w:r>
          </w:p>
        </w:tc>
        <w:tc>
          <w:tcPr>
            <w:tcW w:w="1740" w:type="dxa"/>
            <w:noWrap w:val="0"/>
            <w:vAlign w:val="top"/>
          </w:tcPr>
          <w:p w14:paraId="7B360104">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作业时长</w:t>
            </w:r>
          </w:p>
        </w:tc>
        <w:tc>
          <w:tcPr>
            <w:tcW w:w="2730" w:type="dxa"/>
            <w:noWrap w:val="0"/>
            <w:vAlign w:val="top"/>
          </w:tcPr>
          <w:p w14:paraId="2ADB7D90">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巡回保洁时间</w:t>
            </w:r>
          </w:p>
        </w:tc>
        <w:tc>
          <w:tcPr>
            <w:tcW w:w="2985" w:type="dxa"/>
            <w:noWrap w:val="0"/>
            <w:vAlign w:val="top"/>
          </w:tcPr>
          <w:p w14:paraId="11A465D8">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普扫时间</w:t>
            </w:r>
          </w:p>
        </w:tc>
      </w:tr>
      <w:tr w14:paraId="5F72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0" w:type="dxa"/>
            <w:noWrap w:val="0"/>
            <w:vAlign w:val="top"/>
          </w:tcPr>
          <w:p w14:paraId="1D446A7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一级道路</w:t>
            </w:r>
          </w:p>
          <w:p w14:paraId="568378A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二级道路</w:t>
            </w:r>
          </w:p>
        </w:tc>
        <w:tc>
          <w:tcPr>
            <w:tcW w:w="1740" w:type="dxa"/>
            <w:noWrap w:val="0"/>
            <w:vAlign w:val="top"/>
          </w:tcPr>
          <w:p w14:paraId="2640BE2F">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18小时</w:t>
            </w:r>
          </w:p>
        </w:tc>
        <w:tc>
          <w:tcPr>
            <w:tcW w:w="2730" w:type="dxa"/>
            <w:noWrap w:val="0"/>
            <w:vAlign w:val="top"/>
          </w:tcPr>
          <w:p w14:paraId="603E4395">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5:00-23:00</w:t>
            </w:r>
          </w:p>
          <w:p w14:paraId="682982A1">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春、冬季为22:00</w:t>
            </w:r>
          </w:p>
        </w:tc>
        <w:tc>
          <w:tcPr>
            <w:tcW w:w="2985" w:type="dxa"/>
            <w:noWrap w:val="0"/>
            <w:vAlign w:val="top"/>
          </w:tcPr>
          <w:p w14:paraId="69808A38">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早班5:00-8:00</w:t>
            </w:r>
          </w:p>
          <w:p w14:paraId="722E7B7E">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中班：16:00-19:00</w:t>
            </w:r>
          </w:p>
        </w:tc>
      </w:tr>
      <w:tr w14:paraId="445B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710" w:type="dxa"/>
            <w:noWrap w:val="0"/>
            <w:vAlign w:val="top"/>
          </w:tcPr>
          <w:p w14:paraId="101698A9">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三级道路</w:t>
            </w:r>
          </w:p>
        </w:tc>
        <w:tc>
          <w:tcPr>
            <w:tcW w:w="1740" w:type="dxa"/>
            <w:noWrap w:val="0"/>
            <w:vAlign w:val="top"/>
          </w:tcPr>
          <w:p w14:paraId="3BE95768">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15小时</w:t>
            </w:r>
          </w:p>
        </w:tc>
        <w:tc>
          <w:tcPr>
            <w:tcW w:w="2730" w:type="dxa"/>
            <w:noWrap w:val="0"/>
            <w:vAlign w:val="top"/>
          </w:tcPr>
          <w:p w14:paraId="53DF56C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6:00-21:00</w:t>
            </w:r>
          </w:p>
        </w:tc>
        <w:tc>
          <w:tcPr>
            <w:tcW w:w="2985" w:type="dxa"/>
            <w:noWrap w:val="0"/>
            <w:vAlign w:val="top"/>
          </w:tcPr>
          <w:p w14:paraId="3E54C143">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6：00-9:00</w:t>
            </w:r>
          </w:p>
        </w:tc>
      </w:tr>
      <w:tr w14:paraId="430A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10" w:type="dxa"/>
            <w:noWrap w:val="0"/>
            <w:vAlign w:val="top"/>
          </w:tcPr>
          <w:p w14:paraId="667F3F83">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市政公厕</w:t>
            </w:r>
          </w:p>
        </w:tc>
        <w:tc>
          <w:tcPr>
            <w:tcW w:w="1740" w:type="dxa"/>
            <w:noWrap w:val="0"/>
            <w:vAlign w:val="top"/>
          </w:tcPr>
          <w:p w14:paraId="3F367076">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16小时</w:t>
            </w:r>
          </w:p>
        </w:tc>
        <w:tc>
          <w:tcPr>
            <w:tcW w:w="2730" w:type="dxa"/>
            <w:noWrap w:val="0"/>
            <w:vAlign w:val="top"/>
          </w:tcPr>
          <w:p w14:paraId="0DF82F05">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6:00-22:00</w:t>
            </w:r>
          </w:p>
        </w:tc>
        <w:tc>
          <w:tcPr>
            <w:tcW w:w="2985" w:type="dxa"/>
            <w:noWrap w:val="0"/>
            <w:vAlign w:val="top"/>
          </w:tcPr>
          <w:p w14:paraId="582FB213">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工作时间内随脏随保</w:t>
            </w:r>
          </w:p>
        </w:tc>
      </w:tr>
    </w:tbl>
    <w:p w14:paraId="4DF563A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（二）县城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内道路综合清扫保洁质量标准</w:t>
      </w:r>
    </w:p>
    <w:p w14:paraId="122471CF">
      <w:pPr>
        <w:spacing w:line="360" w:lineRule="auto"/>
        <w:ind w:firstLine="420" w:firstLineChars="200"/>
        <w:rPr>
          <w:rFonts w:hint="eastAsia"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一、二级道路达到“十无”、“七净”。“十无”即无果皮纸屑塑膜、无烟头、无扬尘、无砖瓦瓦块、无痰迹、无积存裸露垃圾、无污水、无杂草、无人畜粪便、无动物尸体等杂物；“七净”即下水口净、树池净、绿化带内及周边净、路沿石净、人行道净、车行道净、边沟净，地面垃圾停留时间不超过</w:t>
      </w:r>
      <w:r>
        <w:rPr>
          <w:rFonts w:hint="eastAsia" w:ascii="宋体" w:hAnsi="宋体" w:eastAsia="宋体" w:cs="Times New Roman"/>
          <w:bCs/>
          <w:color w:val="auto"/>
          <w:szCs w:val="21"/>
          <w:highlight w:val="none"/>
          <w:lang w:val="en-US" w:eastAsia="zh-CN"/>
        </w:rPr>
        <w:t>30</w:t>
      </w:r>
      <w:r>
        <w:rPr>
          <w:rFonts w:hint="default" w:ascii="宋体" w:hAnsi="宋体" w:eastAsia="宋体" w:cs="Times New Roman"/>
          <w:bCs/>
          <w:color w:val="auto"/>
          <w:szCs w:val="21"/>
          <w:highlight w:val="none"/>
          <w:lang w:val="en-US" w:eastAsia="zh-CN"/>
        </w:rPr>
        <w:t>分钟；三级道路清扫保洁质量达到“五无”、</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五净</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。“五无”即无堆积物、无污泥积水积尘、无果皮纸屑塑膜、无砖头瓦块、无积存裸露垃圾；“五净”即下水口净、树池净、绿化带内及周边净、人行道净、车行道净，地面垃圾停留时间不超过30分钟。</w:t>
      </w:r>
      <w:r>
        <w:rPr>
          <w:rFonts w:hint="eastAsia" w:ascii="宋体" w:hAnsi="宋体" w:eastAsia="宋体" w:cs="Times New Roman"/>
          <w:bCs/>
          <w:color w:val="auto"/>
          <w:szCs w:val="21"/>
          <w:highlight w:val="none"/>
          <w:lang w:val="en-US" w:eastAsia="zh-CN"/>
        </w:rPr>
        <w:t>严禁环卫工人将垃圾、泥沙扫入下水道进水口、倒入或挑入绿化带内。</w:t>
      </w:r>
    </w:p>
    <w:p w14:paraId="13765F80">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保洁时，环卫工人巡回走动，用小扫把清理路面果皮、纸屑、塑膜、烟蒂、饮料包装盒（瓶）等垃圾，人行道、路牙等处的杂草淤泥、垃圾必须及时清除，做到勤走、勤看、勤扫，确保路面整洁。清扫保洁过程中，遇有人乱扔、乱倒垃圾、乱泼洒污水、抛洒建筑材料时应用文明礼貌用语劝阻，情节严重的，及时报告环卫站，依法处理。</w:t>
      </w:r>
    </w:p>
    <w:p w14:paraId="7CF24A6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物业管理公司所辖的小区内部的清扫保洁工作，由物业公司自行负责，小区衔接城区道路的人行道清扫、保洁工作由承包</w:t>
      </w:r>
      <w:r>
        <w:rPr>
          <w:rFonts w:hint="eastAsia" w:ascii="宋体" w:hAnsi="宋体" w:eastAsia="宋体" w:cs="Times New Roman"/>
          <w:bCs/>
          <w:color w:val="auto"/>
          <w:szCs w:val="21"/>
          <w:highlight w:val="none"/>
          <w:lang w:val="en-US" w:eastAsia="zh-CN"/>
        </w:rPr>
        <w:t>公司</w:t>
      </w:r>
      <w:r>
        <w:rPr>
          <w:rFonts w:hint="default" w:ascii="宋体" w:hAnsi="宋体" w:eastAsia="宋体" w:cs="Times New Roman"/>
          <w:bCs/>
          <w:color w:val="auto"/>
          <w:szCs w:val="21"/>
          <w:highlight w:val="none"/>
          <w:lang w:val="en-US" w:eastAsia="zh-CN"/>
        </w:rPr>
        <w:t>负责，不得推诿扯皮。</w:t>
      </w:r>
    </w:p>
    <w:p w14:paraId="00F7D166">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w:t>
      </w:r>
      <w:r>
        <w:rPr>
          <w:rFonts w:hint="default" w:ascii="宋体" w:hAnsi="宋体" w:eastAsia="宋体" w:cs="Times New Roman"/>
          <w:bCs/>
          <w:color w:val="auto"/>
          <w:szCs w:val="21"/>
          <w:highlight w:val="none"/>
          <w:lang w:val="en-US" w:eastAsia="zh-CN"/>
        </w:rPr>
        <w:t>清扫保洁垃圾和居民投放垃圾应及时收集到中转站，不得积压在车（筒、箱、池）内，严禁裸露堆放在路面。</w:t>
      </w:r>
    </w:p>
    <w:p w14:paraId="2A48FC0F">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w:t>
      </w:r>
      <w:r>
        <w:rPr>
          <w:rFonts w:hint="default" w:ascii="宋体" w:hAnsi="宋体" w:eastAsia="宋体" w:cs="Times New Roman"/>
          <w:bCs/>
          <w:color w:val="auto"/>
          <w:szCs w:val="21"/>
          <w:highlight w:val="none"/>
          <w:lang w:val="en-US" w:eastAsia="zh-CN"/>
        </w:rPr>
        <w:t>垃圾收集点的垃圾应巡回收集中转，做到垃圾箱（筒、池）不满溢，垃圾收集点周围应清洁、无散落垃圾和污水，日产日清，无积压。垃圾桶、果皮箱内无积存垃圾，周围地面整洁、无污水流溢，收集作业完成后，应做到车走地净，垃圾应直接送到指定的转运站，运输途中不得抛撒。</w:t>
      </w:r>
    </w:p>
    <w:p w14:paraId="2630289A">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w:t>
      </w:r>
      <w:r>
        <w:rPr>
          <w:rFonts w:hint="default" w:ascii="宋体" w:hAnsi="宋体" w:eastAsia="宋体" w:cs="Times New Roman"/>
          <w:bCs/>
          <w:color w:val="auto"/>
          <w:szCs w:val="21"/>
          <w:highlight w:val="none"/>
          <w:lang w:val="en-US" w:eastAsia="zh-CN"/>
        </w:rPr>
        <w:t>垃圾收集容器应定位设置，收集垃圾后正面配对摆放整齐并合上桶盖，垃圾桶或果皮箱等环卫设施发生遗失、损坏、不足及自然损耗现象，要及时</w:t>
      </w:r>
      <w:r>
        <w:rPr>
          <w:rFonts w:hint="eastAsia" w:ascii="宋体" w:hAnsi="宋体" w:eastAsia="宋体" w:cs="Times New Roman"/>
          <w:bCs/>
          <w:color w:val="auto"/>
          <w:szCs w:val="21"/>
          <w:highlight w:val="none"/>
          <w:lang w:val="en-US" w:eastAsia="zh-CN"/>
        </w:rPr>
        <w:t>向环卫站反映</w:t>
      </w:r>
      <w:r>
        <w:rPr>
          <w:rFonts w:hint="default" w:ascii="宋体" w:hAnsi="宋体" w:eastAsia="宋体" w:cs="Times New Roman"/>
          <w:bCs/>
          <w:color w:val="auto"/>
          <w:szCs w:val="21"/>
          <w:highlight w:val="none"/>
          <w:lang w:val="en-US" w:eastAsia="zh-CN"/>
        </w:rPr>
        <w:t>更换或增补。</w:t>
      </w:r>
    </w:p>
    <w:p w14:paraId="68DE55D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7.</w:t>
      </w:r>
      <w:r>
        <w:rPr>
          <w:rFonts w:hint="default" w:ascii="宋体" w:hAnsi="宋体" w:eastAsia="宋体" w:cs="Times New Roman"/>
          <w:bCs/>
          <w:color w:val="auto"/>
          <w:szCs w:val="21"/>
          <w:highlight w:val="none"/>
          <w:lang w:val="en-US" w:eastAsia="zh-CN"/>
        </w:rPr>
        <w:t>无主装璜垃圾、碎石、砖块等，应及时通知城管人员清除。</w:t>
      </w:r>
    </w:p>
    <w:p w14:paraId="41BD00D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8.</w:t>
      </w:r>
      <w:r>
        <w:rPr>
          <w:rFonts w:hint="default" w:ascii="宋体" w:hAnsi="宋体" w:eastAsia="宋体" w:cs="Times New Roman"/>
          <w:bCs/>
          <w:color w:val="auto"/>
          <w:szCs w:val="21"/>
          <w:highlight w:val="none"/>
          <w:lang w:val="en-US" w:eastAsia="zh-CN"/>
        </w:rPr>
        <w:t>收集车的车容须美观、整洁，做到每天清洗、定期喷漆，标识清晰。</w:t>
      </w:r>
    </w:p>
    <w:p w14:paraId="7054469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9.</w:t>
      </w:r>
      <w:r>
        <w:rPr>
          <w:rFonts w:hint="default" w:ascii="宋体" w:hAnsi="宋体" w:eastAsia="宋体" w:cs="Times New Roman"/>
          <w:bCs/>
          <w:color w:val="auto"/>
          <w:szCs w:val="21"/>
          <w:highlight w:val="none"/>
          <w:lang w:val="en-US" w:eastAsia="zh-CN"/>
        </w:rPr>
        <w:t>中转垃圾倾倒以就近为原则，垃圾倾倒到中转站时，中转人员必须及时将垃圾推入箱体内。</w:t>
      </w:r>
    </w:p>
    <w:p w14:paraId="7DC8325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10.</w:t>
      </w:r>
      <w:r>
        <w:rPr>
          <w:rFonts w:hint="default" w:ascii="宋体" w:hAnsi="宋体" w:eastAsia="宋体" w:cs="Times New Roman"/>
          <w:bCs/>
          <w:color w:val="auto"/>
          <w:szCs w:val="21"/>
          <w:highlight w:val="none"/>
          <w:lang w:val="en-US" w:eastAsia="zh-CN"/>
        </w:rPr>
        <w:t>清扫、保洁、收集、中转垃圾严禁焚烧。</w:t>
      </w:r>
    </w:p>
    <w:p w14:paraId="5A73F06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11.环卫工人上岗作业时，必须统一穿戴具有安全</w:t>
      </w:r>
      <w:r>
        <w:rPr>
          <w:rFonts w:hint="eastAsia" w:ascii="宋体" w:hAnsi="宋体" w:eastAsia="宋体" w:cs="Times New Roman"/>
          <w:bCs/>
          <w:color w:val="auto"/>
          <w:szCs w:val="21"/>
          <w:highlight w:val="none"/>
          <w:lang w:val="en-US" w:eastAsia="zh-CN"/>
        </w:rPr>
        <w:t>标识</w:t>
      </w:r>
      <w:r>
        <w:rPr>
          <w:rFonts w:hint="default" w:ascii="宋体" w:hAnsi="宋体" w:eastAsia="宋体" w:cs="Times New Roman"/>
          <w:bCs/>
          <w:color w:val="auto"/>
          <w:szCs w:val="21"/>
          <w:highlight w:val="none"/>
          <w:lang w:val="en-US" w:eastAsia="zh-CN"/>
        </w:rPr>
        <w:t>的工作服；清扫、收集垃圾、冲洗环卫设施作业时，要正确摆放安全标志</w:t>
      </w:r>
      <w:r>
        <w:rPr>
          <w:rFonts w:hint="eastAsia" w:ascii="宋体" w:hAnsi="宋体" w:eastAsia="宋体" w:cs="Times New Roman"/>
          <w:bCs/>
          <w:color w:val="auto"/>
          <w:szCs w:val="21"/>
          <w:highlight w:val="none"/>
          <w:lang w:val="en-US" w:eastAsia="zh-CN"/>
        </w:rPr>
        <w:t>做为</w:t>
      </w:r>
      <w:r>
        <w:rPr>
          <w:rFonts w:hint="default" w:ascii="宋体" w:hAnsi="宋体" w:eastAsia="宋体" w:cs="Times New Roman"/>
          <w:bCs/>
          <w:color w:val="auto"/>
          <w:szCs w:val="21"/>
          <w:highlight w:val="none"/>
          <w:lang w:val="en-US" w:eastAsia="zh-CN"/>
        </w:rPr>
        <w:t>防护提示，随走随放。</w:t>
      </w:r>
    </w:p>
    <w:p w14:paraId="54026F7C">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（三）县城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内机械化清扫和洒水冲洗作业标准</w:t>
      </w:r>
    </w:p>
    <w:p w14:paraId="476B4C6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1.机械清扫和洒水压尘洗刷作业要以机械清扫为主，人工清扫保洁为辅，最大限度降低灰尘污染。（根据环保部门信息及工作要求，污染预警天气时，乙方无条件服从甲方安排洒水工作）。</w:t>
      </w:r>
    </w:p>
    <w:p w14:paraId="71BBFA7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2.一、二级道路每天机械化清扫次数不少于3次，即5:00-9：00、14:00-17:00、19:00-23:00，三级道路和适宜机械化清扫的背街小巷每天清扫次数不少于2次，即6:00-10:00、14:00-17:00，机械化清扫率达到95%以上。</w:t>
      </w:r>
    </w:p>
    <w:p w14:paraId="0614D4F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一、二级道路每天（6:00-19:00期间）洒水次数不少于4次，三级道路和可通洒水车道路每天洒水次数不少于1次，雨天除外，如遇扬尘天气较为严重时，重点区域需要增加至6-8次。洒水车作业时必须开启警示信号，并控制适当的水压和车速，减少对路人的妨碍。</w:t>
      </w:r>
    </w:p>
    <w:p w14:paraId="1FDBBD53">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4.垃圾桶、果皮箱、交通护栏无明显污迹、积尘，桶（箱）体周围地面1米内整洁、无堆积垃圾、污渍，及时消杀灭菌，做到干净、整洁。</w:t>
      </w:r>
    </w:p>
    <w:p w14:paraId="3EFF9F7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（四）县城建成区杂草清理标准</w:t>
      </w:r>
    </w:p>
    <w:p w14:paraId="2367C99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质量标准：建成区道路路面及两侧无成片杂草、无丛生杂草；城乡结合部杂草高度控制在20cm以内。清理产生的杂草做到随清随运、日产日清；严禁就地焚烧杂草、严禁将杂草扫入雨水篦子及绿化带内，禁止使用高毒、高残留除草剂开展除草作业。</w:t>
      </w:r>
    </w:p>
    <w:p w14:paraId="4085F35F">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宋体"/>
          <w:bCs/>
          <w:color w:val="auto"/>
          <w:szCs w:val="21"/>
          <w:highlight w:val="none"/>
          <w:lang w:val="en-US" w:eastAsia="zh-CN"/>
        </w:rPr>
        <w:t>2.作业频次：主次干道每周开展全覆盖清理不少于1次，实行日常随长随清，动态保洁；背街小巷及城乡结合部每月全覆盖清理不少于1次，杂草旺长季节全体加密作业频次，及时清除杂草，保持市容环境整洁。</w:t>
      </w:r>
    </w:p>
    <w:p w14:paraId="785B082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五</w:t>
      </w:r>
      <w:r>
        <w:rPr>
          <w:rFonts w:hint="default" w:ascii="宋体" w:hAnsi="宋体" w:eastAsia="宋体" w:cs="Times New Roman"/>
          <w:bCs/>
          <w:color w:val="auto"/>
          <w:szCs w:val="21"/>
          <w:highlight w:val="none"/>
          <w:lang w:val="en-US" w:eastAsia="zh-CN"/>
        </w:rPr>
        <w:t>）县城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内市政公厕保洁标准</w:t>
      </w:r>
    </w:p>
    <w:p w14:paraId="6C5CA953">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每间公厕至少配备1名保洁人员（梁羽生公厕需配备2人或以上）。按规定的作业时间实施作业，作业人员无缺岗、无迟到早退现象，保洁人员着装规范，管理规章制度和相关作业人员的信息在公厕入口处进行公示。</w:t>
      </w:r>
    </w:p>
    <w:p w14:paraId="50D4140E">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公厕室内外环境干净整洁、无乱张贴现象，工具房工具、用品摆放整齐，公厕内采光、照明和通风良好，无明显臭味，墙面、天花板、门窗和隔离板无积灰、污迹、蛛网，无乱涂乱画；地面无污迹污垢、积水等。</w:t>
      </w:r>
    </w:p>
    <w:p w14:paraId="45E4789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3.蹲位整洁，大便槽两侧无粪便污物，槽内无积粪，洁净见底；小便槽（斗）无水锈、尿垢、垃圾，基本无臭；沟眼、管道保持畅通。</w:t>
      </w:r>
    </w:p>
    <w:p w14:paraId="3C05E39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4.定时喷洒灭蚊蝇药物，有效控制蝇蛆孳生。</w:t>
      </w:r>
    </w:p>
    <w:p w14:paraId="296EFD7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5.公厕化粪池与出粪口设有盖板，无破损凹陷。定期清理化粪池，粪便不满溢，粪便密闭化运输。</w:t>
      </w:r>
    </w:p>
    <w:p w14:paraId="2C821B8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6.公厕内外附属设施完整、完好，如用水用电设施、照明灯具、洗手器具、烘手器、冲水设备、玻璃镜、坑位、水管、厕所门窗等损坏需及时维修（含屋顶和墙面维修）。</w:t>
      </w:r>
    </w:p>
    <w:p w14:paraId="2FFCDA3E">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7.市政公厕实行免费上厕，不得收取任何费用，24小时全天候开放。</w:t>
      </w:r>
    </w:p>
    <w:p w14:paraId="7F69628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六</w:t>
      </w:r>
      <w:r>
        <w:rPr>
          <w:rFonts w:hint="default" w:ascii="宋体" w:hAnsi="宋体" w:eastAsia="宋体" w:cs="Times New Roman"/>
          <w:bCs/>
          <w:color w:val="auto"/>
          <w:szCs w:val="21"/>
          <w:highlight w:val="none"/>
          <w:lang w:val="en-US" w:eastAsia="zh-CN"/>
        </w:rPr>
        <w:t>）生活垃圾收转运作业</w:t>
      </w:r>
      <w:r>
        <w:rPr>
          <w:rFonts w:hint="eastAsia" w:ascii="宋体" w:hAnsi="宋体" w:eastAsia="宋体" w:cs="Times New Roman"/>
          <w:bCs/>
          <w:color w:val="auto"/>
          <w:szCs w:val="21"/>
          <w:highlight w:val="none"/>
          <w:lang w:val="en-US" w:eastAsia="zh-CN"/>
        </w:rPr>
        <w:t>标准</w:t>
      </w:r>
    </w:p>
    <w:p w14:paraId="26288E1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生活垃圾收运作业采取分区包干责任制，实行定人、定时段、全覆盖收运，收集垃圾后场地及时清理，收集点周边10米范围不能出现有生活垃圾堆积现象，车走地净；垃圾桶、果皮箱要正面配对摆放并合上盖，严禁在路边分选垃圾。</w:t>
      </w:r>
    </w:p>
    <w:p w14:paraId="1AF2BD4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综合考虑集镇和农村的人口、垃圾产量、地理位置以及车辆运输能力，合理设置垃圾收集路线、垃圾收集容器和垃圾收运车辆，对农村的生活垃圾采用转运站转运和直运模式。农村生活垃圾必须安排足够的车辆、人员和工具，对我县8条主干道上生活垃圾收集点的生活垃圾做到日产日清，其余次干道三日一清，最终把生活垃圾运到县生活垃圾填埋场进行转运处置。</w:t>
      </w:r>
    </w:p>
    <w:p w14:paraId="613CF04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3.农村大件垃圾实行年度定期集中处置，原则上每年3月、10月固定集中清运2次，如遇上级检查、调研等工作时，须及时组织专项清运。</w:t>
      </w:r>
    </w:p>
    <w:p w14:paraId="10906336">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七</w:t>
      </w:r>
      <w:r>
        <w:rPr>
          <w:rFonts w:hint="default" w:ascii="宋体" w:hAnsi="宋体" w:eastAsia="宋体" w:cs="Times New Roman"/>
          <w:bCs/>
          <w:color w:val="auto"/>
          <w:szCs w:val="21"/>
          <w:highlight w:val="none"/>
          <w:lang w:val="en-US" w:eastAsia="zh-CN"/>
        </w:rPr>
        <w:t>）生活垃圾中转站和转运平台运行管理</w:t>
      </w:r>
      <w:r>
        <w:rPr>
          <w:rFonts w:hint="eastAsia" w:ascii="宋体" w:hAnsi="宋体" w:eastAsia="宋体" w:cs="Times New Roman"/>
          <w:bCs/>
          <w:color w:val="auto"/>
          <w:szCs w:val="21"/>
          <w:highlight w:val="none"/>
          <w:lang w:val="en-US" w:eastAsia="zh-CN"/>
        </w:rPr>
        <w:t>标准</w:t>
      </w:r>
    </w:p>
    <w:p w14:paraId="13A8528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1.进入站内处理的垃圾应是生活垃圾，严禁工业、医疗、危险和放射性等有毒有害废弃物进入垃圾中转站和转运站；进入转运站垃圾来源要明确，严禁来源不清的垃圾进入转运站。</w:t>
      </w:r>
    </w:p>
    <w:p w14:paraId="37040DA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场地设有专人管理，工具、物品、车辆等置放有序整洁，每天对站内冲洗1次以上，保持站内外整洁、无撒落垃圾和堆放杂物、无积留污水，室内通风应良好、无恶臭；墙壁、窗户应无积尘、蛛网，没有污水管网连接的中转站，中转站污水收集池的污水要及时用车辆抽运到所在地的污水管网，每月对站内外排水沟实行定期清洗，沉沙井每月疏通清理一次；应定时喷洒消毒、除臭药物和投放除“四害”药物，“四害”密度达到在可视范围内，站内苍蝇活体少于20只、蟑螂活体少于5只/次，无老鼠活体出现。</w:t>
      </w:r>
    </w:p>
    <w:p w14:paraId="09002458">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3.进入站内的垃圾应当日转运，做到日产日清。站内外周围10米范围内不得有杂物（纸皮、矿泉水瓶、泡沫等）、垃圾等与工作无关的东西堆放，地面及门前不得有垃圾渗滤液留存，确保周围环境整洁</w:t>
      </w:r>
      <w:r>
        <w:rPr>
          <w:rFonts w:hint="eastAsia" w:ascii="宋体" w:hAnsi="宋体" w:eastAsia="宋体" w:cs="Times New Roman"/>
          <w:bCs/>
          <w:color w:val="auto"/>
          <w:szCs w:val="21"/>
          <w:highlight w:val="none"/>
          <w:lang w:val="en-US" w:eastAsia="zh-CN"/>
        </w:rPr>
        <w:t>；站内积存的渗滤液严禁注入垃圾转运车辆并转运至焚烧厂处置，需另行采用专用罐车运输至具备资质的第三方机构处理，或输送至填埋场渗滤液处理站规范处置。</w:t>
      </w:r>
    </w:p>
    <w:p w14:paraId="5367668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站内设有规章制度并公布站点名称、开放时间、管理人员和投诉电话等。作业人员无缺岗、无迟到早退，按作业规范实施站内的运行管理及其他机器的安全操作，保持站内设施设备完好并正常运转，做好设备设施检修、安全检查等工作，建立设施设备的检查、保养和维修台账；站点工作人员下班后需要做好关闭电源、锁好门窗及对站点的清洗清洁工作；严禁在垃圾中转站、转运站内养禽畜、赌博、饮酒等不良和违法行为。</w:t>
      </w:r>
    </w:p>
    <w:p w14:paraId="7357D673">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w:t>
      </w:r>
      <w:r>
        <w:rPr>
          <w:rFonts w:hint="default" w:ascii="宋体" w:hAnsi="宋体" w:eastAsia="宋体" w:cs="Times New Roman"/>
          <w:bCs/>
          <w:color w:val="auto"/>
          <w:szCs w:val="21"/>
          <w:highlight w:val="none"/>
          <w:lang w:val="en-US" w:eastAsia="zh-CN"/>
        </w:rPr>
        <w:t>.当日进站垃圾必须当日完成压缩，转运站每天对各种垃圾运输车辆和垃圾转运车的到站、出站和垃圾清运量等做出详细记录，并整理台账备查。</w:t>
      </w:r>
    </w:p>
    <w:p w14:paraId="0EE54ACB">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w:t>
      </w:r>
      <w:r>
        <w:rPr>
          <w:rFonts w:hint="default" w:ascii="宋体" w:hAnsi="宋体" w:eastAsia="宋体" w:cs="Times New Roman"/>
          <w:bCs/>
          <w:color w:val="auto"/>
          <w:szCs w:val="21"/>
          <w:highlight w:val="none"/>
          <w:lang w:val="en-US" w:eastAsia="zh-CN"/>
        </w:rPr>
        <w:t>.承包公司应委托具备地磅校准资质的第三方机构，每6个月对地磅开展1次检查、校准和测试，</w:t>
      </w:r>
      <w:r>
        <w:rPr>
          <w:rFonts w:hint="eastAsia" w:ascii="宋体" w:hAnsi="宋体" w:eastAsia="宋体" w:cs="Times New Roman"/>
          <w:bCs/>
          <w:color w:val="auto"/>
          <w:szCs w:val="21"/>
          <w:highlight w:val="none"/>
          <w:lang w:val="en-US" w:eastAsia="zh-CN"/>
        </w:rPr>
        <w:t>确保计量数据准确，每次校准完成后10个工作日内，需将第三方机构出具的校准报告报县环卫站备案。若因未按时校准导致计量数据偏差，造成的损失由承包公司负责。生活垃圾从转运平台出场重量与进入焚烧厂的称重重量若存在差异，且差异在合理误差范围内（±2%），以焚烧厂地磅称重重量做为最终认定依据；若差异超出合理误差范围，需由承包公司、县环卫站、焚烧厂三方共同核查原因，核查结果做为重量认定依据。</w:t>
      </w:r>
    </w:p>
    <w:p w14:paraId="65522A2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八</w:t>
      </w:r>
      <w:r>
        <w:rPr>
          <w:rFonts w:hint="default" w:ascii="宋体" w:hAnsi="宋体" w:eastAsia="宋体" w:cs="Times New Roman"/>
          <w:bCs/>
          <w:color w:val="auto"/>
          <w:szCs w:val="21"/>
          <w:highlight w:val="none"/>
          <w:lang w:val="en-US" w:eastAsia="zh-CN"/>
        </w:rPr>
        <w:t>）垃圾车辆管理</w:t>
      </w:r>
      <w:r>
        <w:rPr>
          <w:rFonts w:hint="eastAsia" w:ascii="宋体" w:hAnsi="宋体" w:eastAsia="宋体" w:cs="Times New Roman"/>
          <w:bCs/>
          <w:color w:val="auto"/>
          <w:szCs w:val="21"/>
          <w:highlight w:val="none"/>
          <w:lang w:val="en-US" w:eastAsia="zh-CN"/>
        </w:rPr>
        <w:t>要求</w:t>
      </w:r>
    </w:p>
    <w:p w14:paraId="34BFC18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1.承包公司使用的环卫</w:t>
      </w:r>
      <w:r>
        <w:rPr>
          <w:rFonts w:hint="eastAsia" w:ascii="宋体" w:hAnsi="宋体" w:eastAsia="宋体" w:cs="Times New Roman"/>
          <w:bCs/>
          <w:color w:val="auto"/>
          <w:szCs w:val="21"/>
          <w:highlight w:val="none"/>
          <w:lang w:val="en-US" w:eastAsia="zh-CN"/>
        </w:rPr>
        <w:t>运输</w:t>
      </w:r>
      <w:r>
        <w:rPr>
          <w:rFonts w:hint="default" w:ascii="宋体" w:hAnsi="宋体" w:eastAsia="宋体" w:cs="Times New Roman"/>
          <w:bCs/>
          <w:color w:val="auto"/>
          <w:szCs w:val="21"/>
          <w:highlight w:val="none"/>
          <w:lang w:val="en-US" w:eastAsia="zh-CN"/>
        </w:rPr>
        <w:t>车辆必须符合国家上路标准法规且新车占比率要达到85%以上</w:t>
      </w:r>
      <w:r>
        <w:rPr>
          <w:rFonts w:hint="eastAsia" w:ascii="宋体" w:hAnsi="宋体" w:eastAsia="宋体" w:cs="Times New Roman"/>
          <w:bCs/>
          <w:color w:val="auto"/>
          <w:szCs w:val="21"/>
          <w:highlight w:val="none"/>
          <w:lang w:val="en-US" w:eastAsia="zh-CN"/>
        </w:rPr>
        <w:t>（新车使用年限不得超过3年且能正常使用）</w:t>
      </w:r>
      <w:r>
        <w:rPr>
          <w:rFonts w:hint="default" w:ascii="宋体" w:hAnsi="宋体" w:eastAsia="宋体" w:cs="Times New Roman"/>
          <w:bCs/>
          <w:color w:val="auto"/>
          <w:szCs w:val="21"/>
          <w:highlight w:val="none"/>
          <w:lang w:val="en-US" w:eastAsia="zh-CN"/>
        </w:rPr>
        <w:t>，配备的环卫车辆类型必须与本项目相关设施设备相适应且能满足各环节工作需求，县环卫站现有的环卫作业车辆可无偿移交给承包公司使用，承包公司负责车辆的维护维修、车辆年险、年检等，车辆不能满足工作需要时由承包公司自行配备，如县环卫站需要使用环卫作业车辆的，承包方需无偿提供给环卫站使用。</w:t>
      </w:r>
    </w:p>
    <w:p w14:paraId="2B28CBDB">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承包公司须在进场作业之日起投入足够的作业设施设备，自行解决道路清扫保洁、垃圾收转运、设施清洗等工作所需的日常工具和劳保用品；环卫作业人员配备统一的行业工作服，印有明显的单位标志。作业时衣着</w:t>
      </w:r>
      <w:r>
        <w:rPr>
          <w:rFonts w:hint="eastAsia" w:ascii="宋体" w:hAnsi="宋体" w:eastAsia="宋体" w:cs="Times New Roman"/>
          <w:bCs/>
          <w:color w:val="auto"/>
          <w:szCs w:val="21"/>
          <w:highlight w:val="none"/>
          <w:lang w:val="en-US" w:eastAsia="zh-CN"/>
        </w:rPr>
        <w:t>规范</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佩戴</w:t>
      </w:r>
      <w:r>
        <w:rPr>
          <w:rFonts w:hint="default" w:ascii="宋体" w:hAnsi="宋体" w:eastAsia="宋体" w:cs="Times New Roman"/>
          <w:bCs/>
          <w:color w:val="auto"/>
          <w:szCs w:val="21"/>
          <w:highlight w:val="none"/>
          <w:lang w:val="en-US" w:eastAsia="zh-CN"/>
        </w:rPr>
        <w:t>反光安全标志，规范设置作业安全警示标志。</w:t>
      </w:r>
      <w:r>
        <w:rPr>
          <w:rFonts w:hint="eastAsia" w:ascii="宋体" w:hAnsi="宋体" w:eastAsia="宋体" w:cs="Times New Roman"/>
          <w:bCs/>
          <w:color w:val="auto"/>
          <w:szCs w:val="21"/>
          <w:highlight w:val="none"/>
          <w:lang w:val="en-US" w:eastAsia="zh-CN"/>
        </w:rPr>
        <w:t>其中①县城3吨垃圾压缩车不少于4台，8-12吨洗扫车不少于2台，8吨洒水车不少于2台，12吨勾臂车不少于2台，电瓶三轮车不少于80台；②农村生活垃圾收集车辆须满足：3吨垃圾压缩车不少于9辆，8-10吨垃圾压缩车不少于3辆。</w:t>
      </w:r>
    </w:p>
    <w:p w14:paraId="6347102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.垃圾实行密闭化运输，运输过程中无垃圾遗撒，拖挂和污水地漏，无超重、超高运输，按指定地点装卸垃圾，不得乱倒、乱卸</w:t>
      </w:r>
      <w:r>
        <w:rPr>
          <w:rFonts w:hint="eastAsia" w:ascii="宋体" w:hAnsi="宋体" w:eastAsia="宋体" w:cs="Times New Roman"/>
          <w:bCs/>
          <w:color w:val="auto"/>
          <w:szCs w:val="21"/>
          <w:highlight w:val="none"/>
          <w:lang w:val="en-US" w:eastAsia="zh-CN"/>
        </w:rPr>
        <w:t>垃圾。</w:t>
      </w:r>
    </w:p>
    <w:p w14:paraId="7366888E">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w:t>
      </w:r>
      <w:r>
        <w:rPr>
          <w:rFonts w:hint="default" w:ascii="宋体" w:hAnsi="宋体" w:eastAsia="宋体" w:cs="Times New Roman"/>
          <w:bCs/>
          <w:color w:val="auto"/>
          <w:szCs w:val="21"/>
          <w:highlight w:val="none"/>
          <w:lang w:val="en-US" w:eastAsia="zh-CN"/>
        </w:rPr>
        <w:t>.垃圾运输车辆应整洁干净、性能良好、无残缺破损、无积垢、无吊挂垃圾、车辆需喷印有单位名称、车辆编号、环卫标志应清晰。</w:t>
      </w:r>
    </w:p>
    <w:p w14:paraId="4D19C37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九</w:t>
      </w:r>
      <w:r>
        <w:rPr>
          <w:rFonts w:hint="default" w:ascii="宋体" w:hAnsi="宋体" w:eastAsia="宋体" w:cs="Times New Roman"/>
          <w:bCs/>
          <w:color w:val="auto"/>
          <w:szCs w:val="21"/>
          <w:highlight w:val="none"/>
          <w:lang w:val="en-US" w:eastAsia="zh-CN"/>
        </w:rPr>
        <w:t>）生活垃圾填埋场管理</w:t>
      </w:r>
      <w:r>
        <w:rPr>
          <w:rFonts w:hint="eastAsia" w:ascii="宋体" w:hAnsi="宋体" w:eastAsia="宋体" w:cs="Times New Roman"/>
          <w:bCs/>
          <w:color w:val="auto"/>
          <w:szCs w:val="21"/>
          <w:highlight w:val="none"/>
          <w:lang w:val="en-US" w:eastAsia="zh-CN"/>
        </w:rPr>
        <w:t>要求</w:t>
      </w:r>
    </w:p>
    <w:p w14:paraId="3E0580CE">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1.管理制度与人员规范。各项规章制度和操作规程在办公区、作业入口处等显眼位置悬挂上墙，工作人员上岗时需着装规范，佩戴工作牌。</w:t>
      </w:r>
    </w:p>
    <w:p w14:paraId="66448A2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场区巡检与维护。建立日常巡查制度，定期巡查，覆膜和边坡发现孔洞、脱焊及时修补，覆膜厚度均应符合国家现行标准《生活垃圾卫生填埋处理技术标准》（GB/T50869-2013）的规定；定期清除积水、杂物，保持场区道路、截洪沟、排水渠等地方完好畅通；定期检查填埋库区、调节池的甲烷浓度，填埋库区上方甲烷气体浓度应小于5%，临近5%时应立即采取相应的安全措施，及时导排收集甲烷气体，控制填埋库区气体浓度，预防火灾和爆炸；定期对场区供电设施、电器、照明、监控设备、通讯管线、避雷、应急物资等进行检查维护，发现失效或缺失应及时更换或增补；定期对场区进行</w:t>
      </w:r>
      <w:r>
        <w:rPr>
          <w:rFonts w:hint="eastAsia" w:ascii="宋体" w:hAnsi="宋体" w:eastAsia="宋体" w:cs="Times New Roman"/>
          <w:bCs/>
          <w:color w:val="auto"/>
          <w:szCs w:val="21"/>
          <w:highlight w:val="none"/>
          <w:lang w:val="en-US" w:eastAsia="zh-CN"/>
        </w:rPr>
        <w:t>保洁、清淤、除草、</w:t>
      </w:r>
      <w:r>
        <w:rPr>
          <w:rFonts w:hint="default" w:ascii="宋体" w:hAnsi="宋体" w:eastAsia="宋体" w:cs="Times New Roman"/>
          <w:bCs/>
          <w:color w:val="auto"/>
          <w:szCs w:val="21"/>
          <w:highlight w:val="none"/>
          <w:lang w:val="en-US" w:eastAsia="zh-CN"/>
        </w:rPr>
        <w:t>消杀</w:t>
      </w:r>
      <w:r>
        <w:rPr>
          <w:rFonts w:hint="eastAsia" w:ascii="宋体" w:hAnsi="宋体" w:eastAsia="宋体" w:cs="Times New Roman"/>
          <w:bCs/>
          <w:color w:val="auto"/>
          <w:szCs w:val="21"/>
          <w:highlight w:val="none"/>
          <w:lang w:val="en-US" w:eastAsia="zh-CN"/>
        </w:rPr>
        <w:t>除臭等工作</w:t>
      </w:r>
      <w:r>
        <w:rPr>
          <w:rFonts w:hint="default" w:ascii="宋体" w:hAnsi="宋体" w:eastAsia="宋体" w:cs="Times New Roman"/>
          <w:bCs/>
          <w:color w:val="auto"/>
          <w:szCs w:val="21"/>
          <w:highlight w:val="none"/>
          <w:lang w:val="en-US" w:eastAsia="zh-CN"/>
        </w:rPr>
        <w:t>，做到无垃圾散落、</w:t>
      </w:r>
      <w:r>
        <w:rPr>
          <w:rFonts w:hint="eastAsia" w:ascii="宋体" w:hAnsi="宋体" w:eastAsia="宋体" w:cs="Times New Roman"/>
          <w:bCs/>
          <w:color w:val="auto"/>
          <w:szCs w:val="21"/>
          <w:highlight w:val="none"/>
          <w:lang w:val="en-US" w:eastAsia="zh-CN"/>
        </w:rPr>
        <w:t>无</w:t>
      </w:r>
      <w:r>
        <w:rPr>
          <w:rFonts w:hint="default" w:ascii="宋体" w:hAnsi="宋体" w:eastAsia="宋体" w:cs="Times New Roman"/>
          <w:bCs/>
          <w:color w:val="auto"/>
          <w:szCs w:val="21"/>
          <w:highlight w:val="none"/>
          <w:lang w:val="en-US" w:eastAsia="zh-CN"/>
        </w:rPr>
        <w:t>污物堆积和</w:t>
      </w:r>
      <w:r>
        <w:rPr>
          <w:rFonts w:hint="eastAsia" w:ascii="宋体" w:hAnsi="宋体" w:eastAsia="宋体" w:cs="Times New Roman"/>
          <w:bCs/>
          <w:color w:val="auto"/>
          <w:szCs w:val="21"/>
          <w:highlight w:val="none"/>
          <w:lang w:val="en-US" w:eastAsia="zh-CN"/>
        </w:rPr>
        <w:t>无</w:t>
      </w:r>
      <w:r>
        <w:rPr>
          <w:rFonts w:hint="default" w:ascii="宋体" w:hAnsi="宋体" w:eastAsia="宋体" w:cs="Times New Roman"/>
          <w:bCs/>
          <w:color w:val="auto"/>
          <w:szCs w:val="21"/>
          <w:highlight w:val="none"/>
          <w:lang w:val="en-US" w:eastAsia="zh-CN"/>
        </w:rPr>
        <w:t>污水溢流。</w:t>
      </w:r>
    </w:p>
    <w:p w14:paraId="501DD3A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.渗滤液处理站运行管理要求</w:t>
      </w:r>
    </w:p>
    <w:p w14:paraId="70D91E8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渗滤液处理站出水排放执行《生活垃圾填埋场污染物控制标准》（GB16889-2024）中表2直接排放的水污染物排放限值规定，如国家出台新的排放标准，则按新标准执行。</w:t>
      </w:r>
    </w:p>
    <w:p w14:paraId="44197D8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表</w:t>
      </w: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直接排放的水污染物排放限值</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3209"/>
        <w:gridCol w:w="2836"/>
        <w:gridCol w:w="1695"/>
      </w:tblGrid>
      <w:tr w14:paraId="3F28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21" w:type="dxa"/>
            <w:noWrap w:val="0"/>
            <w:vAlign w:val="top"/>
          </w:tcPr>
          <w:p w14:paraId="1207151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序号</w:t>
            </w:r>
          </w:p>
        </w:tc>
        <w:tc>
          <w:tcPr>
            <w:tcW w:w="3209" w:type="dxa"/>
            <w:noWrap w:val="0"/>
            <w:vAlign w:val="top"/>
          </w:tcPr>
          <w:p w14:paraId="26E6B21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污染物项目</w:t>
            </w:r>
          </w:p>
        </w:tc>
        <w:tc>
          <w:tcPr>
            <w:tcW w:w="2836" w:type="dxa"/>
            <w:noWrap w:val="0"/>
            <w:vAlign w:val="top"/>
          </w:tcPr>
          <w:p w14:paraId="486C5FE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排放质量浓度限值</w:t>
            </w:r>
          </w:p>
        </w:tc>
        <w:tc>
          <w:tcPr>
            <w:tcW w:w="1695" w:type="dxa"/>
            <w:noWrap w:val="0"/>
            <w:vAlign w:val="top"/>
          </w:tcPr>
          <w:p w14:paraId="7E75384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监控位置</w:t>
            </w:r>
          </w:p>
        </w:tc>
      </w:tr>
      <w:tr w14:paraId="7C9C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321" w:type="dxa"/>
            <w:noWrap w:val="0"/>
            <w:vAlign w:val="top"/>
          </w:tcPr>
          <w:p w14:paraId="43C6C8E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p>
        </w:tc>
        <w:tc>
          <w:tcPr>
            <w:tcW w:w="3209" w:type="dxa"/>
            <w:noWrap w:val="0"/>
            <w:vAlign w:val="top"/>
          </w:tcPr>
          <w:p w14:paraId="54448C6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色度（稀释倍数）</w:t>
            </w:r>
          </w:p>
        </w:tc>
        <w:tc>
          <w:tcPr>
            <w:tcW w:w="2836" w:type="dxa"/>
            <w:noWrap w:val="0"/>
            <w:vAlign w:val="top"/>
          </w:tcPr>
          <w:p w14:paraId="77BE011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40</w:t>
            </w:r>
          </w:p>
        </w:tc>
        <w:tc>
          <w:tcPr>
            <w:tcW w:w="1695" w:type="dxa"/>
            <w:vMerge w:val="restart"/>
            <w:noWrap w:val="0"/>
            <w:vAlign w:val="center"/>
          </w:tcPr>
          <w:p w14:paraId="7B26F4E0">
            <w:pPr>
              <w:spacing w:line="360" w:lineRule="auto"/>
              <w:ind w:firstLine="420" w:firstLineChars="200"/>
              <w:rPr>
                <w:rFonts w:hint="default" w:ascii="宋体" w:hAnsi="宋体" w:eastAsia="宋体" w:cs="Times New Roman"/>
                <w:bCs/>
                <w:color w:val="auto"/>
                <w:szCs w:val="21"/>
                <w:highlight w:val="none"/>
                <w:lang w:val="en-US" w:eastAsia="zh-CN"/>
              </w:rPr>
            </w:pPr>
          </w:p>
          <w:p w14:paraId="6545C2F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渗滤液处理 设施</w:t>
            </w:r>
            <w:r>
              <w:rPr>
                <w:rFonts w:hint="default" w:ascii="宋体" w:hAnsi="宋体" w:eastAsia="宋体" w:cs="Times New Roman"/>
                <w:bCs/>
                <w:color w:val="auto"/>
                <w:szCs w:val="21"/>
                <w:highlight w:val="none"/>
                <w:lang w:val="en-US" w:eastAsia="zh-CN"/>
              </w:rPr>
              <w:t>排放口</w:t>
            </w:r>
          </w:p>
        </w:tc>
      </w:tr>
      <w:tr w14:paraId="32F2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48C4DC0">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w:t>
            </w:r>
          </w:p>
        </w:tc>
        <w:tc>
          <w:tcPr>
            <w:tcW w:w="3209" w:type="dxa"/>
            <w:noWrap w:val="0"/>
            <w:vAlign w:val="top"/>
          </w:tcPr>
          <w:p w14:paraId="5E487E7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化学需氧量（COD）/（mg/L）</w:t>
            </w:r>
          </w:p>
        </w:tc>
        <w:tc>
          <w:tcPr>
            <w:tcW w:w="2836" w:type="dxa"/>
            <w:noWrap w:val="0"/>
            <w:vAlign w:val="top"/>
          </w:tcPr>
          <w:p w14:paraId="255755F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100</w:t>
            </w:r>
          </w:p>
        </w:tc>
        <w:tc>
          <w:tcPr>
            <w:tcW w:w="1695" w:type="dxa"/>
            <w:vMerge w:val="continue"/>
            <w:noWrap w:val="0"/>
            <w:vAlign w:val="top"/>
          </w:tcPr>
          <w:p w14:paraId="57981EE9">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C2C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6A0D23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w:t>
            </w:r>
          </w:p>
        </w:tc>
        <w:tc>
          <w:tcPr>
            <w:tcW w:w="3209" w:type="dxa"/>
            <w:noWrap w:val="0"/>
            <w:vAlign w:val="top"/>
          </w:tcPr>
          <w:p w14:paraId="0C1FB39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生化需氧量（BOD5）/（mg/L）</w:t>
            </w:r>
          </w:p>
        </w:tc>
        <w:tc>
          <w:tcPr>
            <w:tcW w:w="2836" w:type="dxa"/>
            <w:noWrap w:val="0"/>
            <w:vAlign w:val="top"/>
          </w:tcPr>
          <w:p w14:paraId="745F7EF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30</w:t>
            </w:r>
          </w:p>
        </w:tc>
        <w:tc>
          <w:tcPr>
            <w:tcW w:w="1695" w:type="dxa"/>
            <w:vMerge w:val="continue"/>
            <w:noWrap w:val="0"/>
            <w:vAlign w:val="top"/>
          </w:tcPr>
          <w:p w14:paraId="773C9614">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6B5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61100A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w:t>
            </w:r>
          </w:p>
        </w:tc>
        <w:tc>
          <w:tcPr>
            <w:tcW w:w="3209" w:type="dxa"/>
            <w:noWrap w:val="0"/>
            <w:vAlign w:val="top"/>
          </w:tcPr>
          <w:p w14:paraId="6A7347F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悬浮物（mg/L）</w:t>
            </w:r>
          </w:p>
        </w:tc>
        <w:tc>
          <w:tcPr>
            <w:tcW w:w="2836" w:type="dxa"/>
            <w:noWrap w:val="0"/>
            <w:vAlign w:val="top"/>
          </w:tcPr>
          <w:p w14:paraId="4C9B4D1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30</w:t>
            </w:r>
          </w:p>
        </w:tc>
        <w:tc>
          <w:tcPr>
            <w:tcW w:w="1695" w:type="dxa"/>
            <w:vMerge w:val="continue"/>
            <w:noWrap w:val="0"/>
            <w:vAlign w:val="top"/>
          </w:tcPr>
          <w:p w14:paraId="6A0AFA7D">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9C8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FF5D766">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5</w:t>
            </w:r>
          </w:p>
        </w:tc>
        <w:tc>
          <w:tcPr>
            <w:tcW w:w="3209" w:type="dxa"/>
            <w:noWrap w:val="0"/>
            <w:vAlign w:val="top"/>
          </w:tcPr>
          <w:p w14:paraId="3F26D14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总氮（mg/L）</w:t>
            </w:r>
          </w:p>
        </w:tc>
        <w:tc>
          <w:tcPr>
            <w:tcW w:w="2836" w:type="dxa"/>
            <w:noWrap w:val="0"/>
            <w:vAlign w:val="top"/>
          </w:tcPr>
          <w:p w14:paraId="51F22D3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40</w:t>
            </w:r>
          </w:p>
        </w:tc>
        <w:tc>
          <w:tcPr>
            <w:tcW w:w="1695" w:type="dxa"/>
            <w:vMerge w:val="continue"/>
            <w:noWrap w:val="0"/>
            <w:vAlign w:val="top"/>
          </w:tcPr>
          <w:p w14:paraId="1B9D72A1">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D20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893E3C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6</w:t>
            </w:r>
          </w:p>
        </w:tc>
        <w:tc>
          <w:tcPr>
            <w:tcW w:w="3209" w:type="dxa"/>
            <w:noWrap w:val="0"/>
            <w:vAlign w:val="top"/>
          </w:tcPr>
          <w:p w14:paraId="563FB66C">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氨氮（mg/L）</w:t>
            </w:r>
          </w:p>
        </w:tc>
        <w:tc>
          <w:tcPr>
            <w:tcW w:w="2836" w:type="dxa"/>
            <w:noWrap w:val="0"/>
            <w:vAlign w:val="top"/>
          </w:tcPr>
          <w:p w14:paraId="33D30CE3">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25</w:t>
            </w:r>
          </w:p>
        </w:tc>
        <w:tc>
          <w:tcPr>
            <w:tcW w:w="1695" w:type="dxa"/>
            <w:vMerge w:val="continue"/>
            <w:noWrap w:val="0"/>
            <w:vAlign w:val="top"/>
          </w:tcPr>
          <w:p w14:paraId="00677D51">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1FBC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07F777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7</w:t>
            </w:r>
          </w:p>
        </w:tc>
        <w:tc>
          <w:tcPr>
            <w:tcW w:w="3209" w:type="dxa"/>
            <w:noWrap w:val="0"/>
            <w:vAlign w:val="top"/>
          </w:tcPr>
          <w:p w14:paraId="76C20A4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总磷（mg/L）</w:t>
            </w:r>
          </w:p>
        </w:tc>
        <w:tc>
          <w:tcPr>
            <w:tcW w:w="2836" w:type="dxa"/>
            <w:noWrap w:val="0"/>
            <w:vAlign w:val="top"/>
          </w:tcPr>
          <w:p w14:paraId="01F03E4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w:t>
            </w:r>
          </w:p>
        </w:tc>
        <w:tc>
          <w:tcPr>
            <w:tcW w:w="1695" w:type="dxa"/>
            <w:vMerge w:val="continue"/>
            <w:noWrap w:val="0"/>
            <w:vAlign w:val="top"/>
          </w:tcPr>
          <w:p w14:paraId="53A87A32">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3315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00AD34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8</w:t>
            </w:r>
          </w:p>
        </w:tc>
        <w:tc>
          <w:tcPr>
            <w:tcW w:w="3209" w:type="dxa"/>
            <w:noWrap w:val="0"/>
            <w:vAlign w:val="top"/>
          </w:tcPr>
          <w:p w14:paraId="7884C68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 xml:space="preserve">粪大肠菌群（个/L） </w:t>
            </w:r>
          </w:p>
        </w:tc>
        <w:tc>
          <w:tcPr>
            <w:tcW w:w="2836" w:type="dxa"/>
            <w:noWrap w:val="0"/>
            <w:vAlign w:val="top"/>
          </w:tcPr>
          <w:p w14:paraId="71EC83E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10000</w:t>
            </w:r>
          </w:p>
        </w:tc>
        <w:tc>
          <w:tcPr>
            <w:tcW w:w="1695" w:type="dxa"/>
            <w:vMerge w:val="continue"/>
            <w:noWrap w:val="0"/>
            <w:vAlign w:val="top"/>
          </w:tcPr>
          <w:p w14:paraId="5B5C4EFD">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0656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038265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9</w:t>
            </w:r>
          </w:p>
        </w:tc>
        <w:tc>
          <w:tcPr>
            <w:tcW w:w="3209" w:type="dxa"/>
            <w:noWrap w:val="0"/>
            <w:vAlign w:val="top"/>
          </w:tcPr>
          <w:p w14:paraId="4BC29FE0">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总铜</w:t>
            </w:r>
            <w:r>
              <w:rPr>
                <w:rFonts w:hint="default" w:ascii="宋体" w:hAnsi="宋体" w:eastAsia="宋体" w:cs="Times New Roman"/>
                <w:bCs/>
                <w:color w:val="auto"/>
                <w:szCs w:val="21"/>
                <w:highlight w:val="none"/>
                <w:lang w:val="en-US" w:eastAsia="zh-CN"/>
              </w:rPr>
              <w:t>（mg/L）</w:t>
            </w:r>
          </w:p>
        </w:tc>
        <w:tc>
          <w:tcPr>
            <w:tcW w:w="2836" w:type="dxa"/>
            <w:noWrap w:val="0"/>
            <w:vAlign w:val="top"/>
          </w:tcPr>
          <w:p w14:paraId="6109AA9F">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0.5</w:t>
            </w:r>
          </w:p>
        </w:tc>
        <w:tc>
          <w:tcPr>
            <w:tcW w:w="1695" w:type="dxa"/>
            <w:vMerge w:val="continue"/>
            <w:noWrap w:val="0"/>
            <w:vAlign w:val="top"/>
          </w:tcPr>
          <w:p w14:paraId="17C6A1B7">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0981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EEA7C5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10</w:t>
            </w:r>
          </w:p>
        </w:tc>
        <w:tc>
          <w:tcPr>
            <w:tcW w:w="3209" w:type="dxa"/>
            <w:noWrap w:val="0"/>
            <w:vAlign w:val="top"/>
          </w:tcPr>
          <w:p w14:paraId="50FE6E50">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总锌</w:t>
            </w:r>
            <w:r>
              <w:rPr>
                <w:rFonts w:hint="default" w:ascii="宋体" w:hAnsi="宋体" w:eastAsia="宋体" w:cs="Times New Roman"/>
                <w:bCs/>
                <w:color w:val="auto"/>
                <w:szCs w:val="21"/>
                <w:highlight w:val="none"/>
                <w:lang w:val="en-US" w:eastAsia="zh-CN"/>
              </w:rPr>
              <w:t>（mg/L）</w:t>
            </w:r>
          </w:p>
        </w:tc>
        <w:tc>
          <w:tcPr>
            <w:tcW w:w="2836" w:type="dxa"/>
            <w:noWrap w:val="0"/>
            <w:vAlign w:val="top"/>
          </w:tcPr>
          <w:p w14:paraId="289CAAE1">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w:t>
            </w:r>
          </w:p>
        </w:tc>
        <w:tc>
          <w:tcPr>
            <w:tcW w:w="1695" w:type="dxa"/>
            <w:vMerge w:val="continue"/>
            <w:noWrap w:val="0"/>
            <w:vAlign w:val="top"/>
          </w:tcPr>
          <w:p w14:paraId="1E9B594C">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52C6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4C5F768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11</w:t>
            </w:r>
          </w:p>
        </w:tc>
        <w:tc>
          <w:tcPr>
            <w:tcW w:w="3209" w:type="dxa"/>
            <w:noWrap w:val="0"/>
            <w:vAlign w:val="top"/>
          </w:tcPr>
          <w:p w14:paraId="0C43D346">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总汞（mg/L）</w:t>
            </w:r>
          </w:p>
        </w:tc>
        <w:tc>
          <w:tcPr>
            <w:tcW w:w="2836" w:type="dxa"/>
            <w:noWrap w:val="0"/>
            <w:vAlign w:val="top"/>
          </w:tcPr>
          <w:p w14:paraId="5343A44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0.001</w:t>
            </w:r>
          </w:p>
        </w:tc>
        <w:tc>
          <w:tcPr>
            <w:tcW w:w="1695" w:type="dxa"/>
            <w:vMerge w:val="continue"/>
            <w:noWrap w:val="0"/>
            <w:vAlign w:val="top"/>
          </w:tcPr>
          <w:p w14:paraId="093A153F">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7D3D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4EC4F77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2</w:t>
            </w:r>
          </w:p>
        </w:tc>
        <w:tc>
          <w:tcPr>
            <w:tcW w:w="3209" w:type="dxa"/>
            <w:noWrap w:val="0"/>
            <w:vAlign w:val="top"/>
          </w:tcPr>
          <w:p w14:paraId="581E7CB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总镉（mg/L）</w:t>
            </w:r>
          </w:p>
        </w:tc>
        <w:tc>
          <w:tcPr>
            <w:tcW w:w="2836" w:type="dxa"/>
            <w:noWrap w:val="0"/>
            <w:vAlign w:val="top"/>
          </w:tcPr>
          <w:p w14:paraId="68ABB94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0.01</w:t>
            </w:r>
          </w:p>
        </w:tc>
        <w:tc>
          <w:tcPr>
            <w:tcW w:w="1695" w:type="dxa"/>
            <w:vMerge w:val="continue"/>
            <w:noWrap w:val="0"/>
            <w:vAlign w:val="top"/>
          </w:tcPr>
          <w:p w14:paraId="21ED4327">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12DA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9305B2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3</w:t>
            </w:r>
          </w:p>
        </w:tc>
        <w:tc>
          <w:tcPr>
            <w:tcW w:w="3209" w:type="dxa"/>
            <w:noWrap w:val="0"/>
            <w:vAlign w:val="top"/>
          </w:tcPr>
          <w:p w14:paraId="64BE73AC">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总铬（mg/L）</w:t>
            </w:r>
          </w:p>
        </w:tc>
        <w:tc>
          <w:tcPr>
            <w:tcW w:w="2836" w:type="dxa"/>
            <w:noWrap w:val="0"/>
            <w:vAlign w:val="top"/>
          </w:tcPr>
          <w:p w14:paraId="1E79FB1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0.1</w:t>
            </w:r>
          </w:p>
        </w:tc>
        <w:tc>
          <w:tcPr>
            <w:tcW w:w="1695" w:type="dxa"/>
            <w:vMerge w:val="continue"/>
            <w:noWrap w:val="0"/>
            <w:vAlign w:val="top"/>
          </w:tcPr>
          <w:p w14:paraId="2D6F9094">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36A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F4A6F9F">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4</w:t>
            </w:r>
          </w:p>
        </w:tc>
        <w:tc>
          <w:tcPr>
            <w:tcW w:w="3209" w:type="dxa"/>
            <w:noWrap w:val="0"/>
            <w:vAlign w:val="top"/>
          </w:tcPr>
          <w:p w14:paraId="7014E00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六价铬（mg/L）</w:t>
            </w:r>
          </w:p>
        </w:tc>
        <w:tc>
          <w:tcPr>
            <w:tcW w:w="2836" w:type="dxa"/>
            <w:noWrap w:val="0"/>
            <w:vAlign w:val="top"/>
          </w:tcPr>
          <w:p w14:paraId="7B17873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0.05</w:t>
            </w:r>
          </w:p>
        </w:tc>
        <w:tc>
          <w:tcPr>
            <w:tcW w:w="1695" w:type="dxa"/>
            <w:vMerge w:val="continue"/>
            <w:noWrap w:val="0"/>
            <w:vAlign w:val="top"/>
          </w:tcPr>
          <w:p w14:paraId="372390A7">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33CF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114763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5</w:t>
            </w:r>
          </w:p>
        </w:tc>
        <w:tc>
          <w:tcPr>
            <w:tcW w:w="3209" w:type="dxa"/>
            <w:noWrap w:val="0"/>
            <w:vAlign w:val="top"/>
          </w:tcPr>
          <w:p w14:paraId="1B02843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总砷（mg/L）</w:t>
            </w:r>
          </w:p>
        </w:tc>
        <w:tc>
          <w:tcPr>
            <w:tcW w:w="2836" w:type="dxa"/>
            <w:noWrap w:val="0"/>
            <w:vAlign w:val="top"/>
          </w:tcPr>
          <w:p w14:paraId="4C5AA84E">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0.1</w:t>
            </w:r>
          </w:p>
        </w:tc>
        <w:tc>
          <w:tcPr>
            <w:tcW w:w="1695" w:type="dxa"/>
            <w:vMerge w:val="continue"/>
            <w:noWrap w:val="0"/>
            <w:vAlign w:val="top"/>
          </w:tcPr>
          <w:p w14:paraId="23C17615">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73FD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EBF2AB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6</w:t>
            </w:r>
          </w:p>
        </w:tc>
        <w:tc>
          <w:tcPr>
            <w:tcW w:w="3209" w:type="dxa"/>
            <w:noWrap w:val="0"/>
            <w:vAlign w:val="top"/>
          </w:tcPr>
          <w:p w14:paraId="76BC187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总铅（mg/L）</w:t>
            </w:r>
          </w:p>
        </w:tc>
        <w:tc>
          <w:tcPr>
            <w:tcW w:w="2836" w:type="dxa"/>
            <w:noWrap w:val="0"/>
            <w:vAlign w:val="top"/>
          </w:tcPr>
          <w:p w14:paraId="2F158C3F">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0.1</w:t>
            </w:r>
          </w:p>
        </w:tc>
        <w:tc>
          <w:tcPr>
            <w:tcW w:w="1695" w:type="dxa"/>
            <w:vMerge w:val="continue"/>
            <w:noWrap w:val="0"/>
            <w:vAlign w:val="top"/>
          </w:tcPr>
          <w:p w14:paraId="0EC07E09">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5C9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461FB6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17</w:t>
            </w:r>
          </w:p>
        </w:tc>
        <w:tc>
          <w:tcPr>
            <w:tcW w:w="3209" w:type="dxa"/>
            <w:noWrap w:val="0"/>
            <w:vAlign w:val="top"/>
          </w:tcPr>
          <w:p w14:paraId="79CC9028">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总铍</w:t>
            </w:r>
            <w:r>
              <w:rPr>
                <w:rFonts w:hint="default" w:ascii="宋体" w:hAnsi="宋体" w:eastAsia="宋体" w:cs="Times New Roman"/>
                <w:bCs/>
                <w:color w:val="auto"/>
                <w:szCs w:val="21"/>
                <w:highlight w:val="none"/>
                <w:lang w:val="en-US" w:eastAsia="zh-CN"/>
              </w:rPr>
              <w:t>（mg/L）</w:t>
            </w:r>
          </w:p>
        </w:tc>
        <w:tc>
          <w:tcPr>
            <w:tcW w:w="2836" w:type="dxa"/>
            <w:noWrap w:val="0"/>
            <w:vAlign w:val="top"/>
          </w:tcPr>
          <w:p w14:paraId="72DFD1A4">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0.002</w:t>
            </w:r>
          </w:p>
        </w:tc>
        <w:tc>
          <w:tcPr>
            <w:tcW w:w="1695" w:type="dxa"/>
            <w:vMerge w:val="continue"/>
            <w:noWrap w:val="0"/>
            <w:vAlign w:val="top"/>
          </w:tcPr>
          <w:p w14:paraId="7FC8C9A4">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4A0E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4D753713">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18</w:t>
            </w:r>
          </w:p>
        </w:tc>
        <w:tc>
          <w:tcPr>
            <w:tcW w:w="3209" w:type="dxa"/>
            <w:noWrap w:val="0"/>
            <w:vAlign w:val="top"/>
          </w:tcPr>
          <w:p w14:paraId="4D08B234">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总镍</w:t>
            </w:r>
            <w:r>
              <w:rPr>
                <w:rFonts w:hint="default" w:ascii="宋体" w:hAnsi="宋体" w:eastAsia="宋体" w:cs="Times New Roman"/>
                <w:bCs/>
                <w:color w:val="auto"/>
                <w:szCs w:val="21"/>
                <w:highlight w:val="none"/>
                <w:lang w:val="en-US" w:eastAsia="zh-CN"/>
              </w:rPr>
              <w:t>（mg/L）</w:t>
            </w:r>
          </w:p>
        </w:tc>
        <w:tc>
          <w:tcPr>
            <w:tcW w:w="2836" w:type="dxa"/>
            <w:noWrap w:val="0"/>
            <w:vAlign w:val="top"/>
          </w:tcPr>
          <w:p w14:paraId="270DF028">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0.05</w:t>
            </w:r>
          </w:p>
        </w:tc>
        <w:tc>
          <w:tcPr>
            <w:tcW w:w="1695" w:type="dxa"/>
            <w:vMerge w:val="continue"/>
            <w:noWrap w:val="0"/>
            <w:vAlign w:val="top"/>
          </w:tcPr>
          <w:p w14:paraId="5A31414C">
            <w:pPr>
              <w:spacing w:line="360" w:lineRule="auto"/>
              <w:ind w:firstLine="420" w:firstLineChars="200"/>
              <w:rPr>
                <w:rFonts w:hint="default" w:ascii="宋体" w:hAnsi="宋体" w:eastAsia="宋体" w:cs="Times New Roman"/>
                <w:bCs/>
                <w:color w:val="auto"/>
                <w:szCs w:val="21"/>
                <w:highlight w:val="none"/>
                <w:lang w:val="en-US" w:eastAsia="zh-CN"/>
              </w:rPr>
            </w:pPr>
          </w:p>
        </w:tc>
      </w:tr>
    </w:tbl>
    <w:p w14:paraId="75EBB33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认真做好垃圾渗滤液处理站各设备的运行记录。编制设备清单和各设备运行记录的各类表格，安排人员每日巡视，并按表格内容做好记录，发现异常当天报告，小故障当天排除，中故障次日排除，大故障全力抢修，并做好相关报告及台账收集，完成每月3日前将《广西壮族自治区城镇生活垃圾填埋场运行月报表》报送县污垃办及其他交办的事项。</w:t>
      </w:r>
    </w:p>
    <w:p w14:paraId="51CEA44F">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（2）认真做好垃圾渗滤液处理站进、出水情况的运行记录。编制进、出水记录的各类表格，安排人员每日巡视，并按表格内容做好记录，发现异常当天报告，管理人员应在24小时内作出处理。</w:t>
      </w:r>
    </w:p>
    <w:p w14:paraId="7669C01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渗滤液处理站负责人根据季节、调节池水量、水质特点及生产周期制定生产计划及有关物资采购计划，做好设备启动的前期准备工作；根据外部条件的变化，在设计的弹性范围内对工艺进行调整。因外部条件发生变化，导致系统运行发生偏差，巡视人员应做好记录，及时进行工艺调整，确保系统运行处在最佳状态。</w:t>
      </w:r>
    </w:p>
    <w:p w14:paraId="79AE712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加强对各工艺流程中的水质检验，经对水质进行检测，各项指标达标后，下达可以排放的通知，严禁乱排乱放，出现泄漏等突发事件及时上报处理；季节性停机检修时，应提前七天向上级环保部门提交检修报告，获准后才能停机检修，检修结束、开机前亦然。</w:t>
      </w:r>
    </w:p>
    <w:p w14:paraId="5F74212A">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w:t>
      </w:r>
      <w:r>
        <w:rPr>
          <w:rFonts w:hint="default" w:ascii="宋体" w:hAnsi="宋体" w:eastAsia="宋体" w:cs="Times New Roman"/>
          <w:bCs/>
          <w:color w:val="auto"/>
          <w:szCs w:val="21"/>
          <w:highlight w:val="none"/>
          <w:lang w:val="en-US" w:eastAsia="zh-CN"/>
        </w:rPr>
        <w:t>.环境监测管理</w:t>
      </w:r>
    </w:p>
    <w:p w14:paraId="57920A67">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w:t>
      </w:r>
      <w:r>
        <w:rPr>
          <w:rFonts w:hint="default" w:ascii="宋体" w:hAnsi="宋体" w:eastAsia="宋体" w:cs="Times New Roman"/>
          <w:bCs/>
          <w:color w:val="auto"/>
          <w:szCs w:val="21"/>
          <w:highlight w:val="none"/>
          <w:lang w:val="en-US" w:eastAsia="zh-CN"/>
        </w:rPr>
        <w:t>本项目委托具备专业资质的环境监测机构对填埋场定期开展环境监测，并出具结果报告，委托监测项目应包括地下水、地表水、废气等内容，具体检测项目（指标）及频次按照《生活垃圾填埋场污染控制标准》（GB16889-2024）要求，增加监测项目并覆盖涉重金属地下水隐患排查的重金属检测项目，如检测总铬、铅、镉、砷、</w:t>
      </w:r>
      <w:r>
        <w:rPr>
          <w:rFonts w:hint="eastAsia" w:ascii="宋体" w:hAnsi="宋体" w:eastAsia="宋体" w:cs="Times New Roman"/>
          <w:bCs/>
          <w:color w:val="auto"/>
          <w:szCs w:val="21"/>
          <w:highlight w:val="none"/>
          <w:lang w:val="en-US" w:eastAsia="zh-CN"/>
        </w:rPr>
        <w:t>汞</w:t>
      </w:r>
      <w:r>
        <w:rPr>
          <w:rFonts w:hint="default" w:ascii="宋体" w:hAnsi="宋体" w:eastAsia="宋体" w:cs="Times New Roman"/>
          <w:bCs/>
          <w:color w:val="auto"/>
          <w:szCs w:val="21"/>
          <w:highlight w:val="none"/>
          <w:lang w:val="en-US" w:eastAsia="zh-CN"/>
        </w:rPr>
        <w:t>、铊、锑等。</w:t>
      </w:r>
    </w:p>
    <w:p w14:paraId="109D492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（2）完成上级下达的年度考核任务，确保生活垃圾填埋场存量渗滤液不超过调节池、应急池总库容的1/3标准且地下水质监测达到规定排放标准。</w:t>
      </w:r>
    </w:p>
    <w:p w14:paraId="7EDD24B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十</w:t>
      </w:r>
      <w:r>
        <w:rPr>
          <w:rFonts w:hint="default" w:ascii="宋体" w:hAnsi="宋体" w:eastAsia="宋体" w:cs="Times New Roman"/>
          <w:bCs/>
          <w:color w:val="auto"/>
          <w:szCs w:val="21"/>
          <w:highlight w:val="none"/>
          <w:lang w:val="en-US" w:eastAsia="zh-CN"/>
        </w:rPr>
        <w:t>）环卫人员要求</w:t>
      </w:r>
    </w:p>
    <w:p w14:paraId="022EC534">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1.环卫人员要求：</w:t>
      </w:r>
      <w:r>
        <w:rPr>
          <w:rFonts w:hint="default" w:ascii="宋体" w:hAnsi="宋体" w:eastAsia="宋体" w:cs="Times New Roman"/>
          <w:bCs/>
          <w:color w:val="auto"/>
          <w:szCs w:val="21"/>
          <w:highlight w:val="none"/>
          <w:lang w:val="en-US" w:eastAsia="zh-CN"/>
        </w:rPr>
        <w:t>承包公司必须派遣项目负责人及适合本项目各岗位人员</w:t>
      </w:r>
      <w:r>
        <w:rPr>
          <w:rFonts w:hint="eastAsia" w:ascii="宋体" w:hAnsi="宋体" w:eastAsia="宋体" w:cs="Times New Roman"/>
          <w:bCs/>
          <w:color w:val="auto"/>
          <w:szCs w:val="21"/>
          <w:highlight w:val="none"/>
          <w:lang w:val="en-US" w:eastAsia="zh-CN"/>
        </w:rPr>
        <w:t>常驻</w:t>
      </w:r>
      <w:r>
        <w:rPr>
          <w:rFonts w:hint="default" w:ascii="宋体" w:hAnsi="宋体" w:eastAsia="宋体" w:cs="Times New Roman"/>
          <w:bCs/>
          <w:color w:val="auto"/>
          <w:szCs w:val="21"/>
          <w:highlight w:val="none"/>
          <w:lang w:val="en-US" w:eastAsia="zh-CN"/>
        </w:rPr>
        <w:t>现场，并确保进驻本项目的工作人员有足够能力胜任本项目的运营管理工作</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本项目总人数原则上不</w:t>
      </w:r>
      <w:r>
        <w:rPr>
          <w:rFonts w:hint="eastAsia" w:ascii="宋体" w:hAnsi="宋体" w:eastAsia="宋体" w:cs="Times New Roman"/>
          <w:bCs/>
          <w:color w:val="auto"/>
          <w:szCs w:val="21"/>
          <w:highlight w:val="none"/>
          <w:lang w:val="en-US" w:eastAsia="zh-CN"/>
        </w:rPr>
        <w:t>少</w:t>
      </w:r>
      <w:r>
        <w:rPr>
          <w:rFonts w:hint="default" w:ascii="宋体" w:hAnsi="宋体" w:eastAsia="宋体" w:cs="Times New Roman"/>
          <w:bCs/>
          <w:color w:val="auto"/>
          <w:szCs w:val="21"/>
          <w:highlight w:val="none"/>
          <w:lang w:val="en-US" w:eastAsia="zh-CN"/>
        </w:rPr>
        <w:t>于</w:t>
      </w:r>
      <w:r>
        <w:rPr>
          <w:rFonts w:hint="eastAsia" w:ascii="宋体" w:hAnsi="宋体" w:eastAsia="宋体" w:cs="Times New Roman"/>
          <w:bCs/>
          <w:color w:val="auto"/>
          <w:szCs w:val="21"/>
          <w:highlight w:val="none"/>
          <w:lang w:val="en-US" w:eastAsia="zh-CN"/>
        </w:rPr>
        <w:t>245</w:t>
      </w:r>
      <w:r>
        <w:rPr>
          <w:rFonts w:hint="default" w:ascii="宋体" w:hAnsi="宋体" w:eastAsia="宋体" w:cs="Times New Roman"/>
          <w:bCs/>
          <w:color w:val="auto"/>
          <w:szCs w:val="21"/>
          <w:highlight w:val="none"/>
          <w:lang w:val="en-US" w:eastAsia="zh-CN"/>
        </w:rPr>
        <w:t>人</w:t>
      </w:r>
      <w:r>
        <w:rPr>
          <w:rFonts w:hint="eastAsia" w:ascii="宋体" w:hAnsi="宋体" w:eastAsia="宋体" w:cs="Times New Roman"/>
          <w:bCs/>
          <w:color w:val="auto"/>
          <w:szCs w:val="21"/>
          <w:highlight w:val="none"/>
          <w:lang w:val="en-US" w:eastAsia="zh-CN"/>
        </w:rPr>
        <w:t>。</w:t>
      </w:r>
    </w:p>
    <w:p w14:paraId="089F672F">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w:t>
      </w:r>
      <w:r>
        <w:rPr>
          <w:rFonts w:hint="default" w:ascii="宋体" w:hAnsi="宋体" w:eastAsia="宋体" w:cs="Times New Roman"/>
          <w:bCs/>
          <w:color w:val="auto"/>
          <w:szCs w:val="21"/>
          <w:highlight w:val="none"/>
          <w:lang w:val="en-US" w:eastAsia="zh-CN"/>
        </w:rPr>
        <w:t>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内道路综合清扫保洁服务、垃圾收运服务、 垃圾中转站运营管理、市政公厕运营管理、乡（镇）生活垃圾清运及乡（镇）生活垃圾中转站运营管理</w:t>
      </w:r>
      <w:r>
        <w:rPr>
          <w:rFonts w:hint="eastAsia" w:ascii="宋体" w:hAnsi="宋体" w:eastAsia="宋体" w:cs="Times New Roman"/>
          <w:bCs/>
          <w:color w:val="auto"/>
          <w:szCs w:val="21"/>
          <w:highlight w:val="none"/>
          <w:lang w:val="en-US" w:eastAsia="zh-CN"/>
        </w:rPr>
        <w:t>不少于230人，其中清扫保洁组不少于10组，绿化组不少于1组，每组人数不少于15人。</w:t>
      </w:r>
    </w:p>
    <w:p w14:paraId="141BE1A0">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蒙山县生活垃圾填埋场和生活垃圾外运焚烧运营管理原则上不少于15人，其中填埋场负责人需具有5年及以上垃圾处理工作经验或环保相关专业中级及以上专业技术职称；设备技术人员原则上不少于5名，负责设施运行、设备维护等技术保障，确保运营技术支撑到位</w:t>
      </w:r>
      <w:r>
        <w:rPr>
          <w:rFonts w:hint="eastAsia" w:ascii="宋体" w:hAnsi="宋体" w:eastAsia="宋体" w:cs="Times New Roman"/>
          <w:bCs/>
          <w:color w:val="auto"/>
          <w:szCs w:val="21"/>
          <w:highlight w:val="none"/>
          <w:lang w:val="en-US" w:eastAsia="zh-CN"/>
        </w:rPr>
        <w:t>。</w:t>
      </w:r>
    </w:p>
    <w:p w14:paraId="37CE625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2.承包公司招聘</w:t>
      </w:r>
      <w:r>
        <w:rPr>
          <w:rFonts w:hint="default" w:ascii="宋体" w:hAnsi="宋体" w:eastAsia="宋体" w:cs="Times New Roman"/>
          <w:bCs/>
          <w:color w:val="auto"/>
          <w:szCs w:val="21"/>
          <w:highlight w:val="none"/>
          <w:lang w:val="en-US" w:eastAsia="zh-CN"/>
        </w:rPr>
        <w:t>环卫工作人员</w:t>
      </w:r>
      <w:r>
        <w:rPr>
          <w:rFonts w:hint="eastAsia" w:ascii="宋体" w:hAnsi="宋体" w:eastAsia="宋体" w:cs="Times New Roman"/>
          <w:bCs/>
          <w:color w:val="auto"/>
          <w:szCs w:val="21"/>
          <w:highlight w:val="none"/>
          <w:lang w:val="en-US" w:eastAsia="zh-CN"/>
        </w:rPr>
        <w:t>必须符合相关规定，与员工签订劳动合同/劳务协议，并为环卫工人购买有关工伤险和人身意外保险等，并按规定缴纳社会保险费用，如果出险，除保险公司应承担的责任外，其他的责任全部由承包公司负责；环卫工人</w:t>
      </w:r>
      <w:r>
        <w:rPr>
          <w:rFonts w:hint="default" w:ascii="宋体" w:hAnsi="宋体" w:eastAsia="宋体" w:cs="Times New Roman"/>
          <w:bCs/>
          <w:color w:val="auto"/>
          <w:szCs w:val="21"/>
          <w:highlight w:val="none"/>
          <w:lang w:val="en-US" w:eastAsia="zh-CN"/>
        </w:rPr>
        <w:t>应经过岗前培训和安全教育后才能上岗</w:t>
      </w:r>
      <w:r>
        <w:rPr>
          <w:rFonts w:hint="eastAsia" w:ascii="宋体" w:hAnsi="宋体" w:eastAsia="宋体" w:cs="Times New Roman"/>
          <w:bCs/>
          <w:color w:val="auto"/>
          <w:szCs w:val="21"/>
          <w:highlight w:val="none"/>
          <w:lang w:val="en-US" w:eastAsia="zh-CN"/>
        </w:rPr>
        <w:t>。</w:t>
      </w:r>
    </w:p>
    <w:p w14:paraId="78B8296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清扫保洁作业过程中，保洁人员严格控制扬尘，减少作业污染；驾驶员拥有符合准驾车辆的各类证件，车辆行驶时遵守交通规则，按规定停放车辆，严禁占道停放，减少对道路交通的影响，垃圾收转运过程中所有责任由承包公司负责。</w:t>
      </w:r>
    </w:p>
    <w:p w14:paraId="5EA0322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（十</w:t>
      </w:r>
      <w:r>
        <w:rPr>
          <w:rFonts w:hint="eastAsia" w:ascii="宋体" w:hAnsi="宋体" w:cs="Times New Roman"/>
          <w:bCs/>
          <w:color w:val="auto"/>
          <w:szCs w:val="21"/>
          <w:highlight w:val="none"/>
          <w:lang w:val="en-US" w:eastAsia="zh-CN"/>
        </w:rPr>
        <w:t>一</w:t>
      </w:r>
      <w:r>
        <w:rPr>
          <w:rFonts w:hint="default" w:ascii="宋体" w:hAnsi="宋体" w:eastAsia="宋体" w:cs="Times New Roman"/>
          <w:bCs/>
          <w:color w:val="auto"/>
          <w:szCs w:val="21"/>
          <w:highlight w:val="none"/>
          <w:lang w:val="en-US" w:eastAsia="zh-CN"/>
        </w:rPr>
        <w:t>）应急保障作业要求</w:t>
      </w:r>
    </w:p>
    <w:p w14:paraId="694BE63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1.如遇春节等重大节假日或县级以上评比、庆典以及项目涉及的垃圾中转站、填埋场、渗滤液处理设备等设施重大维修维护</w:t>
      </w:r>
      <w:r>
        <w:rPr>
          <w:rFonts w:hint="eastAsia" w:ascii="宋体" w:hAnsi="宋体" w:eastAsia="宋体" w:cs="Times New Roman"/>
          <w:bCs/>
          <w:color w:val="auto"/>
          <w:szCs w:val="21"/>
          <w:highlight w:val="none"/>
          <w:lang w:val="en-US" w:eastAsia="zh-CN"/>
        </w:rPr>
        <w:t>、自然灾害或突发事故事件</w:t>
      </w:r>
      <w:r>
        <w:rPr>
          <w:rFonts w:hint="default" w:ascii="宋体" w:hAnsi="宋体" w:eastAsia="宋体" w:cs="Times New Roman"/>
          <w:bCs/>
          <w:color w:val="auto"/>
          <w:szCs w:val="21"/>
          <w:highlight w:val="none"/>
          <w:lang w:val="en-US" w:eastAsia="zh-CN"/>
        </w:rPr>
        <w:t>等特殊情况，承包公司需提前制订专项应急实施方案，方案需明确人员增配、设备调度、作业频次调整、应急处置流程、责任分工等核心内容，无条件配合做好应急处理清洁环境卫生工作，及时安排工人加班</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确保特殊时期环卫服务质量不下降、设施运行不中断；提前将应急实施方案书面报送县住建局、县环卫站备案，备案通过后方可按方案执行，县环卫可根据实际需求提出方案优化建议，承包公司需配合调整。</w:t>
      </w:r>
    </w:p>
    <w:p w14:paraId="7FA58C1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建立处理突发事件应急工作领导小组，并明确各自的工作内容和责任，根据其服务区的社会经济情况与自然条件，对生活垃圾处理与管理系统可能遭遇的突发事件进行预判，根据自然灾害、事故灾害、公共卫生事件和社会安全事件等不同突发事件的性质、规模及可能的影响，制定多套应急预案及处置措施。发生突发事件时，应立即启动应急预案，积极组织抢救、抢修等活动，防止事态扩大，最大限度减少人员伤亡、财产损失与环境污染，并及时向上级主管部门汇报和向相关部门通报突发事件性质、规模及处置情况；突发事件处置完毕，应立即组织事故调查和受损程度评估，重新核定产能，积极恢复生产。</w:t>
      </w:r>
    </w:p>
    <w:p w14:paraId="5150024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宋体"/>
          <w:bCs/>
          <w:color w:val="auto"/>
          <w:szCs w:val="21"/>
          <w:highlight w:val="none"/>
          <w:lang w:val="en-US" w:eastAsia="zh-CN"/>
        </w:rPr>
        <w:t>3.根据工作需要，凡涉及住建部门管辖职责范畴，须无条件接受并完成住建部门指派的各项临时工作任务。</w:t>
      </w:r>
    </w:p>
    <w:p w14:paraId="24020B9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（十</w:t>
      </w:r>
      <w:r>
        <w:rPr>
          <w:rFonts w:hint="eastAsia" w:ascii="宋体" w:hAnsi="宋体" w:cs="Times New Roman"/>
          <w:bCs/>
          <w:color w:val="auto"/>
          <w:szCs w:val="21"/>
          <w:highlight w:val="none"/>
          <w:lang w:val="en-US" w:eastAsia="zh-CN"/>
        </w:rPr>
        <w:t>二</w:t>
      </w:r>
      <w:r>
        <w:rPr>
          <w:rFonts w:hint="default" w:ascii="宋体" w:hAnsi="宋体" w:eastAsia="宋体" w:cs="Times New Roman"/>
          <w:bCs/>
          <w:color w:val="auto"/>
          <w:szCs w:val="21"/>
          <w:highlight w:val="none"/>
          <w:lang w:val="en-US" w:eastAsia="zh-CN"/>
        </w:rPr>
        <w:t>）安全</w:t>
      </w:r>
      <w:r>
        <w:rPr>
          <w:rFonts w:hint="eastAsia" w:ascii="宋体" w:hAnsi="宋体" w:eastAsia="宋体" w:cs="Times New Roman"/>
          <w:bCs/>
          <w:color w:val="auto"/>
          <w:szCs w:val="21"/>
          <w:highlight w:val="none"/>
          <w:lang w:val="en-US" w:eastAsia="zh-CN"/>
        </w:rPr>
        <w:t>生产要求</w:t>
      </w:r>
    </w:p>
    <w:p w14:paraId="248D2D2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1.本着“安全第一、服务第一、效果第一”的宗旨，承包公司须办理好所有工作人员的人身意外保险，车辆购置相关保险，确保设备车辆和人员的安全运行，并独自承担承包期间的一切刑事、民事、安全等责任。</w:t>
      </w:r>
    </w:p>
    <w:p w14:paraId="69B0C39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2.承包公司至少每月一次对环卫工人进行职业技能和安全知识培训，提升环卫工人业务能力水平。</w:t>
      </w:r>
    </w:p>
    <w:p w14:paraId="09F22C58">
      <w:pPr>
        <w:spacing w:line="360" w:lineRule="auto"/>
        <w:rPr>
          <w:rFonts w:hint="default"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3、</w:t>
      </w:r>
      <w:r>
        <w:rPr>
          <w:rFonts w:hint="default" w:ascii="宋体" w:hAnsi="宋体" w:eastAsia="宋体" w:cs="Times New Roman"/>
          <w:b/>
          <w:color w:val="auto"/>
          <w:szCs w:val="21"/>
          <w:highlight w:val="none"/>
          <w:lang w:val="en-US" w:eastAsia="zh-CN"/>
        </w:rPr>
        <w:t>作业服务质量考核</w:t>
      </w:r>
    </w:p>
    <w:p w14:paraId="7E9F603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（一）考核范围和对象</w:t>
      </w:r>
    </w:p>
    <w:p w14:paraId="346BC1AC">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督查考核范围全面覆盖承包公司服务的所有领域，具体包括承包范围内机动车道、非机动车道、人行道、背街小巷的清扫保洁、生活垃圾收集转运工作、市政公厕日常运营管理、垃圾中转站和转运站全流程管理、生活垃圾外运焚烧合规性和处理量、生活垃圾填埋场运营管理、年度考核指标完成情况、安全生产、运行管理台账的完整性与真实性等。</w:t>
      </w:r>
    </w:p>
    <w:p w14:paraId="301BFC90">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w:t>
      </w:r>
      <w:r>
        <w:rPr>
          <w:rFonts w:hint="eastAsia" w:ascii="宋体" w:hAnsi="宋体" w:eastAsia="宋体" w:cs="Times New Roman"/>
          <w:bCs/>
          <w:color w:val="auto"/>
          <w:szCs w:val="21"/>
          <w:highlight w:val="none"/>
          <w:lang w:val="en-US" w:eastAsia="zh-CN"/>
        </w:rPr>
        <w:t>督查考核对象责任主体为承包公司聘用的管理人员和作业人员，本项目配置的所有环卫设备。</w:t>
      </w:r>
    </w:p>
    <w:p w14:paraId="3A45BB66">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（二）</w:t>
      </w:r>
      <w:r>
        <w:rPr>
          <w:rFonts w:hint="eastAsia" w:ascii="宋体" w:hAnsi="宋体" w:eastAsia="宋体" w:cs="Times New Roman"/>
          <w:bCs/>
          <w:color w:val="auto"/>
          <w:szCs w:val="21"/>
          <w:highlight w:val="none"/>
          <w:lang w:val="en-US" w:eastAsia="zh-CN"/>
        </w:rPr>
        <w:t>考核管理</w:t>
      </w:r>
      <w:r>
        <w:rPr>
          <w:rFonts w:hint="default" w:ascii="宋体" w:hAnsi="宋体" w:eastAsia="宋体" w:cs="Times New Roman"/>
          <w:bCs/>
          <w:color w:val="auto"/>
          <w:szCs w:val="21"/>
          <w:highlight w:val="none"/>
          <w:lang w:val="en-US" w:eastAsia="zh-CN"/>
        </w:rPr>
        <w:t>制度</w:t>
      </w:r>
    </w:p>
    <w:p w14:paraId="1E2842B0">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1.县环卫站</w:t>
      </w:r>
      <w:r>
        <w:rPr>
          <w:rFonts w:hint="eastAsia" w:ascii="宋体" w:hAnsi="宋体" w:eastAsia="宋体" w:cs="Times New Roman"/>
          <w:bCs/>
          <w:color w:val="auto"/>
          <w:szCs w:val="21"/>
          <w:highlight w:val="none"/>
          <w:lang w:val="en-US" w:eastAsia="zh-CN"/>
        </w:rPr>
        <w:t>牵头成立专项</w:t>
      </w:r>
      <w:r>
        <w:rPr>
          <w:rFonts w:hint="default" w:ascii="宋体" w:hAnsi="宋体" w:eastAsia="宋体" w:cs="Times New Roman"/>
          <w:bCs/>
          <w:color w:val="auto"/>
          <w:szCs w:val="21"/>
          <w:highlight w:val="none"/>
          <w:lang w:val="en-US" w:eastAsia="zh-CN"/>
        </w:rPr>
        <w:t>督查考核组，</w:t>
      </w:r>
      <w:r>
        <w:rPr>
          <w:rFonts w:hint="eastAsia" w:ascii="宋体" w:hAnsi="宋体" w:eastAsia="宋体" w:cs="Times New Roman"/>
          <w:bCs/>
          <w:color w:val="auto"/>
          <w:szCs w:val="21"/>
          <w:highlight w:val="none"/>
          <w:lang w:val="en-US" w:eastAsia="zh-CN"/>
        </w:rPr>
        <w:t>采取定期巡查与不定期抽查相结合的方式，</w:t>
      </w:r>
      <w:r>
        <w:rPr>
          <w:rFonts w:hint="default" w:ascii="宋体" w:hAnsi="宋体" w:eastAsia="宋体" w:cs="Times New Roman"/>
          <w:bCs/>
          <w:color w:val="auto"/>
          <w:szCs w:val="21"/>
          <w:highlight w:val="none"/>
          <w:lang w:val="en-US" w:eastAsia="zh-CN"/>
        </w:rPr>
        <w:t>每</w:t>
      </w:r>
      <w:r>
        <w:rPr>
          <w:rFonts w:hint="eastAsia" w:ascii="宋体" w:hAnsi="宋体" w:eastAsia="宋体" w:cs="Times New Roman"/>
          <w:bCs/>
          <w:color w:val="auto"/>
          <w:szCs w:val="21"/>
          <w:highlight w:val="none"/>
          <w:lang w:val="en-US" w:eastAsia="zh-CN"/>
        </w:rPr>
        <w:t>日</w:t>
      </w:r>
      <w:r>
        <w:rPr>
          <w:rFonts w:hint="default" w:ascii="宋体" w:hAnsi="宋体" w:eastAsia="宋体" w:cs="Times New Roman"/>
          <w:bCs/>
          <w:color w:val="auto"/>
          <w:szCs w:val="21"/>
          <w:highlight w:val="none"/>
          <w:lang w:val="en-US" w:eastAsia="zh-CN"/>
        </w:rPr>
        <w:t>对承包公司</w:t>
      </w:r>
      <w:r>
        <w:rPr>
          <w:rFonts w:hint="eastAsia" w:ascii="宋体" w:hAnsi="宋体" w:eastAsia="宋体" w:cs="Times New Roman"/>
          <w:bCs/>
          <w:color w:val="auto"/>
          <w:szCs w:val="21"/>
          <w:highlight w:val="none"/>
          <w:lang w:val="en-US" w:eastAsia="zh-CN"/>
        </w:rPr>
        <w:t>的各项</w:t>
      </w:r>
      <w:r>
        <w:rPr>
          <w:rFonts w:hint="default" w:ascii="宋体" w:hAnsi="宋体" w:eastAsia="宋体" w:cs="Times New Roman"/>
          <w:bCs/>
          <w:color w:val="auto"/>
          <w:szCs w:val="21"/>
          <w:highlight w:val="none"/>
          <w:lang w:val="en-US" w:eastAsia="zh-CN"/>
        </w:rPr>
        <w:t>工作服务内容</w:t>
      </w:r>
      <w:r>
        <w:rPr>
          <w:rFonts w:hint="eastAsia" w:ascii="宋体" w:hAnsi="宋体" w:eastAsia="宋体" w:cs="Times New Roman"/>
          <w:bCs/>
          <w:color w:val="auto"/>
          <w:szCs w:val="21"/>
          <w:highlight w:val="none"/>
          <w:lang w:val="en-US" w:eastAsia="zh-CN"/>
        </w:rPr>
        <w:t>开展常态化督导检查</w:t>
      </w:r>
      <w:r>
        <w:rPr>
          <w:rFonts w:hint="default" w:ascii="宋体" w:hAnsi="宋体" w:eastAsia="宋体" w:cs="Times New Roman"/>
          <w:bCs/>
          <w:color w:val="auto"/>
          <w:szCs w:val="21"/>
          <w:highlight w:val="none"/>
          <w:lang w:val="en-US" w:eastAsia="zh-CN"/>
        </w:rPr>
        <w:t>。</w:t>
      </w:r>
    </w:p>
    <w:p w14:paraId="4B636316">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各乡镇组织专人负责本辖区生活垃圾清运工作的日常考核，对发现的问题及时汇总反馈至县环卫站或承包公司，并跟踪督促承包公司整改落实。各乡镇于每月形成书面考核意见报送至县环卫站，由县环卫站综合各单位反映情况、问题整改成效及日常作业服务</w:t>
      </w:r>
      <w:r>
        <w:rPr>
          <w:rFonts w:hint="default" w:ascii="宋体" w:hAnsi="宋体" w:eastAsia="宋体" w:cs="Times New Roman"/>
          <w:bCs/>
          <w:color w:val="auto"/>
          <w:szCs w:val="21"/>
          <w:highlight w:val="none"/>
          <w:lang w:val="en-US" w:eastAsia="zh-CN"/>
        </w:rPr>
        <w:t>质量</w:t>
      </w:r>
      <w:r>
        <w:rPr>
          <w:rFonts w:hint="eastAsia" w:ascii="宋体" w:hAnsi="宋体" w:eastAsia="宋体" w:cs="Times New Roman"/>
          <w:bCs/>
          <w:color w:val="auto"/>
          <w:szCs w:val="21"/>
          <w:highlight w:val="none"/>
          <w:lang w:val="en-US" w:eastAsia="zh-CN"/>
        </w:rPr>
        <w:t>，依规开展严格考核并实施相应扣款，切实做到</w:t>
      </w:r>
      <w:r>
        <w:rPr>
          <w:rFonts w:hint="default" w:ascii="宋体" w:hAnsi="宋体" w:eastAsia="宋体" w:cs="Times New Roman"/>
          <w:bCs/>
          <w:color w:val="auto"/>
          <w:szCs w:val="21"/>
          <w:highlight w:val="none"/>
          <w:lang w:val="en-US" w:eastAsia="zh-CN"/>
        </w:rPr>
        <w:t>责、权、利</w:t>
      </w:r>
      <w:r>
        <w:rPr>
          <w:rFonts w:hint="eastAsia" w:ascii="宋体" w:hAnsi="宋体" w:eastAsia="宋体" w:cs="Times New Roman"/>
          <w:bCs/>
          <w:color w:val="auto"/>
          <w:szCs w:val="21"/>
          <w:highlight w:val="none"/>
          <w:lang w:val="en-US" w:eastAsia="zh-CN"/>
        </w:rPr>
        <w:t>相</w:t>
      </w:r>
      <w:r>
        <w:rPr>
          <w:rFonts w:hint="default" w:ascii="宋体" w:hAnsi="宋体" w:eastAsia="宋体" w:cs="Times New Roman"/>
          <w:bCs/>
          <w:color w:val="auto"/>
          <w:szCs w:val="21"/>
          <w:highlight w:val="none"/>
          <w:lang w:val="en-US" w:eastAsia="zh-CN"/>
        </w:rPr>
        <w:t>统一</w:t>
      </w:r>
      <w:r>
        <w:rPr>
          <w:rFonts w:hint="eastAsia" w:ascii="宋体" w:hAnsi="宋体" w:eastAsia="宋体" w:cs="Times New Roman"/>
          <w:bCs/>
          <w:color w:val="auto"/>
          <w:szCs w:val="21"/>
          <w:highlight w:val="none"/>
          <w:lang w:val="en-US" w:eastAsia="zh-CN"/>
        </w:rPr>
        <w:t>。</w:t>
      </w:r>
    </w:p>
    <w:p w14:paraId="761BFA2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（三）违约罚则</w:t>
      </w:r>
    </w:p>
    <w:p w14:paraId="3D98C3C6">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w:t>
      </w:r>
      <w:r>
        <w:rPr>
          <w:rFonts w:hint="default" w:ascii="宋体" w:hAnsi="宋体" w:eastAsia="宋体" w:cs="Times New Roman"/>
          <w:bCs/>
          <w:color w:val="auto"/>
          <w:szCs w:val="21"/>
          <w:highlight w:val="none"/>
          <w:lang w:val="en-US" w:eastAsia="zh-CN"/>
        </w:rPr>
        <w:t>承包公司不按规定的最低作业人数上岗（用机械化清扫，承包公司可以书面申请，经主管部门同意核减人员除外），发现每班次每减少一人，扣除1000元，不得兼岗，否则发现有一人兼岗扣除500元</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并在5个工作日内补充上岗，</w:t>
      </w:r>
      <w:r>
        <w:rPr>
          <w:rFonts w:hint="eastAsia" w:ascii="宋体" w:hAnsi="宋体" w:eastAsia="宋体" w:cs="Times New Roman"/>
          <w:bCs/>
          <w:color w:val="auto"/>
          <w:szCs w:val="21"/>
          <w:highlight w:val="none"/>
          <w:lang w:val="en-US" w:eastAsia="zh-CN"/>
        </w:rPr>
        <w:t>否则翻倍扣除</w:t>
      </w:r>
      <w:r>
        <w:rPr>
          <w:rFonts w:hint="default" w:ascii="宋体" w:hAnsi="宋体" w:eastAsia="宋体" w:cs="Times New Roman"/>
          <w:bCs/>
          <w:color w:val="auto"/>
          <w:szCs w:val="21"/>
          <w:highlight w:val="none"/>
          <w:lang w:val="en-US" w:eastAsia="zh-CN"/>
        </w:rPr>
        <w:t>。</w:t>
      </w:r>
    </w:p>
    <w:p w14:paraId="238D60D8">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作业班次的时间要按县环卫站规定执行，确需调整由承包公司书面申请，经主管部门同意后方可执行，否则一次扣除500元。</w:t>
      </w:r>
    </w:p>
    <w:p w14:paraId="14FD85C2">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作业人员迟到或早退的，一人次扣除20元。</w:t>
      </w:r>
    </w:p>
    <w:p w14:paraId="1E94251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w:t>
      </w:r>
      <w:r>
        <w:rPr>
          <w:rFonts w:hint="default" w:ascii="宋体" w:hAnsi="宋体" w:eastAsia="宋体" w:cs="Times New Roman"/>
          <w:bCs/>
          <w:color w:val="auto"/>
          <w:szCs w:val="21"/>
          <w:highlight w:val="none"/>
          <w:lang w:val="en-US" w:eastAsia="zh-CN"/>
        </w:rPr>
        <w:t>环卫工人不着环卫制服或未</w:t>
      </w:r>
      <w:r>
        <w:rPr>
          <w:rFonts w:hint="eastAsia" w:ascii="宋体" w:hAnsi="宋体" w:eastAsia="宋体" w:cs="Times New Roman"/>
          <w:bCs/>
          <w:color w:val="auto"/>
          <w:szCs w:val="21"/>
          <w:highlight w:val="none"/>
          <w:lang w:val="en-US" w:eastAsia="zh-CN"/>
        </w:rPr>
        <w:t>佩戴</w:t>
      </w:r>
      <w:r>
        <w:rPr>
          <w:rFonts w:hint="default" w:ascii="宋体" w:hAnsi="宋体" w:eastAsia="宋体" w:cs="Times New Roman"/>
          <w:bCs/>
          <w:color w:val="auto"/>
          <w:szCs w:val="21"/>
          <w:highlight w:val="none"/>
          <w:lang w:val="en-US" w:eastAsia="zh-CN"/>
        </w:rPr>
        <w:t>安全标志；环卫作业时，未摆放安全标识和车辆未按规定行驶、乱停乱放等，每人次扣除100元。</w:t>
      </w:r>
    </w:p>
    <w:p w14:paraId="617777C0">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各项目规章制度和操作规程未上墙的，每处扣除50元；未制定安全生产应急预案的，扣除1000元；未按应急预案落实应急措施的，每次扣除200元，应急事件处理不当造成损失的由承包公司承担；突发事件未及时上报的，每次扣除1000元。</w:t>
      </w:r>
    </w:p>
    <w:p w14:paraId="2A8A6DA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w:t>
      </w:r>
      <w:r>
        <w:rPr>
          <w:rFonts w:hint="default" w:ascii="宋体" w:hAnsi="宋体" w:eastAsia="宋体" w:cs="Times New Roman"/>
          <w:bCs/>
          <w:color w:val="auto"/>
          <w:szCs w:val="21"/>
          <w:highlight w:val="none"/>
          <w:lang w:val="en-US" w:eastAsia="zh-CN"/>
        </w:rPr>
        <w:t>一、二级道路清扫保洁实现“十无”</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“七净”，三级道路清扫保洁实现“五无”</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“五净”，每缺一“无”</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一“净”</w:t>
      </w:r>
      <w:r>
        <w:rPr>
          <w:rFonts w:hint="eastAsia" w:ascii="宋体" w:hAnsi="宋体" w:eastAsia="宋体" w:cs="Times New Roman"/>
          <w:bCs/>
          <w:color w:val="auto"/>
          <w:szCs w:val="21"/>
          <w:highlight w:val="none"/>
          <w:lang w:val="en-US" w:eastAsia="zh-CN"/>
        </w:rPr>
        <w:t>的</w:t>
      </w:r>
      <w:r>
        <w:rPr>
          <w:rFonts w:hint="default" w:ascii="宋体" w:hAnsi="宋体" w:eastAsia="宋体" w:cs="Times New Roman"/>
          <w:bCs/>
          <w:color w:val="auto"/>
          <w:szCs w:val="21"/>
          <w:highlight w:val="none"/>
          <w:lang w:val="en-US" w:eastAsia="zh-CN"/>
        </w:rPr>
        <w:t>扣除50元，并在</w:t>
      </w:r>
      <w:r>
        <w:rPr>
          <w:rFonts w:hint="eastAsia" w:ascii="宋体" w:hAnsi="宋体" w:eastAsia="宋体" w:cs="Times New Roman"/>
          <w:bCs/>
          <w:color w:val="auto"/>
          <w:szCs w:val="21"/>
          <w:highlight w:val="none"/>
          <w:lang w:val="en-US" w:eastAsia="zh-CN"/>
        </w:rPr>
        <w:t>30</w:t>
      </w:r>
      <w:r>
        <w:rPr>
          <w:rFonts w:hint="default" w:ascii="宋体" w:hAnsi="宋体" w:eastAsia="宋体" w:cs="Times New Roman"/>
          <w:bCs/>
          <w:color w:val="auto"/>
          <w:szCs w:val="21"/>
          <w:highlight w:val="none"/>
          <w:lang w:val="en-US" w:eastAsia="zh-CN"/>
        </w:rPr>
        <w:t>分钟内</w:t>
      </w:r>
      <w:r>
        <w:rPr>
          <w:rFonts w:hint="eastAsia" w:ascii="宋体" w:hAnsi="宋体" w:eastAsia="宋体" w:cs="Times New Roman"/>
          <w:bCs/>
          <w:color w:val="auto"/>
          <w:szCs w:val="21"/>
          <w:highlight w:val="none"/>
          <w:lang w:val="en-US" w:eastAsia="zh-CN"/>
        </w:rPr>
        <w:t>整改</w:t>
      </w:r>
      <w:r>
        <w:rPr>
          <w:rFonts w:hint="default" w:ascii="宋体" w:hAnsi="宋体" w:eastAsia="宋体" w:cs="Times New Roman"/>
          <w:bCs/>
          <w:color w:val="auto"/>
          <w:szCs w:val="21"/>
          <w:highlight w:val="none"/>
          <w:lang w:val="en-US" w:eastAsia="zh-CN"/>
        </w:rPr>
        <w:t>到位，否则</w:t>
      </w:r>
      <w:r>
        <w:rPr>
          <w:rFonts w:hint="eastAsia" w:ascii="宋体" w:hAnsi="宋体" w:eastAsia="宋体" w:cs="Times New Roman"/>
          <w:bCs/>
          <w:color w:val="auto"/>
          <w:szCs w:val="21"/>
          <w:highlight w:val="none"/>
          <w:lang w:val="en-US" w:eastAsia="zh-CN"/>
        </w:rPr>
        <w:t>翻倍</w:t>
      </w:r>
      <w:r>
        <w:rPr>
          <w:rFonts w:hint="default" w:ascii="宋体" w:hAnsi="宋体" w:eastAsia="宋体" w:cs="Times New Roman"/>
          <w:bCs/>
          <w:color w:val="auto"/>
          <w:szCs w:val="21"/>
          <w:highlight w:val="none"/>
          <w:lang w:val="en-US" w:eastAsia="zh-CN"/>
        </w:rPr>
        <w:t>扣除。</w:t>
      </w:r>
    </w:p>
    <w:p w14:paraId="0B4E203C">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7.杂草未按规定及时清理，每次每处扣除20元。</w:t>
      </w:r>
    </w:p>
    <w:p w14:paraId="4E6B676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8.道路冲洗、洒水不按规定操作或缺少次数，每发现一次扣除50元。</w:t>
      </w:r>
    </w:p>
    <w:p w14:paraId="4A52B76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9.垃圾收集桶、果皮箱不整洁的，每个(只)扣除10元。</w:t>
      </w:r>
    </w:p>
    <w:p w14:paraId="36868C0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10.公厕如有收费现象，一次扣除200元，发现未按时间开放一次扣罚100元。</w:t>
      </w:r>
    </w:p>
    <w:p w14:paraId="54A8EEA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11.公厕内外环境不整洁的，一次扣除50元，并在30分钟内整改到位，否则翻倍扣除。</w:t>
      </w:r>
    </w:p>
    <w:p w14:paraId="6BDC7DD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12.化粪池未及时清理，粪便满溢的，一次扣除200元。</w:t>
      </w:r>
    </w:p>
    <w:p w14:paraId="17DFC5F7">
      <w:pPr>
        <w:spacing w:line="360" w:lineRule="auto"/>
        <w:ind w:firstLine="420" w:firstLineChars="200"/>
        <w:rPr>
          <w:rFonts w:hint="eastAsia" w:ascii="宋体" w:hAnsi="宋体" w:eastAsia="宋体" w:cs="宋体"/>
          <w:bCs/>
          <w:color w:val="auto"/>
          <w:szCs w:val="21"/>
          <w:highlight w:val="none"/>
          <w:lang w:val="en-US" w:eastAsia="zh-CN"/>
        </w:rPr>
      </w:pPr>
      <w:bookmarkStart w:id="58" w:name="bookmark8"/>
      <w:bookmarkEnd w:id="58"/>
      <w:r>
        <w:rPr>
          <w:rFonts w:hint="eastAsia" w:ascii="宋体" w:hAnsi="宋体" w:eastAsia="宋体" w:cs="宋体"/>
          <w:bCs/>
          <w:color w:val="auto"/>
          <w:szCs w:val="21"/>
          <w:highlight w:val="none"/>
          <w:lang w:val="en-US" w:eastAsia="zh-CN"/>
        </w:rPr>
        <w:t>13.市政公厕、中转站、转运站、填埋场设施设备不能及时维护完善的，每处每次扣除50元。</w:t>
      </w:r>
    </w:p>
    <w:p w14:paraId="18C9C93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14.市政公厕、中转站、转运站、填埋场未定时喷洒消毒、除臭药物和投放除“四害”药物的，每次每处扣除50元。</w:t>
      </w:r>
    </w:p>
    <w:p w14:paraId="5E1EB00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15.垃圾收集车满溢，不能及时中转到指定转运站倾倒，每人次扣除20元，垃圾不能及时清运，积压裸露出站，每次每站扣除200元。</w:t>
      </w:r>
    </w:p>
    <w:p w14:paraId="1083998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16.作业人员在垃圾收集转运过程中，垃圾车辆不覆盖，有垃圾遗撒、污水滴漏的每车每次扣除200元，10天内同一车辆重复出现同状况的则翻倍扣除。</w:t>
      </w:r>
    </w:p>
    <w:p w14:paraId="632FAC9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17.垃圾运输不进处理场，而中途乱倒，一次扣除1000元，并限在当日清理干净，造成严重影响的扣除5000元，并由承包公司负责相应的责任和费用。</w:t>
      </w:r>
    </w:p>
    <w:p w14:paraId="3F50732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18.垃圾运到处理场，不按要求倾倒，一次扣除200元。</w:t>
      </w:r>
    </w:p>
    <w:p w14:paraId="009DA19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19.进站垃圾未能做到日产日清的，每次扣除300元。</w:t>
      </w:r>
    </w:p>
    <w:p w14:paraId="7CF41AA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20.垃圾中转站、转运站、填埋场管理不到位，出现脏、乱、差情况，每次扣除100元；未及时将污水收集池内的污水进行处置造成污水外溢的，每次扣除500元；未使用专用罐车运输至具备资质的第三方机构处理，或输送至填埋场渗滤液处理站规范处置的，每次扣除1000元。</w:t>
      </w:r>
    </w:p>
    <w:p w14:paraId="1B06CD5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21.发现拾荒人员进场分拣垃圾的，每次扣除200元；严禁焚烧垃圾及杂草，</w:t>
      </w:r>
      <w:r>
        <w:rPr>
          <w:rFonts w:hint="eastAsia" w:ascii="宋体" w:hAnsi="宋体" w:eastAsia="宋体" w:cs="宋体"/>
          <w:bCs/>
          <w:color w:val="auto"/>
          <w:szCs w:val="21"/>
          <w:highlight w:val="none"/>
          <w:lang w:val="en-US" w:eastAsia="zh-CN"/>
        </w:rPr>
        <w:t>否则每人次扣除100元。</w:t>
      </w:r>
    </w:p>
    <w:p w14:paraId="520199C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22.发现环卫工人上班时间分拣垃圾造成工作进度延缓的，每人次扣除100元。</w:t>
      </w:r>
    </w:p>
    <w:p w14:paraId="09BEFA7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23.垃圾不能及时收集清运或虽能收集但垃圾收集点周边不整洁的，每处扣除50元。</w:t>
      </w:r>
    </w:p>
    <w:p w14:paraId="2BAF9331">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24.乡镇巡查人员在日常巡查中，发现本辖区内生活垃圾、大件垃圾未按要求及时清运、滞留堆放的，每次每处扣10元。</w:t>
      </w:r>
    </w:p>
    <w:p w14:paraId="7263C16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25.承包公司使用环卫车辆不符合国家上路标准法规的，每辆车扣除500元；车容不整、标志不清晰的，每辆扣除20元；未能配备的与本项目相关设施设备相适应且能满足各环节工作需求的，每辆扣除1000元，并在5个工作日补充，否则翻倍扣除。</w:t>
      </w:r>
    </w:p>
    <w:p w14:paraId="73E7E37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26.未按时间和规定检测地磅的，每次扣除500元；垃圾车辆未按规定进行过磅、登记、双方确认进场垃圾量的，每次扣除200元。</w:t>
      </w:r>
    </w:p>
    <w:p w14:paraId="79CAD3C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27.私自接收不明生活垃圾的，每次扣除1000元。</w:t>
      </w:r>
    </w:p>
    <w:p w14:paraId="375BF84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28.未完成年度下达的绩效考核指标，每项指标扣除10000元。</w:t>
      </w:r>
    </w:p>
    <w:p w14:paraId="37A65C0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29.未按技术规范、技术要求和规定项目、频次进行环境监测和安全监测的，每次扣除1000元。</w:t>
      </w:r>
    </w:p>
    <w:p w14:paraId="18CBAA7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30.监测数据超标（根据监测报告），每项每次扣100元。</w:t>
      </w:r>
    </w:p>
    <w:p w14:paraId="04BB7E9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31.在省、市等上级检查或重大活动时，承包公司必须按县环卫站要求作业，作业质量不符合合同内规定的作业质量标准要求的，一次扣除1000元。</w:t>
      </w:r>
    </w:p>
    <w:p w14:paraId="46D7ED6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32.有群众举报或网络问政，经查属实，一次扣除100元；环保督察部门发现问题、被约谈或通报，一次扣除300元，对生态环境保护工作造成负面影响的，一次扣除500元；有新闻媒体曝光或被上级批评事件的，经查属实，一次扣除800元；如未通过整改要求的，则按每项扣除金额翻倍。</w:t>
      </w:r>
    </w:p>
    <w:p w14:paraId="486E803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33.承包公司要保持通讯畅通，否则一次扣除50元。</w:t>
      </w:r>
    </w:p>
    <w:p w14:paraId="01C818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34.不按规定时间上报数据报表的，每次扣除200元；数据、台账记录不完整、不实或不符合规定的，每处扣除50元，并及时整改到位，否则翻倍扣除。</w:t>
      </w:r>
    </w:p>
    <w:p w14:paraId="3DD1E86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35.未定期组织技术培训和安全生产培训的，每次扣除200元。</w:t>
      </w:r>
    </w:p>
    <w:p w14:paraId="15C091C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36.在县环卫站支付承包公司承包费后不按时发放环卫工人工资的，每次扣除承包公司5万元；环卫工人工资不能足额发放的，每发现一次将差额部分扣除。</w:t>
      </w:r>
    </w:p>
    <w:p w14:paraId="22AB46B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37.在需完成突击或应急任务时，承包公司不服从县环卫站统一安排，第一次扣除10000元，第二次扣除20000元，第三次县环卫站有权终止合同。</w:t>
      </w:r>
    </w:p>
    <w:p w14:paraId="4AA9261F">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（四）</w:t>
      </w:r>
      <w:r>
        <w:rPr>
          <w:rFonts w:hint="eastAsia" w:ascii="宋体" w:hAnsi="宋体" w:eastAsia="宋体" w:cs="宋体"/>
          <w:bCs/>
          <w:color w:val="auto"/>
          <w:szCs w:val="21"/>
          <w:highlight w:val="none"/>
          <w:lang w:val="en-US" w:eastAsia="zh-CN"/>
        </w:rPr>
        <w:t>退出机制</w:t>
      </w:r>
    </w:p>
    <w:p w14:paraId="3DF88A29">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承包方在项目实施过程中，出现以下任一情形的，县环卫站有权单方终止承包合同，承包方应无条件配合办理退出手续；承包方也可在相关事件发生后，经自身评估无法继续履行合同义务的，主动申请退出，退出申请需经县环卫站书面确认后方可启动退出流程。</w:t>
      </w:r>
    </w:p>
    <w:p w14:paraId="627AF48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方一个月因作业质量、操作规范等问题被县环卫站、乡镇人民政府累计扣款达30次，由县环卫站向其下达整改警告，明确整改要求、整改期限及整改标准；承包方收到整改警告后拒不整改或整改未达标，次月仍出现同类频发扣款情形的；</w:t>
      </w:r>
    </w:p>
    <w:p w14:paraId="71FBDAF2">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2.承包期间，发生安全生产事故致1人及以上死亡或造成第三方重大财产损失，且经应急管理、安全监管、交警等相关部门认定承包方负主要责任或全部责任的；</w:t>
      </w:r>
    </w:p>
    <w:p w14:paraId="2C6BC12D">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承包方投入的作业车辆、作业人员数量未适应本项目，导致环卫工作无法正常推进，由县环卫站向其下达整改警告，明确车辆、人员补充标准及期限；承包方收到警告后拒不整改、未按期限补充或补充后仍不达标，次月仍出现同类情形的；</w:t>
      </w:r>
    </w:p>
    <w:p w14:paraId="2346712B">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瞒报、虚报数据或伪造相关台账、记录的；因违规处置垃圾造成的土壤、水体、空气环境污染，引发周边居民大规模投诉或被环保部门处罚、通报批评的；因清扫不及时、保洁不到位、公厕管理不规范等问题引发重大环境投诉、舆情事件，造成恶劣社会影响，且承包方未在指定期限内整改、消除影响的。</w:t>
      </w:r>
    </w:p>
    <w:p w14:paraId="782454EB">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5.因承包方自身责任导致项目无法正常推进或引发上级通报批评、媒体负面曝光，影响我县声誉的。</w:t>
      </w:r>
    </w:p>
    <w:p w14:paraId="1AE05093">
      <w:pPr>
        <w:spacing w:line="360" w:lineRule="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4、规范环卫工人工资</w:t>
      </w:r>
    </w:p>
    <w:p w14:paraId="509B0BDF">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为保障环卫工人合法权益，稳定作业队伍，结合蒙山县经济发展水平、环卫行业工作特性等实际情况，规范环卫工人工资，承包公司需严格执行，县住建局、县环卫站负责监督落实。</w:t>
      </w:r>
    </w:p>
    <w:p w14:paraId="4324A2C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（一）基础工资</w:t>
      </w:r>
    </w:p>
    <w:p w14:paraId="35D35E6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未</w:t>
      </w:r>
      <w:r>
        <w:rPr>
          <w:rFonts w:hint="eastAsia" w:ascii="宋体" w:hAnsi="宋体" w:eastAsia="宋体" w:cs="Times New Roman"/>
          <w:bCs/>
          <w:color w:val="auto"/>
          <w:szCs w:val="21"/>
          <w:highlight w:val="none"/>
          <w:lang w:val="en-US" w:eastAsia="zh-CN"/>
        </w:rPr>
        <w:t>达到法定退休年龄的</w:t>
      </w:r>
      <w:r>
        <w:rPr>
          <w:rFonts w:hint="default" w:ascii="宋体" w:hAnsi="宋体" w:eastAsia="宋体" w:cs="Times New Roman"/>
          <w:bCs/>
          <w:color w:val="auto"/>
          <w:szCs w:val="21"/>
          <w:highlight w:val="none"/>
          <w:lang w:val="en-US" w:eastAsia="zh-CN"/>
        </w:rPr>
        <w:t>环卫一线工人（指男性≤60周岁、女性≤55周岁且已签订劳动合同的人员）月基本工资标准不得低于《广西壮族自治区人民政府关于调整全区最低工资标准的通知》（桂政发〔2025〕16号）中三类地区1870元/月的标准（包含社保个人缴费部分</w:t>
      </w:r>
      <w:r>
        <w:rPr>
          <w:rFonts w:hint="eastAsia" w:ascii="宋体" w:hAnsi="宋体" w:eastAsia="宋体" w:cs="Times New Roman"/>
          <w:bCs/>
          <w:color w:val="auto"/>
          <w:szCs w:val="21"/>
          <w:highlight w:val="none"/>
          <w:lang w:val="en-US" w:eastAsia="zh-CN"/>
        </w:rPr>
        <w:t>，不包含单位缴纳部分</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已</w:t>
      </w:r>
      <w:r>
        <w:rPr>
          <w:rFonts w:hint="eastAsia" w:ascii="宋体" w:hAnsi="宋体" w:eastAsia="宋体" w:cs="Times New Roman"/>
          <w:bCs/>
          <w:color w:val="auto"/>
          <w:szCs w:val="21"/>
          <w:highlight w:val="none"/>
          <w:lang w:val="en-US" w:eastAsia="zh-CN"/>
        </w:rPr>
        <w:t>达到法定退休年龄的</w:t>
      </w:r>
      <w:r>
        <w:rPr>
          <w:rFonts w:hint="default" w:ascii="宋体" w:hAnsi="宋体" w:eastAsia="宋体" w:cs="Times New Roman"/>
          <w:bCs/>
          <w:color w:val="auto"/>
          <w:szCs w:val="21"/>
          <w:highlight w:val="none"/>
          <w:lang w:val="en-US" w:eastAsia="zh-CN"/>
        </w:rPr>
        <w:t>环卫一线工人（指男性＞60周岁、女性＞55周岁且已签订劳务协议的人员）月基本工资标准不得低于2100元/月</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该工资不包含后续列明的各类补贴与津贴，仅</w:t>
      </w:r>
      <w:r>
        <w:rPr>
          <w:rFonts w:hint="eastAsia" w:ascii="宋体" w:hAnsi="宋体" w:eastAsia="宋体" w:cs="Times New Roman"/>
          <w:bCs/>
          <w:color w:val="auto"/>
          <w:szCs w:val="21"/>
          <w:highlight w:val="none"/>
          <w:lang w:val="en-US" w:eastAsia="zh-CN"/>
        </w:rPr>
        <w:t>做为</w:t>
      </w:r>
      <w:r>
        <w:rPr>
          <w:rFonts w:hint="default" w:ascii="宋体" w:hAnsi="宋体" w:eastAsia="宋体" w:cs="Times New Roman"/>
          <w:bCs/>
          <w:color w:val="auto"/>
          <w:szCs w:val="21"/>
          <w:highlight w:val="none"/>
          <w:lang w:val="en-US" w:eastAsia="zh-CN"/>
        </w:rPr>
        <w:t>工资发放的保底基数，承包期间若后续全区最低工资标准上调，一线环卫工人基础工资需同步调整。</w:t>
      </w:r>
    </w:p>
    <w:p w14:paraId="07B1521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（二）岗位补贴与津贴</w:t>
      </w:r>
    </w:p>
    <w:p w14:paraId="7AAB2F0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针对环卫作业特殊性，在基础工资外增设专项补贴与津贴，如岗位补贴、加班补贴、工龄补贴等。其中加班补贴不得低于《广西壮族自治区人民政府关于调整全区最低工资标准的通知》（桂政发〔2025〕16号）中三类地区用工小时最低工资标准；工龄补贴指环卫工人连续在环卫工作岗位（含不同承包公司承接的蒙山县环卫项目，需提供社保证明或是公司证明）满1年的，从第13个月起每月发放工龄补贴20元，每增加1年连续工龄，每月工龄补贴增加20元，以此类推（例：满2年工龄补贴40元/月，满3年工龄补贴60元/月……），工龄补贴累计最高不超过300元/月，达到上限后不再递增；若环卫工人中断环卫工作，工龄需重新计算，此前累计工龄不延续。</w:t>
      </w:r>
    </w:p>
    <w:p w14:paraId="2FE0ACB6">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（三）购买保险</w:t>
      </w:r>
    </w:p>
    <w:p w14:paraId="1542D99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承包公司应为超龄环卫工人购买雇主责任险，切实保障环卫工人在工作期间的人身安全与合法权益。</w:t>
      </w:r>
    </w:p>
    <w:p w14:paraId="03A78CE1">
      <w:pPr>
        <w:spacing w:line="360" w:lineRule="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5、承包过渡</w:t>
      </w:r>
    </w:p>
    <w:p w14:paraId="4051B689">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（一）新接任承包公司接收与试用</w:t>
      </w:r>
    </w:p>
    <w:p w14:paraId="458FFCA0">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1.承包公司需在原合同期满前15个工作日，向新接任承包公司提交《环卫工人过渡名单》，名单包含工人姓名、岗位、入职时间、薪酬标准、社保缴纳情况等信息，配合新公司完成环卫工人信息核验与工作交接。</w:t>
      </w:r>
    </w:p>
    <w:p w14:paraId="59CA2DCE">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新公司无条件接收原承包公司聘请的环卫工人，与之签订用工合同，并对环卫工人开展为期1个月的试用期考核，试用期薪酬待遇按原承包公司标准执行，试用期考核内容包括出勤情况、工作质量、服从管理程度等，对试用期内出现迟到早退、出勤不出力、不服从管理等情形的环卫工人，新公司有权依法解除劳动关系；试用期合格的环卫工人，新公司需在试用期满后5个工作日内与其签订正式的劳动合同，劳动合同期限不得少于1年，且需承接原工人在原承包公司的连续工龄（用于工龄补贴核算），确保工人权益连续无断档。</w:t>
      </w:r>
    </w:p>
    <w:p w14:paraId="45E96645">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（二）过渡期间服务保障</w:t>
      </w:r>
    </w:p>
    <w:p w14:paraId="6154967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承包公司在本项目承包期满后，新接任公司未正式接管前（即重新招投标至新公司进场的过渡阶段），双方签订《本项目合同延期补充协议》，原承包公司必须继续按原合同约定的作业质量标准提供清扫保洁、垃圾收转运、市政公厕管理、中转站和转运站</w:t>
      </w:r>
      <w:r>
        <w:rPr>
          <w:rFonts w:hint="default" w:ascii="宋体" w:hAnsi="宋体" w:eastAsia="宋体" w:cs="Times New Roman"/>
          <w:bCs/>
          <w:color w:val="auto"/>
          <w:szCs w:val="21"/>
          <w:highlight w:val="none"/>
          <w:lang w:val="en-US" w:eastAsia="zh-CN"/>
        </w:rPr>
        <w:t>全流程管理、生活垃圾外运焚烧、生活垃圾填埋场运营管理</w:t>
      </w:r>
      <w:r>
        <w:rPr>
          <w:rFonts w:hint="eastAsia" w:ascii="宋体" w:hAnsi="宋体" w:eastAsia="宋体" w:cs="Times New Roman"/>
          <w:bCs/>
          <w:color w:val="auto"/>
          <w:szCs w:val="21"/>
          <w:highlight w:val="none"/>
          <w:lang w:val="en-US" w:eastAsia="zh-CN"/>
        </w:rPr>
        <w:t>等服务；县环卫站需在过渡期间继续每日对原承包公司服务质量进行督查，按原合同约定扣除相应服务费用后，支付承包费给原承包公司；同时，县环卫站需协调原公司完成作业设施设备维护维修、完善台账资料并交接给新公司，确保环卫服务无缝衔接，环卫工作正常运行。</w:t>
      </w:r>
    </w:p>
    <w:p w14:paraId="6398F580">
      <w:pPr>
        <w:numPr>
          <w:ilvl w:val="0"/>
          <w:numId w:val="0"/>
        </w:numPr>
        <w:spacing w:line="360" w:lineRule="auto"/>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lang w:val="en-US" w:eastAsia="zh-CN"/>
        </w:rPr>
        <w:t>二、商务要求：</w:t>
      </w:r>
    </w:p>
    <w:p w14:paraId="33F7F1F4">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 xml:space="preserve">1.合同签订期：自中标通知书发出之日起 25 日内。 </w:t>
      </w:r>
    </w:p>
    <w:p w14:paraId="4D1F51AD">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2.合同履行期限：</w:t>
      </w:r>
      <w:r>
        <w:rPr>
          <w:rFonts w:hint="default" w:ascii="宋体" w:hAnsi="宋体" w:eastAsia="宋体" w:cs="Times New Roman"/>
          <w:bCs/>
          <w:color w:val="auto"/>
          <w:szCs w:val="21"/>
          <w:highlight w:val="none"/>
          <w:lang w:val="en-US" w:eastAsia="zh-CN"/>
        </w:rPr>
        <w:t>蒙山县县城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内道路综合清扫保洁服务、垃圾收运服务、垃圾中转站运营管理、市政公厕运营管理、乡（镇）生活垃圾清运及乡（镇）生活垃圾中转站运营管理等劳务外包项目</w:t>
      </w:r>
      <w:r>
        <w:rPr>
          <w:rFonts w:hint="eastAsia" w:ascii="宋体" w:hAnsi="宋体" w:eastAsia="宋体" w:cs="Times New Roman"/>
          <w:bCs/>
          <w:color w:val="auto"/>
          <w:szCs w:val="21"/>
          <w:highlight w:val="none"/>
          <w:lang w:val="en-US" w:eastAsia="zh-CN"/>
        </w:rPr>
        <w:t xml:space="preserve">运营期为3年（即2026年6月1日起至2029年5月31日止），生活垃圾外运焚烧处置和生活垃圾填埋场运营期为2年5个月（即2027年1月1日起至2029年5月31日止）。 </w:t>
      </w:r>
    </w:p>
    <w:p w14:paraId="45DA458E">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3.服务地点：采购单位指定地点。</w:t>
      </w:r>
    </w:p>
    <w:p w14:paraId="6AB66645">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4.付款方式：</w:t>
      </w:r>
    </w:p>
    <w:p w14:paraId="4C42AA0D">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（1）</w:t>
      </w:r>
      <w:r>
        <w:rPr>
          <w:rFonts w:hint="default" w:ascii="宋体" w:hAnsi="宋体" w:eastAsia="宋体" w:cs="Times New Roman"/>
          <w:bCs/>
          <w:color w:val="auto"/>
          <w:szCs w:val="21"/>
          <w:highlight w:val="none"/>
          <w:lang w:val="en-US" w:eastAsia="zh-CN"/>
        </w:rPr>
        <w:t>承</w:t>
      </w:r>
      <w:r>
        <w:rPr>
          <w:rFonts w:hint="eastAsia" w:ascii="宋体" w:hAnsi="宋体" w:eastAsia="宋体" w:cs="Times New Roman"/>
          <w:bCs/>
          <w:color w:val="auto"/>
          <w:szCs w:val="21"/>
          <w:highlight w:val="none"/>
          <w:lang w:val="en-US" w:eastAsia="zh-CN"/>
        </w:rPr>
        <w:t>包</w:t>
      </w:r>
      <w:r>
        <w:rPr>
          <w:rFonts w:hint="default" w:ascii="宋体" w:hAnsi="宋体" w:eastAsia="宋体" w:cs="Times New Roman"/>
          <w:bCs/>
          <w:color w:val="auto"/>
          <w:szCs w:val="21"/>
          <w:highlight w:val="none"/>
          <w:lang w:val="en-US" w:eastAsia="zh-CN"/>
        </w:rPr>
        <w:t>公司</w:t>
      </w:r>
      <w:r>
        <w:rPr>
          <w:rFonts w:hint="eastAsia" w:ascii="宋体" w:hAnsi="宋体" w:eastAsia="宋体" w:cs="Times New Roman"/>
          <w:bCs/>
          <w:color w:val="auto"/>
          <w:szCs w:val="21"/>
          <w:highlight w:val="none"/>
          <w:lang w:val="en-US" w:eastAsia="zh-CN"/>
        </w:rPr>
        <w:t>的运营</w:t>
      </w:r>
      <w:r>
        <w:rPr>
          <w:rFonts w:hint="default" w:ascii="宋体" w:hAnsi="宋体" w:eastAsia="宋体" w:cs="Times New Roman"/>
          <w:bCs/>
          <w:color w:val="auto"/>
          <w:szCs w:val="21"/>
          <w:highlight w:val="none"/>
          <w:lang w:val="en-US" w:eastAsia="zh-CN"/>
        </w:rPr>
        <w:t>费按</w:t>
      </w:r>
      <w:r>
        <w:rPr>
          <w:rFonts w:hint="eastAsia" w:ascii="宋体" w:hAnsi="宋体" w:eastAsia="宋体" w:cs="Times New Roman"/>
          <w:bCs/>
          <w:color w:val="auto"/>
          <w:szCs w:val="21"/>
          <w:highlight w:val="none"/>
          <w:lang w:val="en-US" w:eastAsia="zh-CN"/>
        </w:rPr>
        <w:t>36</w:t>
      </w:r>
      <w:r>
        <w:rPr>
          <w:rFonts w:hint="default" w:ascii="宋体" w:hAnsi="宋体" w:eastAsia="宋体" w:cs="Times New Roman"/>
          <w:bCs/>
          <w:color w:val="auto"/>
          <w:szCs w:val="21"/>
          <w:highlight w:val="none"/>
          <w:lang w:val="en-US" w:eastAsia="zh-CN"/>
        </w:rPr>
        <w:t>个月平均分摊</w:t>
      </w:r>
      <w:r>
        <w:rPr>
          <w:rFonts w:hint="eastAsia" w:ascii="宋体" w:hAnsi="宋体" w:eastAsia="宋体" w:cs="Times New Roman"/>
          <w:bCs/>
          <w:color w:val="auto"/>
          <w:szCs w:val="21"/>
          <w:highlight w:val="none"/>
          <w:lang w:val="en-US" w:eastAsia="zh-CN"/>
        </w:rPr>
        <w:t>。服务供应商设立环卫工人工资共管专户和基本账户，</w:t>
      </w:r>
      <w:r>
        <w:rPr>
          <w:rFonts w:hint="eastAsia" w:ascii="宋体" w:hAnsi="宋体" w:cs="Times New Roman"/>
          <w:bCs/>
          <w:color w:val="auto"/>
          <w:szCs w:val="21"/>
          <w:highlight w:val="none"/>
          <w:lang w:val="en-US" w:eastAsia="zh-CN"/>
        </w:rPr>
        <w:t>蒙山县财政局</w:t>
      </w:r>
      <w:r>
        <w:rPr>
          <w:rFonts w:hint="default" w:ascii="宋体" w:hAnsi="宋体" w:eastAsia="宋体" w:cs="Times New Roman"/>
          <w:bCs/>
          <w:color w:val="auto"/>
          <w:szCs w:val="21"/>
          <w:highlight w:val="none"/>
          <w:lang w:val="en-US" w:eastAsia="zh-CN"/>
        </w:rPr>
        <w:t>拨款到</w:t>
      </w:r>
      <w:r>
        <w:rPr>
          <w:rFonts w:hint="eastAsia" w:ascii="宋体" w:hAnsi="宋体" w:eastAsia="宋体" w:cs="Times New Roman"/>
          <w:bCs/>
          <w:color w:val="auto"/>
          <w:szCs w:val="21"/>
          <w:highlight w:val="none"/>
          <w:lang w:val="en-US" w:eastAsia="zh-CN"/>
        </w:rPr>
        <w:t>蒙山县城镇环境卫生管理站，蒙山县城镇环境卫生管理站</w:t>
      </w:r>
      <w:r>
        <w:rPr>
          <w:rFonts w:hint="default" w:ascii="宋体" w:hAnsi="宋体" w:eastAsia="宋体" w:cs="Times New Roman"/>
          <w:bCs/>
          <w:color w:val="auto"/>
          <w:szCs w:val="21"/>
          <w:highlight w:val="none"/>
          <w:lang w:val="en-US" w:eastAsia="zh-CN"/>
        </w:rPr>
        <w:t>根据日常检查考核结果扣除相</w:t>
      </w:r>
      <w:r>
        <w:rPr>
          <w:rFonts w:hint="eastAsia" w:ascii="宋体" w:hAnsi="宋体" w:eastAsia="宋体" w:cs="Times New Roman"/>
          <w:bCs/>
          <w:color w:val="auto"/>
          <w:szCs w:val="21"/>
          <w:highlight w:val="none"/>
          <w:lang w:val="en-US" w:eastAsia="zh-CN"/>
        </w:rPr>
        <w:t>应</w:t>
      </w:r>
      <w:r>
        <w:rPr>
          <w:rFonts w:hint="default" w:ascii="宋体" w:hAnsi="宋体" w:eastAsia="宋体" w:cs="Times New Roman"/>
          <w:bCs/>
          <w:color w:val="auto"/>
          <w:szCs w:val="21"/>
          <w:highlight w:val="none"/>
          <w:lang w:val="en-US" w:eastAsia="zh-CN"/>
        </w:rPr>
        <w:t>罚款后发放给承包公司</w:t>
      </w:r>
      <w:r>
        <w:rPr>
          <w:rFonts w:hint="eastAsia" w:ascii="宋体" w:hAnsi="宋体" w:eastAsia="宋体" w:cs="Times New Roman"/>
          <w:bCs/>
          <w:color w:val="auto"/>
          <w:szCs w:val="21"/>
          <w:highlight w:val="none"/>
          <w:lang w:val="en-US" w:eastAsia="zh-CN"/>
        </w:rPr>
        <w:t>。</w:t>
      </w:r>
    </w:p>
    <w:p w14:paraId="0615A093">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（2）</w:t>
      </w:r>
      <w:r>
        <w:rPr>
          <w:rFonts w:hint="eastAsia" w:ascii="宋体" w:hAnsi="宋体" w:eastAsia="宋体" w:cs="宋体"/>
          <w:bCs/>
          <w:color w:val="auto"/>
          <w:szCs w:val="21"/>
          <w:highlight w:val="none"/>
          <w:lang w:val="en-US" w:eastAsia="zh-CN"/>
        </w:rPr>
        <w:t>承包期间，如需新增道路保洁、垃圾清运、洒水作业、公厕管理、填埋场管理等服务内容，年度增加费用在中标价年费用5%以内的，承包单位必须无条件增加服务工作且不再另行追加工作经费；年度增加费用超出中标价年费用5%的部分，由双方根据实际工作量，参考中标价另行协商确定追加费用并签订补充协议。</w:t>
      </w:r>
    </w:p>
    <w:p w14:paraId="7AF7AB01">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（3）</w:t>
      </w:r>
      <w:r>
        <w:rPr>
          <w:rFonts w:hint="eastAsia" w:ascii="宋体" w:hAnsi="宋体" w:eastAsia="宋体" w:cs="Times New Roman"/>
          <w:bCs/>
          <w:color w:val="auto"/>
          <w:szCs w:val="21"/>
          <w:highlight w:val="none"/>
          <w:lang w:val="en-US" w:eastAsia="zh-CN"/>
        </w:rPr>
        <w:t>若根据国家或住房和城乡建设相关政策要求，我县需建设小型焚烧设备，届时现执行的生活垃圾外运焚烧处置费（该费用经通过核算运输成本、人工费用、处置费用核算后扣减确定）将终止拨付，后续将结合蒙山县实际情况、项目运营需求及相关成本核算，重新制定生活垃圾处置费标准，具体相关事宜由双方另行协商。</w:t>
      </w:r>
    </w:p>
    <w:p w14:paraId="20E3EB19">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规范标准：本项目如有国家相关标准、行业标准、地方标准或者其他标准、规范的，应执行相应的标准、规范。如具体采购需求与标准、规范不一致的，高于标准、规范的按具体采购需求执行，低于标准、规范的按标准、规范执行。</w:t>
      </w:r>
    </w:p>
    <w:p w14:paraId="0D114BD2">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6.处理问题响应时间：接到通知后 30 分钟内到达采购单位指定现场（紧急情况下需立即处理）。</w:t>
      </w:r>
    </w:p>
    <w:p w14:paraId="2BFDB0BA">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7.服务供应商中标后不得进行分包、转包或转让。</w:t>
      </w:r>
    </w:p>
    <w:p w14:paraId="2EF9AEBD">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8.履约保证金</w:t>
      </w:r>
    </w:p>
    <w:p w14:paraId="24CC197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（1）服务供应商收到中标通知书后，应按中标通知书中规定的时间、地点与采购单位签订合同。服务供应商应在接到中标通知书 20 日内向采购单位（指定账户）交纳年中标金额的 5%</w:t>
      </w:r>
      <w:r>
        <w:rPr>
          <w:rFonts w:hint="eastAsia" w:ascii="宋体" w:hAnsi="宋体" w:eastAsia="宋体" w:cs="宋体"/>
          <w:color w:val="auto"/>
          <w:sz w:val="21"/>
          <w:szCs w:val="21"/>
          <w:highlight w:val="none"/>
          <w:lang w:val="en-US" w:eastAsia="zh-CN"/>
        </w:rPr>
        <w:t>（如为中小微企业，则按合同金额的2%）</w:t>
      </w:r>
      <w:r>
        <w:rPr>
          <w:rFonts w:hint="eastAsia" w:ascii="宋体" w:hAnsi="宋体" w:eastAsia="宋体" w:cs="Times New Roman"/>
          <w:bCs/>
          <w:color w:val="auto"/>
          <w:szCs w:val="21"/>
          <w:highlight w:val="none"/>
          <w:lang w:val="en-US" w:eastAsia="zh-CN"/>
        </w:rPr>
        <w:t>做为履约保证金，履约保证金的交纳方式：银行转账、支票、汇票、本票或者银行、保险机构出具的保函等非现金方式。服务期满后，如无违约情况，保证金如数退还，不计利息。</w:t>
      </w:r>
    </w:p>
    <w:p w14:paraId="47351C55">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（2）如果服务供应商不按中标通知书中规定签订合同或未按规定提交履约保证金，则按服务供应商违约处理。</w:t>
      </w:r>
    </w:p>
    <w:p w14:paraId="448BB28A">
      <w:pPr>
        <w:pStyle w:val="18"/>
        <w:spacing w:line="240" w:lineRule="auto"/>
        <w:rPr>
          <w:rFonts w:hint="eastAsia" w:ascii="宋体" w:hAnsi="宋体" w:cs="宋体"/>
          <w:color w:val="auto"/>
          <w:sz w:val="32"/>
          <w:szCs w:val="32"/>
          <w:highlight w:val="none"/>
        </w:rPr>
      </w:pPr>
      <w:bookmarkStart w:id="59" w:name="_Toc31610"/>
      <w:bookmarkStart w:id="60" w:name="_Toc21069"/>
      <w:bookmarkStart w:id="61" w:name="_Toc32538"/>
      <w:r>
        <w:rPr>
          <w:rFonts w:ascii="宋体" w:hAnsi="宋体" w:cs="宋体"/>
          <w:color w:val="auto"/>
          <w:szCs w:val="21"/>
          <w:highlight w:val="none"/>
        </w:rPr>
        <w:drawing>
          <wp:inline distT="0" distB="0" distL="114300" distR="114300">
            <wp:extent cx="5974080" cy="8449310"/>
            <wp:effectExtent l="0" t="0" r="7620" b="8890"/>
            <wp:docPr id="3" name="图片 1" descr="蒙山县建成区清扫保洁范围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蒙山县建成区清扫保洁范围图(1)"/>
                    <pic:cNvPicPr>
                      <a:picLocks noChangeAspect="1"/>
                    </pic:cNvPicPr>
                  </pic:nvPicPr>
                  <pic:blipFill>
                    <a:blip r:embed="rId23"/>
                    <a:stretch>
                      <a:fillRect/>
                    </a:stretch>
                  </pic:blipFill>
                  <pic:spPr>
                    <a:xfrm>
                      <a:off x="0" y="0"/>
                      <a:ext cx="5974080" cy="8449310"/>
                    </a:xfrm>
                    <a:prstGeom prst="rect">
                      <a:avLst/>
                    </a:prstGeom>
                    <a:noFill/>
                    <a:ln>
                      <a:noFill/>
                    </a:ln>
                  </pic:spPr>
                </pic:pic>
              </a:graphicData>
            </a:graphic>
          </wp:inline>
        </w:drawing>
      </w:r>
      <w:r>
        <w:rPr>
          <w:rFonts w:ascii="宋体" w:hAnsi="宋体" w:cs="宋体"/>
          <w:color w:val="auto"/>
          <w:szCs w:val="21"/>
          <w:highlight w:val="none"/>
        </w:rPr>
        <w:br w:type="page"/>
      </w:r>
      <w:r>
        <w:rPr>
          <w:rFonts w:hint="eastAsia" w:ascii="宋体" w:hAnsi="宋体" w:cs="宋体"/>
          <w:b/>
          <w:bCs/>
          <w:color w:val="auto"/>
          <w:sz w:val="32"/>
          <w:szCs w:val="32"/>
          <w:highlight w:val="none"/>
        </w:rPr>
        <w:t>附件1：</w:t>
      </w:r>
      <w:bookmarkEnd w:id="55"/>
      <w:bookmarkEnd w:id="56"/>
      <w:bookmarkEnd w:id="59"/>
      <w:bookmarkEnd w:id="60"/>
      <w:bookmarkEnd w:id="61"/>
    </w:p>
    <w:p w14:paraId="2BB43367">
      <w:pPr>
        <w:widowControl/>
        <w:kinsoku w:val="0"/>
        <w:autoSpaceDE w:val="0"/>
        <w:autoSpaceDN w:val="0"/>
        <w:adjustRightInd w:val="0"/>
        <w:snapToGrid w:val="0"/>
        <w:spacing w:before="125" w:line="157" w:lineRule="auto"/>
        <w:ind w:left="1891" w:firstLine="1566" w:firstLineChars="500"/>
        <w:jc w:val="left"/>
        <w:textAlignment w:val="baseline"/>
        <w:rPr>
          <w:rFonts w:hint="eastAsia" w:ascii="宋体" w:hAnsi="宋体" w:cs="宋体"/>
          <w:snapToGrid w:val="0"/>
          <w:color w:val="auto"/>
          <w:kern w:val="0"/>
          <w:sz w:val="32"/>
          <w:szCs w:val="32"/>
          <w:highlight w:val="none"/>
        </w:rPr>
      </w:pPr>
      <w:r>
        <w:rPr>
          <w:rFonts w:hint="eastAsia" w:ascii="宋体" w:hAnsi="宋体" w:cs="宋体"/>
          <w:b/>
          <w:bCs/>
          <w:snapToGrid w:val="0"/>
          <w:color w:val="auto"/>
          <w:spacing w:val="-4"/>
          <w:kern w:val="0"/>
          <w:sz w:val="32"/>
          <w:szCs w:val="32"/>
          <w:highlight w:val="none"/>
        </w:rPr>
        <w:t>中小微企业划型标准</w:t>
      </w:r>
    </w:p>
    <w:tbl>
      <w:tblPr>
        <w:tblStyle w:val="46"/>
        <w:tblW w:w="93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8"/>
        <w:gridCol w:w="1882"/>
        <w:gridCol w:w="1093"/>
        <w:gridCol w:w="1747"/>
        <w:gridCol w:w="1614"/>
        <w:gridCol w:w="1080"/>
      </w:tblGrid>
      <w:tr w14:paraId="7A1E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888" w:type="dxa"/>
            <w:noWrap w:val="0"/>
            <w:vAlign w:val="center"/>
          </w:tcPr>
          <w:p w14:paraId="5D6F27F4">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行业名称</w:t>
            </w:r>
          </w:p>
        </w:tc>
        <w:tc>
          <w:tcPr>
            <w:tcW w:w="1882" w:type="dxa"/>
            <w:noWrap w:val="0"/>
            <w:vAlign w:val="center"/>
          </w:tcPr>
          <w:p w14:paraId="354B00C9">
            <w:pPr>
              <w:widowControl/>
              <w:kinsoku w:val="0"/>
              <w:autoSpaceDE w:val="0"/>
              <w:autoSpaceDN w:val="0"/>
              <w:adjustRightInd w:val="0"/>
              <w:snapToGrid w:val="0"/>
              <w:spacing w:before="240" w:line="221" w:lineRule="auto"/>
              <w:ind w:left="112"/>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指标名称</w:t>
            </w:r>
          </w:p>
        </w:tc>
        <w:tc>
          <w:tcPr>
            <w:tcW w:w="1093" w:type="dxa"/>
            <w:noWrap w:val="0"/>
            <w:vAlign w:val="center"/>
          </w:tcPr>
          <w:p w14:paraId="129BEFC3">
            <w:pPr>
              <w:widowControl/>
              <w:kinsoku w:val="0"/>
              <w:autoSpaceDE w:val="0"/>
              <w:autoSpaceDN w:val="0"/>
              <w:adjustRightInd w:val="0"/>
              <w:snapToGrid w:val="0"/>
              <w:spacing w:before="82" w:line="273" w:lineRule="auto"/>
              <w:ind w:left="111" w:right="147"/>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计量单位</w:t>
            </w:r>
          </w:p>
        </w:tc>
        <w:tc>
          <w:tcPr>
            <w:tcW w:w="1747" w:type="dxa"/>
            <w:noWrap w:val="0"/>
            <w:vAlign w:val="center"/>
          </w:tcPr>
          <w:p w14:paraId="4319949B">
            <w:pPr>
              <w:widowControl/>
              <w:kinsoku w:val="0"/>
              <w:autoSpaceDE w:val="0"/>
              <w:autoSpaceDN w:val="0"/>
              <w:adjustRightInd w:val="0"/>
              <w:snapToGrid w:val="0"/>
              <w:spacing w:before="240" w:line="221" w:lineRule="auto"/>
              <w:ind w:left="130"/>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中型</w:t>
            </w:r>
          </w:p>
        </w:tc>
        <w:tc>
          <w:tcPr>
            <w:tcW w:w="1614" w:type="dxa"/>
            <w:noWrap w:val="0"/>
            <w:vAlign w:val="center"/>
          </w:tcPr>
          <w:p w14:paraId="37A62B68">
            <w:pPr>
              <w:widowControl/>
              <w:kinsoku w:val="0"/>
              <w:autoSpaceDE w:val="0"/>
              <w:autoSpaceDN w:val="0"/>
              <w:adjustRightInd w:val="0"/>
              <w:snapToGrid w:val="0"/>
              <w:spacing w:before="240" w:line="222" w:lineRule="auto"/>
              <w:ind w:left="119"/>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小型</w:t>
            </w:r>
          </w:p>
        </w:tc>
        <w:tc>
          <w:tcPr>
            <w:tcW w:w="1080" w:type="dxa"/>
            <w:noWrap w:val="0"/>
            <w:vAlign w:val="center"/>
          </w:tcPr>
          <w:p w14:paraId="7192BF20">
            <w:pPr>
              <w:widowControl/>
              <w:kinsoku w:val="0"/>
              <w:autoSpaceDE w:val="0"/>
              <w:autoSpaceDN w:val="0"/>
              <w:adjustRightInd w:val="0"/>
              <w:snapToGrid w:val="0"/>
              <w:spacing w:before="240" w:line="220" w:lineRule="auto"/>
              <w:ind w:left="115"/>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微型</w:t>
            </w:r>
          </w:p>
        </w:tc>
      </w:tr>
      <w:tr w14:paraId="7508E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88" w:type="dxa"/>
            <w:noWrap w:val="0"/>
            <w:vAlign w:val="center"/>
          </w:tcPr>
          <w:p w14:paraId="7880BCAA">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农、林、牧、渔</w:t>
            </w:r>
          </w:p>
        </w:tc>
        <w:tc>
          <w:tcPr>
            <w:tcW w:w="1882" w:type="dxa"/>
            <w:noWrap w:val="0"/>
            <w:vAlign w:val="top"/>
          </w:tcPr>
          <w:p w14:paraId="304DE90D">
            <w:pPr>
              <w:widowControl/>
              <w:kinsoku w:val="0"/>
              <w:autoSpaceDE w:val="0"/>
              <w:autoSpaceDN w:val="0"/>
              <w:adjustRightInd w:val="0"/>
              <w:snapToGrid w:val="0"/>
              <w:spacing w:before="76"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65170199">
            <w:pPr>
              <w:widowControl/>
              <w:kinsoku w:val="0"/>
              <w:autoSpaceDE w:val="0"/>
              <w:autoSpaceDN w:val="0"/>
              <w:adjustRightInd w:val="0"/>
              <w:snapToGrid w:val="0"/>
              <w:spacing w:before="76"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0B60CB2B">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500≤Y＜20000</w:t>
            </w:r>
          </w:p>
        </w:tc>
        <w:tc>
          <w:tcPr>
            <w:tcW w:w="1614" w:type="dxa"/>
            <w:noWrap w:val="0"/>
            <w:vAlign w:val="top"/>
          </w:tcPr>
          <w:p w14:paraId="6B2E8B6D">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50≤Y＜500</w:t>
            </w:r>
          </w:p>
        </w:tc>
        <w:tc>
          <w:tcPr>
            <w:tcW w:w="1080" w:type="dxa"/>
            <w:noWrap w:val="0"/>
            <w:vAlign w:val="top"/>
          </w:tcPr>
          <w:p w14:paraId="703C7E1F">
            <w:pPr>
              <w:widowControl/>
              <w:kinsoku w:val="0"/>
              <w:autoSpaceDE w:val="0"/>
              <w:autoSpaceDN w:val="0"/>
              <w:adjustRightInd w:val="0"/>
              <w:snapToGrid w:val="0"/>
              <w:spacing w:before="77"/>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Y＜50</w:t>
            </w:r>
          </w:p>
        </w:tc>
      </w:tr>
      <w:tr w14:paraId="01492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3AB93A8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工业</w:t>
            </w:r>
          </w:p>
        </w:tc>
        <w:tc>
          <w:tcPr>
            <w:tcW w:w="1882" w:type="dxa"/>
            <w:noWrap w:val="0"/>
            <w:vAlign w:val="top"/>
          </w:tcPr>
          <w:p w14:paraId="4CF72F8B">
            <w:pPr>
              <w:widowControl/>
              <w:kinsoku w:val="0"/>
              <w:autoSpaceDE w:val="0"/>
              <w:autoSpaceDN w:val="0"/>
              <w:adjustRightInd w:val="0"/>
              <w:snapToGrid w:val="0"/>
              <w:spacing w:before="76"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5E9D148">
            <w:pPr>
              <w:widowControl/>
              <w:kinsoku w:val="0"/>
              <w:autoSpaceDE w:val="0"/>
              <w:autoSpaceDN w:val="0"/>
              <w:adjustRightInd w:val="0"/>
              <w:snapToGrid w:val="0"/>
              <w:spacing w:before="77"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485FCAB2">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14" w:type="dxa"/>
            <w:noWrap w:val="0"/>
            <w:vAlign w:val="top"/>
          </w:tcPr>
          <w:p w14:paraId="51F96111">
            <w:pPr>
              <w:widowControl/>
              <w:kinsoku w:val="0"/>
              <w:autoSpaceDE w:val="0"/>
              <w:autoSpaceDN w:val="0"/>
              <w:adjustRightInd w:val="0"/>
              <w:snapToGrid w:val="0"/>
              <w:spacing w:before="76"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80" w:type="dxa"/>
            <w:noWrap w:val="0"/>
            <w:vAlign w:val="top"/>
          </w:tcPr>
          <w:p w14:paraId="40138638">
            <w:pPr>
              <w:widowControl/>
              <w:kinsoku w:val="0"/>
              <w:autoSpaceDE w:val="0"/>
              <w:autoSpaceDN w:val="0"/>
              <w:adjustRightInd w:val="0"/>
              <w:snapToGrid w:val="0"/>
              <w:spacing w:before="77"/>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18721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88" w:type="dxa"/>
            <w:vMerge w:val="continue"/>
            <w:tcBorders>
              <w:top w:val="nil"/>
            </w:tcBorders>
            <w:noWrap w:val="0"/>
            <w:vAlign w:val="center"/>
          </w:tcPr>
          <w:p w14:paraId="1203DD7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0CEA8F69">
            <w:pPr>
              <w:widowControl/>
              <w:kinsoku w:val="0"/>
              <w:autoSpaceDE w:val="0"/>
              <w:autoSpaceDN w:val="0"/>
              <w:adjustRightInd w:val="0"/>
              <w:snapToGrid w:val="0"/>
              <w:spacing w:before="76"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7A09650F">
            <w:pPr>
              <w:widowControl/>
              <w:kinsoku w:val="0"/>
              <w:autoSpaceDE w:val="0"/>
              <w:autoSpaceDN w:val="0"/>
              <w:adjustRightInd w:val="0"/>
              <w:snapToGrid w:val="0"/>
              <w:spacing w:before="76"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3EB9AC34">
            <w:pPr>
              <w:widowControl/>
              <w:kinsoku w:val="0"/>
              <w:autoSpaceDE w:val="0"/>
              <w:autoSpaceDN w:val="0"/>
              <w:adjustRightInd w:val="0"/>
              <w:snapToGrid w:val="0"/>
              <w:spacing w:before="76"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2000≤Y＜40000</w:t>
            </w:r>
          </w:p>
        </w:tc>
        <w:tc>
          <w:tcPr>
            <w:tcW w:w="1614" w:type="dxa"/>
            <w:noWrap w:val="0"/>
            <w:vAlign w:val="top"/>
          </w:tcPr>
          <w:p w14:paraId="39C7DA51">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300≤Y＜2000</w:t>
            </w:r>
          </w:p>
        </w:tc>
        <w:tc>
          <w:tcPr>
            <w:tcW w:w="1080" w:type="dxa"/>
            <w:noWrap w:val="0"/>
            <w:vAlign w:val="top"/>
          </w:tcPr>
          <w:p w14:paraId="39A65FF4">
            <w:pPr>
              <w:widowControl/>
              <w:kinsoku w:val="0"/>
              <w:autoSpaceDE w:val="0"/>
              <w:autoSpaceDN w:val="0"/>
              <w:adjustRightInd w:val="0"/>
              <w:snapToGrid w:val="0"/>
              <w:spacing w:before="76"/>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Y＜300</w:t>
            </w:r>
          </w:p>
        </w:tc>
      </w:tr>
      <w:tr w14:paraId="53DB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3B6C9728">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建筑业</w:t>
            </w:r>
          </w:p>
        </w:tc>
        <w:tc>
          <w:tcPr>
            <w:tcW w:w="1882" w:type="dxa"/>
            <w:noWrap w:val="0"/>
            <w:vAlign w:val="top"/>
          </w:tcPr>
          <w:p w14:paraId="041FAFDA">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1D0A1A9D">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0514259D">
            <w:pPr>
              <w:widowControl/>
              <w:kinsoku w:val="0"/>
              <w:autoSpaceDE w:val="0"/>
              <w:autoSpaceDN w:val="0"/>
              <w:adjustRightInd w:val="0"/>
              <w:snapToGrid w:val="0"/>
              <w:spacing w:before="79" w:line="237" w:lineRule="auto"/>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6000≤Y＜80000</w:t>
            </w:r>
          </w:p>
        </w:tc>
        <w:tc>
          <w:tcPr>
            <w:tcW w:w="1614" w:type="dxa"/>
            <w:noWrap w:val="0"/>
            <w:vAlign w:val="top"/>
          </w:tcPr>
          <w:p w14:paraId="499E215B">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300≤Y＜6000</w:t>
            </w:r>
          </w:p>
        </w:tc>
        <w:tc>
          <w:tcPr>
            <w:tcW w:w="1080" w:type="dxa"/>
            <w:noWrap w:val="0"/>
            <w:vAlign w:val="top"/>
          </w:tcPr>
          <w:p w14:paraId="25B1DA07">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Y＜300</w:t>
            </w:r>
          </w:p>
        </w:tc>
      </w:tr>
      <w:tr w14:paraId="51F2C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88" w:type="dxa"/>
            <w:vMerge w:val="continue"/>
            <w:tcBorders>
              <w:top w:val="nil"/>
            </w:tcBorders>
            <w:noWrap w:val="0"/>
            <w:vAlign w:val="center"/>
          </w:tcPr>
          <w:p w14:paraId="3E4DA53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25ED1067">
            <w:pPr>
              <w:widowControl/>
              <w:kinsoku w:val="0"/>
              <w:autoSpaceDE w:val="0"/>
              <w:autoSpaceDN w:val="0"/>
              <w:adjustRightInd w:val="0"/>
              <w:snapToGrid w:val="0"/>
              <w:spacing w:before="78"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1093" w:type="dxa"/>
            <w:noWrap w:val="0"/>
            <w:vAlign w:val="top"/>
          </w:tcPr>
          <w:p w14:paraId="4C41D9BE">
            <w:pPr>
              <w:widowControl/>
              <w:kinsoku w:val="0"/>
              <w:autoSpaceDE w:val="0"/>
              <w:autoSpaceDN w:val="0"/>
              <w:adjustRightInd w:val="0"/>
              <w:snapToGrid w:val="0"/>
              <w:spacing w:before="78"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082E3AD4">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5000≤Z＜80000</w:t>
            </w:r>
          </w:p>
        </w:tc>
        <w:tc>
          <w:tcPr>
            <w:tcW w:w="1614" w:type="dxa"/>
            <w:noWrap w:val="0"/>
            <w:vAlign w:val="top"/>
          </w:tcPr>
          <w:p w14:paraId="042BE7C8">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300≤Z＜5000</w:t>
            </w:r>
          </w:p>
        </w:tc>
        <w:tc>
          <w:tcPr>
            <w:tcW w:w="1080" w:type="dxa"/>
            <w:noWrap w:val="0"/>
            <w:vAlign w:val="top"/>
          </w:tcPr>
          <w:p w14:paraId="0C478FA1">
            <w:pPr>
              <w:widowControl/>
              <w:kinsoku w:val="0"/>
              <w:autoSpaceDE w:val="0"/>
              <w:autoSpaceDN w:val="0"/>
              <w:adjustRightInd w:val="0"/>
              <w:snapToGrid w:val="0"/>
              <w:spacing w:before="79"/>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Z＜300</w:t>
            </w:r>
          </w:p>
        </w:tc>
      </w:tr>
      <w:tr w14:paraId="3E89D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023843D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批发业</w:t>
            </w:r>
          </w:p>
        </w:tc>
        <w:tc>
          <w:tcPr>
            <w:tcW w:w="1882" w:type="dxa"/>
            <w:noWrap w:val="0"/>
            <w:vAlign w:val="top"/>
          </w:tcPr>
          <w:p w14:paraId="1F5D41AE">
            <w:pPr>
              <w:widowControl/>
              <w:kinsoku w:val="0"/>
              <w:autoSpaceDE w:val="0"/>
              <w:autoSpaceDN w:val="0"/>
              <w:adjustRightInd w:val="0"/>
              <w:snapToGrid w:val="0"/>
              <w:spacing w:before="78"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5793A28">
            <w:pPr>
              <w:widowControl/>
              <w:kinsoku w:val="0"/>
              <w:autoSpaceDE w:val="0"/>
              <w:autoSpaceDN w:val="0"/>
              <w:adjustRightInd w:val="0"/>
              <w:snapToGrid w:val="0"/>
              <w:spacing w:before="79"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1FDC08CE">
            <w:pPr>
              <w:widowControl/>
              <w:kinsoku w:val="0"/>
              <w:autoSpaceDE w:val="0"/>
              <w:autoSpaceDN w:val="0"/>
              <w:adjustRightInd w:val="0"/>
              <w:snapToGrid w:val="0"/>
              <w:spacing w:before="78"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20≤X＜200</w:t>
            </w:r>
          </w:p>
        </w:tc>
        <w:tc>
          <w:tcPr>
            <w:tcW w:w="1614" w:type="dxa"/>
            <w:noWrap w:val="0"/>
            <w:vAlign w:val="top"/>
          </w:tcPr>
          <w:p w14:paraId="5FC88803">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5≤X＜20</w:t>
            </w:r>
          </w:p>
        </w:tc>
        <w:tc>
          <w:tcPr>
            <w:tcW w:w="1080" w:type="dxa"/>
            <w:noWrap w:val="0"/>
            <w:vAlign w:val="top"/>
          </w:tcPr>
          <w:p w14:paraId="2FD3BB16">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X＜5</w:t>
            </w:r>
          </w:p>
        </w:tc>
      </w:tr>
      <w:tr w14:paraId="046A3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02AA658E">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6D7FB95B">
            <w:pPr>
              <w:widowControl/>
              <w:kinsoku w:val="0"/>
              <w:autoSpaceDE w:val="0"/>
              <w:autoSpaceDN w:val="0"/>
              <w:adjustRightInd w:val="0"/>
              <w:snapToGrid w:val="0"/>
              <w:spacing w:before="78"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2F1DF665">
            <w:pPr>
              <w:widowControl/>
              <w:kinsoku w:val="0"/>
              <w:autoSpaceDE w:val="0"/>
              <w:autoSpaceDN w:val="0"/>
              <w:adjustRightInd w:val="0"/>
              <w:snapToGrid w:val="0"/>
              <w:spacing w:before="78"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6569D51E">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5000≤Y＜40000</w:t>
            </w:r>
          </w:p>
        </w:tc>
        <w:tc>
          <w:tcPr>
            <w:tcW w:w="1614" w:type="dxa"/>
            <w:noWrap w:val="0"/>
            <w:vAlign w:val="top"/>
          </w:tcPr>
          <w:p w14:paraId="00F76426">
            <w:pPr>
              <w:widowControl/>
              <w:kinsoku w:val="0"/>
              <w:autoSpaceDE w:val="0"/>
              <w:autoSpaceDN w:val="0"/>
              <w:adjustRightInd w:val="0"/>
              <w:snapToGrid w:val="0"/>
              <w:spacing w:before="78"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1000≤Y＜5000</w:t>
            </w:r>
          </w:p>
        </w:tc>
        <w:tc>
          <w:tcPr>
            <w:tcW w:w="1080" w:type="dxa"/>
            <w:noWrap w:val="0"/>
            <w:vAlign w:val="top"/>
          </w:tcPr>
          <w:p w14:paraId="7FC6EF3E">
            <w:pPr>
              <w:widowControl/>
              <w:kinsoku w:val="0"/>
              <w:autoSpaceDE w:val="0"/>
              <w:autoSpaceDN w:val="0"/>
              <w:adjustRightInd w:val="0"/>
              <w:snapToGrid w:val="0"/>
              <w:spacing w:before="78"/>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Y＜1000</w:t>
            </w:r>
          </w:p>
        </w:tc>
      </w:tr>
      <w:tr w14:paraId="18FDB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88" w:type="dxa"/>
            <w:vMerge w:val="restart"/>
            <w:tcBorders>
              <w:bottom w:val="nil"/>
            </w:tcBorders>
            <w:noWrap w:val="0"/>
            <w:vAlign w:val="center"/>
          </w:tcPr>
          <w:p w14:paraId="52DF1C3C">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零售业</w:t>
            </w:r>
          </w:p>
        </w:tc>
        <w:tc>
          <w:tcPr>
            <w:tcW w:w="1882" w:type="dxa"/>
            <w:noWrap w:val="0"/>
            <w:vAlign w:val="top"/>
          </w:tcPr>
          <w:p w14:paraId="4E07E366">
            <w:pPr>
              <w:widowControl/>
              <w:kinsoku w:val="0"/>
              <w:autoSpaceDE w:val="0"/>
              <w:autoSpaceDN w:val="0"/>
              <w:adjustRightInd w:val="0"/>
              <w:snapToGrid w:val="0"/>
              <w:spacing w:before="80"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37D46D82">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795B5B5B">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50≤X＜300</w:t>
            </w:r>
          </w:p>
        </w:tc>
        <w:tc>
          <w:tcPr>
            <w:tcW w:w="1614" w:type="dxa"/>
            <w:noWrap w:val="0"/>
            <w:vAlign w:val="top"/>
          </w:tcPr>
          <w:p w14:paraId="08339FA7">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10≤X＜50</w:t>
            </w:r>
          </w:p>
        </w:tc>
        <w:tc>
          <w:tcPr>
            <w:tcW w:w="1080" w:type="dxa"/>
            <w:noWrap w:val="0"/>
            <w:vAlign w:val="top"/>
          </w:tcPr>
          <w:p w14:paraId="0CE4B20C">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0AB02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2BB048F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6150001D">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24628DA1">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5485DD00">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500≤Y＜20000</w:t>
            </w:r>
          </w:p>
        </w:tc>
        <w:tc>
          <w:tcPr>
            <w:tcW w:w="1614" w:type="dxa"/>
            <w:noWrap w:val="0"/>
            <w:vAlign w:val="top"/>
          </w:tcPr>
          <w:p w14:paraId="4B93CF80">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100≤Y＜500</w:t>
            </w:r>
          </w:p>
        </w:tc>
        <w:tc>
          <w:tcPr>
            <w:tcW w:w="1080" w:type="dxa"/>
            <w:noWrap w:val="0"/>
            <w:vAlign w:val="top"/>
          </w:tcPr>
          <w:p w14:paraId="535712DD">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09465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1B925DAA">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交通运输业</w:t>
            </w:r>
          </w:p>
        </w:tc>
        <w:tc>
          <w:tcPr>
            <w:tcW w:w="1882" w:type="dxa"/>
            <w:noWrap w:val="0"/>
            <w:vAlign w:val="top"/>
          </w:tcPr>
          <w:p w14:paraId="5840CDD9">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5A02DA34">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49DD4B61">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14" w:type="dxa"/>
            <w:noWrap w:val="0"/>
            <w:vAlign w:val="top"/>
          </w:tcPr>
          <w:p w14:paraId="70DB7508">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80" w:type="dxa"/>
            <w:noWrap w:val="0"/>
            <w:vAlign w:val="top"/>
          </w:tcPr>
          <w:p w14:paraId="1582FA20">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0671E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4711E1D3">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7179CD6B">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2194535C">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33307662">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3000≤Y＜30000</w:t>
            </w:r>
          </w:p>
        </w:tc>
        <w:tc>
          <w:tcPr>
            <w:tcW w:w="1614" w:type="dxa"/>
            <w:noWrap w:val="0"/>
            <w:vAlign w:val="top"/>
          </w:tcPr>
          <w:p w14:paraId="57C3D9B7">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200≤Y＜3000</w:t>
            </w:r>
          </w:p>
        </w:tc>
        <w:tc>
          <w:tcPr>
            <w:tcW w:w="1080" w:type="dxa"/>
            <w:noWrap w:val="0"/>
            <w:vAlign w:val="top"/>
          </w:tcPr>
          <w:p w14:paraId="75289B59">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Y＜200</w:t>
            </w:r>
          </w:p>
        </w:tc>
      </w:tr>
      <w:tr w14:paraId="43444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48EECC44">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仓储业</w:t>
            </w:r>
          </w:p>
        </w:tc>
        <w:tc>
          <w:tcPr>
            <w:tcW w:w="1882" w:type="dxa"/>
            <w:noWrap w:val="0"/>
            <w:vAlign w:val="top"/>
          </w:tcPr>
          <w:p w14:paraId="01F0567F">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51A1EB7C">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69DDC1B9">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100≤X＜200</w:t>
            </w:r>
          </w:p>
        </w:tc>
        <w:tc>
          <w:tcPr>
            <w:tcW w:w="1614" w:type="dxa"/>
            <w:noWrap w:val="0"/>
            <w:vAlign w:val="top"/>
          </w:tcPr>
          <w:p w14:paraId="7DA95DEF">
            <w:pPr>
              <w:widowControl/>
              <w:kinsoku w:val="0"/>
              <w:autoSpaceDE w:val="0"/>
              <w:autoSpaceDN w:val="0"/>
              <w:adjustRightInd w:val="0"/>
              <w:snapToGrid w:val="0"/>
              <w:spacing w:before="81"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20≤X＜100</w:t>
            </w:r>
          </w:p>
        </w:tc>
        <w:tc>
          <w:tcPr>
            <w:tcW w:w="1080" w:type="dxa"/>
            <w:noWrap w:val="0"/>
            <w:vAlign w:val="top"/>
          </w:tcPr>
          <w:p w14:paraId="3B058640">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3BC91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43A472F4">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6B75D784">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69FE5217">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69CBE167">
            <w:pPr>
              <w:widowControl/>
              <w:kinsoku w:val="0"/>
              <w:autoSpaceDE w:val="0"/>
              <w:autoSpaceDN w:val="0"/>
              <w:adjustRightInd w:val="0"/>
              <w:snapToGrid w:val="0"/>
              <w:spacing w:before="80"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1000≤Y＜30000</w:t>
            </w:r>
          </w:p>
        </w:tc>
        <w:tc>
          <w:tcPr>
            <w:tcW w:w="1614" w:type="dxa"/>
            <w:noWrap w:val="0"/>
            <w:vAlign w:val="top"/>
          </w:tcPr>
          <w:p w14:paraId="5B02C89F">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100≤Y＜1000</w:t>
            </w:r>
          </w:p>
        </w:tc>
        <w:tc>
          <w:tcPr>
            <w:tcW w:w="1080" w:type="dxa"/>
            <w:noWrap w:val="0"/>
            <w:vAlign w:val="top"/>
          </w:tcPr>
          <w:p w14:paraId="4BCB9136">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49928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36F45BD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邮政业</w:t>
            </w:r>
          </w:p>
        </w:tc>
        <w:tc>
          <w:tcPr>
            <w:tcW w:w="1882" w:type="dxa"/>
            <w:noWrap w:val="0"/>
            <w:vAlign w:val="top"/>
          </w:tcPr>
          <w:p w14:paraId="01D11854">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0277B535">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07FC1B8E">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14" w:type="dxa"/>
            <w:noWrap w:val="0"/>
            <w:vAlign w:val="top"/>
          </w:tcPr>
          <w:p w14:paraId="05DBD056">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80" w:type="dxa"/>
            <w:noWrap w:val="0"/>
            <w:vAlign w:val="top"/>
          </w:tcPr>
          <w:p w14:paraId="6E7638DE">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4CE3C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30A827A2">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64075B46">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6E380BC2">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677BC2E1">
            <w:pPr>
              <w:widowControl/>
              <w:kinsoku w:val="0"/>
              <w:autoSpaceDE w:val="0"/>
              <w:autoSpaceDN w:val="0"/>
              <w:adjustRightInd w:val="0"/>
              <w:snapToGrid w:val="0"/>
              <w:spacing w:before="79"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2000≤Y＜30000</w:t>
            </w:r>
          </w:p>
        </w:tc>
        <w:tc>
          <w:tcPr>
            <w:tcW w:w="1614" w:type="dxa"/>
            <w:noWrap w:val="0"/>
            <w:vAlign w:val="top"/>
          </w:tcPr>
          <w:p w14:paraId="7841A981">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80" w:type="dxa"/>
            <w:noWrap w:val="0"/>
            <w:vAlign w:val="top"/>
          </w:tcPr>
          <w:p w14:paraId="12FA442F">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55AF1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64BBE68B">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住宿业</w:t>
            </w:r>
          </w:p>
        </w:tc>
        <w:tc>
          <w:tcPr>
            <w:tcW w:w="1882" w:type="dxa"/>
            <w:noWrap w:val="0"/>
            <w:vAlign w:val="top"/>
          </w:tcPr>
          <w:p w14:paraId="55BC61BF">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068ADDBB">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1E41000B">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5C6DB115">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30496529">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4ED5F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7F1E286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558FB45A">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7F94A6BC">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584831DD">
            <w:pPr>
              <w:widowControl/>
              <w:kinsoku w:val="0"/>
              <w:autoSpaceDE w:val="0"/>
              <w:autoSpaceDN w:val="0"/>
              <w:adjustRightInd w:val="0"/>
              <w:snapToGrid w:val="0"/>
              <w:spacing w:before="80"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2000≤Y＜10000</w:t>
            </w:r>
          </w:p>
        </w:tc>
        <w:tc>
          <w:tcPr>
            <w:tcW w:w="1614" w:type="dxa"/>
            <w:noWrap w:val="0"/>
            <w:vAlign w:val="top"/>
          </w:tcPr>
          <w:p w14:paraId="2D77095A">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80" w:type="dxa"/>
            <w:noWrap w:val="0"/>
            <w:vAlign w:val="top"/>
          </w:tcPr>
          <w:p w14:paraId="7753D5B1">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146AD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7C16811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餐饮业</w:t>
            </w:r>
          </w:p>
        </w:tc>
        <w:tc>
          <w:tcPr>
            <w:tcW w:w="1882" w:type="dxa"/>
            <w:noWrap w:val="0"/>
            <w:vAlign w:val="top"/>
          </w:tcPr>
          <w:p w14:paraId="1F4C44AA">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717BD88F">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0AF69F61">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7BDB4E7C">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1B615714">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757B7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7CD7F8E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7E3E7A78">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5527708C">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5819B5E1">
            <w:pPr>
              <w:widowControl/>
              <w:kinsoku w:val="0"/>
              <w:autoSpaceDE w:val="0"/>
              <w:autoSpaceDN w:val="0"/>
              <w:adjustRightInd w:val="0"/>
              <w:snapToGrid w:val="0"/>
              <w:spacing w:before="79"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2000≤Y＜10000</w:t>
            </w:r>
          </w:p>
        </w:tc>
        <w:tc>
          <w:tcPr>
            <w:tcW w:w="1614" w:type="dxa"/>
            <w:noWrap w:val="0"/>
            <w:vAlign w:val="top"/>
          </w:tcPr>
          <w:p w14:paraId="42385F16">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80" w:type="dxa"/>
            <w:noWrap w:val="0"/>
            <w:vAlign w:val="top"/>
          </w:tcPr>
          <w:p w14:paraId="6A2CC489">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02B50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783D99CE">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信息传输业</w:t>
            </w:r>
          </w:p>
        </w:tc>
        <w:tc>
          <w:tcPr>
            <w:tcW w:w="1882" w:type="dxa"/>
            <w:noWrap w:val="0"/>
            <w:vAlign w:val="top"/>
          </w:tcPr>
          <w:p w14:paraId="642D6908">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4C9F728C">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6443000A">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100≤X＜2000</w:t>
            </w:r>
          </w:p>
        </w:tc>
        <w:tc>
          <w:tcPr>
            <w:tcW w:w="1614" w:type="dxa"/>
            <w:noWrap w:val="0"/>
            <w:vAlign w:val="top"/>
          </w:tcPr>
          <w:p w14:paraId="4B201222">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63F0D072">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436D8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390A9528">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16BD8176">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53CB6D3E">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37CC2404">
            <w:pPr>
              <w:widowControl/>
              <w:kinsoku w:val="0"/>
              <w:autoSpaceDE w:val="0"/>
              <w:autoSpaceDN w:val="0"/>
              <w:adjustRightInd w:val="0"/>
              <w:snapToGrid w:val="0"/>
              <w:spacing w:before="80"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1000≤Y＜100000</w:t>
            </w:r>
          </w:p>
        </w:tc>
        <w:tc>
          <w:tcPr>
            <w:tcW w:w="1614" w:type="dxa"/>
            <w:noWrap w:val="0"/>
            <w:vAlign w:val="top"/>
          </w:tcPr>
          <w:p w14:paraId="062649F8">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100≤Y＜1000</w:t>
            </w:r>
          </w:p>
        </w:tc>
        <w:tc>
          <w:tcPr>
            <w:tcW w:w="1080" w:type="dxa"/>
            <w:noWrap w:val="0"/>
            <w:vAlign w:val="top"/>
          </w:tcPr>
          <w:p w14:paraId="5C58AE45">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7216F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62BF7EFB">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rPr>
            </w:pPr>
            <w:r>
              <w:rPr>
                <w:rFonts w:hint="eastAsia" w:ascii="宋体" w:hAnsi="宋体" w:cs="宋体"/>
                <w:snapToGrid w:val="0"/>
                <w:color w:val="auto"/>
                <w:kern w:val="0"/>
                <w:sz w:val="18"/>
                <w:szCs w:val="18"/>
                <w:highlight w:val="none"/>
              </w:rPr>
              <w:t>软件和信息技术服务业</w:t>
            </w:r>
          </w:p>
        </w:tc>
        <w:tc>
          <w:tcPr>
            <w:tcW w:w="1882" w:type="dxa"/>
            <w:noWrap w:val="0"/>
            <w:vAlign w:val="top"/>
          </w:tcPr>
          <w:p w14:paraId="7D41C83E">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1B82091">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19D2FE1B">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655C84E4">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77648710">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2F2BB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0158C20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525FF511">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76BC65E9">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1C3F7E25">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1000≤Y＜10000</w:t>
            </w:r>
          </w:p>
        </w:tc>
        <w:tc>
          <w:tcPr>
            <w:tcW w:w="1614" w:type="dxa"/>
            <w:noWrap w:val="0"/>
            <w:vAlign w:val="top"/>
          </w:tcPr>
          <w:p w14:paraId="4572E9A8">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50≤Y＜1000</w:t>
            </w:r>
          </w:p>
        </w:tc>
        <w:tc>
          <w:tcPr>
            <w:tcW w:w="1080" w:type="dxa"/>
            <w:noWrap w:val="0"/>
            <w:vAlign w:val="top"/>
          </w:tcPr>
          <w:p w14:paraId="73939C80">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Y＜50</w:t>
            </w:r>
          </w:p>
        </w:tc>
      </w:tr>
      <w:tr w14:paraId="1E44B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405A91A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房地产开发经营</w:t>
            </w:r>
          </w:p>
        </w:tc>
        <w:tc>
          <w:tcPr>
            <w:tcW w:w="1882" w:type="dxa"/>
            <w:noWrap w:val="0"/>
            <w:vAlign w:val="top"/>
          </w:tcPr>
          <w:p w14:paraId="23D10804">
            <w:pPr>
              <w:widowControl/>
              <w:kinsoku w:val="0"/>
              <w:autoSpaceDE w:val="0"/>
              <w:autoSpaceDN w:val="0"/>
              <w:adjustRightInd w:val="0"/>
              <w:snapToGrid w:val="0"/>
              <w:spacing w:before="81"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1A42F2FF">
            <w:pPr>
              <w:widowControl/>
              <w:kinsoku w:val="0"/>
              <w:autoSpaceDE w:val="0"/>
              <w:autoSpaceDN w:val="0"/>
              <w:adjustRightInd w:val="0"/>
              <w:snapToGrid w:val="0"/>
              <w:spacing w:before="81"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5B6D9662">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1000≤Y＜200000</w:t>
            </w:r>
          </w:p>
        </w:tc>
        <w:tc>
          <w:tcPr>
            <w:tcW w:w="1614" w:type="dxa"/>
            <w:noWrap w:val="0"/>
            <w:vAlign w:val="top"/>
          </w:tcPr>
          <w:p w14:paraId="30759CA1">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100≤X＜1000</w:t>
            </w:r>
          </w:p>
        </w:tc>
        <w:tc>
          <w:tcPr>
            <w:tcW w:w="1080" w:type="dxa"/>
            <w:noWrap w:val="0"/>
            <w:vAlign w:val="top"/>
          </w:tcPr>
          <w:p w14:paraId="21BDBC1A">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X＜100</w:t>
            </w:r>
          </w:p>
        </w:tc>
      </w:tr>
      <w:tr w14:paraId="38C49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2D89BB92">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5F4CF5DC">
            <w:pPr>
              <w:widowControl/>
              <w:kinsoku w:val="0"/>
              <w:autoSpaceDE w:val="0"/>
              <w:autoSpaceDN w:val="0"/>
              <w:adjustRightInd w:val="0"/>
              <w:snapToGrid w:val="0"/>
              <w:spacing w:before="80"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1093" w:type="dxa"/>
            <w:noWrap w:val="0"/>
            <w:vAlign w:val="top"/>
          </w:tcPr>
          <w:p w14:paraId="37AE5405">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33881FAC">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5000≤Z＜10000</w:t>
            </w:r>
          </w:p>
        </w:tc>
        <w:tc>
          <w:tcPr>
            <w:tcW w:w="1614" w:type="dxa"/>
            <w:noWrap w:val="0"/>
            <w:vAlign w:val="top"/>
          </w:tcPr>
          <w:p w14:paraId="0572D63B">
            <w:pPr>
              <w:widowControl/>
              <w:kinsoku w:val="0"/>
              <w:autoSpaceDE w:val="0"/>
              <w:autoSpaceDN w:val="0"/>
              <w:adjustRightInd w:val="0"/>
              <w:snapToGrid w:val="0"/>
              <w:spacing w:before="80"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2000≤Y＜5000</w:t>
            </w:r>
          </w:p>
        </w:tc>
        <w:tc>
          <w:tcPr>
            <w:tcW w:w="1080" w:type="dxa"/>
            <w:noWrap w:val="0"/>
            <w:vAlign w:val="top"/>
          </w:tcPr>
          <w:p w14:paraId="76CE3B02">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Y＜2000</w:t>
            </w:r>
          </w:p>
        </w:tc>
      </w:tr>
      <w:tr w14:paraId="6365A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29E3B373">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物业管理</w:t>
            </w:r>
          </w:p>
        </w:tc>
        <w:tc>
          <w:tcPr>
            <w:tcW w:w="1882" w:type="dxa"/>
            <w:noWrap w:val="0"/>
            <w:vAlign w:val="top"/>
          </w:tcPr>
          <w:p w14:paraId="1968060B">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0FBB7DEF">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0080D1D7">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14" w:type="dxa"/>
            <w:noWrap w:val="0"/>
            <w:vAlign w:val="top"/>
          </w:tcPr>
          <w:p w14:paraId="6D8B1A7A">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080" w:type="dxa"/>
            <w:noWrap w:val="0"/>
            <w:vAlign w:val="top"/>
          </w:tcPr>
          <w:p w14:paraId="5A07996F">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X＜100</w:t>
            </w:r>
          </w:p>
        </w:tc>
      </w:tr>
      <w:tr w14:paraId="25F73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686B13B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318DC85A">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454BED3A">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1C1B24F4">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1000≤Y＜5000</w:t>
            </w:r>
          </w:p>
        </w:tc>
        <w:tc>
          <w:tcPr>
            <w:tcW w:w="1614" w:type="dxa"/>
            <w:noWrap w:val="0"/>
            <w:vAlign w:val="top"/>
          </w:tcPr>
          <w:p w14:paraId="26D2BE71">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500≤Y＜1000</w:t>
            </w:r>
          </w:p>
        </w:tc>
        <w:tc>
          <w:tcPr>
            <w:tcW w:w="1080" w:type="dxa"/>
            <w:noWrap w:val="0"/>
            <w:vAlign w:val="top"/>
          </w:tcPr>
          <w:p w14:paraId="05F18452">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Y＜500</w:t>
            </w:r>
          </w:p>
        </w:tc>
      </w:tr>
      <w:tr w14:paraId="11F8A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172AC608">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租赁和商务服务业</w:t>
            </w:r>
          </w:p>
        </w:tc>
        <w:tc>
          <w:tcPr>
            <w:tcW w:w="1882" w:type="dxa"/>
            <w:noWrap w:val="0"/>
            <w:vAlign w:val="top"/>
          </w:tcPr>
          <w:p w14:paraId="5AC21CE9">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D218C05">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4028BBB6">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158BB861">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07189CD8">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389C1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590E73DB">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23C798A7">
            <w:pPr>
              <w:widowControl/>
              <w:kinsoku w:val="0"/>
              <w:autoSpaceDE w:val="0"/>
              <w:autoSpaceDN w:val="0"/>
              <w:adjustRightInd w:val="0"/>
              <w:snapToGrid w:val="0"/>
              <w:spacing w:before="80"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1093" w:type="dxa"/>
            <w:noWrap w:val="0"/>
            <w:vAlign w:val="top"/>
          </w:tcPr>
          <w:p w14:paraId="72892D2D">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6D23F28A">
            <w:pPr>
              <w:widowControl/>
              <w:kinsoku w:val="0"/>
              <w:autoSpaceDE w:val="0"/>
              <w:autoSpaceDN w:val="0"/>
              <w:adjustRightInd w:val="0"/>
              <w:snapToGrid w:val="0"/>
              <w:spacing w:before="80" w:line="237" w:lineRule="auto"/>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8000≤Z＜120000</w:t>
            </w:r>
          </w:p>
        </w:tc>
        <w:tc>
          <w:tcPr>
            <w:tcW w:w="1614" w:type="dxa"/>
            <w:noWrap w:val="0"/>
            <w:vAlign w:val="top"/>
          </w:tcPr>
          <w:p w14:paraId="029A3E66">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100≤Z＜8000</w:t>
            </w:r>
          </w:p>
        </w:tc>
        <w:tc>
          <w:tcPr>
            <w:tcW w:w="1080" w:type="dxa"/>
            <w:noWrap w:val="0"/>
            <w:vAlign w:val="top"/>
          </w:tcPr>
          <w:p w14:paraId="79847A0D">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3F66B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888" w:type="dxa"/>
            <w:noWrap w:val="0"/>
            <w:vAlign w:val="center"/>
          </w:tcPr>
          <w:p w14:paraId="74B17D3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其他未列明行业</w:t>
            </w:r>
          </w:p>
        </w:tc>
        <w:tc>
          <w:tcPr>
            <w:tcW w:w="1882" w:type="dxa"/>
            <w:noWrap w:val="0"/>
            <w:vAlign w:val="top"/>
          </w:tcPr>
          <w:p w14:paraId="76E129B5">
            <w:pPr>
              <w:widowControl/>
              <w:kinsoku w:val="0"/>
              <w:autoSpaceDE w:val="0"/>
              <w:autoSpaceDN w:val="0"/>
              <w:adjustRightInd w:val="0"/>
              <w:snapToGrid w:val="0"/>
              <w:spacing w:before="84"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640AEF5">
            <w:pPr>
              <w:widowControl/>
              <w:kinsoku w:val="0"/>
              <w:autoSpaceDE w:val="0"/>
              <w:autoSpaceDN w:val="0"/>
              <w:adjustRightInd w:val="0"/>
              <w:snapToGrid w:val="0"/>
              <w:spacing w:before="84"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4E611522">
            <w:pPr>
              <w:widowControl/>
              <w:kinsoku w:val="0"/>
              <w:autoSpaceDE w:val="0"/>
              <w:autoSpaceDN w:val="0"/>
              <w:adjustRightInd w:val="0"/>
              <w:snapToGrid w:val="0"/>
              <w:spacing w:before="84"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508E0EE7">
            <w:pPr>
              <w:widowControl/>
              <w:kinsoku w:val="0"/>
              <w:autoSpaceDE w:val="0"/>
              <w:autoSpaceDN w:val="0"/>
              <w:adjustRightInd w:val="0"/>
              <w:snapToGrid w:val="0"/>
              <w:spacing w:before="84"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19EF1730">
            <w:pPr>
              <w:widowControl/>
              <w:kinsoku w:val="0"/>
              <w:autoSpaceDE w:val="0"/>
              <w:autoSpaceDN w:val="0"/>
              <w:adjustRightInd w:val="0"/>
              <w:snapToGrid w:val="0"/>
              <w:spacing w:before="85"/>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bl>
    <w:p w14:paraId="7C19F2BE">
      <w:pPr>
        <w:widowControl/>
        <w:kinsoku w:val="0"/>
        <w:autoSpaceDE w:val="0"/>
        <w:autoSpaceDN w:val="0"/>
        <w:adjustRightInd w:val="0"/>
        <w:snapToGrid w:val="0"/>
        <w:spacing w:before="268" w:line="500" w:lineRule="exact"/>
        <w:textAlignment w:val="baseline"/>
        <w:rPr>
          <w:rFonts w:hint="eastAsia" w:ascii="宋体" w:hAnsi="宋体" w:cs="宋体"/>
          <w:snapToGrid w:val="0"/>
          <w:color w:val="auto"/>
          <w:spacing w:val="4"/>
          <w:kern w:val="0"/>
          <w:szCs w:val="21"/>
          <w:highlight w:val="none"/>
        </w:rPr>
      </w:pPr>
      <w:r>
        <w:rPr>
          <w:rFonts w:hint="eastAsia" w:ascii="宋体" w:hAnsi="宋体" w:cs="宋体"/>
          <w:snapToGrid w:val="0"/>
          <w:color w:val="auto"/>
          <w:spacing w:val="9"/>
          <w:kern w:val="0"/>
          <w:szCs w:val="21"/>
          <w:highlight w:val="none"/>
        </w:rPr>
        <w:t>说明：上述标准参照《关于印发中小企业划</w:t>
      </w:r>
      <w:r>
        <w:rPr>
          <w:rFonts w:hint="eastAsia" w:ascii="宋体" w:hAnsi="宋体" w:cs="宋体"/>
          <w:snapToGrid w:val="0"/>
          <w:color w:val="auto"/>
          <w:spacing w:val="8"/>
          <w:kern w:val="0"/>
          <w:szCs w:val="21"/>
          <w:highlight w:val="none"/>
        </w:rPr>
        <w:t>型标准规定的通知》（工信部联企业〔2011〕300号</w:t>
      </w:r>
      <w:r>
        <w:rPr>
          <w:rFonts w:hint="eastAsia" w:ascii="宋体" w:hAnsi="宋体" w:cs="宋体"/>
          <w:snapToGrid w:val="0"/>
          <w:color w:val="auto"/>
          <w:spacing w:val="-15"/>
          <w:kern w:val="0"/>
          <w:szCs w:val="21"/>
          <w:highlight w:val="none"/>
        </w:rPr>
        <w:t>），</w:t>
      </w:r>
      <w:r>
        <w:rPr>
          <w:rFonts w:hint="eastAsia" w:ascii="宋体" w:hAnsi="宋体" w:cs="宋体"/>
          <w:snapToGrid w:val="0"/>
          <w:color w:val="auto"/>
          <w:spacing w:val="9"/>
          <w:kern w:val="0"/>
          <w:szCs w:val="21"/>
          <w:highlight w:val="none"/>
        </w:rPr>
        <w:t>大型、中型和小型企业须同时满足所列指标的下限，否则下划一档；微型企业只须满足</w:t>
      </w:r>
      <w:r>
        <w:rPr>
          <w:rFonts w:hint="eastAsia" w:ascii="宋体" w:hAnsi="宋体" w:cs="宋体"/>
          <w:snapToGrid w:val="0"/>
          <w:color w:val="auto"/>
          <w:spacing w:val="8"/>
          <w:kern w:val="0"/>
          <w:szCs w:val="21"/>
          <w:highlight w:val="none"/>
        </w:rPr>
        <w:t>所列指标中的一</w:t>
      </w:r>
      <w:r>
        <w:rPr>
          <w:rFonts w:hint="eastAsia" w:ascii="宋体" w:hAnsi="宋体" w:cs="宋体"/>
          <w:snapToGrid w:val="0"/>
          <w:color w:val="auto"/>
          <w:spacing w:val="4"/>
          <w:kern w:val="0"/>
          <w:szCs w:val="21"/>
          <w:highlight w:val="none"/>
        </w:rPr>
        <w:t>项即可。</w:t>
      </w:r>
    </w:p>
    <w:p w14:paraId="509189AF">
      <w:pPr>
        <w:widowControl/>
        <w:kinsoku w:val="0"/>
        <w:autoSpaceDE w:val="0"/>
        <w:autoSpaceDN w:val="0"/>
        <w:adjustRightInd w:val="0"/>
        <w:snapToGrid w:val="0"/>
        <w:spacing w:before="268" w:line="517" w:lineRule="auto"/>
        <w:textAlignment w:val="baseline"/>
        <w:rPr>
          <w:rFonts w:hint="eastAsia" w:ascii="宋体" w:hAnsi="宋体" w:cs="宋体"/>
          <w:color w:val="auto"/>
          <w:sz w:val="20"/>
          <w:szCs w:val="20"/>
          <w:highlight w:val="none"/>
        </w:rPr>
        <w:sectPr>
          <w:pgSz w:w="11910" w:h="16840"/>
          <w:pgMar w:top="1304" w:right="1247" w:bottom="1304" w:left="1247" w:header="720" w:footer="720" w:gutter="0"/>
          <w:pgNumType w:fmt="decimal"/>
          <w:cols w:space="720" w:num="1"/>
          <w:titlePg/>
          <w:docGrid w:linePitch="286" w:charSpace="0"/>
        </w:sectPr>
      </w:pPr>
      <w:bookmarkStart w:id="243" w:name="_GoBack"/>
      <w:bookmarkEnd w:id="243"/>
    </w:p>
    <w:p w14:paraId="21DFFBE3">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bookmarkStart w:id="62" w:name="_Toc18193"/>
      <w:bookmarkStart w:id="63" w:name="_Toc20614"/>
      <w:bookmarkStart w:id="64" w:name="_Toc18970"/>
      <w:bookmarkStart w:id="65" w:name="_Toc2468"/>
      <w:bookmarkStart w:id="66" w:name="_Toc32530"/>
      <w:bookmarkStart w:id="67" w:name="_Toc2462"/>
      <w:bookmarkStart w:id="68" w:name="_Toc7640"/>
      <w:bookmarkStart w:id="69" w:name="_Toc27433"/>
      <w:r>
        <w:rPr>
          <w:rFonts w:hint="eastAsia" w:ascii="宋体" w:hAnsi="宋体" w:cs="宋体"/>
          <w:color w:val="auto"/>
          <w:highlight w:val="none"/>
        </w:rPr>
        <w:t>第三章  投标人须知</w:t>
      </w:r>
      <w:bookmarkEnd w:id="62"/>
      <w:bookmarkEnd w:id="63"/>
      <w:bookmarkEnd w:id="64"/>
      <w:bookmarkEnd w:id="65"/>
      <w:bookmarkEnd w:id="66"/>
      <w:bookmarkEnd w:id="67"/>
      <w:bookmarkEnd w:id="68"/>
      <w:bookmarkEnd w:id="69"/>
    </w:p>
    <w:p w14:paraId="109FCE7C">
      <w:pPr>
        <w:jc w:val="center"/>
        <w:rPr>
          <w:rFonts w:hint="eastAsia" w:ascii="宋体" w:hAnsi="宋体" w:cs="宋体"/>
          <w:b/>
          <w:bCs/>
          <w:color w:val="auto"/>
          <w:sz w:val="36"/>
          <w:szCs w:val="36"/>
          <w:highlight w:val="none"/>
        </w:rPr>
      </w:pPr>
      <w:bookmarkStart w:id="70" w:name="_Toc254970526"/>
      <w:bookmarkStart w:id="71" w:name="_Toc254970667"/>
      <w:r>
        <w:rPr>
          <w:rFonts w:hint="eastAsia" w:ascii="宋体" w:hAnsi="宋体" w:cs="宋体"/>
          <w:b/>
          <w:bCs/>
          <w:color w:val="auto"/>
          <w:sz w:val="36"/>
          <w:szCs w:val="36"/>
          <w:highlight w:val="none"/>
        </w:rPr>
        <w:t>投标人须知前附表</w:t>
      </w:r>
      <w:bookmarkEnd w:id="70"/>
      <w:bookmarkEnd w:id="71"/>
    </w:p>
    <w:tbl>
      <w:tblPr>
        <w:tblStyle w:val="46"/>
        <w:tblW w:w="932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344"/>
      </w:tblGrid>
      <w:tr w14:paraId="7E8F3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478AF185">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7D6591EB">
            <w:pPr>
              <w:keepNext w:val="0"/>
              <w:keepLines w:val="0"/>
              <w:pageBreakBefore w:val="0"/>
              <w:kinsoku/>
              <w:wordWrap/>
              <w:overflowPunct/>
              <w:topLinePunct w:val="0"/>
              <w:bidi w:val="0"/>
              <w:adjustRightInd/>
              <w:snapToGrid w:val="0"/>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编列内容</w:t>
            </w:r>
          </w:p>
        </w:tc>
      </w:tr>
      <w:tr w14:paraId="71D84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978" w:type="dxa"/>
            <w:tcBorders>
              <w:top w:val="single" w:color="auto" w:sz="4" w:space="0"/>
              <w:left w:val="single" w:color="auto" w:sz="4" w:space="0"/>
              <w:bottom w:val="single" w:color="auto" w:sz="4" w:space="0"/>
              <w:right w:val="single" w:color="auto" w:sz="4" w:space="0"/>
            </w:tcBorders>
            <w:noWrap w:val="0"/>
            <w:vAlign w:val="bottom"/>
          </w:tcPr>
          <w:p w14:paraId="568D1789">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72" w:name="_5"/>
            <w:bookmarkEnd w:id="72"/>
            <w:bookmarkStart w:id="73" w:name="_9.2"/>
            <w:bookmarkEnd w:id="73"/>
            <w:bookmarkStart w:id="74" w:name="_8.1"/>
            <w:bookmarkEnd w:id="74"/>
            <w:r>
              <w:rPr>
                <w:rFonts w:hint="eastAsia" w:ascii="宋体" w:hAnsi="宋体" w:eastAsia="宋体" w:cs="宋体"/>
                <w:color w:val="auto"/>
                <w:sz w:val="21"/>
                <w:szCs w:val="21"/>
                <w:highlight w:val="none"/>
              </w:rPr>
              <w:t>6.1</w:t>
            </w:r>
          </w:p>
        </w:tc>
        <w:tc>
          <w:tcPr>
            <w:tcW w:w="8344" w:type="dxa"/>
            <w:tcBorders>
              <w:top w:val="single" w:color="auto" w:sz="4" w:space="0"/>
              <w:left w:val="single" w:color="auto" w:sz="4" w:space="0"/>
              <w:bottom w:val="single" w:color="auto" w:sz="4" w:space="0"/>
              <w:right w:val="single" w:color="auto" w:sz="4" w:space="0"/>
            </w:tcBorders>
            <w:noWrap w:val="0"/>
            <w:vAlign w:val="bottom"/>
          </w:tcPr>
          <w:p w14:paraId="7F06D84B">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本项目是否接受联合体投标：详见招标公告。</w:t>
            </w:r>
          </w:p>
        </w:tc>
      </w:tr>
      <w:tr w14:paraId="6F54A8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978" w:type="dxa"/>
            <w:tcBorders>
              <w:top w:val="single" w:color="auto" w:sz="4" w:space="0"/>
              <w:left w:val="single" w:color="auto" w:sz="4" w:space="0"/>
              <w:bottom w:val="single" w:color="auto" w:sz="4" w:space="0"/>
              <w:right w:val="single" w:color="auto" w:sz="4" w:space="0"/>
            </w:tcBorders>
            <w:noWrap w:val="0"/>
            <w:vAlign w:val="bottom"/>
          </w:tcPr>
          <w:p w14:paraId="6FC4350C">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p>
        </w:tc>
        <w:tc>
          <w:tcPr>
            <w:tcW w:w="8344" w:type="dxa"/>
            <w:tcBorders>
              <w:top w:val="single" w:color="auto" w:sz="4" w:space="0"/>
              <w:left w:val="single" w:color="auto" w:sz="4" w:space="0"/>
              <w:bottom w:val="single" w:color="auto" w:sz="4" w:space="0"/>
              <w:right w:val="single" w:color="auto" w:sz="4" w:space="0"/>
            </w:tcBorders>
            <w:noWrap w:val="0"/>
            <w:vAlign w:val="bottom"/>
          </w:tcPr>
          <w:p w14:paraId="30DE2722">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联合体投标要求：1.两个以上投标人可以组成一个投标联合体，以一个投标人的身份共同参加投标。联合体投标的，须提供《联合体投标协议书》（格式后附）。</w:t>
            </w:r>
          </w:p>
          <w:p w14:paraId="3D9307F2">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6434EC06">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联合体各方之间必须签订联合投标协议，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398D6B6C">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4.以联合体形式参加政府采购活动的，联合体各方不得再单独参加或者与其他投标人另外组成联合体参加同一合同项下的政府采购活动。</w:t>
            </w:r>
          </w:p>
          <w:p w14:paraId="3381AE7E">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5.联合体中有同类资质的投标人按照联合体分工承担相同工作的，应当按照资质等级较低的投标人确定资质等级。</w:t>
            </w:r>
          </w:p>
          <w:p w14:paraId="4DFF0998">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6.联合体投标业绩、履约能力按照联合体各方其中较高的一方认定并计算（招标文件另有规定的除外）。</w:t>
            </w:r>
          </w:p>
          <w:p w14:paraId="5ECFA694">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7.投标人为联合体的，可以由联合体中的一方或者多方共同交纳投标保证金，其交纳的保证金对联合体各方均具有约束力。</w:t>
            </w:r>
          </w:p>
          <w:p w14:paraId="1511E227">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8.联合体各方均应按照招标文件的规定提交资格证明文件。</w:t>
            </w:r>
          </w:p>
        </w:tc>
      </w:tr>
      <w:tr w14:paraId="78EE0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978" w:type="dxa"/>
            <w:tcBorders>
              <w:top w:val="single" w:color="auto" w:sz="4" w:space="0"/>
              <w:left w:val="single" w:color="auto" w:sz="4" w:space="0"/>
              <w:bottom w:val="single" w:color="auto" w:sz="4" w:space="0"/>
              <w:right w:val="single" w:color="auto" w:sz="4" w:space="0"/>
            </w:tcBorders>
            <w:noWrap w:val="0"/>
            <w:vAlign w:val="bottom"/>
          </w:tcPr>
          <w:p w14:paraId="7607CC59">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p>
        </w:tc>
        <w:tc>
          <w:tcPr>
            <w:tcW w:w="8344" w:type="dxa"/>
            <w:tcBorders>
              <w:top w:val="single" w:color="auto" w:sz="4" w:space="0"/>
              <w:left w:val="single" w:color="auto" w:sz="4" w:space="0"/>
              <w:bottom w:val="single" w:color="auto" w:sz="4" w:space="0"/>
              <w:right w:val="single" w:color="auto" w:sz="4" w:space="0"/>
            </w:tcBorders>
            <w:noWrap w:val="0"/>
            <w:vAlign w:val="bottom"/>
          </w:tcPr>
          <w:p w14:paraId="3AC70832">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val="en-US" w:eastAsia="zh-CN"/>
              </w:rPr>
              <w:t>不允许分包。</w:t>
            </w:r>
          </w:p>
        </w:tc>
      </w:tr>
      <w:tr w14:paraId="012FE9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978" w:type="dxa"/>
            <w:vMerge w:val="restart"/>
            <w:tcBorders>
              <w:top w:val="single" w:color="auto" w:sz="4" w:space="0"/>
              <w:left w:val="single" w:color="auto" w:sz="4" w:space="0"/>
              <w:right w:val="single" w:color="auto" w:sz="4" w:space="0"/>
            </w:tcBorders>
            <w:noWrap w:val="0"/>
            <w:vAlign w:val="center"/>
          </w:tcPr>
          <w:p w14:paraId="2C3B6CA7">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w:t>
            </w:r>
          </w:p>
        </w:tc>
        <w:tc>
          <w:tcPr>
            <w:tcW w:w="8344" w:type="dxa"/>
            <w:tcBorders>
              <w:top w:val="single" w:color="auto" w:sz="4" w:space="0"/>
              <w:left w:val="single" w:color="auto" w:sz="4" w:space="0"/>
              <w:bottom w:val="single" w:color="auto" w:sz="4" w:space="0"/>
              <w:right w:val="single" w:color="auto" w:sz="4" w:space="0"/>
            </w:tcBorders>
            <w:noWrap w:val="0"/>
            <w:vAlign w:val="bottom"/>
          </w:tcPr>
          <w:p w14:paraId="6BBEB1E9">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不组织现场考察</w:t>
            </w:r>
            <w:r>
              <w:rPr>
                <w:rFonts w:hint="eastAsia" w:ascii="宋体" w:hAnsi="宋体" w:eastAsia="宋体" w:cs="宋体"/>
                <w:color w:val="auto"/>
                <w:sz w:val="21"/>
                <w:szCs w:val="21"/>
                <w:highlight w:val="none"/>
                <w:lang w:eastAsia="zh-CN"/>
              </w:rPr>
              <w:t>。</w:t>
            </w:r>
          </w:p>
        </w:tc>
      </w:tr>
      <w:tr w14:paraId="6DB1F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978" w:type="dxa"/>
            <w:vMerge w:val="continue"/>
            <w:tcBorders>
              <w:left w:val="single" w:color="auto" w:sz="4" w:space="0"/>
              <w:bottom w:val="single" w:color="auto" w:sz="4" w:space="0"/>
              <w:right w:val="single" w:color="auto" w:sz="4" w:space="0"/>
            </w:tcBorders>
            <w:noWrap w:val="0"/>
            <w:vAlign w:val="center"/>
          </w:tcPr>
          <w:p w14:paraId="180FE841">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p>
        </w:tc>
        <w:tc>
          <w:tcPr>
            <w:tcW w:w="8344" w:type="dxa"/>
            <w:tcBorders>
              <w:top w:val="single" w:color="auto" w:sz="4" w:space="0"/>
              <w:left w:val="single" w:color="auto" w:sz="4" w:space="0"/>
              <w:bottom w:val="single" w:color="auto" w:sz="4" w:space="0"/>
              <w:right w:val="single" w:color="auto" w:sz="4" w:space="0"/>
            </w:tcBorders>
            <w:noWrap w:val="0"/>
            <w:vAlign w:val="bottom"/>
          </w:tcPr>
          <w:p w14:paraId="0495EA9D">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不组织召开开标前答疑会</w:t>
            </w:r>
            <w:r>
              <w:rPr>
                <w:rFonts w:hint="eastAsia" w:ascii="宋体" w:hAnsi="宋体" w:eastAsia="宋体" w:cs="宋体"/>
                <w:color w:val="auto"/>
                <w:sz w:val="21"/>
                <w:szCs w:val="21"/>
                <w:highlight w:val="none"/>
                <w:lang w:eastAsia="zh-CN"/>
              </w:rPr>
              <w:t>。</w:t>
            </w:r>
          </w:p>
        </w:tc>
      </w:tr>
      <w:tr w14:paraId="7D267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3" w:hRule="atLeast"/>
        </w:trPr>
        <w:tc>
          <w:tcPr>
            <w:tcW w:w="978" w:type="dxa"/>
            <w:vMerge w:val="restart"/>
            <w:tcBorders>
              <w:top w:val="single" w:color="auto" w:sz="4" w:space="0"/>
              <w:left w:val="single" w:color="auto" w:sz="4" w:space="0"/>
              <w:bottom w:val="single" w:color="auto" w:sz="4" w:space="0"/>
              <w:right w:val="single" w:color="auto" w:sz="4" w:space="0"/>
            </w:tcBorders>
            <w:noWrap w:val="0"/>
            <w:vAlign w:val="center"/>
          </w:tcPr>
          <w:p w14:paraId="784BB410">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75" w:name="_13.1"/>
            <w:bookmarkEnd w:id="75"/>
            <w:r>
              <w:rPr>
                <w:rFonts w:hint="eastAsia" w:ascii="宋体" w:hAnsi="宋体" w:eastAsia="宋体" w:cs="宋体"/>
                <w:color w:val="auto"/>
                <w:sz w:val="21"/>
                <w:szCs w:val="21"/>
                <w:highlight w:val="none"/>
              </w:rPr>
              <w:t>13</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3C5EAC66">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资格证明文件：</w:t>
            </w:r>
          </w:p>
          <w:p w14:paraId="03EA9388">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1.投标人为法人或者其他组织的，提供营业执照等证明文件（如营业执照或者事业单位法人证书或者</w:t>
            </w:r>
            <w:r>
              <w:rPr>
                <w:rStyle w:val="88"/>
                <w:rFonts w:hint="eastAsia" w:ascii="宋体" w:hAnsi="宋体" w:eastAsia="宋体" w:cs="宋体"/>
                <w:color w:val="auto"/>
                <w:sz w:val="21"/>
                <w:szCs w:val="21"/>
                <w:highlight w:val="none"/>
              </w:rPr>
              <w:t>执业许可证</w:t>
            </w:r>
            <w:r>
              <w:rPr>
                <w:rFonts w:hint="eastAsia" w:ascii="宋体" w:hAnsi="宋体" w:eastAsia="宋体" w:cs="宋体"/>
                <w:color w:val="auto"/>
                <w:sz w:val="21"/>
                <w:szCs w:val="21"/>
                <w:highlight w:val="none"/>
              </w:rPr>
              <w:t>或者登记证书等），投标人为自然人的，提供身份证扫描件（格式自拟）；（</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50BDCB7D">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2.投标人依法缴纳税收的相关材料（投标文件提交截止之日前</w:t>
            </w:r>
            <w:r>
              <w:rPr>
                <w:rFonts w:hint="eastAsia" w:ascii="宋体" w:hAnsi="宋体" w:cs="宋体"/>
                <w:color w:val="auto"/>
                <w:sz w:val="21"/>
                <w:szCs w:val="21"/>
                <w:highlight w:val="none"/>
                <w:lang w:val="en-US" w:eastAsia="zh-CN"/>
              </w:rPr>
              <w:t>三个月</w:t>
            </w:r>
            <w:r>
              <w:rPr>
                <w:rFonts w:hint="eastAsia" w:ascii="宋体" w:hAnsi="宋体" w:eastAsia="宋体" w:cs="宋体"/>
                <w:color w:val="auto"/>
                <w:sz w:val="21"/>
                <w:szCs w:val="21"/>
                <w:highlight w:val="none"/>
              </w:rPr>
              <w:t>内投标人任意</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个月的依法缴纳税收的凭据扫描件；依法免税的投标人，必须提供相应文件证明其依法免税。从成立之日起到投标文件提交截止时间止不足要求月数的，只需提供从成立之日起的依法缴纳税收相应证明文件）（格式自拟）；（</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33C9227F">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3.投标人依法缴纳社会保障资金的相关材料[投标文件提交截止之日前</w:t>
            </w:r>
            <w:r>
              <w:rPr>
                <w:rFonts w:hint="eastAsia" w:ascii="宋体" w:hAnsi="宋体" w:cs="宋体"/>
                <w:color w:val="auto"/>
                <w:sz w:val="21"/>
                <w:szCs w:val="21"/>
                <w:highlight w:val="none"/>
                <w:lang w:val="en-US" w:eastAsia="zh-CN"/>
              </w:rPr>
              <w:t>三个月</w:t>
            </w:r>
            <w:r>
              <w:rPr>
                <w:rFonts w:hint="eastAsia" w:ascii="宋体" w:hAnsi="宋体" w:eastAsia="宋体" w:cs="宋体"/>
                <w:color w:val="auto"/>
                <w:sz w:val="21"/>
                <w:szCs w:val="21"/>
                <w:highlight w:val="none"/>
              </w:rPr>
              <w:t>内投标人任意</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个月的依法缴纳社会保障资金的缴费凭证（专用收据或者社会保险缴纳清单）扫描件；依法不需要缴纳社会保障资金的投标人，必须提供相应文件证明不需要缴纳社会保障资金。从成立之日起到投标文件提交截止时间止不足要求月数的只需提供从成立之日起的依法缴纳社会保障资金的相应证明文件]（格式自拟）；（</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7A8D348A">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4.投标人财务状况报告：[2024年</w:t>
            </w:r>
            <w:r>
              <w:rPr>
                <w:rFonts w:hint="eastAsia" w:ascii="宋体" w:hAnsi="宋体" w:eastAsia="宋体" w:cs="宋体"/>
                <w:color w:val="auto"/>
                <w:sz w:val="21"/>
                <w:szCs w:val="21"/>
                <w:highlight w:val="none"/>
                <w:lang w:val="en-US" w:eastAsia="zh-CN"/>
              </w:rPr>
              <w:t>或2025年</w:t>
            </w:r>
            <w:r>
              <w:rPr>
                <w:rFonts w:hint="eastAsia" w:ascii="宋体" w:hAnsi="宋体" w:eastAsia="宋体" w:cs="宋体"/>
                <w:color w:val="auto"/>
                <w:sz w:val="21"/>
                <w:szCs w:val="21"/>
                <w:highlight w:val="none"/>
              </w:rPr>
              <w:t>]财务状况报告复印件；供应商成立不满一年的应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格式自拟）；（</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0A9E87F5">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5.投标声明（格式后附）；（</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2C71F3B5">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6.投标人直接控股、管理关系信息表（格式后附）；</w:t>
            </w:r>
            <w:r>
              <w:rPr>
                <w:rFonts w:hint="eastAsia" w:ascii="宋体" w:hAnsi="宋体" w:eastAsia="宋体" w:cs="宋体"/>
                <w:b/>
                <w:color w:val="auto"/>
                <w:sz w:val="21"/>
                <w:szCs w:val="21"/>
                <w:highlight w:val="none"/>
              </w:rPr>
              <w:t>（必须提供，否则按无效投标处理）</w:t>
            </w:r>
          </w:p>
          <w:p w14:paraId="6A74FD0A">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联合体协议书</w:t>
            </w:r>
            <w:r>
              <w:rPr>
                <w:rFonts w:hint="eastAsia" w:ascii="宋体" w:hAnsi="宋体" w:eastAsia="宋体" w:cs="宋体"/>
                <w:bCs/>
                <w:color w:val="auto"/>
                <w:sz w:val="21"/>
                <w:szCs w:val="21"/>
                <w:highlight w:val="none"/>
              </w:rPr>
              <w:t>（格式后附）；</w:t>
            </w:r>
            <w:r>
              <w:rPr>
                <w:rFonts w:hint="eastAsia" w:ascii="宋体" w:hAnsi="宋体" w:eastAsia="宋体" w:cs="宋体"/>
                <w:b/>
                <w:color w:val="auto"/>
                <w:sz w:val="21"/>
                <w:szCs w:val="21"/>
                <w:highlight w:val="none"/>
              </w:rPr>
              <w:t>（必须提供，否则按无效投标处理）</w:t>
            </w:r>
          </w:p>
          <w:p w14:paraId="2696DEC4">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.除招标文件规定必须提供以外，投标人认为需要提供的其他证明材料（格式自拟）。</w:t>
            </w:r>
            <w:r>
              <w:rPr>
                <w:rFonts w:hint="eastAsia" w:ascii="宋体" w:hAnsi="宋体" w:eastAsia="宋体" w:cs="宋体"/>
                <w:b/>
                <w:bCs/>
                <w:color w:val="auto"/>
                <w:sz w:val="21"/>
                <w:szCs w:val="21"/>
                <w:highlight w:val="none"/>
              </w:rPr>
              <w:t>（如有请提供）</w:t>
            </w:r>
          </w:p>
          <w:p w14:paraId="580447F0">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注：以上标明“必须提供”的材料属于复印件的扫描件，必须加盖投标人电子签章，否则按无效投标</w:t>
            </w:r>
            <w:r>
              <w:rPr>
                <w:rFonts w:hint="eastAsia" w:ascii="宋体" w:hAnsi="宋体" w:eastAsia="宋体" w:cs="宋体"/>
                <w:b/>
                <w:color w:val="auto"/>
                <w:sz w:val="21"/>
                <w:szCs w:val="21"/>
                <w:highlight w:val="none"/>
              </w:rPr>
              <w:t>处理。</w:t>
            </w:r>
          </w:p>
          <w:p w14:paraId="42A77C6F">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color w:val="auto"/>
                <w:sz w:val="21"/>
                <w:szCs w:val="21"/>
                <w:highlight w:val="none"/>
              </w:rPr>
            </w:pPr>
            <w:r>
              <w:rPr>
                <w:rFonts w:hint="eastAsia" w:ascii="宋体" w:hAnsi="宋体"/>
                <w:b/>
                <w:bCs/>
                <w:color w:val="auto"/>
                <w:szCs w:val="21"/>
                <w:highlight w:val="none"/>
              </w:rPr>
              <w:t>4.联合体投标时，第1-5项资格证明文件联合体各方均必须分别提供，</w:t>
            </w:r>
            <w:r>
              <w:rPr>
                <w:rFonts w:hint="eastAsia" w:ascii="宋体" w:hAnsi="宋体"/>
                <w:b/>
                <w:bCs/>
                <w:color w:val="auto"/>
                <w:szCs w:val="21"/>
                <w:highlight w:val="none"/>
                <w:lang w:val="en-US" w:eastAsia="zh-CN"/>
              </w:rPr>
              <w:t>由牵头人方</w:t>
            </w:r>
            <w:r>
              <w:rPr>
                <w:rFonts w:hint="eastAsia" w:ascii="宋体" w:hAnsi="宋体"/>
                <w:b/>
                <w:bCs/>
                <w:color w:val="auto"/>
                <w:szCs w:val="21"/>
                <w:highlight w:val="none"/>
              </w:rPr>
              <w:t>盖章和签字，否则投标文件按无效响应处理。</w:t>
            </w:r>
          </w:p>
        </w:tc>
      </w:tr>
      <w:tr w14:paraId="1C4B20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top w:val="single" w:color="auto" w:sz="4" w:space="0"/>
              <w:left w:val="single" w:color="auto" w:sz="4" w:space="0"/>
              <w:bottom w:val="single" w:color="auto" w:sz="4" w:space="0"/>
              <w:right w:val="single" w:color="auto" w:sz="4" w:space="0"/>
            </w:tcBorders>
            <w:noWrap w:val="0"/>
            <w:vAlign w:val="center"/>
          </w:tcPr>
          <w:p w14:paraId="4C08F7B2">
            <w:pPr>
              <w:keepNext w:val="0"/>
              <w:keepLines w:val="0"/>
              <w:pageBreakBefore w:val="0"/>
              <w:kinsoku/>
              <w:wordWrap/>
              <w:overflowPunct/>
              <w:topLinePunct w:val="0"/>
              <w:bidi w:val="0"/>
              <w:adjustRightInd/>
              <w:spacing w:line="480" w:lineRule="exact"/>
              <w:rPr>
                <w:rFonts w:hint="eastAsia" w:ascii="宋体" w:hAnsi="宋体" w:eastAsia="宋体" w:cs="宋体"/>
                <w:color w:val="auto"/>
                <w:sz w:val="21"/>
                <w:szCs w:val="21"/>
                <w:highlight w:val="none"/>
              </w:rPr>
            </w:pPr>
            <w:bookmarkStart w:id="76" w:name="_13.2"/>
            <w:bookmarkEnd w:id="76"/>
            <w:bookmarkStart w:id="77" w:name="_13.3"/>
            <w:bookmarkEnd w:id="77"/>
          </w:p>
        </w:tc>
        <w:tc>
          <w:tcPr>
            <w:tcW w:w="8344" w:type="dxa"/>
            <w:tcBorders>
              <w:top w:val="single" w:color="auto" w:sz="4" w:space="0"/>
              <w:left w:val="single" w:color="auto" w:sz="4" w:space="0"/>
              <w:bottom w:val="single" w:color="auto" w:sz="4" w:space="0"/>
              <w:right w:val="single" w:color="auto" w:sz="4" w:space="0"/>
            </w:tcBorders>
            <w:noWrap w:val="0"/>
            <w:vAlign w:val="center"/>
          </w:tcPr>
          <w:p w14:paraId="71C998B2">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商务技术文件</w:t>
            </w:r>
            <w:r>
              <w:rPr>
                <w:rFonts w:hint="eastAsia" w:ascii="宋体" w:hAnsi="宋体" w:eastAsia="宋体" w:cs="宋体"/>
                <w:b/>
                <w:color w:val="auto"/>
                <w:sz w:val="21"/>
                <w:szCs w:val="21"/>
                <w:highlight w:val="none"/>
              </w:rPr>
              <w:t>：</w:t>
            </w:r>
          </w:p>
          <w:p w14:paraId="181250E0">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商务文件：</w:t>
            </w:r>
          </w:p>
          <w:p w14:paraId="363C40F7">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1.无串通投标行为的承诺函（格式后附）；（</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159A9E1E">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2.投标保证金提交凭证；（</w:t>
            </w:r>
            <w:r>
              <w:rPr>
                <w:rFonts w:hint="eastAsia" w:ascii="宋体" w:hAnsi="宋体" w:eastAsia="宋体" w:cs="宋体"/>
                <w:b/>
                <w:bCs/>
                <w:color w:val="auto"/>
                <w:sz w:val="21"/>
                <w:szCs w:val="21"/>
                <w:highlight w:val="none"/>
              </w:rPr>
              <w:t>必须提供</w:t>
            </w:r>
            <w:r>
              <w:rPr>
                <w:rFonts w:hint="eastAsia" w:ascii="宋体" w:hAnsi="宋体" w:eastAsia="宋体" w:cs="宋体"/>
                <w:b/>
                <w:color w:val="auto"/>
                <w:sz w:val="21"/>
                <w:szCs w:val="21"/>
                <w:highlight w:val="none"/>
              </w:rPr>
              <w:t>，否则按无效投标处理</w:t>
            </w:r>
            <w:r>
              <w:rPr>
                <w:rFonts w:hint="eastAsia" w:ascii="宋体" w:hAnsi="宋体" w:eastAsia="宋体" w:cs="宋体"/>
                <w:color w:val="auto"/>
                <w:sz w:val="21"/>
                <w:szCs w:val="21"/>
                <w:highlight w:val="none"/>
              </w:rPr>
              <w:t>）</w:t>
            </w:r>
          </w:p>
          <w:p w14:paraId="73C3561C">
            <w:pPr>
              <w:keepNext w:val="0"/>
              <w:keepLines w:val="0"/>
              <w:pageBreakBefore w:val="0"/>
              <w:widowControl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3.法定代表人身份证明及法定代表人有效身份证正反面扫描件（格式后附）；（</w:t>
            </w:r>
            <w:r>
              <w:rPr>
                <w:rFonts w:hint="eastAsia" w:ascii="宋体" w:hAnsi="宋体" w:eastAsia="宋体" w:cs="宋体"/>
                <w:b/>
                <w:bCs/>
                <w:color w:val="auto"/>
                <w:sz w:val="21"/>
                <w:szCs w:val="21"/>
                <w:highlight w:val="none"/>
              </w:rPr>
              <w:t>除自然人投标外</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7C99545A">
            <w:pPr>
              <w:keepNext w:val="0"/>
              <w:keepLines w:val="0"/>
              <w:pageBreakBefore w:val="0"/>
              <w:widowControl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4.授权委托书及委托代理人有效身份证正反面扫描件（格式后附）；（</w:t>
            </w:r>
            <w:r>
              <w:rPr>
                <w:rFonts w:hint="eastAsia" w:ascii="宋体" w:hAnsi="宋体" w:eastAsia="宋体" w:cs="宋体"/>
                <w:b/>
                <w:color w:val="auto"/>
                <w:sz w:val="21"/>
                <w:szCs w:val="21"/>
                <w:highlight w:val="none"/>
              </w:rPr>
              <w:t>委托时必须提供，否则按无效投标处理</w:t>
            </w:r>
            <w:r>
              <w:rPr>
                <w:rFonts w:hint="eastAsia" w:ascii="宋体" w:hAnsi="宋体" w:eastAsia="宋体" w:cs="宋体"/>
                <w:color w:val="auto"/>
                <w:sz w:val="21"/>
                <w:szCs w:val="21"/>
                <w:highlight w:val="none"/>
              </w:rPr>
              <w:t>）</w:t>
            </w:r>
          </w:p>
          <w:p w14:paraId="29BB5979">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5.商务要求偏离表（格式后附）；（</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687629A5">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6.售后服务承诺（格式自拟）；</w:t>
            </w:r>
            <w:r>
              <w:rPr>
                <w:rFonts w:hint="eastAsia" w:ascii="宋体" w:hAnsi="宋体" w:eastAsia="宋体" w:cs="宋体"/>
                <w:b/>
                <w:bCs/>
                <w:color w:val="auto"/>
                <w:sz w:val="21"/>
                <w:szCs w:val="21"/>
                <w:highlight w:val="none"/>
              </w:rPr>
              <w:t>（如有请提供）</w:t>
            </w:r>
          </w:p>
          <w:p w14:paraId="724D4344">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7.投标人情况介绍（格式自拟）；</w:t>
            </w:r>
            <w:r>
              <w:rPr>
                <w:rFonts w:hint="eastAsia" w:ascii="宋体" w:hAnsi="宋体" w:eastAsia="宋体" w:cs="宋体"/>
                <w:b/>
                <w:bCs/>
                <w:color w:val="auto"/>
                <w:sz w:val="21"/>
                <w:szCs w:val="21"/>
                <w:highlight w:val="none"/>
              </w:rPr>
              <w:t>（如有请提供）</w:t>
            </w:r>
          </w:p>
          <w:p w14:paraId="5AF564D7">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8投标人业绩证明材料（格式后附）；</w:t>
            </w:r>
            <w:r>
              <w:rPr>
                <w:rFonts w:hint="eastAsia" w:ascii="宋体" w:hAnsi="宋体" w:eastAsia="宋体" w:cs="宋体"/>
                <w:b/>
                <w:bCs/>
                <w:color w:val="auto"/>
                <w:sz w:val="21"/>
                <w:szCs w:val="21"/>
                <w:highlight w:val="none"/>
              </w:rPr>
              <w:t>（如有请提供）</w:t>
            </w:r>
          </w:p>
          <w:p w14:paraId="361F74C2">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9.除招标文件规定必须提供以外，投标人认为需要提供的其他证明材料（格式自拟）。（投标人根据“第二章 采购需求”及“第四章 评标方法及评标标准”提供有关证明材料）。</w:t>
            </w:r>
            <w:r>
              <w:rPr>
                <w:rFonts w:hint="eastAsia" w:ascii="宋体" w:hAnsi="宋体" w:eastAsia="宋体" w:cs="宋体"/>
                <w:b/>
                <w:bCs/>
                <w:color w:val="auto"/>
                <w:sz w:val="21"/>
                <w:szCs w:val="21"/>
                <w:highlight w:val="none"/>
              </w:rPr>
              <w:t>（如有请提供）</w:t>
            </w:r>
          </w:p>
          <w:p w14:paraId="11FC1EF7">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技术文件：</w:t>
            </w:r>
          </w:p>
          <w:p w14:paraId="08B00A2D">
            <w:pPr>
              <w:keepNext w:val="0"/>
              <w:keepLines w:val="0"/>
              <w:pageBreakBefore w:val="0"/>
              <w:kinsoku/>
              <w:wordWrap/>
              <w:overflowPunct/>
              <w:topLinePunct w:val="0"/>
              <w:bidi w:val="0"/>
              <w:adjustRightInd/>
              <w:snapToGrid w:val="0"/>
              <w:spacing w:line="480" w:lineRule="exact"/>
              <w:ind w:left="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1.技术要求偏离表（格式后附）；（</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23C8838E">
            <w:pPr>
              <w:keepNext w:val="0"/>
              <w:keepLines w:val="0"/>
              <w:pageBreakBefore w:val="0"/>
              <w:kinsoku/>
              <w:wordWrap/>
              <w:overflowPunct/>
              <w:topLinePunct w:val="0"/>
              <w:bidi w:val="0"/>
              <w:adjustRightInd/>
              <w:snapToGrid w:val="0"/>
              <w:spacing w:line="480" w:lineRule="exact"/>
              <w:ind w:left="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整体</w:t>
            </w:r>
            <w:r>
              <w:rPr>
                <w:rFonts w:hint="eastAsia" w:ascii="宋体" w:hAnsi="宋体" w:eastAsia="宋体" w:cs="宋体"/>
                <w:color w:val="auto"/>
                <w:sz w:val="21"/>
                <w:szCs w:val="21"/>
                <w:highlight w:val="none"/>
              </w:rPr>
              <w:t>服务方案（格式自拟）；</w:t>
            </w:r>
            <w:r>
              <w:rPr>
                <w:rFonts w:hint="eastAsia" w:ascii="宋体" w:hAnsi="宋体" w:eastAsia="宋体" w:cs="宋体"/>
                <w:b/>
                <w:bCs/>
                <w:color w:val="auto"/>
                <w:sz w:val="21"/>
                <w:szCs w:val="21"/>
                <w:highlight w:val="none"/>
              </w:rPr>
              <w:t>（如有请提供）</w:t>
            </w:r>
          </w:p>
          <w:p w14:paraId="5E714031">
            <w:pPr>
              <w:keepNext w:val="0"/>
              <w:keepLines w:val="0"/>
              <w:pageBreakBefore w:val="0"/>
              <w:kinsoku/>
              <w:wordWrap/>
              <w:overflowPunct/>
              <w:topLinePunct w:val="0"/>
              <w:bidi w:val="0"/>
              <w:adjustRightInd/>
              <w:snapToGrid w:val="0"/>
              <w:spacing w:line="480" w:lineRule="exact"/>
              <w:ind w:left="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3.项目实施人员一览表（格式后附）；</w:t>
            </w:r>
            <w:r>
              <w:rPr>
                <w:rFonts w:hint="eastAsia" w:ascii="宋体" w:hAnsi="宋体" w:eastAsia="宋体" w:cs="宋体"/>
                <w:b/>
                <w:bCs/>
                <w:color w:val="auto"/>
                <w:sz w:val="21"/>
                <w:szCs w:val="21"/>
                <w:highlight w:val="none"/>
              </w:rPr>
              <w:t>（如有请提供）</w:t>
            </w:r>
          </w:p>
          <w:p w14:paraId="57F03F73">
            <w:pPr>
              <w:keepNext w:val="0"/>
              <w:keepLines w:val="0"/>
              <w:pageBreakBefore w:val="0"/>
              <w:kinsoku/>
              <w:wordWrap/>
              <w:overflowPunct/>
              <w:topLinePunct w:val="0"/>
              <w:bidi w:val="0"/>
              <w:adjustRightInd/>
              <w:snapToGrid w:val="0"/>
              <w:spacing w:line="480" w:lineRule="exact"/>
              <w:ind w:left="42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4.投标人对本项目的合理化建议和改进措施（格式自拟）；</w:t>
            </w:r>
            <w:r>
              <w:rPr>
                <w:rFonts w:hint="eastAsia" w:ascii="宋体" w:hAnsi="宋体" w:eastAsia="宋体" w:cs="宋体"/>
                <w:b/>
                <w:bCs/>
                <w:color w:val="auto"/>
                <w:sz w:val="21"/>
                <w:szCs w:val="21"/>
                <w:highlight w:val="none"/>
              </w:rPr>
              <w:t>（如有请提供）</w:t>
            </w:r>
          </w:p>
          <w:p w14:paraId="5BD56237">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5.除招标文件规定必须提供以外，投标人需要说明的其他文件和说明（格式自拟）。（投标人根据“第二章 采购需求”及“第四章 评标方法及评标标准”提供有关证明材料）。</w:t>
            </w:r>
            <w:r>
              <w:rPr>
                <w:rFonts w:hint="eastAsia" w:ascii="宋体" w:hAnsi="宋体" w:eastAsia="宋体" w:cs="宋体"/>
                <w:b/>
                <w:bCs/>
                <w:color w:val="auto"/>
                <w:sz w:val="21"/>
                <w:szCs w:val="21"/>
                <w:highlight w:val="none"/>
              </w:rPr>
              <w:t>（如有请提供）</w:t>
            </w:r>
          </w:p>
          <w:p w14:paraId="218F0872">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注：以上标明“必须提供”的材料属于复印件的扫描件，必须加盖投标人电子签章，否则按无效投标</w:t>
            </w:r>
            <w:r>
              <w:rPr>
                <w:rFonts w:hint="eastAsia" w:ascii="宋体" w:hAnsi="宋体" w:eastAsia="宋体" w:cs="宋体"/>
                <w:b/>
                <w:color w:val="auto"/>
                <w:sz w:val="21"/>
                <w:szCs w:val="21"/>
                <w:highlight w:val="none"/>
              </w:rPr>
              <w:t>处理</w:t>
            </w:r>
            <w:r>
              <w:rPr>
                <w:rFonts w:hint="eastAsia" w:ascii="宋体" w:hAnsi="宋体" w:eastAsia="宋体" w:cs="宋体"/>
                <w:b/>
                <w:bCs/>
                <w:color w:val="auto"/>
                <w:sz w:val="21"/>
                <w:szCs w:val="21"/>
                <w:highlight w:val="none"/>
              </w:rPr>
              <w:t>。</w:t>
            </w:r>
          </w:p>
        </w:tc>
      </w:tr>
      <w:tr w14:paraId="19D81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66ABFD4">
            <w:pPr>
              <w:keepNext w:val="0"/>
              <w:keepLines w:val="0"/>
              <w:pageBreakBefore w:val="0"/>
              <w:kinsoku/>
              <w:wordWrap/>
              <w:overflowPunct/>
              <w:topLinePunct w:val="0"/>
              <w:bidi w:val="0"/>
              <w:adjustRightInd/>
              <w:spacing w:line="480" w:lineRule="exact"/>
              <w:rPr>
                <w:rFonts w:hint="eastAsia" w:ascii="宋体" w:hAnsi="宋体" w:eastAsia="宋体" w:cs="宋体"/>
                <w:color w:val="auto"/>
                <w:sz w:val="21"/>
                <w:szCs w:val="21"/>
                <w:highlight w:val="none"/>
              </w:rPr>
            </w:pPr>
          </w:p>
        </w:tc>
        <w:tc>
          <w:tcPr>
            <w:tcW w:w="8344" w:type="dxa"/>
            <w:tcBorders>
              <w:top w:val="single" w:color="auto" w:sz="4" w:space="0"/>
              <w:left w:val="single" w:color="auto" w:sz="4" w:space="0"/>
              <w:bottom w:val="single" w:color="auto" w:sz="4" w:space="0"/>
              <w:right w:val="single" w:color="auto" w:sz="4" w:space="0"/>
            </w:tcBorders>
            <w:noWrap w:val="0"/>
            <w:vAlign w:val="center"/>
          </w:tcPr>
          <w:p w14:paraId="3692F107">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报价文件：</w:t>
            </w:r>
          </w:p>
          <w:p w14:paraId="70D09EDD">
            <w:pPr>
              <w:keepNext w:val="0"/>
              <w:keepLines w:val="0"/>
              <w:pageBreakBefore w:val="0"/>
              <w:tabs>
                <w:tab w:val="left" w:pos="459"/>
              </w:tabs>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1.投标函（格式后附）；</w:t>
            </w:r>
            <w:r>
              <w:rPr>
                <w:rFonts w:hint="eastAsia" w:ascii="宋体" w:hAnsi="宋体" w:eastAsia="宋体" w:cs="宋体"/>
                <w:b/>
                <w:color w:val="auto"/>
                <w:sz w:val="21"/>
                <w:szCs w:val="21"/>
                <w:highlight w:val="none"/>
              </w:rPr>
              <w:t>（必须提供，否则按无效投标处理）</w:t>
            </w:r>
          </w:p>
          <w:p w14:paraId="159421EC">
            <w:pPr>
              <w:keepNext w:val="0"/>
              <w:keepLines w:val="0"/>
              <w:pageBreakBefore w:val="0"/>
              <w:tabs>
                <w:tab w:val="left" w:pos="459"/>
              </w:tabs>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2.开标一览表（格式后附）；</w:t>
            </w:r>
            <w:r>
              <w:rPr>
                <w:rFonts w:hint="eastAsia" w:ascii="宋体" w:hAnsi="宋体" w:eastAsia="宋体" w:cs="宋体"/>
                <w:b/>
                <w:bCs/>
                <w:color w:val="auto"/>
                <w:sz w:val="21"/>
                <w:szCs w:val="21"/>
                <w:highlight w:val="none"/>
              </w:rPr>
              <w:t>（必须提供，否则按无效投标处理）</w:t>
            </w:r>
          </w:p>
          <w:p w14:paraId="1517AD38">
            <w:pPr>
              <w:keepNext w:val="0"/>
              <w:keepLines w:val="0"/>
              <w:pageBreakBefore w:val="0"/>
              <w:tabs>
                <w:tab w:val="left" w:pos="459"/>
              </w:tabs>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3.中小企业声明函或残疾人福利性单位声明函（格式后附）；</w:t>
            </w:r>
            <w:r>
              <w:rPr>
                <w:rFonts w:hint="eastAsia" w:ascii="宋体" w:hAnsi="宋体" w:eastAsia="宋体" w:cs="宋体"/>
                <w:b/>
                <w:bCs/>
                <w:color w:val="auto"/>
                <w:sz w:val="21"/>
                <w:szCs w:val="21"/>
                <w:highlight w:val="none"/>
              </w:rPr>
              <w:t>（如有请提供）</w:t>
            </w:r>
          </w:p>
          <w:p w14:paraId="3EB4FE9B">
            <w:pPr>
              <w:keepNext w:val="0"/>
              <w:keepLines w:val="0"/>
              <w:pageBreakBefore w:val="0"/>
              <w:tabs>
                <w:tab w:val="left" w:pos="459"/>
              </w:tabs>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4.投标人针对报价需要说明的其他文件和说明（格式自拟）。（</w:t>
            </w:r>
            <w:r>
              <w:rPr>
                <w:rFonts w:hint="eastAsia" w:ascii="宋体" w:hAnsi="宋体" w:eastAsia="宋体" w:cs="宋体"/>
                <w:b/>
                <w:bCs/>
                <w:color w:val="auto"/>
                <w:sz w:val="21"/>
                <w:szCs w:val="21"/>
                <w:highlight w:val="none"/>
              </w:rPr>
              <w:t>如有请提供）</w:t>
            </w:r>
          </w:p>
          <w:p w14:paraId="4A7E0DDE">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注：以上标明“必须提供”的材料属于复印件的，必须加盖投标人电子签章，否则按无效投标</w:t>
            </w:r>
            <w:r>
              <w:rPr>
                <w:rFonts w:hint="eastAsia" w:ascii="宋体" w:hAnsi="宋体" w:eastAsia="宋体" w:cs="宋体"/>
                <w:b/>
                <w:color w:val="auto"/>
                <w:sz w:val="21"/>
                <w:szCs w:val="21"/>
                <w:highlight w:val="none"/>
              </w:rPr>
              <w:t>处理。</w:t>
            </w:r>
          </w:p>
        </w:tc>
      </w:tr>
      <w:tr w14:paraId="698AF4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F495898">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78" w:name="_13.5"/>
            <w:bookmarkEnd w:id="78"/>
            <w:bookmarkStart w:id="79" w:name="_13.4"/>
            <w:bookmarkEnd w:id="79"/>
            <w:bookmarkStart w:id="80" w:name="_16.2"/>
            <w:bookmarkEnd w:id="80"/>
            <w:r>
              <w:rPr>
                <w:rFonts w:hint="eastAsia" w:ascii="宋体" w:hAnsi="宋体" w:eastAsia="宋体" w:cs="宋体"/>
                <w:color w:val="auto"/>
                <w:sz w:val="21"/>
                <w:szCs w:val="21"/>
                <w:highlight w:val="none"/>
              </w:rPr>
              <w:t>16</w:t>
            </w:r>
            <w:bookmarkStart w:id="81" w:name="_Hlt19194066"/>
            <w:bookmarkStart w:id="82" w:name="_Hlt19693759"/>
            <w:bookmarkStart w:id="83" w:name="_Hlt19693758"/>
            <w:bookmarkStart w:id="84" w:name="_Hlt19194067"/>
            <w:r>
              <w:rPr>
                <w:rFonts w:hint="eastAsia" w:ascii="宋体" w:hAnsi="宋体" w:eastAsia="宋体" w:cs="宋体"/>
                <w:color w:val="auto"/>
                <w:sz w:val="21"/>
                <w:szCs w:val="21"/>
                <w:highlight w:val="none"/>
              </w:rPr>
              <w:t>.</w:t>
            </w:r>
            <w:bookmarkEnd w:id="81"/>
            <w:bookmarkEnd w:id="82"/>
            <w:bookmarkEnd w:id="83"/>
            <w:bookmarkEnd w:id="84"/>
            <w:r>
              <w:rPr>
                <w:rFonts w:hint="eastAsia" w:ascii="宋体" w:hAnsi="宋体" w:eastAsia="宋体" w:cs="宋体"/>
                <w:color w:val="auto"/>
                <w:sz w:val="21"/>
                <w:szCs w:val="21"/>
                <w:highlight w:val="none"/>
              </w:rPr>
              <w:t>2</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542825F3">
            <w:pPr>
              <w:keepNext w:val="0"/>
              <w:keepLines w:val="0"/>
              <w:pageBreakBefore w:val="0"/>
              <w:kinsoku/>
              <w:wordWrap/>
              <w:overflowPunct/>
              <w:topLinePunct w:val="0"/>
              <w:bidi w:val="0"/>
              <w:adjustRightInd/>
              <w:snapToGrid w:val="0"/>
              <w:spacing w:line="480" w:lineRule="exact"/>
              <w:rPr>
                <w:rFonts w:hint="eastAsia" w:ascii="宋体" w:hAnsi="宋体" w:eastAsia="宋体" w:cs="宋体"/>
                <w:b/>
                <w:i/>
                <w:color w:val="auto"/>
                <w:sz w:val="21"/>
                <w:szCs w:val="21"/>
                <w:highlight w:val="none"/>
              </w:rPr>
            </w:pPr>
            <w:r>
              <w:rPr>
                <w:rFonts w:hint="eastAsia" w:ascii="宋体" w:hAnsi="宋体" w:eastAsia="宋体" w:cs="宋体"/>
                <w:color w:val="auto"/>
                <w:sz w:val="21"/>
                <w:szCs w:val="21"/>
                <w:highlight w:val="none"/>
              </w:rPr>
              <w:t>投标报价是履行合同的最终价格，为总包干价人民币含税价，除另有约定的以外，采购人不再支付任何合同金额以外的费用。具体见本招标文件第二章“商务</w:t>
            </w:r>
            <w:r>
              <w:rPr>
                <w:rFonts w:hint="eastAsia" w:ascii="宋体" w:hAnsi="宋体" w:eastAsia="宋体" w:cs="宋体"/>
                <w:color w:val="auto"/>
                <w:sz w:val="21"/>
                <w:szCs w:val="21"/>
                <w:highlight w:val="none"/>
                <w:lang w:eastAsia="zh-CN"/>
              </w:rPr>
              <w:t>条款</w:t>
            </w:r>
            <w:r>
              <w:rPr>
                <w:rFonts w:hint="eastAsia" w:ascii="宋体" w:hAnsi="宋体" w:eastAsia="宋体" w:cs="宋体"/>
                <w:color w:val="auto"/>
                <w:sz w:val="21"/>
                <w:szCs w:val="21"/>
                <w:highlight w:val="none"/>
              </w:rPr>
              <w:t>要求”。</w:t>
            </w:r>
          </w:p>
        </w:tc>
      </w:tr>
      <w:tr w14:paraId="77118C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3A410E82">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85" w:name="_17.1"/>
            <w:bookmarkEnd w:id="85"/>
            <w:r>
              <w:rPr>
                <w:rFonts w:hint="eastAsia" w:ascii="宋体" w:hAnsi="宋体" w:eastAsia="宋体" w:cs="宋体"/>
                <w:color w:val="auto"/>
                <w:sz w:val="21"/>
                <w:szCs w:val="21"/>
                <w:highlight w:val="none"/>
              </w:rPr>
              <w:t>17.2</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7202A47">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投标有效期：自投标截止之日起</w:t>
            </w:r>
            <w:r>
              <w:rPr>
                <w:rFonts w:hint="eastAsia" w:ascii="宋体" w:hAnsi="宋体" w:eastAsia="宋体" w:cs="宋体"/>
                <w:color w:val="auto"/>
                <w:sz w:val="21"/>
                <w:szCs w:val="21"/>
                <w:highlight w:val="none"/>
                <w:u w:val="single"/>
              </w:rPr>
              <w:t>90</w:t>
            </w:r>
            <w:r>
              <w:rPr>
                <w:rFonts w:hint="eastAsia" w:ascii="宋体" w:hAnsi="宋体" w:eastAsia="宋体" w:cs="宋体"/>
                <w:color w:val="auto"/>
                <w:sz w:val="21"/>
                <w:szCs w:val="21"/>
                <w:highlight w:val="none"/>
              </w:rPr>
              <w:t>日。</w:t>
            </w:r>
          </w:p>
        </w:tc>
      </w:tr>
      <w:tr w14:paraId="0100CC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8EDD030">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86" w:name="_18"/>
            <w:bookmarkEnd w:id="86"/>
            <w:r>
              <w:rPr>
                <w:rFonts w:hint="eastAsia" w:ascii="宋体" w:hAnsi="宋体" w:eastAsia="宋体" w:cs="宋体"/>
                <w:color w:val="auto"/>
                <w:sz w:val="21"/>
                <w:szCs w:val="21"/>
                <w:highlight w:val="none"/>
              </w:rPr>
              <w:t>18.1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0B427E06">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rPr>
              <w:t>本项目不收取投标保证金</w:t>
            </w:r>
          </w:p>
          <w:p w14:paraId="00217EF6">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2" w:char="F052"/>
            </w:r>
            <w:r>
              <w:rPr>
                <w:rFonts w:hint="eastAsia" w:ascii="宋体" w:hAnsi="宋体" w:eastAsia="宋体" w:cs="宋体"/>
                <w:color w:val="auto"/>
                <w:sz w:val="21"/>
                <w:szCs w:val="21"/>
                <w:highlight w:val="none"/>
              </w:rPr>
              <w:t>本项目收取投标保证金，具体规定如下：</w:t>
            </w:r>
          </w:p>
          <w:p w14:paraId="1464B1A7">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投标保证金：</w:t>
            </w:r>
            <w:r>
              <w:rPr>
                <w:rFonts w:hint="eastAsia" w:ascii="宋体" w:hAnsi="宋体" w:eastAsia="宋体" w:cs="宋体"/>
                <w:color w:val="auto"/>
                <w:sz w:val="21"/>
                <w:szCs w:val="21"/>
                <w:highlight w:val="none"/>
              </w:rPr>
              <w:t>详见招标公告</w:t>
            </w:r>
            <w:r>
              <w:rPr>
                <w:rFonts w:hint="eastAsia" w:ascii="宋体" w:hAnsi="宋体" w:eastAsia="宋体" w:cs="宋体"/>
                <w:color w:val="auto"/>
                <w:kern w:val="0"/>
                <w:sz w:val="21"/>
                <w:szCs w:val="21"/>
                <w:highlight w:val="none"/>
              </w:rPr>
              <w:t>。</w:t>
            </w:r>
          </w:p>
          <w:p w14:paraId="2F2B5980">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投标保证金的交纳方式：</w:t>
            </w:r>
            <w:r>
              <w:rPr>
                <w:rFonts w:hint="eastAsia" w:ascii="宋体" w:hAnsi="宋体" w:eastAsia="宋体" w:cs="宋体"/>
                <w:color w:val="auto"/>
                <w:sz w:val="21"/>
                <w:szCs w:val="21"/>
                <w:highlight w:val="none"/>
              </w:rPr>
              <w:t>详见招标公告</w:t>
            </w:r>
            <w:r>
              <w:rPr>
                <w:rFonts w:hint="eastAsia" w:ascii="宋体" w:hAnsi="宋体" w:eastAsia="宋体" w:cs="宋体"/>
                <w:color w:val="auto"/>
                <w:kern w:val="0"/>
                <w:sz w:val="21"/>
                <w:szCs w:val="21"/>
                <w:highlight w:val="none"/>
              </w:rPr>
              <w:t>。</w:t>
            </w:r>
          </w:p>
          <w:p w14:paraId="452292BD">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相关要求：</w:t>
            </w:r>
          </w:p>
          <w:p w14:paraId="17772824">
            <w:pPr>
              <w:keepNext w:val="0"/>
              <w:keepLines w:val="0"/>
              <w:pageBreakBefore w:val="0"/>
              <w:tabs>
                <w:tab w:val="left" w:pos="459"/>
              </w:tabs>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1.投标保证金采用银行转账交纳方式的，在投标截止时间前交至指定账户并且到账，投标人应将银行转账底单的扫描件做为投标保证金提交凭证，放置于商务文件中，</w:t>
            </w:r>
            <w:r>
              <w:rPr>
                <w:rFonts w:hint="eastAsia" w:ascii="宋体" w:hAnsi="宋体" w:eastAsia="宋体" w:cs="宋体"/>
                <w:b/>
                <w:color w:val="auto"/>
                <w:sz w:val="21"/>
                <w:szCs w:val="21"/>
                <w:highlight w:val="none"/>
                <w:lang w:val="en-US" w:eastAsia="zh-CN"/>
              </w:rPr>
              <w:t>否则投标无效</w:t>
            </w:r>
            <w:r>
              <w:rPr>
                <w:rFonts w:hint="eastAsia" w:ascii="宋体" w:hAnsi="宋体" w:eastAsia="宋体" w:cs="宋体"/>
                <w:color w:val="auto"/>
                <w:sz w:val="21"/>
                <w:szCs w:val="21"/>
                <w:highlight w:val="none"/>
                <w:lang w:val="en-US" w:eastAsia="zh-CN"/>
              </w:rPr>
              <w:t>。</w:t>
            </w:r>
          </w:p>
          <w:p w14:paraId="10FD1FF3">
            <w:pPr>
              <w:keepNext w:val="0"/>
              <w:keepLines w:val="0"/>
              <w:pageBreakBefore w:val="0"/>
              <w:tabs>
                <w:tab w:val="left" w:pos="459"/>
              </w:tabs>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2.投标保证金采用支票、汇票、本票或者银行、保险机构出具的保函交纳方式的，投标人应将支票、汇票、本票或者银行、保险机构出具的保函的扫描件</w:t>
            </w:r>
            <w:r>
              <w:rPr>
                <w:rFonts w:hint="eastAsia" w:ascii="宋体" w:hAnsi="宋体" w:eastAsia="宋体" w:cs="宋体"/>
                <w:color w:val="auto"/>
                <w:sz w:val="21"/>
                <w:szCs w:val="21"/>
                <w:highlight w:val="none"/>
                <w:lang w:eastAsia="zh-CN"/>
              </w:rPr>
              <w:t>做为</w:t>
            </w:r>
            <w:r>
              <w:rPr>
                <w:rFonts w:hint="eastAsia" w:ascii="宋体" w:hAnsi="宋体" w:eastAsia="宋体" w:cs="宋体"/>
                <w:color w:val="auto"/>
                <w:sz w:val="21"/>
                <w:szCs w:val="21"/>
                <w:highlight w:val="none"/>
              </w:rPr>
              <w:t>投标保证金提交凭证，放置于商务文件中，</w:t>
            </w:r>
            <w:r>
              <w:rPr>
                <w:rFonts w:hint="eastAsia" w:ascii="宋体" w:hAnsi="宋体" w:eastAsia="宋体" w:cs="宋体"/>
                <w:b/>
                <w:color w:val="auto"/>
                <w:sz w:val="21"/>
                <w:szCs w:val="21"/>
                <w:highlight w:val="none"/>
              </w:rPr>
              <w:t>否则投标无效</w:t>
            </w:r>
            <w:r>
              <w:rPr>
                <w:rFonts w:hint="eastAsia" w:ascii="宋体" w:hAnsi="宋体" w:eastAsia="宋体" w:cs="宋体"/>
                <w:color w:val="auto"/>
                <w:sz w:val="21"/>
                <w:szCs w:val="21"/>
                <w:highlight w:val="none"/>
              </w:rPr>
              <w:t>。投标人必须在投标截止时间前采用现场或邮寄方式（现场提交地址：</w:t>
            </w:r>
            <w:r>
              <w:rPr>
                <w:rFonts w:hint="eastAsia" w:ascii="宋体" w:hAnsi="宋体" w:eastAsia="宋体" w:cs="宋体"/>
                <w:bCs/>
                <w:color w:val="auto"/>
                <w:sz w:val="21"/>
                <w:szCs w:val="21"/>
                <w:highlight w:val="none"/>
              </w:rPr>
              <w:t>广西中信恒泰工程顾问有限公司</w:t>
            </w:r>
            <w:r>
              <w:rPr>
                <w:rFonts w:hint="eastAsia" w:ascii="宋体" w:hAnsi="宋体" w:eastAsia="宋体" w:cs="宋体"/>
                <w:color w:val="auto"/>
                <w:sz w:val="21"/>
                <w:szCs w:val="21"/>
                <w:highlight w:val="none"/>
              </w:rPr>
              <w:t>（广西南宁市青秀区云景路69号南宁轨道大厦B楼</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层）；邮寄地址：广</w:t>
            </w:r>
            <w:r>
              <w:rPr>
                <w:rFonts w:hint="eastAsia" w:ascii="宋体" w:hAnsi="宋体" w:eastAsia="宋体" w:cs="宋体"/>
                <w:bCs/>
                <w:color w:val="auto"/>
                <w:sz w:val="21"/>
                <w:szCs w:val="21"/>
                <w:highlight w:val="none"/>
              </w:rPr>
              <w:t>西南宁市青秀区云景路69号南宁轨道大厦B楼</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层</w:t>
            </w:r>
            <w:r>
              <w:rPr>
                <w:rFonts w:hint="eastAsia" w:ascii="宋体" w:hAnsi="宋体" w:eastAsia="宋体" w:cs="宋体"/>
                <w:color w:val="auto"/>
                <w:sz w:val="21"/>
                <w:szCs w:val="21"/>
                <w:highlight w:val="none"/>
              </w:rPr>
              <w:t>，收件人：</w:t>
            </w:r>
            <w:r>
              <w:rPr>
                <w:rFonts w:hint="eastAsia" w:ascii="宋体" w:hAnsi="宋体" w:eastAsia="宋体" w:cs="宋体"/>
                <w:bCs/>
                <w:color w:val="auto"/>
                <w:sz w:val="21"/>
                <w:szCs w:val="21"/>
                <w:highlight w:val="none"/>
                <w:lang w:eastAsia="zh-CN"/>
              </w:rPr>
              <w:t>黄红琳</w:t>
            </w: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lang w:eastAsia="zh-CN"/>
              </w:rPr>
              <w:t>0771-5776253</w:t>
            </w:r>
            <w:r>
              <w:rPr>
                <w:rFonts w:hint="eastAsia" w:ascii="宋体" w:hAnsi="宋体" w:eastAsia="宋体" w:cs="宋体"/>
                <w:color w:val="auto"/>
                <w:sz w:val="21"/>
                <w:szCs w:val="21"/>
                <w:highlight w:val="none"/>
              </w:rPr>
              <w:t>）将</w:t>
            </w:r>
            <w:r>
              <w:rPr>
                <w:rFonts w:hint="eastAsia" w:ascii="宋体" w:hAnsi="宋体" w:eastAsia="宋体" w:cs="宋体"/>
                <w:color w:val="auto"/>
                <w:kern w:val="0"/>
                <w:sz w:val="21"/>
                <w:szCs w:val="21"/>
                <w:highlight w:val="none"/>
              </w:rPr>
              <w:t>单独密封的</w:t>
            </w:r>
            <w:r>
              <w:rPr>
                <w:rFonts w:hint="eastAsia" w:ascii="宋体" w:hAnsi="宋体" w:eastAsia="宋体" w:cs="宋体"/>
                <w:color w:val="auto"/>
                <w:sz w:val="21"/>
                <w:szCs w:val="21"/>
                <w:highlight w:val="none"/>
              </w:rPr>
              <w:t>支票、汇票、本票或者银行、保险机构出具的保函原件提交给采购人或者采购代理机构，由采购人或者采购代理机构向投标人出具回执（邮寄方式的除外），并妥善保管。</w:t>
            </w:r>
          </w:p>
          <w:p w14:paraId="5B0F3E5D">
            <w:pPr>
              <w:keepNext w:val="0"/>
              <w:keepLines w:val="0"/>
              <w:pageBreakBefore w:val="0"/>
              <w:tabs>
                <w:tab w:val="left" w:pos="459"/>
              </w:tabs>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3.投标人为联合体的，可以由联合体中的一方或者多方共同交纳投标保证金，其交纳的保证金对联合体各方均具有约束力。</w:t>
            </w:r>
          </w:p>
          <w:p w14:paraId="7FE51722">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p w14:paraId="7E35D433">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1.投标保证金在投标截止时间后提交的，或者不按规定交纳方式交纳的，或者未足额交纳的（包含保函额度不足的），视为无效投标保证金。</w:t>
            </w:r>
          </w:p>
          <w:p w14:paraId="377A426F">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2.投标人采用现钞方式或者从个人账户（自然人投标除外）转出的投标保证金，视为无效投标保证金。</w:t>
            </w:r>
          </w:p>
          <w:p w14:paraId="62723AF7">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3.支票、汇票或者本票出现无效或者背书情形的，视为无效投标保证金。</w:t>
            </w:r>
          </w:p>
          <w:p w14:paraId="6C48DA4F">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4.保函有效期低于投标有效期的，视为无效投标保证金。</w:t>
            </w:r>
          </w:p>
          <w:p w14:paraId="63AEAD80">
            <w:pPr>
              <w:keepNext w:val="0"/>
              <w:keepLines w:val="0"/>
              <w:pageBreakBefore w:val="0"/>
              <w:kinsoku/>
              <w:wordWrap/>
              <w:overflowPunct/>
              <w:topLinePunct w:val="0"/>
              <w:bidi w:val="0"/>
              <w:adjustRightInd/>
              <w:spacing w:line="480" w:lineRule="exact"/>
              <w:jc w:val="left"/>
              <w:rPr>
                <w:rFonts w:hint="eastAsia"/>
                <w:color w:val="auto"/>
                <w:highlight w:val="none"/>
              </w:rPr>
            </w:pPr>
            <w:r>
              <w:rPr>
                <w:rFonts w:hint="eastAsia" w:ascii="宋体" w:hAnsi="宋体" w:eastAsia="宋体" w:cs="宋体"/>
                <w:b/>
                <w:color w:val="auto"/>
                <w:sz w:val="21"/>
                <w:szCs w:val="21"/>
                <w:highlight w:val="none"/>
              </w:rPr>
              <w:t>5.采用银行、保险机构出具保函的，必须为无条件保函，否则视为无效投标保证金。</w:t>
            </w:r>
          </w:p>
        </w:tc>
      </w:tr>
      <w:tr w14:paraId="474195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05ABB8A7">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87" w:name="_19.2"/>
            <w:bookmarkEnd w:id="87"/>
            <w:bookmarkStart w:id="88" w:name="_21.1"/>
            <w:bookmarkEnd w:id="88"/>
            <w:r>
              <w:rPr>
                <w:rFonts w:hint="eastAsia" w:ascii="宋体" w:hAnsi="宋体" w:eastAsia="宋体" w:cs="宋体"/>
                <w:color w:val="auto"/>
                <w:sz w:val="21"/>
                <w:szCs w:val="21"/>
                <w:highlight w:val="none"/>
              </w:rPr>
              <w:t>20</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C148644">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本项目不接受电子备份投标文件。</w:t>
            </w:r>
          </w:p>
        </w:tc>
      </w:tr>
      <w:tr w14:paraId="1D1E7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675F267A">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0EEF9B14">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1.投标文件提交截止时间：详见招标公告。</w:t>
            </w:r>
          </w:p>
          <w:p w14:paraId="3E757DB5">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2.投标地点：详见招标公告。</w:t>
            </w:r>
          </w:p>
        </w:tc>
      </w:tr>
      <w:tr w14:paraId="50E41D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A71065D">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89" w:name="_23"/>
            <w:bookmarkEnd w:id="89"/>
            <w:r>
              <w:rPr>
                <w:rFonts w:hint="eastAsia" w:ascii="宋体" w:hAnsi="宋体" w:eastAsia="宋体" w:cs="宋体"/>
                <w:color w:val="auto"/>
                <w:sz w:val="21"/>
                <w:szCs w:val="21"/>
                <w:highlight w:val="none"/>
              </w:rPr>
              <w:t>23</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21D92EA6">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1.开标时间：详见招标公告。</w:t>
            </w:r>
          </w:p>
          <w:p w14:paraId="679830EB">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2.开标地点：详见招标公告。</w:t>
            </w:r>
          </w:p>
        </w:tc>
      </w:tr>
      <w:tr w14:paraId="67B1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2B2DC462">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67AC81A5">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电子投标文件解密时间：</w:t>
            </w:r>
            <w:r>
              <w:rPr>
                <w:rFonts w:hint="eastAsia" w:ascii="宋体" w:hAnsi="宋体" w:eastAsia="宋体" w:cs="宋体"/>
                <w:color w:val="auto"/>
                <w:sz w:val="21"/>
                <w:szCs w:val="21"/>
                <w:highlight w:val="none"/>
                <w:u w:val="single"/>
              </w:rPr>
              <w:t>30</w:t>
            </w:r>
            <w:r>
              <w:rPr>
                <w:rFonts w:hint="eastAsia" w:ascii="宋体" w:hAnsi="宋体" w:eastAsia="宋体" w:cs="宋体"/>
                <w:color w:val="auto"/>
                <w:sz w:val="21"/>
                <w:szCs w:val="21"/>
                <w:highlight w:val="none"/>
              </w:rPr>
              <w:t>分钟。</w:t>
            </w:r>
          </w:p>
        </w:tc>
      </w:tr>
      <w:tr w14:paraId="46B82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DCE80C5">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0" w:name="_25.3"/>
            <w:bookmarkEnd w:id="90"/>
            <w:r>
              <w:rPr>
                <w:rFonts w:hint="eastAsia" w:ascii="宋体" w:hAnsi="宋体" w:eastAsia="宋体" w:cs="宋体"/>
                <w:color w:val="auto"/>
                <w:sz w:val="21"/>
                <w:szCs w:val="21"/>
                <w:highlight w:val="none"/>
              </w:rPr>
              <w:t>25.3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73CFD4CA">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采购人或者采购代理机构在资格审查结束前，对投标人进行信用查询。</w:t>
            </w:r>
          </w:p>
          <w:p w14:paraId="79BDD649">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查询渠道：“信用中国”网站（www.creditchina.gov.cn）、中国政府采购网（www.ccgp.gov.cn）。</w:t>
            </w:r>
          </w:p>
          <w:p w14:paraId="7D7E9C92">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信用查询截止时点：资格审查结束前</w:t>
            </w:r>
          </w:p>
          <w:p w14:paraId="4005F45C">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查询记录和证据留存方式：在查询网站中直接截图查询记录，截图</w:t>
            </w:r>
            <w:r>
              <w:rPr>
                <w:rFonts w:hint="eastAsia" w:ascii="宋体" w:hAnsi="宋体" w:eastAsia="宋体" w:cs="宋体"/>
                <w:color w:val="auto"/>
                <w:sz w:val="21"/>
                <w:szCs w:val="21"/>
                <w:highlight w:val="none"/>
                <w:lang w:eastAsia="zh-CN"/>
              </w:rPr>
              <w:t>做为</w:t>
            </w:r>
            <w:r>
              <w:rPr>
                <w:rFonts w:hint="eastAsia" w:ascii="宋体" w:hAnsi="宋体" w:eastAsia="宋体" w:cs="宋体"/>
                <w:color w:val="auto"/>
                <w:sz w:val="21"/>
                <w:szCs w:val="21"/>
                <w:highlight w:val="none"/>
              </w:rPr>
              <w:t>在</w:t>
            </w:r>
            <w:r>
              <w:rPr>
                <w:rFonts w:hint="eastAsia" w:ascii="宋体" w:hAnsi="宋体" w:eastAsia="宋体" w:cs="宋体"/>
                <w:color w:val="auto"/>
                <w:kern w:val="0"/>
                <w:sz w:val="21"/>
                <w:szCs w:val="21"/>
                <w:highlight w:val="none"/>
              </w:rPr>
              <w:t>广西政府采购云平台</w:t>
            </w:r>
            <w:r>
              <w:rPr>
                <w:rFonts w:hint="eastAsia" w:ascii="宋体" w:hAnsi="宋体" w:eastAsia="宋体" w:cs="宋体"/>
                <w:color w:val="auto"/>
                <w:sz w:val="21"/>
                <w:szCs w:val="21"/>
                <w:highlight w:val="none"/>
                <w:lang w:eastAsia="zh-CN"/>
              </w:rPr>
              <w:t>做为</w:t>
            </w:r>
            <w:r>
              <w:rPr>
                <w:rFonts w:hint="eastAsia" w:ascii="宋体" w:hAnsi="宋体" w:eastAsia="宋体" w:cs="宋体"/>
                <w:color w:val="auto"/>
                <w:sz w:val="21"/>
                <w:szCs w:val="21"/>
                <w:highlight w:val="none"/>
              </w:rPr>
              <w:t>附件上传保存。</w:t>
            </w:r>
          </w:p>
          <w:p w14:paraId="59C692B1">
            <w:pPr>
              <w:keepNext w:val="0"/>
              <w:keepLines w:val="0"/>
              <w:pageBreakBefore w:val="0"/>
              <w:kinsoku/>
              <w:wordWrap/>
              <w:overflowPunct/>
              <w:topLinePunct w:val="0"/>
              <w:bidi w:val="0"/>
              <w:adjustRightInd/>
              <w:snapToGrid w:val="0"/>
              <w:spacing w:line="480" w:lineRule="exac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w:t>
            </w:r>
          </w:p>
        </w:tc>
      </w:tr>
      <w:tr w14:paraId="18AF9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F74AC51">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1" w:name="_26"/>
            <w:bookmarkEnd w:id="91"/>
            <w:r>
              <w:rPr>
                <w:rFonts w:hint="eastAsia" w:ascii="宋体" w:hAnsi="宋体" w:eastAsia="宋体" w:cs="宋体"/>
                <w:color w:val="auto"/>
                <w:sz w:val="21"/>
                <w:szCs w:val="21"/>
                <w:highlight w:val="none"/>
              </w:rPr>
              <w:t>26.1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EF34C42">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评标委员会的人数：</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rPr>
              <w:t>人</w:t>
            </w:r>
          </w:p>
        </w:tc>
      </w:tr>
      <w:tr w14:paraId="61DC9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3C2573C">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2" w:name="_28.3"/>
            <w:bookmarkEnd w:id="92"/>
            <w:r>
              <w:rPr>
                <w:rFonts w:hint="eastAsia" w:ascii="宋体" w:hAnsi="宋体" w:eastAsia="宋体" w:cs="宋体"/>
                <w:color w:val="auto"/>
                <w:sz w:val="21"/>
                <w:szCs w:val="21"/>
                <w:highlight w:val="none"/>
              </w:rPr>
              <w:t>29.1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CBC0CB7">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评标方法：综合评分法</w:t>
            </w:r>
          </w:p>
        </w:tc>
      </w:tr>
      <w:tr w14:paraId="1EAF84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39757FC9">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3" w:name="_29.2.2（2）"/>
            <w:bookmarkEnd w:id="93"/>
            <w:r>
              <w:rPr>
                <w:rFonts w:hint="eastAsia" w:ascii="宋体" w:hAnsi="宋体" w:eastAsia="宋体" w:cs="宋体"/>
                <w:color w:val="auto"/>
                <w:sz w:val="21"/>
                <w:szCs w:val="21"/>
                <w:highlight w:val="none"/>
              </w:rPr>
              <w:t>29.2</w:t>
            </w:r>
          </w:p>
        </w:tc>
        <w:tc>
          <w:tcPr>
            <w:tcW w:w="8344" w:type="dxa"/>
            <w:tcBorders>
              <w:top w:val="single" w:color="auto" w:sz="4" w:space="0"/>
              <w:left w:val="single" w:color="auto" w:sz="4" w:space="0"/>
              <w:right w:val="single" w:color="auto" w:sz="4" w:space="0"/>
            </w:tcBorders>
            <w:noWrap w:val="0"/>
            <w:vAlign w:val="center"/>
          </w:tcPr>
          <w:p w14:paraId="54BFB5EB">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商务要求评审中允许负偏离的条款数</w:t>
            </w:r>
            <w:r>
              <w:rPr>
                <w:rFonts w:hint="eastAsia" w:ascii="宋体" w:hAnsi="宋体" w:eastAsia="宋体" w:cs="宋体"/>
                <w:color w:val="auto"/>
                <w:sz w:val="21"/>
                <w:szCs w:val="21"/>
                <w:highlight w:val="none"/>
                <w:u w:val="none"/>
              </w:rPr>
              <w:t>为</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none"/>
              </w:rPr>
              <w:t>项。</w:t>
            </w:r>
          </w:p>
          <w:p w14:paraId="3E819BCC">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t>技术要求评审中允许负偏离的条款数为</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none"/>
                <w:lang w:val="en-US" w:eastAsia="zh-CN"/>
              </w:rPr>
              <w:t>项</w:t>
            </w:r>
            <w:r>
              <w:rPr>
                <w:rFonts w:hint="eastAsia" w:ascii="宋体" w:hAnsi="宋体" w:eastAsia="宋体" w:cs="宋体"/>
                <w:color w:val="auto"/>
                <w:sz w:val="21"/>
                <w:szCs w:val="21"/>
                <w:highlight w:val="none"/>
                <w:u w:val="none"/>
              </w:rPr>
              <w:t>。</w:t>
            </w:r>
          </w:p>
        </w:tc>
      </w:tr>
      <w:tr w14:paraId="6C06DE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right w:val="single" w:color="auto" w:sz="4" w:space="0"/>
            </w:tcBorders>
            <w:noWrap w:val="0"/>
            <w:vAlign w:val="center"/>
          </w:tcPr>
          <w:p w14:paraId="26193FD4">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8344" w:type="dxa"/>
            <w:tcBorders>
              <w:top w:val="single" w:color="auto" w:sz="4" w:space="0"/>
              <w:left w:val="single" w:color="auto" w:sz="4" w:space="0"/>
              <w:right w:val="single" w:color="auto" w:sz="4" w:space="0"/>
            </w:tcBorders>
            <w:noWrap w:val="0"/>
            <w:vAlign w:val="center"/>
          </w:tcPr>
          <w:p w14:paraId="288FEEF8">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中标候选人推荐数量：</w:t>
            </w:r>
            <w:r>
              <w:rPr>
                <w:rFonts w:hint="eastAsia" w:ascii="宋体" w:hAnsi="宋体" w:eastAsia="宋体" w:cs="宋体"/>
                <w:color w:val="auto"/>
                <w:sz w:val="21"/>
                <w:szCs w:val="21"/>
                <w:highlight w:val="none"/>
                <w:u w:val="single"/>
              </w:rPr>
              <w:t>3</w:t>
            </w:r>
            <w:r>
              <w:rPr>
                <w:rFonts w:hint="eastAsia" w:ascii="宋体" w:hAnsi="宋体" w:eastAsia="宋体" w:cs="宋体"/>
                <w:color w:val="auto"/>
                <w:sz w:val="21"/>
                <w:szCs w:val="21"/>
                <w:highlight w:val="none"/>
              </w:rPr>
              <w:t>名，根据[总得分由高到低]排列次序并全部推荐为中标候选人。</w:t>
            </w:r>
          </w:p>
        </w:tc>
      </w:tr>
      <w:tr w14:paraId="6625E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19173C7">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7EDD23F3">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采用综合评分法的采购项目，采购人确定供应商时，出现中标候选人并列的情形，采购人按以下的方式确定供应商：</w:t>
            </w:r>
          </w:p>
          <w:p w14:paraId="4F3AB234">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sym w:font="Wingdings 2" w:char="F052"/>
            </w:r>
            <w:r>
              <w:rPr>
                <w:rFonts w:hint="eastAsia" w:ascii="宋体" w:hAnsi="宋体" w:eastAsia="宋体" w:cs="宋体"/>
                <w:iCs/>
                <w:color w:val="auto"/>
                <w:sz w:val="21"/>
                <w:szCs w:val="21"/>
                <w:highlight w:val="none"/>
              </w:rPr>
              <w:t>依次按投标报价低的优先、政策分得分高的优先、技术评分高的优先、商务评分高的优先、响应时间短优先的顺序确定；</w:t>
            </w:r>
          </w:p>
        </w:tc>
      </w:tr>
      <w:tr w14:paraId="4FB1C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61F6AA72">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4" w:name="_39.1"/>
            <w:bookmarkEnd w:id="94"/>
            <w:r>
              <w:rPr>
                <w:rFonts w:hint="eastAsia" w:ascii="宋体" w:hAnsi="宋体" w:eastAsia="宋体" w:cs="宋体"/>
                <w:color w:val="auto"/>
                <w:sz w:val="21"/>
                <w:szCs w:val="21"/>
                <w:highlight w:val="none"/>
              </w:rPr>
              <w:t>35.1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2A35066F">
            <w:pPr>
              <w:autoSpaceDE w:val="0"/>
              <w:autoSpaceDN w:val="0"/>
              <w:snapToGrid w:val="0"/>
              <w:spacing w:line="400" w:lineRule="exact"/>
              <w:textAlignment w:val="bottom"/>
              <w:rPr>
                <w:rFonts w:ascii="宋体" w:hAnsi="宋体"/>
                <w:color w:val="auto"/>
                <w:szCs w:val="21"/>
                <w:highlight w:val="none"/>
              </w:rPr>
            </w:pPr>
            <w:r>
              <w:rPr>
                <w:rFonts w:hint="eastAsia" w:ascii="宋体" w:hAnsi="宋体" w:eastAsia="宋体" w:cs="宋体"/>
                <w:color w:val="auto"/>
                <w:sz w:val="21"/>
                <w:szCs w:val="21"/>
                <w:highlight w:val="none"/>
              </w:rPr>
              <w:sym w:font="Wingdings 2" w:char="00A3"/>
            </w:r>
            <w:r>
              <w:rPr>
                <w:rFonts w:hint="eastAsia" w:ascii="宋体" w:hAnsi="宋体"/>
                <w:color w:val="auto"/>
                <w:szCs w:val="21"/>
                <w:highlight w:val="none"/>
              </w:rPr>
              <w:t>本项目不收取履约保证金。</w:t>
            </w:r>
          </w:p>
          <w:p w14:paraId="3A4B33BA">
            <w:pPr>
              <w:keepNext w:val="0"/>
              <w:keepLines w:val="0"/>
              <w:pageBreakBefore w:val="0"/>
              <w:widowControl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MS Mincho" w:hAnsi="MS Mincho" w:eastAsia="MS Mincho" w:cs="MS Mincho"/>
                <w:color w:val="auto"/>
                <w:szCs w:val="21"/>
                <w:highlight w:val="none"/>
              </w:rPr>
              <w:t>☑</w:t>
            </w:r>
            <w:r>
              <w:rPr>
                <w:rFonts w:hint="eastAsia" w:ascii="宋体" w:hAnsi="宋体" w:eastAsia="宋体" w:cs="宋体"/>
                <w:color w:val="auto"/>
                <w:sz w:val="21"/>
                <w:szCs w:val="21"/>
                <w:highlight w:val="none"/>
              </w:rPr>
              <w:t>本项目收取履约保证金，具体规定如下：</w:t>
            </w:r>
          </w:p>
          <w:p w14:paraId="22185D8D">
            <w:pPr>
              <w:keepNext w:val="0"/>
              <w:keepLines w:val="0"/>
              <w:pageBreakBefore w:val="0"/>
              <w:widowControl w:val="0"/>
              <w:kinsoku/>
              <w:wordWrap/>
              <w:overflowPunct/>
              <w:topLinePunct w:val="0"/>
              <w:bidi w:val="0"/>
              <w:adjustRightInd/>
              <w:spacing w:line="480" w:lineRule="exact"/>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履约保证金金额：中标人在签订合同时按合同金额的5%（如为中小微企业，则按合同金额的2%）向采购人指定账户提交履约保证金。</w:t>
            </w:r>
          </w:p>
          <w:p w14:paraId="2889BC1C">
            <w:pPr>
              <w:keepNext w:val="0"/>
              <w:keepLines w:val="0"/>
              <w:pageBreakBefore w:val="0"/>
              <w:widowControl w:val="0"/>
              <w:kinsoku/>
              <w:wordWrap/>
              <w:overflowPunct/>
              <w:topLinePunct w:val="0"/>
              <w:bidi w:val="0"/>
              <w:adjustRightInd/>
              <w:spacing w:line="480" w:lineRule="exact"/>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履约保证金自验收合格之日起满一年后，如无质量问题，采购人一次性将履约保证金退付给中标人（不计利息），如有涉及违约行为的，扣除违约金后退还。</w:t>
            </w:r>
          </w:p>
          <w:p w14:paraId="7F0FE381">
            <w:pPr>
              <w:keepNext w:val="0"/>
              <w:keepLines w:val="0"/>
              <w:pageBreakBefore w:val="0"/>
              <w:widowControl w:val="0"/>
              <w:kinsoku/>
              <w:wordWrap/>
              <w:overflowPunct/>
              <w:topLinePunct w:val="0"/>
              <w:bidi w:val="0"/>
              <w:adjustRightInd/>
              <w:spacing w:line="480" w:lineRule="exact"/>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履约保证金递交方式：银行转账、支票、汇票、本票等非现金方式或者银行、保险机构出具的保函等非现金方式。</w:t>
            </w:r>
          </w:p>
          <w:p w14:paraId="12CBB1DF">
            <w:pPr>
              <w:keepNext w:val="0"/>
              <w:keepLines w:val="0"/>
              <w:pageBreakBefore w:val="0"/>
              <w:widowControl w:val="0"/>
              <w:kinsoku/>
              <w:wordWrap/>
              <w:overflowPunct/>
              <w:topLinePunct w:val="0"/>
              <w:bidi w:val="0"/>
              <w:adjustRightInd/>
              <w:spacing w:line="480" w:lineRule="exact"/>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履约保证金指定账户：</w:t>
            </w:r>
          </w:p>
          <w:p w14:paraId="78245241">
            <w:pPr>
              <w:keepNext w:val="0"/>
              <w:keepLines w:val="0"/>
              <w:pageBreakBefore w:val="0"/>
              <w:widowControl w:val="0"/>
              <w:kinsoku/>
              <w:wordWrap/>
              <w:overflowPunct/>
              <w:topLinePunct w:val="0"/>
              <w:bidi w:val="0"/>
              <w:adjustRightInd/>
              <w:spacing w:line="48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lang w:eastAsia="zh-CN"/>
              </w:rPr>
              <w:t xml:space="preserve"> 蒙山县城镇环境卫生管理站</w:t>
            </w:r>
          </w:p>
          <w:p w14:paraId="4F5D2C68">
            <w:pPr>
              <w:keepNext w:val="0"/>
              <w:keepLines w:val="0"/>
              <w:pageBreakBefore w:val="0"/>
              <w:widowControl w:val="0"/>
              <w:kinsoku/>
              <w:wordWrap/>
              <w:overflowPunct/>
              <w:topLinePunct w:val="0"/>
              <w:bidi w:val="0"/>
              <w:adjustRightInd/>
              <w:spacing w:line="48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lang w:val="en-US" w:eastAsia="zh-CN"/>
              </w:rPr>
              <w:t xml:space="preserve"> </w:t>
            </w:r>
          </w:p>
          <w:p w14:paraId="05F2420D">
            <w:pPr>
              <w:keepNext w:val="0"/>
              <w:keepLines w:val="0"/>
              <w:pageBreakBefore w:val="0"/>
              <w:widowControl w:val="0"/>
              <w:kinsoku/>
              <w:wordWrap/>
              <w:overflowPunct/>
              <w:topLinePunct w:val="0"/>
              <w:bidi w:val="0"/>
              <w:adjustRightInd/>
              <w:spacing w:line="48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lang w:val="en-US" w:eastAsia="zh-CN"/>
              </w:rPr>
              <w:t xml:space="preserve"> </w:t>
            </w:r>
          </w:p>
          <w:p w14:paraId="636F40B0">
            <w:pPr>
              <w:keepNext w:val="0"/>
              <w:keepLines w:val="0"/>
              <w:pageBreakBefore w:val="0"/>
              <w:kinsoku/>
              <w:wordWrap/>
              <w:overflowPunct/>
              <w:topLinePunct w:val="0"/>
              <w:bidi w:val="0"/>
              <w:adjustRightInd/>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14:paraId="2F83415E">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bookmarkStart w:id="95" w:name="_Hlk54170335"/>
            <w:r>
              <w:rPr>
                <w:rFonts w:hint="eastAsia" w:ascii="宋体" w:hAnsi="宋体" w:eastAsia="宋体" w:cs="宋体"/>
                <w:b/>
                <w:color w:val="auto"/>
                <w:sz w:val="21"/>
                <w:szCs w:val="21"/>
                <w:highlight w:val="none"/>
              </w:rPr>
              <w:t>根据《广西壮族自治区财政厅关于贯彻落实政府采购优化营商环境百日攻坚行动方案的通知》（桂财采〔2020〕49号）规定、广西壮族自治区财政厅关于规范政府采购货物和服务项目保证金管理的通知（桂财规〔2022〕8号）和《广西壮族自治区财政厅关于持续优化政府采购营商环境推动高质量发展的通知》（桂财采〔2024〕55号），采购文件要求中标或者供应商提交履约保证金的，履约保证金数额不得超过政府采购合同金额的5%，对中小企业收取的履约保证金数额不得超过政府采购合同金额的2%。采购人可根据供应商的资信等情况减免履约保证金。</w:t>
            </w:r>
            <w:bookmarkEnd w:id="95"/>
          </w:p>
          <w:p w14:paraId="31A9C614">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493B13D9">
            <w:pPr>
              <w:keepNext w:val="0"/>
              <w:keepLines w:val="0"/>
              <w:pageBreakBefore w:val="0"/>
              <w:kinsoku/>
              <w:wordWrap/>
              <w:overflowPunct/>
              <w:topLinePunct w:val="0"/>
              <w:bidi w:val="0"/>
              <w:adjustRightInd/>
              <w:spacing w:line="480" w:lineRule="exact"/>
              <w:jc w:val="left"/>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3.采用银行、保险机构出具的保函的，必须为无条件保函，否则不予签订合同。</w:t>
            </w:r>
          </w:p>
        </w:tc>
      </w:tr>
      <w:tr w14:paraId="1C534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47C2670">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6" w:name="_40.1"/>
            <w:bookmarkEnd w:id="96"/>
            <w:r>
              <w:rPr>
                <w:rFonts w:hint="eastAsia" w:ascii="宋体" w:hAnsi="宋体" w:eastAsia="宋体" w:cs="宋体"/>
                <w:color w:val="auto"/>
                <w:sz w:val="21"/>
                <w:szCs w:val="21"/>
                <w:highlight w:val="none"/>
              </w:rPr>
              <w:t>36.1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0DC1EB3">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签订合同携带的证明材料：</w:t>
            </w:r>
          </w:p>
          <w:p w14:paraId="4A799C05">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委托代理人负责签订合同的，须携带授权委托书及委托代理人身份证原件等其他资格证件。</w:t>
            </w:r>
          </w:p>
          <w:p w14:paraId="5955AA61">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法定代表人负责签订合同的，须携带法定代表人身份证明原件及身份证原件等其他证明材料。</w:t>
            </w:r>
          </w:p>
        </w:tc>
      </w:tr>
      <w:tr w14:paraId="738F4C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25C4B05">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38.2</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267E90D6">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接收质疑函方式：以书面形式</w:t>
            </w:r>
          </w:p>
          <w:p w14:paraId="21D64509">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质疑联系部门及联系方式：广西中信恒泰工程顾问有限公司</w:t>
            </w:r>
          </w:p>
          <w:p w14:paraId="6E415E15">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联系人及电话：</w:t>
            </w:r>
            <w:r>
              <w:rPr>
                <w:rFonts w:hint="eastAsia" w:ascii="宋体" w:hAnsi="宋体" w:eastAsia="宋体" w:cs="宋体"/>
                <w:bCs/>
                <w:color w:val="auto"/>
                <w:sz w:val="21"/>
                <w:szCs w:val="21"/>
                <w:highlight w:val="none"/>
                <w:lang w:eastAsia="zh-CN"/>
              </w:rPr>
              <w:t>黄红琳</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田甜</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lang w:eastAsia="zh-CN"/>
              </w:rPr>
              <w:t>0771-5776253</w:t>
            </w:r>
          </w:p>
          <w:p w14:paraId="5B1B5BFC">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通讯地址：广西南宁市青秀区云景路69号南宁轨道大厦B</w:t>
            </w:r>
            <w:r>
              <w:rPr>
                <w:rFonts w:hint="eastAsia" w:ascii="宋体" w:hAnsi="宋体" w:eastAsia="宋体" w:cs="宋体"/>
                <w:color w:val="auto"/>
                <w:sz w:val="21"/>
                <w:szCs w:val="21"/>
                <w:highlight w:val="none"/>
                <w:lang w:eastAsia="zh-CN"/>
              </w:rPr>
              <w:t>座</w:t>
            </w:r>
            <w:r>
              <w:rPr>
                <w:rFonts w:hint="eastAsia" w:ascii="宋体" w:hAnsi="宋体" w:eastAsia="宋体" w:cs="宋体"/>
                <w:color w:val="auto"/>
                <w:sz w:val="21"/>
                <w:szCs w:val="21"/>
                <w:highlight w:val="none"/>
              </w:rPr>
              <w:t>15层</w:t>
            </w:r>
          </w:p>
          <w:p w14:paraId="3AD3369A">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现场提交质疑办理业务时间：工作日每天8时30分00秒到12时00分00秒，14时30分00秒到17时30分00秒，双休日和法定节假日不办理业务。</w:t>
            </w:r>
          </w:p>
        </w:tc>
      </w:tr>
      <w:tr w14:paraId="4D345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42572D3">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7" w:name="_42"/>
            <w:bookmarkEnd w:id="97"/>
            <w:bookmarkStart w:id="98" w:name="_41"/>
            <w:bookmarkEnd w:id="98"/>
            <w:bookmarkStart w:id="99" w:name="_Hlt17709148"/>
            <w:r>
              <w:rPr>
                <w:rFonts w:hint="eastAsia" w:ascii="宋体" w:hAnsi="宋体" w:eastAsia="宋体" w:cs="宋体"/>
                <w:color w:val="auto"/>
                <w:sz w:val="21"/>
                <w:szCs w:val="21"/>
                <w:highlight w:val="none"/>
              </w:rPr>
              <w:t>3</w:t>
            </w:r>
            <w:bookmarkEnd w:id="99"/>
            <w:r>
              <w:rPr>
                <w:rFonts w:hint="eastAsia" w:ascii="宋体" w:hAnsi="宋体" w:eastAsia="宋体" w:cs="宋体"/>
                <w:color w:val="auto"/>
                <w:sz w:val="21"/>
                <w:szCs w:val="21"/>
                <w:highlight w:val="none"/>
              </w:rPr>
              <w:t>9.1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471906D6">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1.采购代理费支付方式：</w:t>
            </w:r>
          </w:p>
          <w:p w14:paraId="584C910D">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☑本项目代理服务费由</w:t>
            </w:r>
            <w:r>
              <w:rPr>
                <w:rFonts w:hint="eastAsia" w:ascii="宋体" w:hAnsi="宋体" w:eastAsia="宋体" w:cs="宋体"/>
                <w:color w:val="auto"/>
                <w:sz w:val="21"/>
                <w:szCs w:val="21"/>
                <w:highlight w:val="none"/>
                <w:u w:val="single"/>
                <w:lang w:val="en-US" w:eastAsia="zh-CN"/>
              </w:rPr>
              <w:t>供应商</w:t>
            </w:r>
            <w:r>
              <w:rPr>
                <w:rFonts w:hint="eastAsia" w:ascii="宋体" w:hAnsi="宋体" w:eastAsia="宋体" w:cs="宋体"/>
                <w:color w:val="auto"/>
                <w:sz w:val="21"/>
                <w:szCs w:val="21"/>
                <w:highlight w:val="none"/>
                <w:lang w:val="en-US" w:eastAsia="zh-CN"/>
              </w:rPr>
              <w:t>在领取中标通知书前，一次性向采购代理机构支付。</w:t>
            </w:r>
          </w:p>
          <w:p w14:paraId="03099C1C">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2.采购代理费收取标准：</w:t>
            </w:r>
          </w:p>
          <w:p w14:paraId="00430484">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☑以分标（☑中标金额）为计费额，按本须知正文第39.2条规定的收费计算标准（☑服务招标）采用差额定率累进法计算出收费基准价格，采购代理收费按（☑收费基准价格下浮</w:t>
            </w:r>
            <w:r>
              <w:rPr>
                <w:rFonts w:hint="eastAsia"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lang w:val="en-US" w:eastAsia="zh-CN"/>
              </w:rPr>
              <w:t>）收取。</w:t>
            </w:r>
          </w:p>
          <w:p w14:paraId="17F21753">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3.账户名称：</w:t>
            </w:r>
          </w:p>
          <w:p w14:paraId="00A55BC5">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开户名称：广西中信恒泰工程顾问有限公司</w:t>
            </w:r>
          </w:p>
          <w:p w14:paraId="1E61FF95">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开户银行：建设银行南宁市金湖广场支行</w:t>
            </w:r>
          </w:p>
          <w:p w14:paraId="269FC264">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银行账号：4500 1604 2660 5250 2851</w:t>
            </w:r>
          </w:p>
        </w:tc>
      </w:tr>
      <w:tr w14:paraId="70233C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7A847A2">
            <w:pPr>
              <w:keepNext w:val="0"/>
              <w:keepLines w:val="0"/>
              <w:pageBreakBefore w:val="0"/>
              <w:kinsoku/>
              <w:wordWrap/>
              <w:overflowPunct/>
              <w:topLinePunct w:val="0"/>
              <w:bidi w:val="0"/>
              <w:adjustRightInd/>
              <w:snapToGrid w:val="0"/>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27FADE8">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23560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49EBEA19">
            <w:pPr>
              <w:keepNext w:val="0"/>
              <w:keepLines w:val="0"/>
              <w:pageBreakBefore w:val="0"/>
              <w:kinsoku/>
              <w:wordWrap/>
              <w:overflowPunct/>
              <w:topLinePunct w:val="0"/>
              <w:bidi w:val="0"/>
              <w:adjustRightInd/>
              <w:snapToGrid w:val="0"/>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40.2</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CCA5F0F">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3FD3D92">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2.本招标文件所称的“</w:t>
            </w:r>
            <w:r>
              <w:rPr>
                <w:rFonts w:hint="eastAsia" w:ascii="宋体" w:hAnsi="宋体" w:eastAsia="宋体" w:cs="宋体"/>
                <w:color w:val="auto"/>
                <w:sz w:val="21"/>
                <w:szCs w:val="21"/>
                <w:highlight w:val="none"/>
                <w:lang w:val="en-US" w:eastAsia="zh-CN"/>
              </w:rPr>
              <w:t>电子签章</w:t>
            </w:r>
            <w:r>
              <w:rPr>
                <w:rFonts w:hint="eastAsia" w:ascii="宋体" w:hAnsi="宋体" w:eastAsia="宋体" w:cs="宋体"/>
                <w:bCs/>
                <w:color w:val="auto"/>
                <w:sz w:val="21"/>
                <w:szCs w:val="21"/>
                <w:highlight w:val="none"/>
                <w:lang w:val="en-US" w:eastAsia="zh-CN"/>
              </w:rPr>
              <w:t>”、“电子签名”</w:t>
            </w:r>
            <w:r>
              <w:rPr>
                <w:rFonts w:hint="eastAsia" w:ascii="宋体" w:hAnsi="宋体" w:eastAsia="宋体" w:cs="宋体"/>
                <w:color w:val="auto"/>
                <w:sz w:val="21"/>
                <w:szCs w:val="21"/>
                <w:highlight w:val="none"/>
                <w:lang w:val="en-US" w:eastAsia="zh-CN"/>
              </w:rPr>
              <w:t>，是指经广西政府采购云平台认可的CA认证的电子签名数据为表现形式的印章，可用于签署电子投标文件，电子印章与实物印章具有同等法律效力，不因其采用电子化表现形式而否定其法律效力。</w:t>
            </w:r>
          </w:p>
          <w:p w14:paraId="5D5E7939">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0899996">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4.本招标文件中描述投标人的“签字”是指投标人的法定代表人或者委托代理人亲自在文件规定签字处亲笔写上个人的名字的行为，私章、签字章、印鉴、影印等其他形式均不能代替亲笔签字。</w:t>
            </w:r>
          </w:p>
          <w:p w14:paraId="123FC93A">
            <w:pPr>
              <w:keepNext w:val="0"/>
              <w:keepLines w:val="0"/>
              <w:pageBreakBefore w:val="0"/>
              <w:kinsoku/>
              <w:wordWrap/>
              <w:overflowPunct/>
              <w:topLinePunct w:val="0"/>
              <w:bidi w:val="0"/>
              <w:adjustRightInd/>
              <w:spacing w:line="480" w:lineRule="exact"/>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5.</w:t>
            </w:r>
            <w:r>
              <w:rPr>
                <w:rFonts w:hint="eastAsia" w:ascii="宋体" w:hAnsi="宋体" w:eastAsia="宋体" w:cs="宋体"/>
                <w:bCs/>
                <w:color w:val="auto"/>
                <w:kern w:val="0"/>
                <w:sz w:val="21"/>
                <w:szCs w:val="21"/>
                <w:highlight w:val="none"/>
              </w:rPr>
              <w:t>本招标文件所称的“以上”“以下”“以内”“届满”，包括本数；所称的“不满”“超过”“以外”，不包括本数。</w:t>
            </w:r>
          </w:p>
        </w:tc>
      </w:tr>
    </w:tbl>
    <w:p w14:paraId="2236303D">
      <w:pPr>
        <w:pStyle w:val="4"/>
        <w:keepNext w:val="0"/>
        <w:keepLines w:val="0"/>
        <w:jc w:val="center"/>
        <w:rPr>
          <w:rFonts w:hint="eastAsia"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sz w:val="44"/>
          <w:szCs w:val="44"/>
          <w:highlight w:val="none"/>
        </w:rPr>
        <w:t>投标人须知正文</w:t>
      </w:r>
    </w:p>
    <w:p w14:paraId="272EEC11">
      <w:pPr>
        <w:pStyle w:val="4"/>
        <w:keepNext w:val="0"/>
        <w:keepLines w:val="0"/>
        <w:jc w:val="center"/>
        <w:rPr>
          <w:rFonts w:hint="eastAsia" w:ascii="宋体" w:hAnsi="宋体" w:cs="宋体"/>
          <w:color w:val="auto"/>
          <w:highlight w:val="none"/>
        </w:rPr>
      </w:pPr>
      <w:r>
        <w:rPr>
          <w:rFonts w:hint="eastAsia" w:ascii="宋体" w:hAnsi="宋体" w:cs="宋体"/>
          <w:color w:val="auto"/>
          <w:highlight w:val="none"/>
        </w:rPr>
        <w:t>一、总则</w:t>
      </w:r>
    </w:p>
    <w:p w14:paraId="074775B2">
      <w:pPr>
        <w:pStyle w:val="6"/>
        <w:keepNext w:val="0"/>
        <w:keepLines w:val="0"/>
        <w:spacing w:before="0" w:after="0" w:line="500" w:lineRule="exact"/>
        <w:ind w:left="420" w:leftChars="200"/>
        <w:rPr>
          <w:rFonts w:hint="eastAsia" w:ascii="宋体" w:hAnsi="宋体" w:cs="宋体"/>
          <w:color w:val="auto"/>
          <w:sz w:val="24"/>
          <w:highlight w:val="none"/>
        </w:rPr>
      </w:pPr>
      <w:bookmarkStart w:id="100" w:name="_Toc254970668"/>
      <w:bookmarkStart w:id="101" w:name="_Toc254970527"/>
      <w:r>
        <w:rPr>
          <w:rFonts w:hint="eastAsia" w:ascii="宋体" w:hAnsi="宋体" w:cs="宋体"/>
          <w:color w:val="auto"/>
          <w:sz w:val="24"/>
          <w:highlight w:val="none"/>
        </w:rPr>
        <w:t>1.适用范围</w:t>
      </w:r>
      <w:bookmarkEnd w:id="100"/>
      <w:bookmarkEnd w:id="101"/>
    </w:p>
    <w:p w14:paraId="743FC407">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B7E98B9">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05D852D2">
      <w:pPr>
        <w:pStyle w:val="6"/>
        <w:keepNext w:val="0"/>
        <w:keepLines w:val="0"/>
        <w:spacing w:before="0" w:after="0" w:line="500" w:lineRule="exact"/>
        <w:ind w:left="420" w:leftChars="200"/>
        <w:rPr>
          <w:rFonts w:hint="eastAsia" w:ascii="宋体" w:hAnsi="宋体" w:cs="宋体"/>
          <w:color w:val="auto"/>
          <w:sz w:val="24"/>
          <w:highlight w:val="none"/>
        </w:rPr>
      </w:pPr>
      <w:bookmarkStart w:id="102" w:name="_Toc254970669"/>
      <w:bookmarkStart w:id="103" w:name="_Toc254970528"/>
      <w:r>
        <w:rPr>
          <w:rFonts w:hint="eastAsia" w:ascii="宋体" w:hAnsi="宋体" w:cs="宋体"/>
          <w:color w:val="auto"/>
          <w:sz w:val="24"/>
          <w:highlight w:val="none"/>
        </w:rPr>
        <w:t>2.定义</w:t>
      </w:r>
      <w:bookmarkEnd w:id="102"/>
      <w:bookmarkEnd w:id="103"/>
    </w:p>
    <w:p w14:paraId="60ED4749">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2.1“采购人”是指依法进行政府采购的国家机关、事业单位、团体组织。</w:t>
      </w:r>
    </w:p>
    <w:p w14:paraId="5D343475">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2.2“采购代理机构”是指政府采购集中采购机构和集中采购机构以外的采购代理机构。</w:t>
      </w:r>
    </w:p>
    <w:p w14:paraId="2D2693F2">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2.3“投标人”是指向采购人提供货物、工程或者服务的法人、其他组织或者自然人。</w:t>
      </w:r>
    </w:p>
    <w:p w14:paraId="29D1E7D1">
      <w:pPr>
        <w:pStyle w:val="7"/>
        <w:spacing w:line="500" w:lineRule="exact"/>
        <w:rPr>
          <w:rFonts w:hint="eastAsia" w:ascii="宋体" w:hAnsi="宋体" w:cs="宋体"/>
          <w:color w:val="auto"/>
          <w:szCs w:val="21"/>
          <w:highlight w:val="none"/>
        </w:rPr>
      </w:pPr>
      <w:r>
        <w:rPr>
          <w:rFonts w:hint="eastAsia" w:ascii="宋体" w:hAnsi="宋体" w:cs="宋体"/>
          <w:color w:val="auto"/>
          <w:szCs w:val="21"/>
          <w:highlight w:val="none"/>
        </w:rPr>
        <w:t>2.4“供应商”是指响应招标、参加投标竞争的法人、其他组织或者自然人。</w:t>
      </w:r>
    </w:p>
    <w:p w14:paraId="289D8B62">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2.5“服务”是指除货物和工程以外的其他政府采购对象。</w:t>
      </w:r>
    </w:p>
    <w:p w14:paraId="59FCC02F">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2.6“书面形式”是指合同书、信件和数据电文（包括电报、电传、传真、电子数据交换和电子邮件）等可以有形地表现所载内容的形式。</w:t>
      </w:r>
    </w:p>
    <w:p w14:paraId="6F20CC8E">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2.7“实质性要求”是指招标文件中已经指明不满足则投标无效的条款，或者不能负偏离的条款，或者采购需求中带“▲”的条款。</w:t>
      </w:r>
    </w:p>
    <w:p w14:paraId="6B38C07F">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629B0A22">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0F5119B6">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104" w:name="_Toc254970670"/>
      <w:bookmarkStart w:id="105" w:name="_Toc254970529"/>
    </w:p>
    <w:p w14:paraId="2E777E88">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w:t>
      </w:r>
      <w:bookmarkEnd w:id="104"/>
      <w:bookmarkEnd w:id="105"/>
      <w:r>
        <w:rPr>
          <w:rFonts w:hint="eastAsia" w:ascii="宋体" w:hAnsi="宋体" w:cs="宋体"/>
          <w:color w:val="auto"/>
          <w:sz w:val="24"/>
          <w:highlight w:val="none"/>
        </w:rPr>
        <w:t>投标人的资格要求</w:t>
      </w:r>
    </w:p>
    <w:p w14:paraId="79CE34D5">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6E711EEC">
      <w:pPr>
        <w:pStyle w:val="6"/>
        <w:keepNext w:val="0"/>
        <w:keepLines w:val="0"/>
        <w:spacing w:before="0" w:after="0" w:line="500" w:lineRule="exact"/>
        <w:ind w:left="420" w:leftChars="200"/>
        <w:rPr>
          <w:rFonts w:hint="eastAsia" w:ascii="宋体" w:hAnsi="宋体" w:cs="宋体"/>
          <w:color w:val="auto"/>
          <w:sz w:val="24"/>
          <w:highlight w:val="none"/>
        </w:rPr>
      </w:pPr>
      <w:bookmarkStart w:id="106" w:name="_Toc254970671"/>
      <w:bookmarkStart w:id="107" w:name="_Toc254970530"/>
      <w:r>
        <w:rPr>
          <w:rFonts w:hint="eastAsia" w:ascii="宋体" w:hAnsi="宋体" w:cs="宋体"/>
          <w:color w:val="auto"/>
          <w:sz w:val="24"/>
          <w:highlight w:val="none"/>
        </w:rPr>
        <w:t>4.投标委托</w:t>
      </w:r>
      <w:bookmarkEnd w:id="106"/>
      <w:bookmarkEnd w:id="107"/>
    </w:p>
    <w:p w14:paraId="3D3E8E0E">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3737BBFC">
      <w:pPr>
        <w:pStyle w:val="6"/>
        <w:keepNext w:val="0"/>
        <w:keepLines w:val="0"/>
        <w:spacing w:before="0" w:after="0" w:line="500" w:lineRule="exact"/>
        <w:ind w:left="420" w:leftChars="200"/>
        <w:rPr>
          <w:rFonts w:hint="eastAsia" w:ascii="宋体" w:hAnsi="宋体" w:cs="宋体"/>
          <w:color w:val="auto"/>
          <w:sz w:val="24"/>
          <w:highlight w:val="none"/>
        </w:rPr>
      </w:pPr>
      <w:bookmarkStart w:id="108" w:name="_5.投标费用"/>
      <w:bookmarkEnd w:id="108"/>
      <w:bookmarkStart w:id="109" w:name="_Toc254970531"/>
      <w:bookmarkStart w:id="110" w:name="_Toc254970672"/>
      <w:r>
        <w:rPr>
          <w:rFonts w:hint="eastAsia" w:ascii="宋体" w:hAnsi="宋体" w:cs="宋体"/>
          <w:color w:val="auto"/>
          <w:sz w:val="24"/>
          <w:highlight w:val="none"/>
        </w:rPr>
        <w:t>5.投标费用</w:t>
      </w:r>
      <w:bookmarkEnd w:id="109"/>
      <w:bookmarkEnd w:id="110"/>
    </w:p>
    <w:p w14:paraId="4293F731">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08864BDF">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6.联合体投标</w:t>
      </w:r>
    </w:p>
    <w:p w14:paraId="1DBBDDF4">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0F0C6FE9">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20D9B6F9">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7.转包与分包</w:t>
      </w:r>
      <w:bookmarkStart w:id="111" w:name="_Toc254970673"/>
      <w:bookmarkStart w:id="112" w:name="_Toc254970532"/>
    </w:p>
    <w:p w14:paraId="1AC0FEEE">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7.1本项目不允许转包。</w:t>
      </w:r>
    </w:p>
    <w:p w14:paraId="60601B0D">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69BF9B31">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3243131D">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8.特别说明</w:t>
      </w:r>
      <w:bookmarkEnd w:id="111"/>
      <w:bookmarkEnd w:id="112"/>
    </w:p>
    <w:p w14:paraId="0440D86D">
      <w:pPr>
        <w:pStyle w:val="6"/>
        <w:keepNext w:val="0"/>
        <w:keepLines w:val="0"/>
        <w:spacing w:before="0" w:after="0" w:line="5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36ABACD0">
      <w:pPr>
        <w:pStyle w:val="6"/>
        <w:keepNext w:val="0"/>
        <w:keepLines w:val="0"/>
        <w:spacing w:before="0" w:after="0" w:line="5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8.2投标人应仔细阅读招标文件的所有内容，按照招标文件的要求提交投标文件，并对所提供的全部资料的真实性承担法律责任。</w:t>
      </w:r>
    </w:p>
    <w:p w14:paraId="6652895C">
      <w:pPr>
        <w:pStyle w:val="6"/>
        <w:keepNext w:val="0"/>
        <w:keepLines w:val="0"/>
        <w:spacing w:before="0" w:after="0" w:line="5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8.3投标人在投标活动中提供任何虚假材料，将报监管部门查处；中标后发现的，供应商须依照《中华人民共和国消费者权益保护法》规定赔偿采购人，且民事赔偿并不免除违法投标人的行政与刑事责任。</w:t>
      </w:r>
    </w:p>
    <w:p w14:paraId="674E0BCD">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9.回避与串通投标</w:t>
      </w:r>
    </w:p>
    <w:p w14:paraId="1D1793E2">
      <w:pPr>
        <w:pStyle w:val="6"/>
        <w:keepNext w:val="0"/>
        <w:keepLines w:val="0"/>
        <w:spacing w:before="0" w:after="0" w:line="5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9.1在政府采购活动中，采购人员及相关人员与供应商有下列利害关系之一的，应当回避：</w:t>
      </w:r>
    </w:p>
    <w:p w14:paraId="39E21BAE">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（1）参加采购活动前3年内与供应商存在劳动关系；</w:t>
      </w:r>
    </w:p>
    <w:p w14:paraId="7B667AB7">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（2）参加采购活动前3年内担任供应商的董事、监事；</w:t>
      </w:r>
    </w:p>
    <w:p w14:paraId="62A70820">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（3）参加采购活动前3年内是供应商的控股股东或者实际控制人；</w:t>
      </w:r>
    </w:p>
    <w:p w14:paraId="79627137">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（4）与供应商的法定代表人或者负责人有夫妻、直系血亲、三代以内旁系血亲或者近姻亲关系；</w:t>
      </w:r>
    </w:p>
    <w:p w14:paraId="0D09D543">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（5）与供应商有其他可能影响政府采购活动公平、公正进行的关系。</w:t>
      </w:r>
    </w:p>
    <w:p w14:paraId="44476169">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FB045FD">
      <w:pPr>
        <w:pStyle w:val="6"/>
        <w:keepNext w:val="0"/>
        <w:keepLines w:val="0"/>
        <w:spacing w:before="0" w:after="0" w:line="500" w:lineRule="exact"/>
        <w:ind w:left="42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9.2有下列情形之一的视为投标人相互串通投标，投标文件将被视为无效：</w:t>
      </w:r>
    </w:p>
    <w:p w14:paraId="5250A38A">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（1）不同投标人的投标文件由同一单位或者个人编制；或不同投标人报名的IP地址一致的；</w:t>
      </w:r>
    </w:p>
    <w:p w14:paraId="5376B94C">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（2）不同投标人委托同一单位或者个人办理投标事宜；</w:t>
      </w:r>
    </w:p>
    <w:p w14:paraId="24742D37">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（3）不同的投标人的投标文件载明的项目管理员为同一个人；</w:t>
      </w:r>
    </w:p>
    <w:p w14:paraId="72DC1C4F">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（4）不同投标人的投标文件异常一致或者投标报价呈规律性差异；</w:t>
      </w:r>
    </w:p>
    <w:p w14:paraId="6D4350A7">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（5）不同投标人的投标文件相互混装；</w:t>
      </w:r>
    </w:p>
    <w:p w14:paraId="019E9A06">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（6）不同投标人的投标保证金从同一单位或者个人账户转出。</w:t>
      </w:r>
    </w:p>
    <w:p w14:paraId="2D1165D9">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9.3有下列情形之一的，属于恶意串通行为，将报同级监督管理部门：</w:t>
      </w:r>
    </w:p>
    <w:p w14:paraId="1CCEE343">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（1）供应商直接或者间接从采购人或者采购代理机构处获得其他供应商的相关信息并修改其投标文件或者响应文件；</w:t>
      </w:r>
    </w:p>
    <w:p w14:paraId="2662C4DC">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（2）供应商按照采购人或者采购代理机构的授意撤换、修改投标文件或者响应文件；</w:t>
      </w:r>
    </w:p>
    <w:p w14:paraId="072299D2">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（3）供应商之间协商报价、技术方案等投标文件或者响应文件的实质性内容；</w:t>
      </w:r>
    </w:p>
    <w:p w14:paraId="4292BEED">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（4）属于同一集团、协会、商会等组织成员的供应商按照该组织要求协同参加政府采购活动；</w:t>
      </w:r>
    </w:p>
    <w:p w14:paraId="2838BC7C">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2DF660A5">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（6）供应商之间商定部分供应商放弃参加政府采购活动或者放弃中标；</w:t>
      </w:r>
    </w:p>
    <w:p w14:paraId="6B5C1D02">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（7）供应商与采购人或者采购代理机构之间、供应商相互之间，为谋求特定供应商中标或者排斥其他供应商的其他串通行为。</w:t>
      </w:r>
    </w:p>
    <w:p w14:paraId="64ADB0F1">
      <w:pPr>
        <w:pStyle w:val="24"/>
        <w:snapToGrid w:val="0"/>
        <w:spacing w:line="500" w:lineRule="exact"/>
        <w:ind w:left="2" w:leftChars="1" w:firstLine="422" w:firstLineChars="200"/>
        <w:rPr>
          <w:rFonts w:hint="eastAsia" w:hAnsi="宋体" w:cs="宋体"/>
          <w:b/>
          <w:color w:val="auto"/>
          <w:kern w:val="2"/>
          <w:sz w:val="21"/>
          <w:highlight w:val="none"/>
        </w:rPr>
      </w:pPr>
    </w:p>
    <w:p w14:paraId="0BC6D2B5">
      <w:pPr>
        <w:pStyle w:val="4"/>
        <w:keepNext w:val="0"/>
        <w:keepLines w:val="0"/>
        <w:spacing w:before="0" w:after="0" w:line="500" w:lineRule="exact"/>
        <w:jc w:val="center"/>
        <w:rPr>
          <w:rFonts w:hint="eastAsia" w:ascii="宋体" w:hAnsi="宋体" w:cs="宋体"/>
          <w:color w:val="auto"/>
          <w:highlight w:val="none"/>
        </w:rPr>
      </w:pPr>
      <w:bookmarkStart w:id="113" w:name="_Toc254970675"/>
      <w:bookmarkStart w:id="114" w:name="_Toc254970534"/>
      <w:r>
        <w:rPr>
          <w:rFonts w:hint="eastAsia" w:ascii="宋体" w:hAnsi="宋体" w:cs="宋体"/>
          <w:color w:val="auto"/>
          <w:highlight w:val="none"/>
        </w:rPr>
        <w:t>二、招标文件</w:t>
      </w:r>
      <w:bookmarkEnd w:id="113"/>
      <w:bookmarkEnd w:id="114"/>
    </w:p>
    <w:p w14:paraId="63E0343F">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10.招标文件的组成</w:t>
      </w:r>
    </w:p>
    <w:p w14:paraId="0291AD76">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（1）招标公告；</w:t>
      </w:r>
    </w:p>
    <w:p w14:paraId="2D4E4E7A">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（2）采购需求；</w:t>
      </w:r>
    </w:p>
    <w:p w14:paraId="47A4518E">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（3）投标人须知；</w:t>
      </w:r>
    </w:p>
    <w:p w14:paraId="3A4E1BF5">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（4）评标方法及评标标准；</w:t>
      </w:r>
    </w:p>
    <w:p w14:paraId="045080B5">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35BC4BC3">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2050C038">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11.招标文件的澄清、修改、现场考察和答疑会</w:t>
      </w:r>
    </w:p>
    <w:p w14:paraId="4EDD36F1">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E0B423F">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729E8979">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11.2</w:t>
      </w:r>
      <w:bookmarkStart w:id="115" w:name="_Hlk53134511"/>
      <w:r>
        <w:rPr>
          <w:rFonts w:hint="eastAsia" w:hAnsi="宋体" w:cs="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115"/>
    <w:p w14:paraId="0DC2F427">
      <w:pPr>
        <w:pStyle w:val="4"/>
        <w:keepNext w:val="0"/>
        <w:keepLines w:val="0"/>
        <w:spacing w:before="0" w:after="0" w:line="500" w:lineRule="exact"/>
        <w:jc w:val="center"/>
        <w:rPr>
          <w:rFonts w:hint="eastAsia" w:ascii="宋体" w:hAnsi="宋体" w:cs="宋体"/>
          <w:color w:val="auto"/>
          <w:highlight w:val="none"/>
        </w:rPr>
      </w:pPr>
      <w:bookmarkStart w:id="116" w:name="_Toc254970676"/>
      <w:bookmarkStart w:id="117" w:name="_Toc254970535"/>
    </w:p>
    <w:p w14:paraId="736C3700">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三、投标文件的编制</w:t>
      </w:r>
      <w:bookmarkEnd w:id="116"/>
      <w:bookmarkEnd w:id="117"/>
    </w:p>
    <w:p w14:paraId="03C3ED4B">
      <w:pPr>
        <w:pStyle w:val="6"/>
        <w:keepNext w:val="0"/>
        <w:keepLines w:val="0"/>
        <w:spacing w:before="0" w:after="0" w:line="500" w:lineRule="exact"/>
        <w:ind w:left="420" w:leftChars="200"/>
        <w:rPr>
          <w:rFonts w:hint="eastAsia" w:ascii="宋体" w:hAnsi="宋体" w:cs="宋体"/>
          <w:color w:val="auto"/>
          <w:sz w:val="24"/>
          <w:highlight w:val="none"/>
        </w:rPr>
      </w:pPr>
      <w:bookmarkStart w:id="118" w:name="_Toc254970536"/>
      <w:bookmarkStart w:id="119" w:name="_Toc254970677"/>
      <w:r>
        <w:rPr>
          <w:rFonts w:hint="eastAsia" w:ascii="宋体" w:hAnsi="宋体" w:cs="宋体"/>
          <w:color w:val="auto"/>
          <w:sz w:val="24"/>
          <w:highlight w:val="none"/>
        </w:rPr>
        <w:t>12.投标文件的编制原则</w:t>
      </w:r>
    </w:p>
    <w:p w14:paraId="31D97747">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3D2942FA">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13.投标文件的组成</w:t>
      </w:r>
      <w:bookmarkEnd w:id="118"/>
      <w:bookmarkEnd w:id="119"/>
    </w:p>
    <w:p w14:paraId="7350F86D">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投标文件由报价文件、资格证明文件、商务技术文件三部分组成。</w:t>
      </w:r>
    </w:p>
    <w:p w14:paraId="28FBCD67">
      <w:pPr>
        <w:pStyle w:val="6"/>
        <w:keepNext w:val="0"/>
        <w:keepLines w:val="0"/>
        <w:spacing w:before="0" w:after="0" w:line="500" w:lineRule="exact"/>
        <w:ind w:left="420" w:leftChars="200"/>
        <w:rPr>
          <w:rFonts w:hint="eastAsia" w:ascii="宋体" w:hAnsi="宋体" w:cs="宋体"/>
          <w:b w:val="0"/>
          <w:color w:val="auto"/>
          <w:sz w:val="21"/>
          <w:szCs w:val="21"/>
          <w:highlight w:val="none"/>
        </w:rPr>
      </w:pPr>
      <w:bookmarkStart w:id="120" w:name="_13.1报价文件:_具体材料见“投标人须知前附表”。"/>
      <w:bookmarkEnd w:id="120"/>
      <w:r>
        <w:rPr>
          <w:rFonts w:hint="eastAsia" w:ascii="宋体" w:hAnsi="宋体" w:cs="宋体"/>
          <w:b w:val="0"/>
          <w:color w:val="auto"/>
          <w:sz w:val="21"/>
          <w:szCs w:val="21"/>
          <w:highlight w:val="none"/>
        </w:rPr>
        <w:t>（1）报价文件：具体材料见“投标人须知前附表”。</w:t>
      </w:r>
    </w:p>
    <w:p w14:paraId="1091EABD">
      <w:pPr>
        <w:pStyle w:val="6"/>
        <w:keepNext w:val="0"/>
        <w:keepLines w:val="0"/>
        <w:spacing w:before="0" w:after="0" w:line="500" w:lineRule="exact"/>
        <w:ind w:left="420" w:leftChars="200"/>
        <w:rPr>
          <w:rFonts w:hint="eastAsia" w:ascii="宋体" w:hAnsi="宋体" w:cs="宋体"/>
          <w:b w:val="0"/>
          <w:color w:val="auto"/>
          <w:sz w:val="21"/>
          <w:szCs w:val="21"/>
          <w:highlight w:val="none"/>
        </w:rPr>
      </w:pPr>
      <w:bookmarkStart w:id="121" w:name="_13.2资格证明文件：具体材料见“投标人须知前附表”。"/>
      <w:bookmarkEnd w:id="121"/>
      <w:r>
        <w:rPr>
          <w:rFonts w:hint="eastAsia" w:ascii="宋体" w:hAnsi="宋体" w:cs="宋体"/>
          <w:b w:val="0"/>
          <w:color w:val="auto"/>
          <w:sz w:val="21"/>
          <w:szCs w:val="21"/>
          <w:highlight w:val="none"/>
        </w:rPr>
        <w:t>（2）资格证明文件：具体材料见“投标人须知前附表”。</w:t>
      </w:r>
    </w:p>
    <w:p w14:paraId="3760F3DB">
      <w:pPr>
        <w:pStyle w:val="6"/>
        <w:keepNext w:val="0"/>
        <w:keepLines w:val="0"/>
        <w:spacing w:before="0" w:after="0" w:line="500" w:lineRule="exact"/>
        <w:ind w:left="420" w:leftChars="200"/>
        <w:rPr>
          <w:rFonts w:hint="eastAsia" w:ascii="宋体" w:hAnsi="宋体" w:cs="宋体"/>
          <w:b w:val="0"/>
          <w:color w:val="auto"/>
          <w:sz w:val="21"/>
          <w:szCs w:val="21"/>
          <w:highlight w:val="none"/>
        </w:rPr>
      </w:pPr>
      <w:bookmarkStart w:id="122" w:name="_13.3商务文件:_具体材料见“投标人须知前附表”。"/>
      <w:bookmarkEnd w:id="122"/>
      <w:r>
        <w:rPr>
          <w:rFonts w:hint="eastAsia" w:ascii="宋体" w:hAnsi="宋体" w:cs="宋体"/>
          <w:b w:val="0"/>
          <w:color w:val="auto"/>
          <w:sz w:val="21"/>
          <w:szCs w:val="21"/>
          <w:highlight w:val="none"/>
        </w:rPr>
        <w:t>（3）商务技术文件：具体材料见“投标人须知前附表”。</w:t>
      </w:r>
    </w:p>
    <w:p w14:paraId="600362A8">
      <w:pPr>
        <w:pStyle w:val="6"/>
        <w:keepNext w:val="0"/>
        <w:keepLines w:val="0"/>
        <w:spacing w:before="0" w:after="0" w:line="500" w:lineRule="exact"/>
        <w:ind w:left="420" w:leftChars="200"/>
        <w:rPr>
          <w:rFonts w:hint="eastAsia" w:ascii="宋体" w:hAnsi="宋体" w:cs="宋体"/>
          <w:color w:val="auto"/>
          <w:sz w:val="24"/>
          <w:highlight w:val="none"/>
        </w:rPr>
      </w:pPr>
      <w:bookmarkStart w:id="123" w:name="_13.5投标文件电子版：具体材料见“投标人须知前附表”。"/>
      <w:bookmarkEnd w:id="123"/>
      <w:bookmarkStart w:id="124" w:name="_13.4技术文件：具体材料见“投标人须知前附表”。"/>
      <w:bookmarkEnd w:id="124"/>
      <w:bookmarkStart w:id="125" w:name="_Toc254970537"/>
      <w:bookmarkStart w:id="126" w:name="_Toc254970678"/>
      <w:r>
        <w:rPr>
          <w:rFonts w:hint="eastAsia" w:ascii="宋体" w:hAnsi="宋体" w:cs="宋体"/>
          <w:color w:val="auto"/>
          <w:sz w:val="24"/>
          <w:highlight w:val="none"/>
        </w:rPr>
        <w:t>14.投标文件的语言及计量</w:t>
      </w:r>
      <w:bookmarkEnd w:id="125"/>
      <w:bookmarkEnd w:id="126"/>
    </w:p>
    <w:p w14:paraId="1081B9A7">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14.1语言文字</w:t>
      </w:r>
    </w:p>
    <w:p w14:paraId="5EDE1B5F">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5FA599C">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14.2投标计量单位</w:t>
      </w:r>
    </w:p>
    <w:p w14:paraId="3D381F29">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Cs/>
          <w:color w:val="auto"/>
          <w:sz w:val="21"/>
          <w:szCs w:val="21"/>
          <w:highlight w:val="none"/>
        </w:rPr>
        <w:t>，否则视同未响应。</w:t>
      </w:r>
    </w:p>
    <w:p w14:paraId="62BDF7B3">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15.投标的风险</w:t>
      </w:r>
    </w:p>
    <w:p w14:paraId="67885BDE">
      <w:pPr>
        <w:pStyle w:val="24"/>
        <w:snapToGrid w:val="0"/>
        <w:spacing w:line="500" w:lineRule="exact"/>
        <w:ind w:firstLine="420" w:firstLineChars="200"/>
        <w:jc w:val="left"/>
        <w:rPr>
          <w:rFonts w:hint="eastAsia" w:hAnsi="宋体" w:cs="宋体"/>
          <w:color w:val="auto"/>
          <w:sz w:val="21"/>
          <w:highlight w:val="none"/>
        </w:rPr>
      </w:pPr>
      <w:r>
        <w:rPr>
          <w:rFonts w:hint="eastAsia" w:hAnsi="宋体" w:cs="宋体"/>
          <w:color w:val="auto"/>
          <w:sz w:val="21"/>
          <w:highlight w:val="none"/>
        </w:rPr>
        <w:t>投标人没有按照招标文件要求提供全部资料，或者投标人没有对招标文件作出实质性响应是投标人的风险，并可能导致其投标被拒绝。</w:t>
      </w:r>
    </w:p>
    <w:p w14:paraId="64B63C39">
      <w:pPr>
        <w:pStyle w:val="6"/>
        <w:keepNext w:val="0"/>
        <w:keepLines w:val="0"/>
        <w:spacing w:before="0" w:after="0" w:line="500" w:lineRule="exact"/>
        <w:ind w:left="420" w:leftChars="200"/>
        <w:rPr>
          <w:rFonts w:hint="eastAsia" w:ascii="宋体" w:hAnsi="宋体" w:cs="宋体"/>
          <w:color w:val="auto"/>
          <w:sz w:val="24"/>
          <w:highlight w:val="none"/>
        </w:rPr>
      </w:pPr>
      <w:bookmarkStart w:id="127" w:name="_Toc254970538"/>
      <w:bookmarkStart w:id="128" w:name="_Toc254970679"/>
      <w:r>
        <w:rPr>
          <w:rFonts w:hint="eastAsia" w:ascii="宋体" w:hAnsi="宋体" w:cs="宋体"/>
          <w:color w:val="auto"/>
          <w:sz w:val="24"/>
          <w:highlight w:val="none"/>
        </w:rPr>
        <w:t>16.投标报价</w:t>
      </w:r>
      <w:bookmarkEnd w:id="127"/>
      <w:bookmarkEnd w:id="128"/>
    </w:p>
    <w:p w14:paraId="6C0AC43E">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16.1投标报价应按“第六章　投标文件格式”中“开标一览表”格式填写。</w:t>
      </w:r>
    </w:p>
    <w:p w14:paraId="60ABDCD5">
      <w:pPr>
        <w:pStyle w:val="6"/>
        <w:keepNext w:val="0"/>
        <w:keepLines w:val="0"/>
        <w:spacing w:before="0" w:after="0" w:line="500" w:lineRule="exact"/>
        <w:ind w:left="420" w:leftChars="200"/>
        <w:rPr>
          <w:rFonts w:hint="eastAsia" w:ascii="宋体" w:hAnsi="宋体" w:cs="宋体"/>
          <w:b w:val="0"/>
          <w:color w:val="auto"/>
          <w:sz w:val="21"/>
          <w:szCs w:val="21"/>
          <w:highlight w:val="none"/>
        </w:rPr>
      </w:pPr>
      <w:bookmarkStart w:id="129" w:name="_16.2投标报价具体定义见投标人须知前附表。"/>
      <w:bookmarkEnd w:id="129"/>
      <w:r>
        <w:rPr>
          <w:rFonts w:hint="eastAsia" w:ascii="宋体" w:hAnsi="宋体" w:cs="宋体"/>
          <w:b w:val="0"/>
          <w:color w:val="auto"/>
          <w:sz w:val="21"/>
          <w:szCs w:val="21"/>
          <w:highlight w:val="none"/>
        </w:rPr>
        <w:t>16.2投标报价具体包括内容详见“投标人须知前附表”。</w:t>
      </w:r>
    </w:p>
    <w:p w14:paraId="19C4627D">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16.3投标人必须就所投每个分标的全部内容分别作完整唯一总价报价，不得存在漏项报价；投标人必须就所投分标的单项内容作唯一报价。</w:t>
      </w:r>
    </w:p>
    <w:p w14:paraId="7B30B206">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17.投标有效期</w:t>
      </w:r>
    </w:p>
    <w:p w14:paraId="07CEBB8B">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bookmarkStart w:id="130" w:name="_17.1投标有效期应按“投标人须知中的前附表”规定的期限。"/>
      <w:bookmarkEnd w:id="130"/>
      <w:r>
        <w:rPr>
          <w:rFonts w:hint="eastAsia" w:ascii="宋体" w:hAnsi="宋体" w:cs="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7332E51D">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17.2</w:t>
      </w:r>
      <w:bookmarkStart w:id="131" w:name="_Toc254970681"/>
      <w:bookmarkStart w:id="132" w:name="_Toc254970540"/>
      <w:r>
        <w:rPr>
          <w:rFonts w:hint="eastAsia" w:ascii="宋体" w:hAnsi="宋体" w:cs="宋体"/>
          <w:b w:val="0"/>
          <w:color w:val="auto"/>
          <w:sz w:val="21"/>
          <w:szCs w:val="21"/>
          <w:highlight w:val="none"/>
        </w:rPr>
        <w:t xml:space="preserve"> 投标有效期应按规定的期限作出承诺，具体详见“投标人须知前附表”。</w:t>
      </w:r>
    </w:p>
    <w:p w14:paraId="51714C18">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17.3投标人的投标文件在投标有效期内均保持有效。</w:t>
      </w:r>
      <w:bookmarkEnd w:id="131"/>
      <w:bookmarkEnd w:id="132"/>
    </w:p>
    <w:p w14:paraId="6FB3F9B8">
      <w:pPr>
        <w:pStyle w:val="6"/>
        <w:keepNext w:val="0"/>
        <w:keepLines w:val="0"/>
        <w:spacing w:before="0" w:after="0" w:line="500" w:lineRule="exact"/>
        <w:ind w:left="420" w:leftChars="200"/>
        <w:rPr>
          <w:rFonts w:hint="eastAsia" w:ascii="宋体" w:hAnsi="宋体" w:cs="宋体"/>
          <w:color w:val="auto"/>
          <w:sz w:val="24"/>
          <w:highlight w:val="none"/>
        </w:rPr>
      </w:pPr>
      <w:bookmarkStart w:id="133" w:name="_18.投标保证金"/>
      <w:bookmarkEnd w:id="133"/>
      <w:bookmarkStart w:id="134" w:name="_Toc254970682"/>
      <w:bookmarkStart w:id="135" w:name="_Toc254970541"/>
      <w:r>
        <w:rPr>
          <w:rFonts w:hint="eastAsia" w:ascii="宋体" w:hAnsi="宋体" w:cs="宋体"/>
          <w:color w:val="auto"/>
          <w:sz w:val="24"/>
          <w:highlight w:val="none"/>
        </w:rPr>
        <w:t>18.投标保证金</w:t>
      </w:r>
      <w:bookmarkEnd w:id="134"/>
      <w:bookmarkEnd w:id="135"/>
    </w:p>
    <w:p w14:paraId="67AB97A7">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18.1投标人须按“投标人须知前附表”的规定提交投标保证金。</w:t>
      </w:r>
    </w:p>
    <w:p w14:paraId="2DE36945">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18.2投标保证金的退还</w:t>
      </w:r>
    </w:p>
    <w:p w14:paraId="7F6E2F11">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未中标人的投标保证金自中标通知书发出之日起5个工作日内退还；中标人的投标保证金自政府采购合同签订之日起5个工作日内退还。 </w:t>
      </w:r>
    </w:p>
    <w:p w14:paraId="5743840A">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18.3除逾期退还投标保证金和终止招标的情形以外，投标保证金不计息。</w:t>
      </w:r>
    </w:p>
    <w:p w14:paraId="2CEE9FDB">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18.4投标人有下列情形之一的，投标保证金将不予退还：</w:t>
      </w:r>
    </w:p>
    <w:p w14:paraId="19839D68">
      <w:pPr>
        <w:snapToGrid w:val="0"/>
        <w:spacing w:line="5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760C59E2">
      <w:pPr>
        <w:snapToGrid w:val="0"/>
        <w:spacing w:line="5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（2）未按规定提交履约保证金的；</w:t>
      </w:r>
    </w:p>
    <w:p w14:paraId="35D41B6D">
      <w:pPr>
        <w:snapToGrid w:val="0"/>
        <w:spacing w:line="5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7C799136">
      <w:pPr>
        <w:snapToGrid w:val="0"/>
        <w:spacing w:line="5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124CB839">
      <w:pPr>
        <w:snapToGrid w:val="0"/>
        <w:spacing w:line="500" w:lineRule="exact"/>
        <w:ind w:firstLine="420" w:firstLineChars="200"/>
        <w:rPr>
          <w:rFonts w:hint="eastAsia" w:ascii="宋体" w:hAnsi="宋体" w:cs="宋体"/>
          <w:color w:val="auto"/>
          <w:szCs w:val="21"/>
          <w:highlight w:val="none"/>
        </w:rPr>
      </w:pPr>
      <w:bookmarkStart w:id="136" w:name="_Toc254970542"/>
      <w:bookmarkStart w:id="137" w:name="_Toc254970683"/>
      <w:r>
        <w:rPr>
          <w:rFonts w:hint="eastAsia" w:ascii="宋体" w:hAnsi="宋体" w:cs="宋体"/>
          <w:color w:val="auto"/>
          <w:szCs w:val="21"/>
          <w:highlight w:val="none"/>
        </w:rPr>
        <w:t>（5）投标人出现本章第9.2、9.3情形的；</w:t>
      </w:r>
    </w:p>
    <w:p w14:paraId="7D109E3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bookmarkEnd w:id="136"/>
    <w:bookmarkEnd w:id="137"/>
    <w:p w14:paraId="2882B6EC">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19.投标文件的编制</w:t>
      </w:r>
    </w:p>
    <w:p w14:paraId="018788B6">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14:paraId="79330DCD">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bookmarkStart w:id="138" w:name="_19.2投标文件应按报价文件、资格证明文件、商务文件、技术文件分别编制"/>
      <w:bookmarkEnd w:id="138"/>
      <w:r>
        <w:rPr>
          <w:rFonts w:hint="eastAsia" w:ascii="宋体" w:hAnsi="宋体" w:cs="宋体"/>
          <w:b w:val="0"/>
          <w:color w:val="auto"/>
          <w:sz w:val="21"/>
          <w:szCs w:val="21"/>
          <w:highlight w:val="none"/>
        </w:rPr>
        <w:t>19.2为确保网上操作合法、有效和安全，投标人应当在投标截止时间前完成在广西政府采购云平台的身份认证，确保在电子投标过程中能够对相关数据电文进行加密和使用电子签章。</w:t>
      </w:r>
    </w:p>
    <w:p w14:paraId="1E680200">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19.3投标文件须由投标人在规定位置签字（或者电子签名）、盖章（具体以投标人须知前附表或投标文件格式规定为准），</w:t>
      </w:r>
      <w:r>
        <w:rPr>
          <w:rFonts w:hint="eastAsia" w:ascii="宋体" w:hAnsi="宋体" w:cs="宋体"/>
          <w:bCs/>
          <w:color w:val="auto"/>
          <w:sz w:val="21"/>
          <w:szCs w:val="21"/>
          <w:highlight w:val="none"/>
        </w:rPr>
        <w:t>否则按无效投标处理</w:t>
      </w:r>
      <w:r>
        <w:rPr>
          <w:rFonts w:hint="eastAsia" w:ascii="宋体" w:hAnsi="宋体" w:cs="宋体"/>
          <w:b w:val="0"/>
          <w:color w:val="auto"/>
          <w:sz w:val="21"/>
          <w:szCs w:val="21"/>
          <w:highlight w:val="none"/>
        </w:rPr>
        <w:t>。</w:t>
      </w:r>
    </w:p>
    <w:p w14:paraId="1D6113EF">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19.4投标文件中标注的投标人名称应与主体资格证明（如营业执照或者事业单位法人证书或者执业许可证或者登记证书等）及公章一致，并与广西政府采购云中获取招标文件的投标人名称一致，投标人为自然人的，标注的投标人名称应与身份证姓名及签名一致，</w:t>
      </w:r>
      <w:r>
        <w:rPr>
          <w:rFonts w:hint="eastAsia" w:ascii="宋体" w:hAnsi="宋体" w:cs="宋体"/>
          <w:color w:val="auto"/>
          <w:sz w:val="21"/>
          <w:szCs w:val="21"/>
          <w:highlight w:val="none"/>
        </w:rPr>
        <w:t>否则按无效投标处理</w:t>
      </w:r>
      <w:r>
        <w:rPr>
          <w:rFonts w:hint="eastAsia" w:ascii="宋体" w:hAnsi="宋体" w:cs="宋体"/>
          <w:b w:val="0"/>
          <w:color w:val="auto"/>
          <w:sz w:val="21"/>
          <w:szCs w:val="21"/>
          <w:highlight w:val="none"/>
        </w:rPr>
        <w:t>。</w:t>
      </w:r>
    </w:p>
    <w:p w14:paraId="48DF66AA">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308A2A24">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20.电子备份投标文件</w:t>
      </w:r>
    </w:p>
    <w:p w14:paraId="11E2BAF9">
      <w:pPr>
        <w:spacing w:line="500" w:lineRule="exact"/>
        <w:ind w:firstLine="420" w:firstLineChars="200"/>
        <w:rPr>
          <w:rFonts w:hint="eastAsia" w:ascii="宋体" w:hAnsi="宋体" w:cs="宋体"/>
          <w:color w:val="auto"/>
          <w:sz w:val="24"/>
          <w:highlight w:val="none"/>
        </w:rPr>
      </w:pPr>
      <w:r>
        <w:rPr>
          <w:rFonts w:hint="eastAsia" w:ascii="宋体" w:hAnsi="宋体" w:cs="宋体"/>
          <w:color w:val="auto"/>
          <w:highlight w:val="none"/>
        </w:rPr>
        <w:t>电子备份投标文件是指通过“广西政府采购云电子投标客户端”在线编制生成且后缀名为“bfbs”的文件，是否接受电子备份投标文件</w:t>
      </w:r>
      <w:r>
        <w:rPr>
          <w:rFonts w:hint="eastAsia" w:ascii="宋体" w:hAnsi="宋体" w:cs="宋体"/>
          <w:bCs/>
          <w:color w:val="auto"/>
          <w:szCs w:val="21"/>
          <w:highlight w:val="none"/>
        </w:rPr>
        <w:t>详见“投标人须知前附表”。</w:t>
      </w:r>
    </w:p>
    <w:p w14:paraId="4E660242">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21.投标文件的提交</w:t>
      </w:r>
    </w:p>
    <w:p w14:paraId="72AF43C1">
      <w:pPr>
        <w:spacing w:line="500" w:lineRule="exact"/>
        <w:ind w:firstLine="420" w:firstLineChars="200"/>
        <w:rPr>
          <w:rFonts w:hint="eastAsia" w:ascii="宋体" w:hAnsi="宋体" w:cs="宋体"/>
          <w:b/>
          <w:color w:val="auto"/>
          <w:highlight w:val="none"/>
        </w:rPr>
      </w:pPr>
      <w:bookmarkStart w:id="139" w:name="_21.1投标人必须在“投标人须知中的前附表”规定的投标文件接收时间和投"/>
      <w:bookmarkEnd w:id="139"/>
      <w:r>
        <w:rPr>
          <w:rFonts w:hint="eastAsia" w:ascii="宋体" w:hAnsi="宋体" w:cs="宋体"/>
          <w:bCs/>
          <w:color w:val="auto"/>
          <w:szCs w:val="21"/>
          <w:highlight w:val="none"/>
        </w:rPr>
        <w:t>21.1投标人必须在“投标人须知前附表”规定的</w:t>
      </w:r>
      <w:r>
        <w:rPr>
          <w:rFonts w:hint="eastAsia" w:ascii="宋体" w:hAnsi="宋体" w:cs="宋体"/>
          <w:color w:val="auto"/>
          <w:szCs w:val="21"/>
          <w:highlight w:val="none"/>
        </w:rPr>
        <w:t>投标文件提交截止时间前将</w:t>
      </w:r>
      <w:r>
        <w:rPr>
          <w:rFonts w:hint="eastAsia" w:ascii="宋体" w:hAnsi="宋体" w:cs="宋体"/>
          <w:bCs/>
          <w:color w:val="auto"/>
          <w:szCs w:val="21"/>
          <w:highlight w:val="none"/>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cs="宋体"/>
          <w:color w:val="auto"/>
          <w:kern w:val="0"/>
          <w:szCs w:val="21"/>
          <w:highlight w:val="none"/>
        </w:rPr>
        <w:t>广西政府采购云平台</w:t>
      </w:r>
      <w:r>
        <w:rPr>
          <w:rFonts w:hint="eastAsia" w:ascii="宋体" w:hAnsi="宋体" w:cs="宋体"/>
          <w:bCs/>
          <w:color w:val="auto"/>
          <w:szCs w:val="21"/>
          <w:highlight w:val="none"/>
        </w:rPr>
        <w:t>。</w:t>
      </w:r>
    </w:p>
    <w:p w14:paraId="2FD73854">
      <w:pPr>
        <w:spacing w:line="500" w:lineRule="exact"/>
        <w:ind w:firstLine="422" w:firstLineChars="200"/>
        <w:rPr>
          <w:rFonts w:hint="eastAsia"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21.2未在规定时间内提交或者未按照招标文件要求加密的电子投标文件，广西政府采购云平台将拒收。</w:t>
      </w:r>
    </w:p>
    <w:p w14:paraId="298625F3">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22.投标文件的补充、修改、撤回与退回</w:t>
      </w:r>
    </w:p>
    <w:p w14:paraId="1384D4D8">
      <w:pPr>
        <w:snapToGrid w:val="0"/>
        <w:spacing w:line="500" w:lineRule="exact"/>
        <w:ind w:firstLine="420"/>
        <w:jc w:val="left"/>
        <w:rPr>
          <w:rFonts w:hint="eastAsia" w:ascii="宋体" w:hAnsi="宋体" w:cs="宋体"/>
          <w:color w:val="auto"/>
          <w:szCs w:val="21"/>
          <w:highlight w:val="none"/>
        </w:rPr>
      </w:pPr>
      <w:bookmarkStart w:id="140" w:name="_Toc254970543"/>
      <w:bookmarkStart w:id="141" w:name="_Toc254970684"/>
      <w:r>
        <w:rPr>
          <w:rFonts w:hint="eastAsia" w:ascii="宋体" w:hAnsi="宋体" w:cs="宋体"/>
          <w:color w:val="auto"/>
          <w:szCs w:val="21"/>
          <w:highlight w:val="none"/>
        </w:rPr>
        <w:t>22.1</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（补充、修改或者撤回方式可登录</w:t>
      </w:r>
      <w:r>
        <w:rPr>
          <w:rFonts w:hint="eastAsia" w:ascii="宋体" w:hAnsi="宋体" w:cs="宋体"/>
          <w:color w:val="auto"/>
          <w:kern w:val="0"/>
          <w:szCs w:val="21"/>
          <w:highlight w:val="none"/>
        </w:rPr>
        <w:t>广西政府采购云平台，</w:t>
      </w:r>
      <w:r>
        <w:rPr>
          <w:rFonts w:hint="eastAsia" w:ascii="宋体" w:hAnsi="宋体" w:cs="宋体"/>
          <w:color w:val="auto"/>
          <w:szCs w:val="21"/>
          <w:highlight w:val="none"/>
        </w:rPr>
        <w:t>依次进入“服务中心”中查看 “电子投标文件制作与投送教程”）</w:t>
      </w:r>
    </w:p>
    <w:bookmarkEnd w:id="140"/>
    <w:bookmarkEnd w:id="141"/>
    <w:p w14:paraId="4E0CF957">
      <w:pPr>
        <w:pStyle w:val="116"/>
        <w:spacing w:before="0" w:line="5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22.2广西政府采购云平台收到投标文件后向投标人发出确认回执通知。在投标截止时间前，除投标人补充、修改或者撤回投标文件外，任何单位和个人不得解密或提取投标文件。</w:t>
      </w:r>
    </w:p>
    <w:p w14:paraId="43033EF9">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22.3在投标截止时间后，采购人和采购代理机构对已提交的投标文件概不退回。</w:t>
      </w:r>
    </w:p>
    <w:p w14:paraId="5344E010">
      <w:pPr>
        <w:pStyle w:val="4"/>
        <w:keepNext w:val="0"/>
        <w:keepLines w:val="0"/>
        <w:spacing w:before="0" w:after="0" w:line="500" w:lineRule="exact"/>
        <w:jc w:val="center"/>
        <w:rPr>
          <w:rFonts w:hint="eastAsia" w:ascii="宋体" w:hAnsi="宋体" w:cs="宋体"/>
          <w:color w:val="auto"/>
          <w:highlight w:val="none"/>
        </w:rPr>
      </w:pPr>
      <w:bookmarkStart w:id="142" w:name="_Toc254970685"/>
      <w:bookmarkStart w:id="143" w:name="_Toc254970544"/>
    </w:p>
    <w:p w14:paraId="28CA489A">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四、开标</w:t>
      </w:r>
      <w:bookmarkEnd w:id="142"/>
      <w:bookmarkEnd w:id="143"/>
    </w:p>
    <w:p w14:paraId="3ACF4BC5">
      <w:pPr>
        <w:pStyle w:val="6"/>
        <w:keepNext w:val="0"/>
        <w:keepLines w:val="0"/>
        <w:spacing w:before="0" w:after="0" w:line="500" w:lineRule="exact"/>
        <w:ind w:left="420" w:leftChars="200"/>
        <w:rPr>
          <w:rFonts w:hint="eastAsia" w:ascii="宋体" w:hAnsi="宋体" w:cs="宋体"/>
          <w:color w:val="auto"/>
          <w:sz w:val="24"/>
          <w:highlight w:val="none"/>
        </w:rPr>
      </w:pPr>
      <w:bookmarkStart w:id="144" w:name="_23.开标时间和地点"/>
      <w:bookmarkEnd w:id="144"/>
      <w:r>
        <w:rPr>
          <w:rFonts w:hint="eastAsia" w:ascii="宋体" w:hAnsi="宋体" w:cs="宋体"/>
          <w:color w:val="auto"/>
          <w:sz w:val="24"/>
          <w:highlight w:val="none"/>
        </w:rPr>
        <w:t>23.开标时间和地点</w:t>
      </w:r>
    </w:p>
    <w:p w14:paraId="5DFF3861">
      <w:pPr>
        <w:spacing w:line="5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开标时间及地点详见“投标人须知前附表”</w:t>
      </w:r>
    </w:p>
    <w:p w14:paraId="26CA377E">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24.开标程序</w:t>
      </w:r>
    </w:p>
    <w:p w14:paraId="7D625029">
      <w:pPr>
        <w:pStyle w:val="7"/>
        <w:spacing w:line="500" w:lineRule="exact"/>
        <w:rPr>
          <w:rFonts w:hint="eastAsia" w:ascii="宋体" w:hAnsi="宋体" w:cs="宋体"/>
          <w:color w:val="auto"/>
          <w:highlight w:val="none"/>
        </w:rPr>
      </w:pPr>
      <w:r>
        <w:rPr>
          <w:rFonts w:hint="eastAsia" w:ascii="宋体" w:hAnsi="宋体" w:cs="宋体"/>
          <w:color w:val="auto"/>
          <w:highlight w:val="none"/>
        </w:rPr>
        <w:t>24.1提交投标文件截止时间止，投标人不足3家的，不得开标。</w:t>
      </w:r>
    </w:p>
    <w:p w14:paraId="686FA4C2">
      <w:pPr>
        <w:pStyle w:val="7"/>
        <w:spacing w:line="500" w:lineRule="exact"/>
        <w:rPr>
          <w:rFonts w:hint="eastAsia" w:ascii="宋体" w:hAnsi="宋体" w:cs="宋体"/>
          <w:color w:val="auto"/>
          <w:highlight w:val="none"/>
        </w:rPr>
      </w:pPr>
      <w:r>
        <w:rPr>
          <w:rFonts w:hint="eastAsia" w:ascii="宋体" w:hAnsi="宋体" w:cs="宋体"/>
          <w:color w:val="auto"/>
          <w:highlight w:val="none"/>
        </w:rPr>
        <w:t>24.2采购代理机构将按照招标文件规定的时间通过广西政府采购云平台组织线上开标活动，所有投标人均应当准时在线参加，投标人因未在线参加开标而导致投标文件无法按时解密等一切后果由投标人自己承担。</w:t>
      </w:r>
    </w:p>
    <w:p w14:paraId="31F2791F">
      <w:pPr>
        <w:pStyle w:val="7"/>
        <w:spacing w:line="500" w:lineRule="exact"/>
        <w:rPr>
          <w:rFonts w:hint="eastAsia" w:ascii="宋体" w:hAnsi="宋体" w:cs="宋体"/>
          <w:color w:val="auto"/>
          <w:highlight w:val="none"/>
        </w:rPr>
      </w:pPr>
      <w:r>
        <w:rPr>
          <w:rFonts w:hint="eastAsia" w:ascii="宋体" w:hAnsi="宋体" w:cs="宋体"/>
          <w:color w:val="auto"/>
          <w:highlight w:val="none"/>
        </w:rPr>
        <w:t>24.3开标程序</w:t>
      </w:r>
    </w:p>
    <w:p w14:paraId="3E0B165D">
      <w:pPr>
        <w:pStyle w:val="7"/>
        <w:spacing w:line="500" w:lineRule="exact"/>
        <w:rPr>
          <w:rFonts w:hint="eastAsia" w:ascii="宋体" w:hAnsi="宋体" w:cs="宋体"/>
          <w:color w:val="auto"/>
          <w:highlight w:val="none"/>
        </w:rPr>
      </w:pPr>
      <w:r>
        <w:rPr>
          <w:rFonts w:hint="eastAsia" w:ascii="宋体" w:hAnsi="宋体" w:cs="宋体"/>
          <w:color w:val="auto"/>
          <w:highlight w:val="none"/>
        </w:rPr>
        <w:t>（1）解密电子投标文件。广西政府采购云平台按开标时间自动提取所有投标文件。采购代理机构依托</w:t>
      </w:r>
      <w:r>
        <w:rPr>
          <w:rFonts w:hint="eastAsia" w:ascii="宋体" w:hAnsi="宋体" w:cs="宋体"/>
          <w:color w:val="auto"/>
          <w:kern w:val="0"/>
          <w:szCs w:val="21"/>
          <w:highlight w:val="none"/>
        </w:rPr>
        <w:t>广西政府采购云平台</w:t>
      </w:r>
      <w:r>
        <w:rPr>
          <w:rFonts w:hint="eastAsia" w:ascii="宋体" w:hAnsi="宋体" w:cs="宋体"/>
          <w:color w:val="auto"/>
          <w:highlight w:val="none"/>
        </w:rPr>
        <w:t>向各投标人发出电子加密投标文件【开始解密】通知，由投标人按</w:t>
      </w:r>
      <w:r>
        <w:rPr>
          <w:rFonts w:hint="eastAsia" w:ascii="宋体" w:hAnsi="宋体" w:cs="宋体"/>
          <w:bCs/>
          <w:color w:val="auto"/>
          <w:szCs w:val="21"/>
          <w:highlight w:val="none"/>
        </w:rPr>
        <w:t>“投标人须知前附表”</w:t>
      </w:r>
      <w:r>
        <w:rPr>
          <w:rFonts w:hint="eastAsia" w:ascii="宋体" w:hAnsi="宋体" w:cs="宋体"/>
          <w:color w:val="auto"/>
          <w:highlight w:val="none"/>
        </w:rPr>
        <w:t>规定的时间内自行进行投标文件解密。投标人的法定代表人或其委托代理人须凭加密时所用的CA锁准时登录到</w:t>
      </w:r>
      <w:r>
        <w:rPr>
          <w:rFonts w:hint="eastAsia" w:ascii="宋体" w:hAnsi="宋体" w:cs="宋体"/>
          <w:color w:val="auto"/>
          <w:kern w:val="0"/>
          <w:szCs w:val="21"/>
          <w:highlight w:val="none"/>
        </w:rPr>
        <w:t>广西政府采购云平台</w:t>
      </w:r>
      <w:r>
        <w:rPr>
          <w:rFonts w:hint="eastAsia" w:ascii="宋体" w:hAnsi="宋体" w:cs="宋体"/>
          <w:color w:val="auto"/>
          <w:highlight w:val="none"/>
        </w:rPr>
        <w:t>电子开标大厅签到并对电子投标文件解密。</w:t>
      </w:r>
      <w:r>
        <w:rPr>
          <w:rFonts w:hint="eastAsia" w:ascii="宋体" w:hAnsi="宋体" w:cs="宋体"/>
          <w:b/>
          <w:color w:val="auto"/>
          <w:highlight w:val="none"/>
        </w:rPr>
        <w:t>投标人未在规定的时间内解密投标文件或者解密失败的，</w:t>
      </w:r>
      <w:r>
        <w:rPr>
          <w:rFonts w:hint="eastAsia" w:ascii="宋体" w:hAnsi="宋体" w:cs="宋体"/>
          <w:b/>
          <w:color w:val="auto"/>
          <w:szCs w:val="21"/>
          <w:highlight w:val="none"/>
        </w:rPr>
        <w:t>投标人的投标文件作无效处理</w:t>
      </w:r>
      <w:r>
        <w:rPr>
          <w:rFonts w:hint="eastAsia" w:ascii="宋体" w:hAnsi="宋体" w:cs="宋体"/>
          <w:b/>
          <w:color w:val="auto"/>
          <w:highlight w:val="none"/>
        </w:rPr>
        <w:t>。</w:t>
      </w:r>
    </w:p>
    <w:p w14:paraId="1BCC530B">
      <w:pPr>
        <w:pStyle w:val="7"/>
        <w:spacing w:line="500" w:lineRule="exact"/>
        <w:rPr>
          <w:rFonts w:hint="eastAsia" w:ascii="宋体" w:hAnsi="宋体" w:cs="宋体"/>
          <w:color w:val="auto"/>
          <w:highlight w:val="none"/>
        </w:rPr>
      </w:pPr>
      <w:r>
        <w:rPr>
          <w:rFonts w:hint="eastAsia" w:ascii="宋体" w:hAnsi="宋体" w:cs="宋体"/>
          <w:color w:val="auto"/>
          <w:highlight w:val="none"/>
        </w:rPr>
        <w:t>（2）电子唱标。投标文件解密结束，宣布的内容均在</w:t>
      </w:r>
      <w:r>
        <w:rPr>
          <w:rFonts w:hint="eastAsia" w:ascii="宋体" w:hAnsi="宋体" w:cs="宋体"/>
          <w:color w:val="auto"/>
          <w:kern w:val="0"/>
          <w:szCs w:val="21"/>
          <w:highlight w:val="none"/>
        </w:rPr>
        <w:t>广西政府采购云平台</w:t>
      </w:r>
      <w:r>
        <w:rPr>
          <w:rFonts w:hint="eastAsia" w:ascii="宋体" w:hAnsi="宋体" w:cs="宋体"/>
          <w:color w:val="auto"/>
          <w:highlight w:val="none"/>
        </w:rPr>
        <w:t>远程开标大厅展示，具体详见</w:t>
      </w:r>
      <w:r>
        <w:rPr>
          <w:rFonts w:hint="eastAsia" w:ascii="宋体" w:hAnsi="宋体" w:cs="宋体"/>
          <w:bCs/>
          <w:color w:val="auto"/>
          <w:highlight w:val="none"/>
        </w:rPr>
        <w:t>“投标人须知前附表”</w:t>
      </w:r>
      <w:r>
        <w:rPr>
          <w:rFonts w:hint="eastAsia" w:ascii="宋体" w:hAnsi="宋体" w:cs="宋体"/>
          <w:color w:val="auto"/>
          <w:highlight w:val="none"/>
        </w:rPr>
        <w:t>；</w:t>
      </w:r>
    </w:p>
    <w:p w14:paraId="415B00A6">
      <w:pPr>
        <w:pStyle w:val="7"/>
        <w:spacing w:line="500" w:lineRule="exact"/>
        <w:rPr>
          <w:rFonts w:hint="eastAsia" w:ascii="宋体" w:hAnsi="宋体" w:cs="宋体"/>
          <w:color w:val="auto"/>
          <w:highlight w:val="none"/>
        </w:rPr>
      </w:pPr>
      <w:r>
        <w:rPr>
          <w:rFonts w:hint="eastAsia" w:ascii="宋体" w:hAnsi="宋体" w:cs="宋体"/>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4478E9C2">
      <w:pPr>
        <w:pStyle w:val="7"/>
        <w:spacing w:line="500" w:lineRule="exact"/>
        <w:rPr>
          <w:rFonts w:hint="eastAsia" w:ascii="宋体" w:hAnsi="宋体" w:cs="宋体"/>
          <w:color w:val="auto"/>
          <w:highlight w:val="none"/>
        </w:rPr>
      </w:pPr>
      <w:r>
        <w:rPr>
          <w:rFonts w:hint="eastAsia" w:ascii="宋体" w:hAnsi="宋体" w:cs="宋体"/>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222A408">
      <w:pPr>
        <w:pStyle w:val="7"/>
        <w:spacing w:line="500" w:lineRule="exact"/>
        <w:rPr>
          <w:rFonts w:hint="eastAsia" w:ascii="宋体" w:hAnsi="宋体" w:cs="宋体"/>
          <w:color w:val="auto"/>
          <w:szCs w:val="21"/>
          <w:highlight w:val="none"/>
        </w:rPr>
      </w:pPr>
      <w:r>
        <w:rPr>
          <w:rFonts w:hint="eastAsia" w:ascii="宋体" w:hAnsi="宋体" w:cs="宋体"/>
          <w:color w:val="auto"/>
          <w:szCs w:val="21"/>
          <w:highlight w:val="none"/>
        </w:rPr>
        <w:t>（5）开标结束。</w:t>
      </w:r>
    </w:p>
    <w:p w14:paraId="19453E23">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特别说明：如</w:t>
      </w:r>
      <w:r>
        <w:rPr>
          <w:rFonts w:hint="eastAsia" w:hAnsi="宋体" w:cs="宋体"/>
          <w:color w:val="auto"/>
          <w:kern w:val="2"/>
          <w:sz w:val="21"/>
          <w:szCs w:val="20"/>
          <w:highlight w:val="none"/>
        </w:rPr>
        <w:t>遇广西政府采购云平台电子化开标或评审</w:t>
      </w:r>
      <w:r>
        <w:rPr>
          <w:rFonts w:hint="eastAsia" w:hAnsi="宋体" w:cs="宋体"/>
          <w:color w:val="auto"/>
          <w:sz w:val="21"/>
          <w:highlight w:val="none"/>
        </w:rPr>
        <w:t>程序调整的，按调整后执行。</w:t>
      </w:r>
    </w:p>
    <w:p w14:paraId="72BDF1AB">
      <w:pPr>
        <w:pStyle w:val="24"/>
        <w:snapToGrid w:val="0"/>
        <w:spacing w:line="500" w:lineRule="exact"/>
        <w:ind w:left="689" w:leftChars="228" w:hanging="210" w:hangingChars="100"/>
        <w:rPr>
          <w:rFonts w:hint="eastAsia" w:hAnsi="宋体" w:cs="宋体"/>
          <w:color w:val="auto"/>
          <w:sz w:val="21"/>
          <w:highlight w:val="none"/>
        </w:rPr>
      </w:pPr>
    </w:p>
    <w:p w14:paraId="44BEE139">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五、资格审查</w:t>
      </w:r>
    </w:p>
    <w:p w14:paraId="3CF0CD5C">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25.资格审查</w:t>
      </w:r>
    </w:p>
    <w:p w14:paraId="198E705F">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25.1开标结束后，采购人或者采购代理机构通过电子开评标系统依据招标文件对电子投标文件进行线上资格审查。</w:t>
      </w:r>
    </w:p>
    <w:p w14:paraId="0F00D3C6">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25.2资格审查标准为本招标文件中载明对投标人资格要求的条件。本项目资格审查采用合格制，凡符合招标文件规定的投标人资格要求的投标人均通过资格审查。</w:t>
      </w:r>
    </w:p>
    <w:p w14:paraId="015754AA">
      <w:pPr>
        <w:pStyle w:val="6"/>
        <w:keepNext w:val="0"/>
        <w:keepLines w:val="0"/>
        <w:numPr>
          <w:ilvl w:val="0"/>
          <w:numId w:val="0"/>
        </w:numPr>
        <w:spacing w:before="0" w:after="0" w:line="500" w:lineRule="exact"/>
        <w:ind w:firstLine="422" w:firstLineChars="200"/>
        <w:rPr>
          <w:rFonts w:hint="eastAsia" w:ascii="宋体" w:hAnsi="宋体" w:cs="宋体"/>
          <w:color w:val="auto"/>
          <w:sz w:val="21"/>
          <w:szCs w:val="21"/>
          <w:highlight w:val="none"/>
        </w:rPr>
      </w:pPr>
      <w:bookmarkStart w:id="145" w:name="_25.3_投标人有下列情形之一的，资格审查不通过而导致其投标无效："/>
      <w:bookmarkEnd w:id="145"/>
      <w:r>
        <w:rPr>
          <w:rFonts w:hint="eastAsia" w:ascii="宋体" w:hAnsi="宋体" w:cs="宋体"/>
          <w:color w:val="auto"/>
          <w:sz w:val="21"/>
          <w:szCs w:val="21"/>
          <w:highlight w:val="none"/>
        </w:rPr>
        <w:t>25.3投标人有下列情形之一的，资格审查不通过，作无效投标处理：</w:t>
      </w:r>
    </w:p>
    <w:p w14:paraId="62EEA9A0">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（1）不具备招标文件中规定的资格要求的；</w:t>
      </w:r>
    </w:p>
    <w:p w14:paraId="4C7349A5">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14:paraId="5B865393">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（3）同一合同项下的不同投标人，单位负责人为同一人或者存在直接控股、管理关系的；为本项目提供过整体设计、规范编制或者项目管理、监理、检测等服务的投标人</w:t>
      </w:r>
      <w:r>
        <w:rPr>
          <w:rFonts w:hint="eastAsia" w:hAnsi="宋体" w:cs="宋体"/>
          <w:b/>
          <w:color w:val="auto"/>
          <w:sz w:val="21"/>
          <w:highlight w:val="none"/>
          <w:lang w:eastAsia="zh-CN"/>
        </w:rPr>
        <w:t>，不</w:t>
      </w:r>
      <w:r>
        <w:rPr>
          <w:rFonts w:hint="eastAsia" w:hAnsi="宋体" w:cs="宋体"/>
          <w:b/>
          <w:color w:val="auto"/>
          <w:sz w:val="21"/>
          <w:highlight w:val="none"/>
        </w:rPr>
        <w:t>再参加该采购项目的其他采购活动的；</w:t>
      </w:r>
    </w:p>
    <w:p w14:paraId="3CF67E04">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（4）投标文件中的资格证明文件缺少任一项“投标人须知前附表”资格证明文件规定“必须提供”的文件资料的；</w:t>
      </w:r>
    </w:p>
    <w:p w14:paraId="12D0ED78">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（5）投标文件中的资格证明文件出现任一项不符合“投标人须知前附表”资格证明文件规定“必须提供”的文件资料要求或者无效的。</w:t>
      </w:r>
    </w:p>
    <w:p w14:paraId="48FCE7C3">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1"/>
          <w:szCs w:val="21"/>
          <w:highlight w:val="none"/>
        </w:rPr>
        <w:t>25.4合格投标人不足3家的，不得评标。</w:t>
      </w:r>
    </w:p>
    <w:p w14:paraId="45D74A49">
      <w:pPr>
        <w:pStyle w:val="24"/>
        <w:snapToGrid w:val="0"/>
        <w:spacing w:line="500" w:lineRule="exact"/>
        <w:ind w:left="689" w:leftChars="228" w:hanging="210" w:hangingChars="100"/>
        <w:rPr>
          <w:rFonts w:hint="eastAsia" w:hAnsi="宋体" w:cs="宋体"/>
          <w:color w:val="auto"/>
          <w:sz w:val="21"/>
          <w:highlight w:val="none"/>
        </w:rPr>
      </w:pPr>
    </w:p>
    <w:p w14:paraId="687ABF47">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六、评标</w:t>
      </w:r>
    </w:p>
    <w:p w14:paraId="001E1F1A">
      <w:pPr>
        <w:pStyle w:val="6"/>
        <w:keepNext w:val="0"/>
        <w:keepLines w:val="0"/>
        <w:spacing w:before="0" w:after="0" w:line="500" w:lineRule="exact"/>
        <w:ind w:left="420" w:leftChars="200"/>
        <w:rPr>
          <w:rFonts w:hint="eastAsia" w:ascii="宋体" w:hAnsi="宋体" w:cs="宋体"/>
          <w:color w:val="auto"/>
          <w:sz w:val="24"/>
          <w:highlight w:val="none"/>
        </w:rPr>
      </w:pPr>
      <w:bookmarkStart w:id="146" w:name="_26.组建评标委员会"/>
      <w:bookmarkEnd w:id="146"/>
      <w:r>
        <w:rPr>
          <w:rFonts w:hint="eastAsia" w:ascii="宋体" w:hAnsi="宋体" w:cs="宋体"/>
          <w:color w:val="auto"/>
          <w:sz w:val="24"/>
          <w:highlight w:val="none"/>
        </w:rPr>
        <w:t>26.组建评标委员会</w:t>
      </w:r>
    </w:p>
    <w:p w14:paraId="5ADB9F7C">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26.1评标委员会由采购人代表和评审专家组成，具体人数详见“投标人须知前附表”，其中评审专家不得少于成员总数的三分之二。</w:t>
      </w:r>
    </w:p>
    <w:p w14:paraId="09187F2D">
      <w:pPr>
        <w:pStyle w:val="24"/>
        <w:snapToGrid w:val="0"/>
        <w:spacing w:line="500" w:lineRule="exact"/>
        <w:ind w:left="2" w:leftChars="1" w:firstLine="420" w:firstLineChars="200"/>
        <w:rPr>
          <w:rFonts w:hint="eastAsia" w:hAnsi="宋体" w:cs="宋体"/>
          <w:color w:val="auto"/>
          <w:sz w:val="21"/>
          <w:highlight w:val="none"/>
        </w:rPr>
      </w:pPr>
      <w:r>
        <w:rPr>
          <w:rFonts w:hint="eastAsia" w:hAnsi="宋体" w:cs="宋体"/>
          <w:color w:val="auto"/>
          <w:sz w:val="21"/>
          <w:highlight w:val="none"/>
        </w:rPr>
        <w:t>26.2参加过采购项目前期咨询论证的专家，不得参加该采购项目的评审活动。</w:t>
      </w:r>
    </w:p>
    <w:p w14:paraId="3A6C3A24">
      <w:pPr>
        <w:pStyle w:val="24"/>
        <w:snapToGrid w:val="0"/>
        <w:spacing w:line="500" w:lineRule="exact"/>
        <w:ind w:left="2" w:leftChars="1" w:firstLine="420" w:firstLineChars="200"/>
        <w:rPr>
          <w:rFonts w:hint="eastAsia" w:hAnsi="宋体" w:cs="宋体"/>
          <w:color w:val="auto"/>
          <w:sz w:val="21"/>
          <w:highlight w:val="none"/>
        </w:rPr>
      </w:pPr>
      <w:r>
        <w:rPr>
          <w:rFonts w:hint="eastAsia" w:hAnsi="宋体" w:cs="宋体"/>
          <w:color w:val="auto"/>
          <w:sz w:val="21"/>
          <w:highlight w:val="none"/>
        </w:rPr>
        <w:t>26.3</w:t>
      </w:r>
      <w:r>
        <w:rPr>
          <w:rFonts w:hint="eastAsia" w:hAnsi="宋体" w:cs="宋体"/>
          <w:bCs/>
          <w:color w:val="auto"/>
          <w:sz w:val="21"/>
          <w:highlight w:val="none"/>
        </w:rPr>
        <w:t>采购代理机构应当基</w:t>
      </w:r>
      <w:r>
        <w:rPr>
          <w:rFonts w:hint="eastAsia" w:hAnsi="宋体" w:cs="宋体"/>
          <w:color w:val="auto"/>
          <w:sz w:val="21"/>
          <w:highlight w:val="none"/>
        </w:rPr>
        <w:t>于广西政府采购云平台抽（选）取评</w:t>
      </w:r>
      <w:r>
        <w:rPr>
          <w:rFonts w:hint="eastAsia" w:hAnsi="宋体" w:cs="宋体"/>
          <w:bCs/>
          <w:color w:val="auto"/>
          <w:sz w:val="21"/>
          <w:highlight w:val="none"/>
        </w:rPr>
        <w:t>审专家。</w:t>
      </w:r>
    </w:p>
    <w:p w14:paraId="457AA5CF">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27.评标的依据</w:t>
      </w:r>
    </w:p>
    <w:p w14:paraId="475AA873">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评标委员会以“第四章 评标方法和评标标准”为依据对投标文件进行评审，没有规定的方法、评审因素和标准，不</w:t>
      </w:r>
      <w:r>
        <w:rPr>
          <w:rFonts w:hint="eastAsia" w:hAnsi="宋体" w:cs="宋体"/>
          <w:color w:val="auto"/>
          <w:sz w:val="21"/>
          <w:highlight w:val="none"/>
          <w:lang w:eastAsia="zh-CN"/>
        </w:rPr>
        <w:t>做为</w:t>
      </w:r>
      <w:r>
        <w:rPr>
          <w:rFonts w:hint="eastAsia" w:hAnsi="宋体" w:cs="宋体"/>
          <w:color w:val="auto"/>
          <w:sz w:val="21"/>
          <w:highlight w:val="none"/>
        </w:rPr>
        <w:t>评标依据。</w:t>
      </w:r>
    </w:p>
    <w:p w14:paraId="7A9F57AF">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28.评标原则</w:t>
      </w:r>
    </w:p>
    <w:p w14:paraId="277C49A9">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9C68B9C">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28.2</w:t>
      </w:r>
      <w:bookmarkStart w:id="147" w:name="_28.3评标方法。本项目将按须知前附表规定的评标办法进行评标，具体评标"/>
      <w:bookmarkEnd w:id="147"/>
      <w:r>
        <w:rPr>
          <w:rFonts w:hint="eastAsia" w:hAnsi="宋体" w:cs="宋体"/>
          <w:color w:val="auto"/>
          <w:sz w:val="21"/>
          <w:highlight w:val="none"/>
        </w:rPr>
        <w:t>评委表决。评标委员会成员对需要共同认定的事项存在争议的，应当按照少数服从多数的原则作出结论。</w:t>
      </w:r>
    </w:p>
    <w:p w14:paraId="42D19BBC">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2762749">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28.4评标过程的监控。本项目电子评标过程实行网上留痕、全程录音、录像监控，</w:t>
      </w:r>
      <w:r>
        <w:rPr>
          <w:rFonts w:hint="eastAsia" w:hAnsi="宋体" w:cs="宋体"/>
          <w:b/>
          <w:color w:val="auto"/>
          <w:sz w:val="21"/>
          <w:highlight w:val="none"/>
        </w:rPr>
        <w:t>投标人在评标过程中所进行的试图影响评标结果的不公正活动，可能导致其投标按无效处理。</w:t>
      </w:r>
    </w:p>
    <w:p w14:paraId="3FF9361C">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29.评标方法及中标候选人推荐</w:t>
      </w:r>
    </w:p>
    <w:p w14:paraId="3EFF7AA1">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29.1本项目的评标方法详见“投标人须知前附表”。</w:t>
      </w:r>
    </w:p>
    <w:p w14:paraId="50667B20">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29.2商务/技术要求允许负偏离的条款数详见“投标人须知前附表”。</w:t>
      </w:r>
    </w:p>
    <w:p w14:paraId="2C63F454">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29.3中标候选人推荐数量详见“投标人须知前附表”。</w:t>
      </w:r>
    </w:p>
    <w:p w14:paraId="18955BB8">
      <w:pPr>
        <w:spacing w:line="500" w:lineRule="exact"/>
        <w:ind w:firstLine="420" w:firstLineChars="200"/>
        <w:rPr>
          <w:rFonts w:hint="eastAsia" w:ascii="宋体" w:hAnsi="宋体" w:cs="宋体"/>
          <w:color w:val="auto"/>
          <w:highlight w:val="none"/>
        </w:rPr>
      </w:pPr>
      <w:r>
        <w:rPr>
          <w:rFonts w:hint="eastAsia" w:ascii="宋体" w:hAnsi="宋体" w:cs="宋体"/>
          <w:color w:val="auto"/>
          <w:szCs w:val="21"/>
          <w:highlight w:val="none"/>
        </w:rPr>
        <w:t>29.4电子交易活动的中止。采购过程中出现以下情形，导致</w:t>
      </w:r>
      <w:r>
        <w:rPr>
          <w:rFonts w:hint="eastAsia" w:ascii="宋体" w:hAnsi="宋体" w:cs="宋体"/>
          <w:color w:val="auto"/>
          <w:highlight w:val="none"/>
        </w:rPr>
        <w:t>电子交易平台无法正常运行，或者无法保证电子交易的公平、公正和安全时，采购代理机构可以中止电子交易活动：</w:t>
      </w:r>
    </w:p>
    <w:p w14:paraId="2B430B4B">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（1）电子交易平台发生故障而无法登录访问的；</w:t>
      </w:r>
    </w:p>
    <w:p w14:paraId="53B3171C">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2A212316">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47B8DD05">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（4）病毒发作导致不能进行正常操作的；</w:t>
      </w:r>
    </w:p>
    <w:p w14:paraId="119F9A03">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（5）其他无法保证电子交易的公平、公正和安全的情况。</w:t>
      </w:r>
    </w:p>
    <w:p w14:paraId="0A1AF666">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DA74E5A">
      <w:pPr>
        <w:pStyle w:val="4"/>
        <w:keepNext w:val="0"/>
        <w:keepLines w:val="0"/>
        <w:spacing w:before="0" w:after="0" w:line="500" w:lineRule="exact"/>
        <w:jc w:val="center"/>
        <w:rPr>
          <w:rFonts w:hint="eastAsia" w:ascii="宋体" w:hAnsi="宋体" w:cs="宋体"/>
          <w:color w:val="auto"/>
          <w:highlight w:val="none"/>
        </w:rPr>
      </w:pPr>
      <w:bookmarkStart w:id="148" w:name="_Toc254970546"/>
      <w:bookmarkStart w:id="149" w:name="_Toc254970687"/>
      <w:r>
        <w:rPr>
          <w:rFonts w:hint="eastAsia" w:ascii="宋体" w:hAnsi="宋体" w:cs="宋体"/>
          <w:color w:val="auto"/>
          <w:highlight w:val="none"/>
        </w:rPr>
        <w:t>七、</w:t>
      </w:r>
      <w:bookmarkEnd w:id="148"/>
      <w:bookmarkEnd w:id="149"/>
      <w:r>
        <w:rPr>
          <w:rFonts w:hint="eastAsia" w:ascii="宋体" w:hAnsi="宋体" w:cs="宋体"/>
          <w:color w:val="auto"/>
          <w:highlight w:val="none"/>
        </w:rPr>
        <w:t>中标和合同</w:t>
      </w:r>
    </w:p>
    <w:p w14:paraId="03F322E5">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30</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确定中标人</w:t>
      </w:r>
    </w:p>
    <w:p w14:paraId="32735218">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40C881ED">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30.2采购人在收到评标报告5个工作日内未按评标报告推荐的中标候选人顺序确定中标人，又不能说明合法理由的，视同按评标报告推荐的顺序确定排名第一的中标候选人为中标人。</w:t>
      </w:r>
    </w:p>
    <w:p w14:paraId="577D0443">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30.3出现下列情形之一的，应予废标：</w:t>
      </w:r>
    </w:p>
    <w:p w14:paraId="00E18672">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（1）符合专业条件的投标人或者对招标文件作实质响应的投标人不足三家的；</w:t>
      </w:r>
    </w:p>
    <w:p w14:paraId="5EFA1B38">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2E0D1CDC">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（3）投标人的报价均超过了采购预算，采购人不能支付的；</w:t>
      </w:r>
    </w:p>
    <w:p w14:paraId="4E9B3B71">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（4）因重大变故，采购任务取消的。</w:t>
      </w:r>
    </w:p>
    <w:p w14:paraId="2B0ADDA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废标后，采购人应当将废标理由通知所有投标人。</w:t>
      </w:r>
    </w:p>
    <w:p w14:paraId="5D3C9607">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31.结果公告</w:t>
      </w:r>
    </w:p>
    <w:p w14:paraId="6F40D852">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75F99B1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14:paraId="46E8A338">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31.2中标人享受《政府采购促进中小企业发展管理办法》（财库〔2020〕46号）规定的中小企业扶持政策的，采购人、采购代理机构应当随中标结果公开中标人的《中小企业声明函》。</w:t>
      </w:r>
    </w:p>
    <w:p w14:paraId="67401000">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32.发出中标通知书</w:t>
      </w:r>
    </w:p>
    <w:p w14:paraId="214433C2">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36A4F7C5">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33.无义务解释未中标原因</w:t>
      </w:r>
    </w:p>
    <w:p w14:paraId="3D4F0C3F">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采购代理机构无义务向未中标的投标人解释未中标原因。</w:t>
      </w:r>
    </w:p>
    <w:p w14:paraId="651137E8">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34.合同授予标准</w:t>
      </w:r>
    </w:p>
    <w:p w14:paraId="104D3DEA">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1D507C42">
      <w:pPr>
        <w:pStyle w:val="6"/>
        <w:keepNext w:val="0"/>
        <w:keepLines w:val="0"/>
        <w:spacing w:before="0" w:after="0" w:line="500" w:lineRule="exact"/>
        <w:ind w:left="420" w:leftChars="200"/>
        <w:rPr>
          <w:rFonts w:hint="eastAsia" w:ascii="宋体" w:hAnsi="宋体" w:cs="宋体"/>
          <w:color w:val="auto"/>
          <w:sz w:val="21"/>
          <w:szCs w:val="21"/>
          <w:highlight w:val="none"/>
        </w:rPr>
      </w:pPr>
      <w:r>
        <w:rPr>
          <w:rFonts w:hint="eastAsia" w:ascii="宋体" w:hAnsi="宋体" w:cs="宋体"/>
          <w:color w:val="auto"/>
          <w:sz w:val="24"/>
          <w:highlight w:val="none"/>
        </w:rPr>
        <w:t>35.履约保证金</w:t>
      </w:r>
      <w:bookmarkStart w:id="150" w:name="_39.1中标人须于签订合同前按本须知前附表规定的金额转账或电汇到指定账"/>
      <w:bookmarkEnd w:id="150"/>
    </w:p>
    <w:p w14:paraId="4F45EC11">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35.1履约保证金的金额、提交方式、退付的时间和条件详见“投标人须知前附表”。中标人未按规定提交履约保证金的，视为拒绝与采购人签订合同。</w:t>
      </w:r>
    </w:p>
    <w:p w14:paraId="6AC48346">
      <w:pPr>
        <w:pStyle w:val="6"/>
        <w:keepNext w:val="0"/>
        <w:keepLines w:val="0"/>
        <w:numPr>
          <w:ilvl w:val="0"/>
          <w:numId w:val="0"/>
        </w:numPr>
        <w:spacing w:before="0" w:after="0" w:line="500" w:lineRule="exact"/>
        <w:ind w:firstLine="420" w:firstLineChars="200"/>
        <w:rPr>
          <w:rFonts w:hint="eastAsia" w:ascii="宋体" w:hAnsi="宋体" w:cs="宋体"/>
          <w:color w:val="auto"/>
          <w:sz w:val="21"/>
          <w:szCs w:val="21"/>
          <w:highlight w:val="none"/>
        </w:rPr>
      </w:pPr>
      <w:r>
        <w:rPr>
          <w:rFonts w:hint="eastAsia" w:ascii="宋体" w:hAnsi="宋体" w:cs="宋体"/>
          <w:b w:val="0"/>
          <w:bCs/>
          <w:color w:val="auto"/>
          <w:sz w:val="21"/>
          <w:szCs w:val="21"/>
          <w:highlight w:val="none"/>
        </w:rPr>
        <w:t>35.2在履约保证金退还日期前，若中标人的开户名称、开户银行、账号有变动的，请以书面形式通知履约保证金收取单位，否则由此产生的后果由中标人自行承担。</w:t>
      </w:r>
    </w:p>
    <w:p w14:paraId="405C8AB9">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36.签订合同</w:t>
      </w:r>
      <w:bookmarkStart w:id="151" w:name="_40.1投标人接到中标通知书后，按须知前附表规定向采购人出示相关资格证"/>
      <w:bookmarkEnd w:id="151"/>
    </w:p>
    <w:p w14:paraId="1485CFA1">
      <w:pPr>
        <w:pStyle w:val="6"/>
        <w:keepNext w:val="0"/>
        <w:keepLines w:val="0"/>
        <w:numPr>
          <w:ilvl w:val="0"/>
          <w:numId w:val="0"/>
        </w:numPr>
        <w:spacing w:before="0" w:after="0" w:line="500" w:lineRule="exact"/>
        <w:ind w:firstLine="422" w:firstLineChars="200"/>
        <w:rPr>
          <w:rFonts w:hint="eastAsia" w:ascii="宋体" w:hAnsi="宋体" w:cs="宋体"/>
          <w:color w:val="auto"/>
          <w:kern w:val="0"/>
          <w:sz w:val="21"/>
          <w:szCs w:val="21"/>
          <w:highlight w:val="none"/>
          <w:lang w:val="zh-CN"/>
        </w:rPr>
      </w:pPr>
      <w:r>
        <w:rPr>
          <w:rFonts w:hint="eastAsia" w:ascii="宋体" w:hAnsi="宋体" w:cs="宋体"/>
          <w:color w:val="auto"/>
          <w:sz w:val="21"/>
          <w:szCs w:val="21"/>
          <w:highlight w:val="none"/>
        </w:rPr>
        <w:t>36.1签订电子采购合同：中标人领取电子中标通知书后，</w:t>
      </w:r>
      <w:r>
        <w:rPr>
          <w:rFonts w:hint="eastAsia" w:ascii="宋体" w:hAnsi="宋体" w:cs="宋体"/>
          <w:color w:val="auto"/>
          <w:kern w:val="0"/>
          <w:sz w:val="21"/>
          <w:szCs w:val="21"/>
          <w:highlight w:val="none"/>
        </w:rPr>
        <w:t>在</w:t>
      </w:r>
      <w:r>
        <w:rPr>
          <w:rFonts w:hint="eastAsia" w:ascii="宋体" w:hAnsi="宋体" w:cs="宋体"/>
          <w:color w:val="auto"/>
          <w:kern w:val="0"/>
          <w:sz w:val="21"/>
          <w:szCs w:val="21"/>
          <w:highlight w:val="none"/>
          <w:lang w:val="zh-CN"/>
        </w:rPr>
        <w:t>规定的日期、时间、地点，由法定代表人或其授权代表与采购人代表签订纸质采购合同。</w:t>
      </w:r>
    </w:p>
    <w:p w14:paraId="2118EA74">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线下签订纸质合同：投标人领取中标通知书后，按“投标人须知前附表”规定向采购人出示相关证明材料，经采购人核验合格后方可签订合同。</w:t>
      </w:r>
    </w:p>
    <w:p w14:paraId="2463152B">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36.2签订合同时间：按中标通知书规定的时间与采购人签订合同。</w:t>
      </w:r>
    </w:p>
    <w:p w14:paraId="1A5549B6">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36.3中标人拒绝签订政府采购合同（包括但不限于放弃中标、因不可抗力不能履行合同而放弃签订合同），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0F147CB6">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36.4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88D7D93">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36.5采购人或中标人不得单方面向合同另一方提出任何招标文件没有约定的条件或不合理的要求，</w:t>
      </w:r>
      <w:r>
        <w:rPr>
          <w:rFonts w:hint="eastAsia" w:ascii="宋体" w:hAnsi="宋体" w:cs="宋体"/>
          <w:color w:val="auto"/>
          <w:szCs w:val="21"/>
          <w:highlight w:val="none"/>
          <w:lang w:eastAsia="zh-CN"/>
        </w:rPr>
        <w:t>做为</w:t>
      </w:r>
      <w:r>
        <w:rPr>
          <w:rFonts w:hint="eastAsia" w:ascii="宋体" w:hAnsi="宋体" w:cs="宋体"/>
          <w:color w:val="auto"/>
          <w:szCs w:val="21"/>
          <w:highlight w:val="none"/>
        </w:rPr>
        <w:t>签订合同的条件；也不得协商另行订立背离招标文件和合同实质性内容的协议。</w:t>
      </w:r>
    </w:p>
    <w:p w14:paraId="1C9FF3D4">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36.6如签订合同并生效后，中标人无故拒绝或延期，除按照合同条款处理外，将承担相应的法律责任。</w:t>
      </w:r>
    </w:p>
    <w:p w14:paraId="33392A82">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36.7政府采购合同履行中，采购人需追加与合同标的相同的货物、工程或者服务的，在不改变合同其他条款的前提下，可以与</w:t>
      </w:r>
      <w:r>
        <w:rPr>
          <w:rFonts w:hint="eastAsia" w:ascii="宋体" w:hAnsi="宋体" w:cs="宋体"/>
          <w:color w:val="auto"/>
          <w:highlight w:val="none"/>
        </w:rPr>
        <w:t>中标人</w:t>
      </w:r>
      <w:r>
        <w:rPr>
          <w:rFonts w:hint="eastAsia" w:ascii="宋体" w:hAnsi="宋体" w:cs="宋体"/>
          <w:color w:val="auto"/>
          <w:szCs w:val="21"/>
          <w:highlight w:val="none"/>
        </w:rPr>
        <w:t>协商签订补充合同，但所有补充合同的采购金额不得超过原合同采购金额的10%。</w:t>
      </w:r>
    </w:p>
    <w:p w14:paraId="32D4B944">
      <w:pPr>
        <w:pStyle w:val="6"/>
        <w:keepNext w:val="0"/>
        <w:keepLines w:val="0"/>
        <w:spacing w:before="0" w:after="0" w:line="500" w:lineRule="exact"/>
        <w:ind w:left="420" w:leftChars="200"/>
        <w:rPr>
          <w:rFonts w:hint="eastAsia" w:ascii="宋体" w:hAnsi="宋体" w:cs="宋体"/>
          <w:color w:val="auto"/>
          <w:sz w:val="24"/>
          <w:highlight w:val="none"/>
        </w:rPr>
      </w:pPr>
      <w:bookmarkStart w:id="152" w:name="_41.政府采购合同公告"/>
      <w:bookmarkEnd w:id="152"/>
      <w:r>
        <w:rPr>
          <w:rFonts w:hint="eastAsia" w:ascii="宋体" w:hAnsi="宋体" w:cs="宋体"/>
          <w:color w:val="auto"/>
          <w:sz w:val="24"/>
          <w:highlight w:val="none"/>
        </w:rPr>
        <w:t>37.政府采购合同公告</w:t>
      </w:r>
    </w:p>
    <w:p w14:paraId="04C4067C">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5793B8F2">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38.询问、质疑和投诉</w:t>
      </w:r>
    </w:p>
    <w:p w14:paraId="77EB64D3">
      <w:pPr>
        <w:pStyle w:val="7"/>
        <w:spacing w:line="500" w:lineRule="exact"/>
        <w:rPr>
          <w:rFonts w:hint="eastAsia"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634E9299">
      <w:pPr>
        <w:pStyle w:val="7"/>
        <w:spacing w:line="500" w:lineRule="exact"/>
        <w:rPr>
          <w:rFonts w:hint="eastAsia" w:ascii="宋体" w:hAnsi="宋体" w:cs="宋体"/>
          <w:b/>
          <w:color w:val="auto"/>
          <w:szCs w:val="21"/>
          <w:highlight w:val="none"/>
        </w:rPr>
      </w:pPr>
      <w:r>
        <w:rPr>
          <w:rFonts w:hint="eastAsia" w:ascii="宋体" w:hAnsi="宋体" w:cs="宋体"/>
          <w:b/>
          <w:color w:val="auto"/>
          <w:szCs w:val="21"/>
          <w:highlight w:val="none"/>
        </w:rPr>
        <w:t>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2EE4E458">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（1）对可以质疑的招标文件提出质疑的，为收到招标文件之日或者招标文件公告期限届满之日；</w:t>
      </w:r>
    </w:p>
    <w:p w14:paraId="0AFFB030">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（2）对采购过程提出质疑的，为各采购程序环节结束之日；</w:t>
      </w:r>
    </w:p>
    <w:p w14:paraId="51E57B83">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（3）对中标结果提出质疑的，为中标结果公告期限届满之日。</w:t>
      </w:r>
      <w:bookmarkStart w:id="153" w:name="_9.2质疑、投诉应当采用书面形式，质疑函、投诉书均应明确阐述招标文件、"/>
      <w:bookmarkEnd w:id="153"/>
    </w:p>
    <w:p w14:paraId="4D13481E">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38.3</w:t>
      </w:r>
      <w:r>
        <w:rPr>
          <w:rFonts w:hint="eastAsia" w:hAnsi="宋体" w:cs="宋体"/>
          <w:b/>
          <w:bCs/>
          <w:color w:val="auto"/>
          <w:sz w:val="21"/>
          <w:highlight w:val="none"/>
        </w:rPr>
        <w:t>供应商提出质疑应当提交质疑函和必要的证明材料，针对同一采购程序环节的质疑必须在法定质疑期内一次性提出。质疑函应当包括下列内容（质疑函格式后附）：</w:t>
      </w:r>
    </w:p>
    <w:p w14:paraId="5F539FF4">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（1）供应商的姓名或者名称、地址、邮编、联系人及联系电话；</w:t>
      </w:r>
    </w:p>
    <w:p w14:paraId="2BFE12EB">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（2）质疑项目的名称、编号；</w:t>
      </w:r>
    </w:p>
    <w:p w14:paraId="49A4FC1F">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（3）具体、明确的质疑事项和与质疑事项相关的请求；</w:t>
      </w:r>
    </w:p>
    <w:p w14:paraId="5F256E92">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（4）事实依据；</w:t>
      </w:r>
    </w:p>
    <w:p w14:paraId="50ECE423">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（5）必要的法律依据；</w:t>
      </w:r>
    </w:p>
    <w:p w14:paraId="4956A379">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（6）提出质疑的日期。</w:t>
      </w:r>
    </w:p>
    <w:p w14:paraId="0300C396">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供应商为自然人的，应当由本人签字；供应商为法人或者其他组织的，应当由法定代表人、主要负责人，或者其委托代理人签字或者盖章，并加盖公章。</w:t>
      </w:r>
    </w:p>
    <w:p w14:paraId="3372E600">
      <w:pPr>
        <w:pStyle w:val="6"/>
        <w:keepNext w:val="0"/>
        <w:keepLines w:val="0"/>
        <w:snapToGrid w:val="0"/>
        <w:spacing w:before="0" w:after="0" w:line="500" w:lineRule="exact"/>
        <w:ind w:firstLine="420" w:firstLineChars="200"/>
        <w:rPr>
          <w:rFonts w:hint="eastAsia" w:ascii="宋体" w:hAnsi="宋体" w:cs="宋体"/>
          <w:b w:val="0"/>
          <w:bCs/>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bCs/>
          <w:color w:val="auto"/>
          <w:sz w:val="21"/>
          <w:szCs w:val="21"/>
          <w:highlight w:val="none"/>
        </w:rPr>
        <w:t>8.4采购人、采购代理机构认为供应商质疑不成立，或者成立但未对中标结果构成影响的，继续开展采购活动；认为供应商质疑成立且影响或者可能影响中标结果的，按照下列情况处理：</w:t>
      </w:r>
    </w:p>
    <w:p w14:paraId="021A266F">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（一）对招标文件提出的质疑，依法通过澄清或者修改可以继续开展采购活动的，澄清或者修改招标文件后继续开展采购活动；否则应当修改招标文件后重新开展采购活动。</w:t>
      </w:r>
    </w:p>
    <w:p w14:paraId="482D9E4D">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（二）对采购过程、中标结果提出的质疑，合格供应商符合法定数量时，可以从合格的中标候选人中另行确定中标人的，应当依法另行确定中标人；否则应当重新开展采购活动。</w:t>
      </w:r>
    </w:p>
    <w:p w14:paraId="46182620">
      <w:pPr>
        <w:pStyle w:val="24"/>
        <w:snapToGrid w:val="0"/>
        <w:spacing w:line="500" w:lineRule="exact"/>
        <w:ind w:firstLine="420"/>
        <w:rPr>
          <w:rFonts w:hint="eastAsia" w:hAnsi="宋体" w:cs="宋体"/>
          <w:bCs/>
          <w:color w:val="auto"/>
          <w:sz w:val="21"/>
          <w:highlight w:val="none"/>
        </w:rPr>
      </w:pPr>
      <w:r>
        <w:rPr>
          <w:rFonts w:hint="eastAsia" w:hAnsi="宋体" w:cs="宋体"/>
          <w:bCs/>
          <w:color w:val="auto"/>
          <w:sz w:val="21"/>
          <w:highlight w:val="none"/>
        </w:rPr>
        <w:t>质疑答复导致中标结果改变的，采购人或者采购代理机构应当将有关情况书面报告本级财政部门。</w:t>
      </w:r>
    </w:p>
    <w:p w14:paraId="22310BD2">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09F9AD28">
      <w:pPr>
        <w:pStyle w:val="4"/>
        <w:keepNext w:val="0"/>
        <w:keepLines w:val="0"/>
        <w:spacing w:before="0" w:after="0" w:line="500" w:lineRule="exact"/>
        <w:jc w:val="center"/>
        <w:rPr>
          <w:rFonts w:hint="eastAsia" w:ascii="宋体" w:hAnsi="宋体" w:cs="宋体"/>
          <w:color w:val="auto"/>
          <w:highlight w:val="none"/>
        </w:rPr>
      </w:pPr>
      <w:bookmarkStart w:id="154" w:name="_八、其他事项"/>
      <w:bookmarkEnd w:id="154"/>
    </w:p>
    <w:p w14:paraId="0F4F7EDE">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八、其他事项</w:t>
      </w:r>
    </w:p>
    <w:p w14:paraId="08FD3357">
      <w:pPr>
        <w:pStyle w:val="6"/>
        <w:keepNext w:val="0"/>
        <w:keepLines w:val="0"/>
        <w:spacing w:before="0" w:after="0" w:line="500" w:lineRule="exact"/>
        <w:ind w:left="420" w:leftChars="200"/>
        <w:rPr>
          <w:rFonts w:hint="eastAsia" w:ascii="宋体" w:hAnsi="宋体" w:cs="宋体"/>
          <w:color w:val="auto"/>
          <w:sz w:val="24"/>
          <w:highlight w:val="none"/>
        </w:rPr>
      </w:pPr>
      <w:bookmarkStart w:id="155" w:name="_42.代理服务费"/>
      <w:bookmarkEnd w:id="155"/>
      <w:r>
        <w:rPr>
          <w:rFonts w:hint="eastAsia" w:ascii="宋体" w:hAnsi="宋体" w:cs="宋体"/>
          <w:color w:val="auto"/>
          <w:sz w:val="24"/>
          <w:highlight w:val="none"/>
        </w:rPr>
        <w:t>39.采购代理服务费</w:t>
      </w:r>
    </w:p>
    <w:p w14:paraId="46BA19C5">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39.1采购代理服务收取标准及缴费账户详见“投标人须知前附表”。</w:t>
      </w:r>
    </w:p>
    <w:p w14:paraId="3F80F401">
      <w:pPr>
        <w:pStyle w:val="6"/>
        <w:keepNext w:val="0"/>
        <w:keepLines w:val="0"/>
        <w:spacing w:before="0" w:after="0" w:line="500" w:lineRule="exact"/>
        <w:ind w:left="420" w:leftChars="200"/>
        <w:rPr>
          <w:rFonts w:hint="eastAsia" w:ascii="宋体" w:hAnsi="宋体" w:cs="宋体"/>
          <w:color w:val="auto"/>
          <w:szCs w:val="21"/>
          <w:highlight w:val="none"/>
        </w:rPr>
      </w:pPr>
      <w:r>
        <w:rPr>
          <w:rFonts w:hint="eastAsia" w:ascii="宋体" w:hAnsi="宋体" w:cs="宋体"/>
          <w:b w:val="0"/>
          <w:color w:val="auto"/>
          <w:sz w:val="21"/>
          <w:szCs w:val="21"/>
          <w:highlight w:val="none"/>
        </w:rPr>
        <w:t>39.2采购代理服务收费标准：</w:t>
      </w:r>
    </w:p>
    <w:tbl>
      <w:tblPr>
        <w:tblStyle w:val="4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099D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73B3DE68">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4CA2C492">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中标金额</w:t>
            </w:r>
          </w:p>
        </w:tc>
        <w:tc>
          <w:tcPr>
            <w:tcW w:w="1659" w:type="dxa"/>
            <w:noWrap w:val="0"/>
            <w:vAlign w:val="center"/>
          </w:tcPr>
          <w:p w14:paraId="0F0ECB09">
            <w:pPr>
              <w:spacing w:line="50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货物招标</w:t>
            </w:r>
          </w:p>
        </w:tc>
        <w:tc>
          <w:tcPr>
            <w:tcW w:w="1687" w:type="dxa"/>
            <w:noWrap w:val="0"/>
            <w:vAlign w:val="center"/>
          </w:tcPr>
          <w:p w14:paraId="53695A02">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服务招标</w:t>
            </w:r>
          </w:p>
        </w:tc>
        <w:tc>
          <w:tcPr>
            <w:tcW w:w="1659" w:type="dxa"/>
            <w:noWrap w:val="0"/>
            <w:vAlign w:val="center"/>
          </w:tcPr>
          <w:p w14:paraId="3FA34CDF">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工程招标</w:t>
            </w:r>
          </w:p>
        </w:tc>
      </w:tr>
      <w:tr w14:paraId="36F0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CACF37B">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noWrap w:val="0"/>
            <w:vAlign w:val="top"/>
          </w:tcPr>
          <w:p w14:paraId="6C1028C5">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1.5%                </w:t>
            </w:r>
          </w:p>
        </w:tc>
        <w:tc>
          <w:tcPr>
            <w:tcW w:w="1687" w:type="dxa"/>
            <w:noWrap w:val="0"/>
            <w:vAlign w:val="top"/>
          </w:tcPr>
          <w:p w14:paraId="5CC2A3C0">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659" w:type="dxa"/>
            <w:noWrap w:val="0"/>
            <w:vAlign w:val="top"/>
          </w:tcPr>
          <w:p w14:paraId="1BC4C151">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5A1D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F4077E7">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noWrap w:val="0"/>
            <w:vAlign w:val="top"/>
          </w:tcPr>
          <w:p w14:paraId="0AC1D253">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687" w:type="dxa"/>
            <w:noWrap w:val="0"/>
            <w:vAlign w:val="top"/>
          </w:tcPr>
          <w:p w14:paraId="6CFAFA24">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659" w:type="dxa"/>
            <w:noWrap w:val="0"/>
            <w:vAlign w:val="top"/>
          </w:tcPr>
          <w:p w14:paraId="19088532">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3209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9534091">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noWrap w:val="0"/>
            <w:vAlign w:val="top"/>
          </w:tcPr>
          <w:p w14:paraId="48AD6E1F">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0.8%                </w:t>
            </w:r>
          </w:p>
        </w:tc>
        <w:tc>
          <w:tcPr>
            <w:tcW w:w="1687" w:type="dxa"/>
            <w:noWrap w:val="0"/>
            <w:vAlign w:val="top"/>
          </w:tcPr>
          <w:p w14:paraId="65398E47">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1659" w:type="dxa"/>
            <w:noWrap w:val="0"/>
            <w:vAlign w:val="top"/>
          </w:tcPr>
          <w:p w14:paraId="0042DB4A">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30BE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87EDA53">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noWrap w:val="0"/>
            <w:vAlign w:val="top"/>
          </w:tcPr>
          <w:p w14:paraId="0C64B87F">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687" w:type="dxa"/>
            <w:noWrap w:val="0"/>
            <w:vAlign w:val="top"/>
          </w:tcPr>
          <w:p w14:paraId="4362860B">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659" w:type="dxa"/>
            <w:noWrap w:val="0"/>
            <w:vAlign w:val="top"/>
          </w:tcPr>
          <w:p w14:paraId="348BE2DD">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6999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442015A">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noWrap w:val="0"/>
            <w:vAlign w:val="top"/>
          </w:tcPr>
          <w:p w14:paraId="6A0D07A2">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687" w:type="dxa"/>
            <w:noWrap w:val="0"/>
            <w:vAlign w:val="top"/>
          </w:tcPr>
          <w:p w14:paraId="757C1ED8">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1659" w:type="dxa"/>
            <w:noWrap w:val="0"/>
            <w:vAlign w:val="top"/>
          </w:tcPr>
          <w:p w14:paraId="2AB7A710">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4131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33AF1E5">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59" w:type="dxa"/>
            <w:noWrap w:val="0"/>
            <w:vAlign w:val="top"/>
          </w:tcPr>
          <w:p w14:paraId="3049C1E3">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0.05%</w:t>
            </w:r>
          </w:p>
        </w:tc>
        <w:tc>
          <w:tcPr>
            <w:tcW w:w="1687" w:type="dxa"/>
            <w:noWrap w:val="0"/>
            <w:vAlign w:val="top"/>
          </w:tcPr>
          <w:p w14:paraId="7417CA07">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0.05%</w:t>
            </w:r>
          </w:p>
        </w:tc>
        <w:tc>
          <w:tcPr>
            <w:tcW w:w="1659" w:type="dxa"/>
            <w:noWrap w:val="0"/>
            <w:vAlign w:val="top"/>
          </w:tcPr>
          <w:p w14:paraId="11BBE1F8">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0.05%</w:t>
            </w:r>
          </w:p>
        </w:tc>
      </w:tr>
      <w:tr w14:paraId="3812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8606357">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59" w:type="dxa"/>
            <w:noWrap w:val="0"/>
            <w:vAlign w:val="top"/>
          </w:tcPr>
          <w:p w14:paraId="3D69605A">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687" w:type="dxa"/>
            <w:noWrap w:val="0"/>
            <w:vAlign w:val="top"/>
          </w:tcPr>
          <w:p w14:paraId="69F1E134">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659" w:type="dxa"/>
            <w:noWrap w:val="0"/>
            <w:vAlign w:val="top"/>
          </w:tcPr>
          <w:p w14:paraId="45221CA6">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0.035%</w:t>
            </w:r>
          </w:p>
        </w:tc>
      </w:tr>
      <w:tr w14:paraId="173B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62EE71A">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59" w:type="dxa"/>
            <w:noWrap w:val="0"/>
            <w:vAlign w:val="top"/>
          </w:tcPr>
          <w:p w14:paraId="7F406BB9">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687" w:type="dxa"/>
            <w:noWrap w:val="0"/>
            <w:vAlign w:val="top"/>
          </w:tcPr>
          <w:p w14:paraId="26255E0E">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659" w:type="dxa"/>
            <w:noWrap w:val="0"/>
            <w:vAlign w:val="top"/>
          </w:tcPr>
          <w:p w14:paraId="1DBD8C9B">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0.008%</w:t>
            </w:r>
          </w:p>
        </w:tc>
      </w:tr>
      <w:tr w14:paraId="6DD4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11C3084">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59" w:type="dxa"/>
            <w:noWrap w:val="0"/>
            <w:vAlign w:val="top"/>
          </w:tcPr>
          <w:p w14:paraId="48B83887">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687" w:type="dxa"/>
            <w:noWrap w:val="0"/>
            <w:vAlign w:val="top"/>
          </w:tcPr>
          <w:p w14:paraId="46BB5B6A">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659" w:type="dxa"/>
            <w:noWrap w:val="0"/>
            <w:vAlign w:val="top"/>
          </w:tcPr>
          <w:p w14:paraId="7C68DDC5">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0.006%</w:t>
            </w:r>
          </w:p>
        </w:tc>
      </w:tr>
      <w:tr w14:paraId="4BD6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017CF01">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659" w:type="dxa"/>
            <w:noWrap w:val="0"/>
            <w:vAlign w:val="top"/>
          </w:tcPr>
          <w:p w14:paraId="510268ED">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687" w:type="dxa"/>
            <w:noWrap w:val="0"/>
            <w:vAlign w:val="top"/>
          </w:tcPr>
          <w:p w14:paraId="4F18BE69">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659" w:type="dxa"/>
            <w:noWrap w:val="0"/>
            <w:vAlign w:val="top"/>
          </w:tcPr>
          <w:p w14:paraId="3AF7D5D2">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07450E73">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p>
    <w:p w14:paraId="74C7B6C6">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14:paraId="4161A50B">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（2）采购代理收费按差额定率累进法计算。</w:t>
      </w:r>
    </w:p>
    <w:p w14:paraId="0D7BF468">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例如：某服务采购代理业务中标金额或者暂定价为200万元，计算采购代理收费额如下：</w:t>
      </w:r>
    </w:p>
    <w:p w14:paraId="5D8D6FFB">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100万元×l.5%＝1.5万元</w:t>
      </w:r>
    </w:p>
    <w:p w14:paraId="6FBEC43A">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（200－100）万元×0.8%＝0.8万元</w:t>
      </w:r>
    </w:p>
    <w:p w14:paraId="044D78FE">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合计收费＝1.5+0.8＝2.3（万元）</w:t>
      </w:r>
    </w:p>
    <w:p w14:paraId="307EEEF8">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40.需要补充的其他内容</w:t>
      </w:r>
    </w:p>
    <w:p w14:paraId="23FCE345">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1443817C">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40.2其他事项详见“投标人须知前附表”。</w:t>
      </w:r>
    </w:p>
    <w:p w14:paraId="0CAF3A64">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41E788F8">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65DFAD23">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715DE936">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7685D305">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w:t>
      </w:r>
    </w:p>
    <w:p w14:paraId="3618F526">
      <w:pPr>
        <w:pStyle w:val="18"/>
        <w:spacing w:line="500" w:lineRule="exact"/>
        <w:ind w:firstLine="420" w:firstLineChars="200"/>
        <w:rPr>
          <w:rFonts w:hint="eastAsia" w:ascii="宋体" w:hAnsi="宋体" w:cs="宋体"/>
          <w:b/>
          <w:bCs/>
          <w:color w:val="auto"/>
          <w:sz w:val="32"/>
          <w:szCs w:val="32"/>
          <w:highlight w:val="none"/>
        </w:rPr>
      </w:pPr>
      <w:r>
        <w:rPr>
          <w:rFonts w:hint="eastAsia" w:ascii="宋体" w:hAnsi="宋体" w:cs="宋体"/>
          <w:color w:val="auto"/>
          <w:sz w:val="21"/>
          <w:highlight w:val="none"/>
        </w:rPr>
        <w:t>依据本招标文件规定享受扶持政策获得政府采购合同的，小微企业不得将合同分包给大中型企业，中型企业不得将合同分包给大型企业。</w:t>
      </w:r>
      <w:r>
        <w:rPr>
          <w:rFonts w:hint="eastAsia" w:ascii="宋体" w:hAnsi="宋体" w:cs="宋体"/>
          <w:color w:val="auto"/>
          <w:highlight w:val="none"/>
        </w:rPr>
        <w:br w:type="page"/>
      </w:r>
      <w:r>
        <w:rPr>
          <w:rFonts w:hint="eastAsia" w:ascii="宋体" w:hAnsi="宋体" w:cs="宋体"/>
          <w:b/>
          <w:bCs/>
          <w:color w:val="auto"/>
          <w:sz w:val="32"/>
          <w:szCs w:val="32"/>
          <w:highlight w:val="none"/>
        </w:rPr>
        <w:t>附件1：</w:t>
      </w:r>
    </w:p>
    <w:p w14:paraId="10BC9C93">
      <w:pPr>
        <w:jc w:val="center"/>
        <w:rPr>
          <w:rFonts w:hint="eastAsia" w:ascii="宋体" w:hAnsi="宋体" w:cs="宋体"/>
          <w:color w:val="auto"/>
          <w:sz w:val="36"/>
          <w:szCs w:val="36"/>
          <w:highlight w:val="none"/>
        </w:rPr>
      </w:pPr>
      <w:r>
        <w:rPr>
          <w:rFonts w:hint="eastAsia" w:ascii="宋体" w:hAnsi="宋体" w:cs="宋体"/>
          <w:b/>
          <w:bCs/>
          <w:color w:val="auto"/>
          <w:sz w:val="32"/>
          <w:szCs w:val="32"/>
          <w:highlight w:val="none"/>
        </w:rPr>
        <w:t xml:space="preserve">   政府采购项目履约保证金退付意见书（参考）</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6177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0D8216DF">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供</w:t>
            </w:r>
          </w:p>
          <w:p w14:paraId="3381D08B">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应</w:t>
            </w:r>
          </w:p>
          <w:p w14:paraId="622C5A2C">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商</w:t>
            </w:r>
          </w:p>
          <w:p w14:paraId="342814A4">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申</w:t>
            </w:r>
          </w:p>
          <w:p w14:paraId="13962B0A">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请</w:t>
            </w:r>
          </w:p>
        </w:tc>
        <w:tc>
          <w:tcPr>
            <w:tcW w:w="8456" w:type="dxa"/>
            <w:noWrap w:val="0"/>
            <w:vAlign w:val="center"/>
          </w:tcPr>
          <w:p w14:paraId="57C404CE">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项目编号：</w:t>
            </w:r>
          </w:p>
        </w:tc>
      </w:tr>
      <w:tr w14:paraId="7B5B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0000817A">
            <w:pPr>
              <w:spacing w:line="500" w:lineRule="exact"/>
              <w:rPr>
                <w:rFonts w:hint="eastAsia" w:ascii="宋体" w:hAnsi="宋体" w:cs="宋体"/>
                <w:color w:val="auto"/>
                <w:szCs w:val="21"/>
                <w:highlight w:val="none"/>
              </w:rPr>
            </w:pPr>
          </w:p>
        </w:tc>
        <w:tc>
          <w:tcPr>
            <w:tcW w:w="8456" w:type="dxa"/>
            <w:noWrap w:val="0"/>
            <w:vAlign w:val="center"/>
          </w:tcPr>
          <w:p w14:paraId="3A84C63E">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项目名称：</w:t>
            </w:r>
          </w:p>
        </w:tc>
      </w:tr>
      <w:tr w14:paraId="032E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01CF2B2E">
            <w:pPr>
              <w:spacing w:line="500" w:lineRule="exact"/>
              <w:rPr>
                <w:rFonts w:hint="eastAsia" w:ascii="宋体" w:hAnsi="宋体" w:cs="宋体"/>
                <w:color w:val="auto"/>
                <w:szCs w:val="21"/>
                <w:highlight w:val="none"/>
              </w:rPr>
            </w:pPr>
          </w:p>
        </w:tc>
        <w:tc>
          <w:tcPr>
            <w:tcW w:w="8456" w:type="dxa"/>
            <w:noWrap w:val="0"/>
            <w:vAlign w:val="top"/>
          </w:tcPr>
          <w:p w14:paraId="628E6C79">
            <w:pPr>
              <w:spacing w:line="500" w:lineRule="exact"/>
              <w:rPr>
                <w:rFonts w:hint="eastAsia" w:ascii="宋体" w:hAnsi="宋体" w:cs="宋体"/>
                <w:color w:val="auto"/>
                <w:szCs w:val="21"/>
                <w:highlight w:val="none"/>
              </w:rPr>
            </w:pPr>
          </w:p>
          <w:p w14:paraId="7BAF26EA">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该项目已于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日验收并交付使用。根据合同规定，该项目的履约保证金期限于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日已满，请将履约保证金</w:t>
            </w:r>
          </w:p>
          <w:p w14:paraId="2DAF6F77">
            <w:pPr>
              <w:spacing w:line="50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（大写）</w:t>
            </w:r>
            <w:r>
              <w:rPr>
                <w:rFonts w:hint="default" w:ascii="Arial" w:hAnsi="Arial" w:cs="Arial"/>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（小写）退付到达以下账户。</w:t>
            </w:r>
          </w:p>
          <w:p w14:paraId="1CB0756B">
            <w:pPr>
              <w:spacing w:line="500" w:lineRule="exact"/>
              <w:ind w:firstLine="705"/>
              <w:rPr>
                <w:rFonts w:hint="eastAsia" w:ascii="宋体" w:hAnsi="宋体" w:cs="宋体"/>
                <w:color w:val="auto"/>
                <w:szCs w:val="21"/>
                <w:highlight w:val="none"/>
              </w:rPr>
            </w:pPr>
            <w:r>
              <w:rPr>
                <w:rFonts w:hint="eastAsia" w:ascii="宋体" w:hAnsi="宋体" w:cs="宋体"/>
                <w:color w:val="auto"/>
                <w:szCs w:val="21"/>
                <w:highlight w:val="none"/>
              </w:rPr>
              <w:t>单位名称：</w:t>
            </w:r>
          </w:p>
          <w:p w14:paraId="54CE6284">
            <w:pPr>
              <w:spacing w:line="500" w:lineRule="exact"/>
              <w:ind w:firstLine="705"/>
              <w:rPr>
                <w:rFonts w:hint="eastAsia" w:ascii="宋体" w:hAnsi="宋体" w:cs="宋体"/>
                <w:color w:val="auto"/>
                <w:szCs w:val="21"/>
                <w:highlight w:val="none"/>
              </w:rPr>
            </w:pPr>
            <w:r>
              <w:rPr>
                <w:rFonts w:hint="eastAsia" w:ascii="宋体" w:hAnsi="宋体" w:cs="宋体"/>
                <w:color w:val="auto"/>
                <w:szCs w:val="21"/>
                <w:highlight w:val="none"/>
              </w:rPr>
              <w:t>开户银行：</w:t>
            </w:r>
          </w:p>
          <w:p w14:paraId="2A0C59B1">
            <w:pPr>
              <w:spacing w:line="500" w:lineRule="exact"/>
              <w:ind w:firstLine="705"/>
              <w:rPr>
                <w:rFonts w:hint="eastAsia" w:ascii="宋体" w:hAnsi="宋体" w:cs="宋体"/>
                <w:color w:val="auto"/>
                <w:szCs w:val="21"/>
                <w:highlight w:val="none"/>
              </w:rPr>
            </w:pPr>
            <w:r>
              <w:rPr>
                <w:rFonts w:hint="eastAsia" w:ascii="宋体" w:hAnsi="宋体" w:cs="宋体"/>
                <w:color w:val="auto"/>
                <w:szCs w:val="21"/>
                <w:highlight w:val="none"/>
              </w:rPr>
              <w:t>账   号：</w:t>
            </w:r>
          </w:p>
          <w:p w14:paraId="4799A205">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联系人及电话：</w:t>
            </w:r>
          </w:p>
          <w:p w14:paraId="66E51F77">
            <w:pPr>
              <w:spacing w:line="500" w:lineRule="exact"/>
              <w:rPr>
                <w:rFonts w:hint="eastAsia" w:ascii="宋体" w:hAnsi="宋体" w:cs="宋体"/>
                <w:color w:val="auto"/>
                <w:szCs w:val="21"/>
                <w:highlight w:val="none"/>
              </w:rPr>
            </w:pPr>
          </w:p>
          <w:p w14:paraId="5060FBE1">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 xml:space="preserve">                       投标人签章：</w:t>
            </w:r>
          </w:p>
          <w:p w14:paraId="353058F8">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14:paraId="087A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1008" w:type="dxa"/>
            <w:noWrap w:val="0"/>
            <w:vAlign w:val="center"/>
          </w:tcPr>
          <w:p w14:paraId="4906BF90">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采</w:t>
            </w:r>
          </w:p>
          <w:p w14:paraId="2EAC7D00">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购</w:t>
            </w:r>
          </w:p>
          <w:p w14:paraId="75431FAD">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人</w:t>
            </w:r>
          </w:p>
          <w:p w14:paraId="2A5DC216">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意</w:t>
            </w:r>
          </w:p>
          <w:p w14:paraId="5A9BB297">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见</w:t>
            </w:r>
          </w:p>
        </w:tc>
        <w:tc>
          <w:tcPr>
            <w:tcW w:w="8456" w:type="dxa"/>
            <w:noWrap w:val="0"/>
            <w:vAlign w:val="top"/>
          </w:tcPr>
          <w:p w14:paraId="6DBF13D6">
            <w:pPr>
              <w:spacing w:line="500" w:lineRule="exact"/>
              <w:rPr>
                <w:rFonts w:hint="eastAsia" w:ascii="宋体" w:hAnsi="宋体" w:cs="宋体"/>
                <w:color w:val="auto"/>
                <w:szCs w:val="21"/>
                <w:highlight w:val="none"/>
              </w:rPr>
            </w:pPr>
          </w:p>
          <w:p w14:paraId="26AD48C4">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退付意见：（是否同意退付履约保证金及退付金额）</w:t>
            </w:r>
          </w:p>
          <w:p w14:paraId="629A9122">
            <w:pPr>
              <w:spacing w:line="500" w:lineRule="exact"/>
              <w:rPr>
                <w:rFonts w:hint="eastAsia" w:ascii="宋体" w:hAnsi="宋体" w:cs="宋体"/>
                <w:color w:val="auto"/>
                <w:szCs w:val="21"/>
                <w:highlight w:val="none"/>
              </w:rPr>
            </w:pPr>
          </w:p>
          <w:p w14:paraId="5B04444E">
            <w:pPr>
              <w:spacing w:line="500" w:lineRule="exact"/>
              <w:rPr>
                <w:rFonts w:hint="eastAsia" w:ascii="宋体" w:hAnsi="宋体" w:cs="宋体"/>
                <w:color w:val="auto"/>
                <w:szCs w:val="21"/>
                <w:highlight w:val="none"/>
              </w:rPr>
            </w:pPr>
          </w:p>
          <w:p w14:paraId="2F45442D">
            <w:pPr>
              <w:spacing w:line="500" w:lineRule="exact"/>
              <w:rPr>
                <w:rFonts w:hint="eastAsia" w:ascii="宋体" w:hAnsi="宋体" w:cs="宋体"/>
                <w:color w:val="auto"/>
                <w:szCs w:val="21"/>
                <w:highlight w:val="none"/>
              </w:rPr>
            </w:pPr>
          </w:p>
          <w:p w14:paraId="0C207B06">
            <w:pPr>
              <w:spacing w:line="500" w:lineRule="exact"/>
              <w:rPr>
                <w:rFonts w:hint="eastAsia" w:ascii="宋体" w:hAnsi="宋体" w:cs="宋体"/>
                <w:color w:val="auto"/>
                <w:szCs w:val="21"/>
                <w:highlight w:val="none"/>
              </w:rPr>
            </w:pPr>
          </w:p>
          <w:p w14:paraId="2C1A0111">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联系人及电话：                         采购人签章</w:t>
            </w:r>
          </w:p>
          <w:p w14:paraId="7A40C4A7">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14:paraId="0F03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008" w:type="dxa"/>
            <w:noWrap w:val="0"/>
            <w:vAlign w:val="center"/>
          </w:tcPr>
          <w:p w14:paraId="78058E83">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c>
          <w:tcPr>
            <w:tcW w:w="8456" w:type="dxa"/>
            <w:noWrap w:val="0"/>
            <w:vAlign w:val="top"/>
          </w:tcPr>
          <w:p w14:paraId="500EC19B">
            <w:pPr>
              <w:spacing w:line="500" w:lineRule="exact"/>
              <w:rPr>
                <w:rFonts w:hint="eastAsia" w:ascii="宋体" w:hAnsi="宋体" w:cs="宋体"/>
                <w:color w:val="auto"/>
                <w:szCs w:val="21"/>
                <w:highlight w:val="none"/>
              </w:rPr>
            </w:pPr>
          </w:p>
        </w:tc>
      </w:tr>
    </w:tbl>
    <w:p w14:paraId="0A22331D">
      <w:pPr>
        <w:pStyle w:val="18"/>
        <w:spacing w:line="500" w:lineRule="exact"/>
        <w:ind w:left="450" w:leftChars="114" w:hanging="211" w:hangingChars="1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w:t>
      </w:r>
      <w:r>
        <w:rPr>
          <w:rFonts w:hint="eastAsia" w:ascii="宋体" w:hAnsi="宋体" w:cs="宋体"/>
          <w:b/>
          <w:bCs/>
          <w:color w:val="auto"/>
          <w:sz w:val="21"/>
          <w:szCs w:val="21"/>
          <w:highlight w:val="none"/>
          <w:lang w:eastAsia="zh-CN"/>
        </w:rPr>
        <w:t>中</w:t>
      </w:r>
      <w:r>
        <w:rPr>
          <w:rFonts w:hint="eastAsia" w:ascii="宋体" w:hAnsi="宋体" w:cs="宋体"/>
          <w:b/>
          <w:bCs/>
          <w:color w:val="auto"/>
          <w:sz w:val="21"/>
          <w:szCs w:val="21"/>
          <w:highlight w:val="none"/>
        </w:rPr>
        <w:t>标人凭经采购人审批的退付意见书到保证金收取单位办理履约保证金退付事宜。</w:t>
      </w:r>
    </w:p>
    <w:p w14:paraId="5292E08F">
      <w:pPr>
        <w:pStyle w:val="2"/>
        <w:spacing w:before="0" w:after="0" w:line="500" w:lineRule="exact"/>
        <w:jc w:val="center"/>
        <w:rPr>
          <w:rFonts w:hint="eastAsia" w:ascii="宋体" w:hAnsi="宋体" w:cs="宋体"/>
          <w:color w:val="auto"/>
          <w:highlight w:val="none"/>
        </w:rPr>
      </w:pPr>
      <w:bookmarkStart w:id="156" w:name="_Toc254970689"/>
      <w:bookmarkStart w:id="157" w:name="_Toc4469"/>
      <w:bookmarkStart w:id="158" w:name="_Toc4114"/>
      <w:bookmarkStart w:id="159" w:name="_Toc1035"/>
      <w:bookmarkStart w:id="160" w:name="_Toc19782"/>
      <w:bookmarkStart w:id="161" w:name="_Toc330456896"/>
      <w:bookmarkStart w:id="162" w:name="_Toc8725"/>
      <w:bookmarkStart w:id="163" w:name="_Toc24357"/>
      <w:bookmarkStart w:id="164" w:name="_Toc254970548"/>
      <w:bookmarkStart w:id="165" w:name="_Toc22034"/>
      <w:bookmarkStart w:id="166" w:name="_Toc5385"/>
      <w:r>
        <w:rPr>
          <w:rFonts w:hint="eastAsia" w:ascii="宋体" w:hAnsi="宋体" w:cs="宋体"/>
          <w:color w:val="auto"/>
          <w:highlight w:val="none"/>
        </w:rPr>
        <w:t>第四章  评标方法及评标标准</w:t>
      </w:r>
      <w:bookmarkEnd w:id="156"/>
      <w:bookmarkEnd w:id="157"/>
      <w:bookmarkEnd w:id="158"/>
      <w:bookmarkEnd w:id="159"/>
      <w:bookmarkEnd w:id="160"/>
      <w:bookmarkEnd w:id="161"/>
      <w:bookmarkEnd w:id="162"/>
      <w:bookmarkEnd w:id="163"/>
      <w:bookmarkEnd w:id="164"/>
      <w:bookmarkEnd w:id="165"/>
      <w:bookmarkEnd w:id="166"/>
    </w:p>
    <w:p w14:paraId="03999CDB">
      <w:pPr>
        <w:pStyle w:val="4"/>
        <w:keepNext w:val="0"/>
        <w:keepLines w:val="0"/>
        <w:spacing w:before="0" w:after="0" w:line="500" w:lineRule="exact"/>
        <w:jc w:val="center"/>
        <w:rPr>
          <w:rFonts w:hint="eastAsia" w:ascii="宋体" w:hAnsi="宋体" w:cs="宋体"/>
          <w:color w:val="auto"/>
          <w:highlight w:val="none"/>
        </w:rPr>
      </w:pPr>
    </w:p>
    <w:p w14:paraId="25724F2A">
      <w:pPr>
        <w:pStyle w:val="4"/>
        <w:keepNext w:val="0"/>
        <w:keepLines w:val="0"/>
        <w:spacing w:before="0" w:after="0" w:line="520" w:lineRule="exact"/>
        <w:jc w:val="center"/>
        <w:rPr>
          <w:rFonts w:hint="eastAsia" w:ascii="宋体" w:hAnsi="宋体" w:cs="宋体"/>
          <w:color w:val="auto"/>
          <w:highlight w:val="none"/>
        </w:rPr>
      </w:pPr>
      <w:r>
        <w:rPr>
          <w:rFonts w:hint="eastAsia" w:ascii="宋体" w:hAnsi="宋体" w:cs="宋体"/>
          <w:color w:val="auto"/>
          <w:highlight w:val="none"/>
        </w:rPr>
        <w:t>一、评标方法</w:t>
      </w:r>
    </w:p>
    <w:p w14:paraId="3E718DA7">
      <w:pPr>
        <w:pStyle w:val="24"/>
        <w:spacing w:line="520" w:lineRule="exact"/>
        <w:ind w:firstLine="420"/>
        <w:rPr>
          <w:rFonts w:hint="eastAsia" w:hAnsi="宋体" w:cs="宋体"/>
          <w:color w:val="auto"/>
          <w:sz w:val="21"/>
          <w:highlight w:val="none"/>
        </w:rPr>
      </w:pPr>
      <w:r>
        <w:rPr>
          <w:rFonts w:hint="eastAsia" w:hAnsi="宋体" w:cs="宋体"/>
          <w:color w:val="auto"/>
          <w:sz w:val="21"/>
          <w:highlight w:val="none"/>
        </w:rPr>
        <w:t>综合评分法，是指投标文件满足招标文件全部实质性要求，且按照评审因素的量化指标评审得分最高的投标人为中标候选人的评标方法。</w:t>
      </w:r>
    </w:p>
    <w:p w14:paraId="48664119">
      <w:pPr>
        <w:pStyle w:val="4"/>
        <w:keepNext w:val="0"/>
        <w:keepLines w:val="0"/>
        <w:spacing w:before="0" w:after="0" w:line="520" w:lineRule="exact"/>
        <w:jc w:val="center"/>
        <w:rPr>
          <w:rFonts w:hint="eastAsia" w:ascii="宋体" w:hAnsi="宋体" w:cs="宋体"/>
          <w:color w:val="auto"/>
          <w:highlight w:val="none"/>
        </w:rPr>
      </w:pPr>
    </w:p>
    <w:p w14:paraId="0FE95CCF">
      <w:pPr>
        <w:pStyle w:val="4"/>
        <w:keepNext w:val="0"/>
        <w:keepLines w:val="0"/>
        <w:spacing w:before="0" w:after="0" w:line="520" w:lineRule="exact"/>
        <w:jc w:val="center"/>
        <w:rPr>
          <w:rFonts w:hint="eastAsia" w:ascii="宋体" w:hAnsi="宋体" w:cs="宋体"/>
          <w:color w:val="auto"/>
          <w:highlight w:val="none"/>
        </w:rPr>
      </w:pPr>
      <w:r>
        <w:rPr>
          <w:rFonts w:hint="eastAsia" w:ascii="宋体" w:hAnsi="宋体" w:cs="宋体"/>
          <w:color w:val="auto"/>
          <w:highlight w:val="none"/>
        </w:rPr>
        <w:t>二、评标程序</w:t>
      </w:r>
    </w:p>
    <w:p w14:paraId="0BA8B5FF">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1.符合性审查</w:t>
      </w:r>
    </w:p>
    <w:p w14:paraId="24F4DAE4">
      <w:pPr>
        <w:pStyle w:val="24"/>
        <w:snapToGrid w:val="0"/>
        <w:spacing w:line="520" w:lineRule="exact"/>
        <w:ind w:left="1" w:firstLine="420"/>
        <w:rPr>
          <w:rFonts w:hint="eastAsia" w:hAnsi="宋体" w:cs="宋体"/>
          <w:bCs/>
          <w:color w:val="auto"/>
          <w:kern w:val="2"/>
          <w:sz w:val="21"/>
          <w:highlight w:val="none"/>
        </w:rPr>
      </w:pPr>
      <w:r>
        <w:rPr>
          <w:rFonts w:hint="eastAsia" w:hAnsi="宋体" w:cs="宋体"/>
          <w:bCs/>
          <w:color w:val="auto"/>
          <w:kern w:val="2"/>
          <w:sz w:val="21"/>
          <w:highlight w:val="none"/>
        </w:rPr>
        <w:t>评标委员会应当对符合资格的投标人的投标文件进行投标报价、商务、技术等实质性内容符合性审查，以确定其是否满足招标文件的实质性要求。</w:t>
      </w:r>
    </w:p>
    <w:p w14:paraId="2A76B0A8">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2.符合性审查不通过而导致投标无效的情形</w:t>
      </w:r>
    </w:p>
    <w:p w14:paraId="6A9A2129">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投标人的投标文件中存在对招标文件的任何实质性要求和条件的负偏离，将被视为投标无效。</w:t>
      </w:r>
    </w:p>
    <w:p w14:paraId="435BF246">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2.1在报价评审时，如发现下列情形之一的，将被视为投标无效：</w:t>
      </w:r>
    </w:p>
    <w:p w14:paraId="19D55E28">
      <w:pPr>
        <w:pStyle w:val="7"/>
        <w:numPr>
          <w:ilvl w:val="0"/>
          <w:numId w:val="5"/>
        </w:numPr>
        <w:spacing w:line="520" w:lineRule="exact"/>
        <w:ind w:firstLine="396" w:firstLineChars="200"/>
        <w:rPr>
          <w:rFonts w:hint="eastAsia" w:ascii="宋体" w:hAnsi="宋体" w:cs="宋体"/>
          <w:bCs/>
          <w:color w:val="auto"/>
          <w:spacing w:val="-6"/>
          <w:szCs w:val="21"/>
          <w:highlight w:val="none"/>
        </w:rPr>
      </w:pPr>
      <w:r>
        <w:rPr>
          <w:rFonts w:hint="eastAsia" w:ascii="宋体" w:hAnsi="宋体" w:cs="宋体"/>
          <w:bCs/>
          <w:color w:val="auto"/>
          <w:spacing w:val="-6"/>
          <w:szCs w:val="21"/>
          <w:highlight w:val="none"/>
        </w:rPr>
        <w:t>报价文件未提供“投标人须知前附表”第13.1条规定中“必须提供”的文件资料的；</w:t>
      </w:r>
    </w:p>
    <w:p w14:paraId="016368EE">
      <w:pPr>
        <w:pStyle w:val="7"/>
        <w:numPr>
          <w:ilvl w:val="0"/>
          <w:numId w:val="5"/>
        </w:numPr>
        <w:spacing w:line="520" w:lineRule="exact"/>
        <w:ind w:firstLineChars="200"/>
        <w:rPr>
          <w:rFonts w:hint="eastAsia" w:ascii="宋体" w:hAnsi="宋体" w:cs="宋体"/>
          <w:bCs/>
          <w:color w:val="auto"/>
          <w:szCs w:val="21"/>
          <w:highlight w:val="none"/>
        </w:rPr>
      </w:pPr>
      <w:r>
        <w:rPr>
          <w:rFonts w:hint="eastAsia" w:ascii="宋体" w:hAnsi="宋体" w:cs="宋体"/>
          <w:bCs/>
          <w:color w:val="auto"/>
          <w:szCs w:val="21"/>
          <w:highlight w:val="none"/>
        </w:rPr>
        <w:t>未采用人民币报价或者未按照招标文件标明的币种报价的；</w:t>
      </w:r>
    </w:p>
    <w:p w14:paraId="5CD668CC">
      <w:pPr>
        <w:pStyle w:val="7"/>
        <w:numPr>
          <w:ilvl w:val="0"/>
          <w:numId w:val="5"/>
        </w:numPr>
        <w:spacing w:line="520" w:lineRule="exact"/>
        <w:ind w:left="-2" w:firstLine="422"/>
        <w:rPr>
          <w:rFonts w:hint="eastAsia" w:ascii="宋体" w:hAnsi="宋体" w:cs="宋体"/>
          <w:bCs/>
          <w:color w:val="auto"/>
          <w:spacing w:val="-6"/>
          <w:szCs w:val="21"/>
          <w:highlight w:val="none"/>
        </w:rPr>
      </w:pPr>
      <w:r>
        <w:rPr>
          <w:rFonts w:hint="eastAsia" w:ascii="宋体" w:hAnsi="宋体" w:cs="宋体"/>
          <w:bCs/>
          <w:color w:val="auto"/>
          <w:spacing w:val="-6"/>
          <w:szCs w:val="21"/>
          <w:highlight w:val="none"/>
        </w:rPr>
        <w:t>各分标报价超出招标文件相应分标规定最高限价，或者超出相应分标采购预算金额的；</w:t>
      </w:r>
    </w:p>
    <w:p w14:paraId="144FF1B3">
      <w:pPr>
        <w:pStyle w:val="7"/>
        <w:numPr>
          <w:ilvl w:val="0"/>
          <w:numId w:val="5"/>
        </w:numPr>
        <w:spacing w:line="520" w:lineRule="exact"/>
        <w:ind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9FB764E">
      <w:pPr>
        <w:pStyle w:val="7"/>
        <w:numPr>
          <w:ilvl w:val="0"/>
          <w:numId w:val="5"/>
        </w:numPr>
        <w:spacing w:line="520" w:lineRule="exact"/>
        <w:ind w:firstLineChars="200"/>
        <w:rPr>
          <w:rFonts w:hint="eastAsia" w:ascii="宋体" w:hAnsi="宋体" w:cs="宋体"/>
          <w:bCs/>
          <w:color w:val="auto"/>
          <w:szCs w:val="21"/>
          <w:highlight w:val="none"/>
        </w:rPr>
      </w:pPr>
      <w:r>
        <w:rPr>
          <w:rFonts w:hint="eastAsia" w:ascii="宋体" w:hAnsi="宋体" w:cs="宋体"/>
          <w:bCs/>
          <w:color w:val="auto"/>
          <w:szCs w:val="21"/>
          <w:highlight w:val="none"/>
        </w:rPr>
        <w:t>修正后的报价，投标人不确认的；</w:t>
      </w:r>
    </w:p>
    <w:p w14:paraId="53B51DC2">
      <w:pPr>
        <w:pStyle w:val="7"/>
        <w:numPr>
          <w:ilvl w:val="0"/>
          <w:numId w:val="5"/>
        </w:numPr>
        <w:spacing w:line="520" w:lineRule="exact"/>
        <w:ind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投标人属于本章第5.1条（2）或者第5.2条（2）项情形的。</w:t>
      </w:r>
    </w:p>
    <w:p w14:paraId="15573815">
      <w:pPr>
        <w:pStyle w:val="7"/>
        <w:numPr>
          <w:ilvl w:val="0"/>
          <w:numId w:val="5"/>
        </w:numPr>
        <w:spacing w:line="520" w:lineRule="exact"/>
        <w:ind w:firstLine="396" w:firstLineChars="200"/>
        <w:rPr>
          <w:rFonts w:hint="eastAsia" w:ascii="宋体" w:hAnsi="宋体" w:cs="宋体"/>
          <w:bCs/>
          <w:color w:val="auto"/>
          <w:szCs w:val="21"/>
          <w:highlight w:val="none"/>
        </w:rPr>
      </w:pPr>
      <w:r>
        <w:rPr>
          <w:rFonts w:hint="eastAsia" w:ascii="宋体" w:hAnsi="宋体" w:cs="宋体"/>
          <w:bCs/>
          <w:color w:val="auto"/>
          <w:spacing w:val="-6"/>
          <w:szCs w:val="21"/>
          <w:highlight w:val="none"/>
        </w:rPr>
        <w:t>报价文件</w:t>
      </w:r>
      <w:r>
        <w:rPr>
          <w:rFonts w:hint="eastAsia" w:ascii="宋体" w:hAnsi="宋体" w:cs="宋体"/>
          <w:bCs/>
          <w:color w:val="auto"/>
          <w:szCs w:val="21"/>
          <w:highlight w:val="none"/>
        </w:rPr>
        <w:t>响应的标的数量及单位与招标文件要求实质性不一致的。</w:t>
      </w:r>
    </w:p>
    <w:p w14:paraId="0BD9A40F">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2.2在商务评审时，如发现下列情形之一的，将被视为投标无效：</w:t>
      </w:r>
    </w:p>
    <w:p w14:paraId="094A6E4E">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投标文件未按招标文件要求签署、盖章的；</w:t>
      </w:r>
    </w:p>
    <w:p w14:paraId="73734B83">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委托代理人未能出具有效身份证或者出具的身份证与授权委托书中的信息不符的；</w:t>
      </w:r>
    </w:p>
    <w:p w14:paraId="54BA0D56">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为无效投标保证金的或者未按照招标文件的规定提交投标保证金的；</w:t>
      </w:r>
    </w:p>
    <w:p w14:paraId="064BA894">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投标文件未提供“投标人须知前附表”第13.1条规定中“必须提供”或者“委托时必须提供”的文件资料的；</w:t>
      </w:r>
    </w:p>
    <w:p w14:paraId="48AD5750">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商务要求评审允许负偏离的条款数超过“投标人须知前附表”规定项数的；</w:t>
      </w:r>
    </w:p>
    <w:p w14:paraId="2ED4E243">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投标文件的实质性内容未使用中文表述、使用计量单位不符合招标文件要求的；</w:t>
      </w:r>
    </w:p>
    <w:p w14:paraId="55DD9E72">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投标文件中的文件资料因填写不齐全或者内容虚假或者出现其他情形而导致被评标委员会认定无效的；</w:t>
      </w:r>
    </w:p>
    <w:p w14:paraId="78C94A4C">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投标文件含有采购人不能接受的附加条件的；</w:t>
      </w:r>
    </w:p>
    <w:p w14:paraId="2A860C8F">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属于投标人须知正文第9.2条情形的；</w:t>
      </w:r>
    </w:p>
    <w:p w14:paraId="7925EC95">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投标文件标注的项目名称或者项目编号与招标文件标注的项目名称或者项目编号不一致的；</w:t>
      </w:r>
    </w:p>
    <w:p w14:paraId="65ADEFF8">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招标文件明确不允许分包，投标文件拟分包的；</w:t>
      </w:r>
    </w:p>
    <w:p w14:paraId="342EDF72">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未响应招标文件实质性要求的；</w:t>
      </w:r>
    </w:p>
    <w:p w14:paraId="705D189C">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法律、法规和招标文件规定的其他无效情形。</w:t>
      </w:r>
    </w:p>
    <w:p w14:paraId="2D5DFC6A">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2.3在技术评审时，如发现下列情形之一的，将被视为投标无效：</w:t>
      </w:r>
    </w:p>
    <w:p w14:paraId="1536A73F">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（1）技术要求评审允许负偏离的条款数超过“投标人须知前附表”规定项数的；</w:t>
      </w:r>
    </w:p>
    <w:p w14:paraId="34BC26C3">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（2）投标文件未提供“投标人须知前附表”第13.1条规定中“必须提供”的文件资料的；</w:t>
      </w:r>
    </w:p>
    <w:p w14:paraId="08C065BB">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（3）虚假投标，或者出现其他情形而导致被评标委员会认定无效的；</w:t>
      </w:r>
    </w:p>
    <w:p w14:paraId="05868F17">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（4）</w:t>
      </w:r>
      <w:bookmarkStart w:id="167" w:name="_Hlk71706244"/>
      <w:r>
        <w:rPr>
          <w:rFonts w:hint="eastAsia" w:ascii="宋体" w:hAnsi="宋体" w:eastAsia="宋体" w:cs="宋体"/>
          <w:bCs/>
          <w:color w:val="auto"/>
          <w:kern w:val="2"/>
          <w:sz w:val="21"/>
          <w:szCs w:val="21"/>
          <w:highlight w:val="none"/>
        </w:rPr>
        <w:t>招标文件未载明允许提供备选（替代）投标方案或明确不允许提供备选（替代）投标方案时，投标人提供了备选（替代）投标方案的；</w:t>
      </w:r>
      <w:bookmarkEnd w:id="167"/>
    </w:p>
    <w:p w14:paraId="6BCDD5EA">
      <w:pPr>
        <w:pStyle w:val="19"/>
        <w:snapToGrid w:val="0"/>
        <w:spacing w:line="520" w:lineRule="exact"/>
        <w:ind w:firstLine="411" w:firstLineChars="196"/>
        <w:rPr>
          <w:rFonts w:hint="eastAsia" w:ascii="宋体" w:hAnsi="宋体" w:eastAsia="宋体" w:cs="宋体"/>
          <w:bCs/>
          <w:color w:val="auto"/>
          <w:highlight w:val="none"/>
        </w:rPr>
      </w:pPr>
      <w:r>
        <w:rPr>
          <w:rFonts w:hint="eastAsia" w:ascii="宋体" w:hAnsi="宋体" w:eastAsia="宋体" w:cs="宋体"/>
          <w:bCs/>
          <w:color w:val="auto"/>
          <w:kern w:val="2"/>
          <w:sz w:val="21"/>
          <w:szCs w:val="21"/>
          <w:highlight w:val="none"/>
        </w:rPr>
        <w:t>（5）未响应招标文件实质性要求的。</w:t>
      </w:r>
    </w:p>
    <w:p w14:paraId="6A5E8DA1">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2.4其他投标无效的情形：</w:t>
      </w:r>
    </w:p>
    <w:p w14:paraId="313F483A">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（1）投标文件未按招标文件要求签署或CA电子签章的；</w:t>
      </w:r>
    </w:p>
    <w:p w14:paraId="79371C6C">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（2）投标人提交两份或两份以上内容不同的投标文件；</w:t>
      </w:r>
    </w:p>
    <w:p w14:paraId="69455EA4">
      <w:pPr>
        <w:pStyle w:val="19"/>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（3）投标人在线制作投标文件时填写的报价金额与解密后“电子加密投标文件”中《开标一览表》填写的金额不一致并拒绝按招标文件要求接受调整的；</w:t>
      </w:r>
    </w:p>
    <w:p w14:paraId="39268193">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（4）法律、法规和招标文件规定的其他无效情形（或出现重大偏差）。</w:t>
      </w:r>
    </w:p>
    <w:p w14:paraId="02480ADA">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3.澄清补正</w:t>
      </w:r>
    </w:p>
    <w:p w14:paraId="090477AB">
      <w:pPr>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对投标文件中含义不明确、同类问题表述不一致或者有明显文字和计算错误的内容，评标委员会应在</w:t>
      </w:r>
      <w:r>
        <w:rPr>
          <w:rFonts w:hint="eastAsia" w:ascii="宋体" w:hAnsi="宋体" w:cs="宋体"/>
          <w:bCs/>
          <w:color w:val="auto"/>
          <w:kern w:val="0"/>
          <w:szCs w:val="21"/>
          <w:highlight w:val="none"/>
        </w:rPr>
        <w:t>广西政府采购云平台</w:t>
      </w:r>
      <w:r>
        <w:rPr>
          <w:rFonts w:hint="eastAsia" w:ascii="宋体" w:hAnsi="宋体" w:cs="宋体"/>
          <w:bCs/>
          <w:color w:val="auto"/>
          <w:szCs w:val="21"/>
          <w:highlight w:val="none"/>
        </w:rPr>
        <w:t>发布电子澄清函，要求投标人在规定时间内作出必要的澄清、说明或者补正。投标人在</w:t>
      </w:r>
      <w:r>
        <w:rPr>
          <w:rFonts w:hint="eastAsia" w:ascii="宋体" w:hAnsi="宋体" w:cs="宋体"/>
          <w:bCs/>
          <w:color w:val="auto"/>
          <w:kern w:val="0"/>
          <w:szCs w:val="21"/>
          <w:highlight w:val="none"/>
        </w:rPr>
        <w:t>广西政府采购云平台</w:t>
      </w:r>
      <w:r>
        <w:rPr>
          <w:rFonts w:hint="eastAsia" w:ascii="宋体" w:hAnsi="宋体" w:cs="宋体"/>
          <w:bCs/>
          <w:color w:val="auto"/>
          <w:szCs w:val="21"/>
          <w:highlight w:val="none"/>
        </w:rPr>
        <w:t>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563B8338">
      <w:pPr>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10C12055">
      <w:pPr>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未按评标委员会的要求作出明确澄清、说明或者更正的投标人的投标文件将按照有利于采购人的原则由评标委员会进行判定。</w:t>
      </w:r>
    </w:p>
    <w:p w14:paraId="30627731">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4.投标文件修正</w:t>
      </w:r>
    </w:p>
    <w:p w14:paraId="3F3C7E9B">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4.1投标文件报价出现前后不一致的，按照下列规定修正：</w:t>
      </w:r>
    </w:p>
    <w:p w14:paraId="197616CC">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（1）投标文件中开标一览表（报价表）内容与投标文件中相应内容不一致的，以开标一览表（报价表）为准；</w:t>
      </w:r>
    </w:p>
    <w:p w14:paraId="7CD9DAEC">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（2）大写金额和小写金额不一致的，以大写金额为准；</w:t>
      </w:r>
    </w:p>
    <w:p w14:paraId="5E94A138">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（3）单价金额小数点或者百分比有明显错位的，以开标一览表的总价为准，并修改单价；</w:t>
      </w:r>
    </w:p>
    <w:p w14:paraId="46E5D115">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（4）总价金额与按单价汇总金额不一致的，以单价金额计算结果为准。</w:t>
      </w:r>
    </w:p>
    <w:p w14:paraId="6604D6D3">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同时出现两种以上不一致的，按照以上（1）</w:t>
      </w:r>
      <w:r>
        <w:rPr>
          <w:rFonts w:hint="eastAsia" w:hAnsi="宋体" w:cs="宋体"/>
          <w:color w:val="auto"/>
          <w:highlight w:val="none"/>
        </w:rPr>
        <w:t>～</w:t>
      </w:r>
      <w:r>
        <w:rPr>
          <w:rFonts w:hint="eastAsia" w:hAnsi="宋体" w:cs="宋体"/>
          <w:bCs/>
          <w:color w:val="auto"/>
          <w:sz w:val="21"/>
          <w:highlight w:val="none"/>
        </w:rPr>
        <w:t>（4）规定的顺序修正。修正后的报价经投标人确认后产生约束力，投标人不确认的，</w:t>
      </w:r>
      <w:r>
        <w:rPr>
          <w:rFonts w:hint="eastAsia" w:hAnsi="宋体" w:cs="宋体"/>
          <w:bCs/>
          <w:color w:val="auto"/>
          <w:kern w:val="2"/>
          <w:sz w:val="21"/>
          <w:highlight w:val="none"/>
        </w:rPr>
        <w:t>其投标无效</w:t>
      </w:r>
      <w:r>
        <w:rPr>
          <w:rFonts w:hint="eastAsia" w:hAnsi="宋体" w:cs="宋体"/>
          <w:bCs/>
          <w:color w:val="auto"/>
          <w:sz w:val="21"/>
          <w:highlight w:val="none"/>
        </w:rPr>
        <w:t>。</w:t>
      </w:r>
    </w:p>
    <w:p w14:paraId="2411E90A">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4.2经投标人确认修正后的报价若超过采购预算金额或者最高限价，投标人的投标文件作无效投标处理。</w:t>
      </w:r>
    </w:p>
    <w:p w14:paraId="4CB33DC1">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4.3经投标人确认修正后的报价</w:t>
      </w:r>
      <w:r>
        <w:rPr>
          <w:rFonts w:hint="eastAsia" w:ascii="宋体" w:hAnsi="宋体" w:cs="宋体"/>
          <w:bCs/>
          <w:color w:val="auto"/>
          <w:szCs w:val="21"/>
          <w:highlight w:val="none"/>
          <w:lang w:eastAsia="zh-CN"/>
        </w:rPr>
        <w:t>做为</w:t>
      </w:r>
      <w:r>
        <w:rPr>
          <w:rFonts w:hint="eastAsia" w:ascii="宋体" w:hAnsi="宋体" w:cs="宋体"/>
          <w:bCs/>
          <w:color w:val="auto"/>
          <w:szCs w:val="21"/>
          <w:highlight w:val="none"/>
        </w:rPr>
        <w:t>签订合同的依据，并以此报价计算价格分。</w:t>
      </w:r>
    </w:p>
    <w:p w14:paraId="619A3077">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5.比较与评价</w:t>
      </w:r>
    </w:p>
    <w:p w14:paraId="4A5CBC44">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5.1采用综合评分法的</w:t>
      </w:r>
    </w:p>
    <w:p w14:paraId="4DEA7ABD">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（1）评标委员会按照招标文件中规定的评标方法及评标标准，对符合性审查合格的投标文件进行商务和技术评估，综合比较与评价。</w:t>
      </w:r>
    </w:p>
    <w:p w14:paraId="650CC144">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（2）评标委员会独立对每个投标人的投标文件进行评价，并汇总每个投标人的得分。</w:t>
      </w:r>
    </w:p>
    <w:p w14:paraId="170E1860">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1）评标委员会在评审中发现下列情形之一的，应当启动异常低价投标审查程序：</w:t>
      </w:r>
    </w:p>
    <w:p w14:paraId="3CCAE614">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①投标报价低于全部通过符合性审查供应商投标报价平均值</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%的，即投标报价＜全部通过符合性审查供应商投标报价平均值×</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w:t>
      </w:r>
    </w:p>
    <w:p w14:paraId="68F3D894">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②投标报价低于通过符合性审查的次低报价供应商投标报价</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%的，即投标报价＜通过符合性审查的次低报价供应商投标报价×</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w:t>
      </w:r>
    </w:p>
    <w:p w14:paraId="33F49828">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③投标报价低于采购项目最高限价</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5%的，即投标报价＜采购项目最高限价×</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5%；</w:t>
      </w:r>
    </w:p>
    <w:p w14:paraId="3B85C9AB">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④评标委员会基于专业判断，认为供应商报价过低，有可能影响产品质量或者不能诚信履约的其他情形。</w:t>
      </w:r>
    </w:p>
    <w:p w14:paraId="341983EB">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506A0F16">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cs="宋体"/>
          <w:b/>
          <w:bCs w:val="0"/>
          <w:color w:val="auto"/>
          <w:szCs w:val="21"/>
          <w:highlight w:val="none"/>
        </w:rPr>
        <w:t>投标供应商不能提供书面说明、证明材料，或者提供的书面说明、证明材料不能证明其报价合理性的，评标委员会应当将其</w:t>
      </w:r>
      <w:r>
        <w:rPr>
          <w:rFonts w:hint="eastAsia" w:ascii="宋体" w:hAnsi="宋体" w:cs="宋体"/>
          <w:b/>
          <w:bCs w:val="0"/>
          <w:color w:val="auto"/>
          <w:szCs w:val="21"/>
          <w:highlight w:val="none"/>
          <w:lang w:eastAsia="zh-CN"/>
        </w:rPr>
        <w:t>做为</w:t>
      </w:r>
      <w:r>
        <w:rPr>
          <w:rFonts w:hint="eastAsia" w:ascii="宋体" w:hAnsi="宋体" w:cs="宋体"/>
          <w:b/>
          <w:bCs w:val="0"/>
          <w:color w:val="auto"/>
          <w:szCs w:val="21"/>
          <w:highlight w:val="none"/>
        </w:rPr>
        <w:t>无效投标处理。</w:t>
      </w:r>
    </w:p>
    <w:p w14:paraId="012FA9D6">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4E14284C">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异常低价投标审查的启动原因、审查意见和审查结果应当在评审报告中记录，并随供应商提供的相关书面说明及证明材料；如有，以及评标委员会有关互联网浏览、查询历史一并归档。</w:t>
      </w:r>
    </w:p>
    <w:p w14:paraId="57EFBE8E">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（3）评标委员会按照招标文件中规定的评标方法和标准计算各投标人的报价得分。在计算过程中，不得去掉最高报价或者最低报价。</w:t>
      </w:r>
    </w:p>
    <w:p w14:paraId="0B4153CC">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（4）各投标人的得分为所有评委的有效评分的算术平均数。</w:t>
      </w:r>
    </w:p>
    <w:p w14:paraId="2EE6D198">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（5）评标委员会按照招标文件中的规定推荐中标候选人。</w:t>
      </w:r>
    </w:p>
    <w:p w14:paraId="7F5810BE">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作出结论。持不同意见的评标委员会成员应当在评标报告上签署不同意见及理由，否则视为同意评标报告。</w:t>
      </w:r>
    </w:p>
    <w:p w14:paraId="0E5F8D8C">
      <w:pPr>
        <w:pStyle w:val="2"/>
        <w:spacing w:before="0" w:after="0" w:line="520" w:lineRule="exact"/>
        <w:jc w:val="center"/>
        <w:rPr>
          <w:rFonts w:hint="eastAsia" w:ascii="宋体" w:hAnsi="宋体" w:cs="宋体"/>
          <w:color w:val="auto"/>
          <w:kern w:val="2"/>
          <w:sz w:val="32"/>
          <w:szCs w:val="32"/>
          <w:highlight w:val="none"/>
        </w:rPr>
      </w:pPr>
      <w:bookmarkStart w:id="168" w:name="_Toc32300"/>
      <w:bookmarkStart w:id="169" w:name="_Toc29774"/>
      <w:bookmarkStart w:id="170" w:name="_Toc6215"/>
      <w:bookmarkStart w:id="171" w:name="_Toc7941"/>
      <w:bookmarkStart w:id="172" w:name="_Toc22758"/>
      <w:bookmarkStart w:id="173" w:name="_Toc23294"/>
      <w:bookmarkStart w:id="174" w:name="_Toc8636"/>
      <w:bookmarkStart w:id="175" w:name="_Toc562"/>
      <w:bookmarkStart w:id="176" w:name="_Toc21508"/>
      <w:bookmarkStart w:id="177" w:name="_Toc21221"/>
    </w:p>
    <w:p w14:paraId="6C87A876">
      <w:pPr>
        <w:pStyle w:val="4"/>
        <w:keepNext w:val="0"/>
        <w:keepLines w:val="0"/>
        <w:spacing w:before="0" w:after="0" w:line="520" w:lineRule="exact"/>
        <w:jc w:val="center"/>
        <w:rPr>
          <w:rFonts w:hint="eastAsia" w:ascii="宋体" w:hAnsi="宋体" w:cs="宋体"/>
          <w:color w:val="auto"/>
          <w:highlight w:val="none"/>
        </w:rPr>
      </w:pPr>
      <w:r>
        <w:rPr>
          <w:rFonts w:hint="eastAsia" w:ascii="宋体" w:hAnsi="宋体" w:eastAsia="宋体" w:cs="宋体"/>
          <w:b/>
          <w:bCs/>
          <w:color w:val="auto"/>
          <w:highlight w:val="none"/>
        </w:rPr>
        <w:t>三、评分标准</w:t>
      </w:r>
      <w:bookmarkEnd w:id="168"/>
      <w:bookmarkEnd w:id="169"/>
      <w:bookmarkEnd w:id="170"/>
      <w:bookmarkEnd w:id="171"/>
      <w:bookmarkEnd w:id="172"/>
      <w:bookmarkEnd w:id="173"/>
      <w:bookmarkEnd w:id="174"/>
      <w:bookmarkEnd w:id="175"/>
      <w:r>
        <w:rPr>
          <w:rFonts w:hint="eastAsia" w:ascii="宋体" w:hAnsi="宋体" w:eastAsia="宋体" w:cs="宋体"/>
          <w:b/>
          <w:bCs/>
          <w:color w:val="auto"/>
          <w:highlight w:val="none"/>
        </w:rPr>
        <w:t>（综合评分法）</w:t>
      </w:r>
      <w:bookmarkEnd w:id="176"/>
      <w:bookmarkEnd w:id="177"/>
    </w:p>
    <w:p w14:paraId="20985682">
      <w:pPr>
        <w:widowControl/>
        <w:adjustRightInd w:val="0"/>
        <w:snapToGrid w:val="0"/>
        <w:spacing w:line="520" w:lineRule="exact"/>
        <w:ind w:firstLine="459" w:firstLineChars="219"/>
        <w:rPr>
          <w:rFonts w:hint="eastAsia" w:ascii="宋体" w:hAnsi="宋体" w:cs="宋体"/>
          <w:b/>
          <w:bCs/>
          <w:color w:val="auto"/>
          <w:kern w:val="0"/>
          <w:szCs w:val="21"/>
          <w:highlight w:val="none"/>
        </w:rPr>
      </w:pPr>
      <w:r>
        <w:rPr>
          <w:rFonts w:hint="eastAsia" w:ascii="宋体" w:hAnsi="宋体" w:cs="宋体"/>
          <w:bCs/>
          <w:color w:val="auto"/>
          <w:kern w:val="0"/>
          <w:szCs w:val="21"/>
          <w:highlight w:val="none"/>
        </w:rPr>
        <w:t>（一）</w:t>
      </w:r>
      <w:r>
        <w:rPr>
          <w:rFonts w:hint="eastAsia" w:ascii="宋体" w:hAnsi="宋体" w:cs="宋体"/>
          <w:b/>
          <w:bCs/>
          <w:color w:val="auto"/>
          <w:kern w:val="0"/>
          <w:szCs w:val="21"/>
          <w:highlight w:val="none"/>
        </w:rPr>
        <w:t>评标原则</w:t>
      </w:r>
    </w:p>
    <w:p w14:paraId="7E4B727E">
      <w:pPr>
        <w:widowControl/>
        <w:adjustRightInd w:val="0"/>
        <w:snapToGrid w:val="0"/>
        <w:spacing w:line="520" w:lineRule="exact"/>
        <w:ind w:firstLine="459" w:firstLineChars="219"/>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1.评委构成：《政府采购货物和服务招标投标管理办法》第四十七条评标委员会由采购人代表和评审专家组成，成员人数应当为5人以上单数，其中评审专家不得少于成员总数的三分之二。</w:t>
      </w:r>
    </w:p>
    <w:p w14:paraId="4264B68B">
      <w:pPr>
        <w:widowControl/>
        <w:adjustRightInd w:val="0"/>
        <w:snapToGrid w:val="0"/>
        <w:spacing w:line="520" w:lineRule="exact"/>
        <w:ind w:firstLine="378" w:firstLineChars="18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w:t>
      </w:r>
      <w:r>
        <w:rPr>
          <w:rFonts w:hint="eastAsia" w:ascii="宋体" w:hAnsi="宋体" w:cs="宋体"/>
          <w:color w:val="auto"/>
          <w:kern w:val="0"/>
          <w:szCs w:val="21"/>
          <w:highlight w:val="none"/>
        </w:rPr>
        <w:t>评标依据：</w:t>
      </w:r>
      <w:r>
        <w:rPr>
          <w:rFonts w:hint="eastAsia" w:ascii="宋体" w:hAnsi="宋体" w:cs="宋体"/>
          <w:bCs/>
          <w:color w:val="auto"/>
          <w:kern w:val="0"/>
          <w:szCs w:val="21"/>
          <w:highlight w:val="none"/>
        </w:rPr>
        <w:t>评委将以招投标文件为评标依据，对投标人的内容按百分制打分。</w:t>
      </w:r>
    </w:p>
    <w:p w14:paraId="646039B6">
      <w:pPr>
        <w:widowControl/>
        <w:adjustRightInd w:val="0"/>
        <w:snapToGrid w:val="0"/>
        <w:spacing w:line="520" w:lineRule="exact"/>
        <w:ind w:firstLine="378" w:firstLineChars="180"/>
        <w:rPr>
          <w:rFonts w:hint="eastAsia" w:ascii="宋体" w:hAnsi="宋体" w:cs="宋体"/>
          <w:color w:val="auto"/>
          <w:szCs w:val="21"/>
          <w:highlight w:val="none"/>
        </w:rPr>
      </w:pPr>
      <w:r>
        <w:rPr>
          <w:rFonts w:hint="eastAsia" w:ascii="宋体" w:hAnsi="宋体" w:cs="宋体"/>
          <w:bCs/>
          <w:color w:val="auto"/>
          <w:szCs w:val="21"/>
          <w:highlight w:val="none"/>
        </w:rPr>
        <w:t>3.评标方式：以封闭方式进行。</w:t>
      </w:r>
    </w:p>
    <w:p w14:paraId="3A3FBEB7">
      <w:pPr>
        <w:adjustRightInd w:val="0"/>
        <w:snapToGrid w:val="0"/>
        <w:spacing w:line="520" w:lineRule="exact"/>
        <w:ind w:firstLine="252" w:firstLineChars="120"/>
        <w:rPr>
          <w:rFonts w:hint="eastAsia" w:ascii="宋体" w:hAnsi="宋体" w:cs="宋体"/>
          <w:b/>
          <w:color w:val="auto"/>
          <w:szCs w:val="21"/>
          <w:highlight w:val="none"/>
        </w:rPr>
      </w:pPr>
      <w:r>
        <w:rPr>
          <w:rFonts w:hint="eastAsia" w:ascii="宋体" w:hAnsi="宋体" w:cs="宋体"/>
          <w:color w:val="auto"/>
          <w:kern w:val="0"/>
          <w:szCs w:val="21"/>
          <w:highlight w:val="none"/>
        </w:rPr>
        <w:t>（二）</w:t>
      </w:r>
      <w:r>
        <w:rPr>
          <w:rFonts w:hint="eastAsia" w:ascii="宋体" w:hAnsi="宋体" w:cs="宋体"/>
          <w:b/>
          <w:color w:val="auto"/>
          <w:szCs w:val="21"/>
          <w:highlight w:val="none"/>
        </w:rPr>
        <w:t>评标方法</w:t>
      </w:r>
    </w:p>
    <w:p w14:paraId="6F78ED2B">
      <w:pPr>
        <w:widowControl/>
        <w:adjustRightInd w:val="0"/>
        <w:snapToGrid w:val="0"/>
        <w:spacing w:line="520" w:lineRule="exact"/>
        <w:ind w:firstLine="378" w:firstLineChars="180"/>
        <w:rPr>
          <w:rFonts w:hint="eastAsia" w:ascii="宋体" w:hAnsi="宋体" w:cs="宋体"/>
          <w:color w:val="auto"/>
          <w:kern w:val="0"/>
          <w:szCs w:val="21"/>
          <w:highlight w:val="none"/>
        </w:rPr>
      </w:pPr>
      <w:r>
        <w:rPr>
          <w:rFonts w:hint="eastAsia" w:ascii="宋体" w:hAnsi="宋体" w:cs="宋体"/>
          <w:color w:val="auto"/>
          <w:kern w:val="0"/>
          <w:szCs w:val="21"/>
          <w:highlight w:val="none"/>
        </w:rPr>
        <w:t>1.对进入详评的，采用百分制综合评分法。</w:t>
      </w:r>
    </w:p>
    <w:p w14:paraId="597023DE">
      <w:pPr>
        <w:widowControl/>
        <w:adjustRightInd w:val="0"/>
        <w:snapToGrid w:val="0"/>
        <w:spacing w:line="520" w:lineRule="exact"/>
        <w:ind w:firstLine="378" w:firstLineChars="180"/>
        <w:rPr>
          <w:rFonts w:hint="eastAsia" w:ascii="宋体" w:hAnsi="宋体" w:cs="宋体"/>
          <w:color w:val="auto"/>
          <w:kern w:val="0"/>
          <w:szCs w:val="21"/>
          <w:highlight w:val="none"/>
        </w:rPr>
      </w:pPr>
      <w:r>
        <w:rPr>
          <w:rFonts w:hint="eastAsia" w:ascii="宋体" w:hAnsi="宋体" w:cs="宋体"/>
          <w:color w:val="auto"/>
          <w:kern w:val="0"/>
          <w:szCs w:val="21"/>
          <w:highlight w:val="none"/>
        </w:rPr>
        <w:t>2.计分办法（按四舍五入取至百分位）：</w:t>
      </w:r>
    </w:p>
    <w:p w14:paraId="48AF929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601386A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31A9A80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182DD97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05C4E0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237116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049953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sectPr>
          <w:footerReference r:id="rId11" w:type="first"/>
          <w:headerReference r:id="rId8" w:type="default"/>
          <w:footerReference r:id="rId9" w:type="default"/>
          <w:footerReference r:id="rId10" w:type="even"/>
          <w:pgSz w:w="11906" w:h="16838"/>
          <w:pgMar w:top="1247" w:right="1247" w:bottom="1247" w:left="1247" w:header="851" w:footer="992" w:gutter="0"/>
          <w:pgNumType w:fmt="decimal"/>
          <w:cols w:space="720" w:num="1"/>
          <w:titlePg/>
          <w:docGrid w:linePitch="312" w:charSpace="0"/>
        </w:sectPr>
      </w:pPr>
    </w:p>
    <w:p w14:paraId="56B93658">
      <w:pPr>
        <w:bidi w:val="0"/>
        <w:rPr>
          <w:rFonts w:hint="eastAsia"/>
          <w:color w:val="auto"/>
          <w:highlight w:val="none"/>
        </w:rPr>
      </w:pPr>
    </w:p>
    <w:tbl>
      <w:tblPr>
        <w:tblStyle w:val="46"/>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646"/>
        <w:gridCol w:w="6673"/>
      </w:tblGrid>
      <w:tr w14:paraId="316E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bottom w:val="single" w:color="auto" w:sz="4" w:space="0"/>
              <w:right w:val="single" w:color="auto" w:sz="4" w:space="0"/>
            </w:tcBorders>
            <w:noWrap/>
            <w:vAlign w:val="center"/>
          </w:tcPr>
          <w:p w14:paraId="61B69DC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1"/>
                <w:szCs w:val="21"/>
                <w:highlight w:val="none"/>
              </w:rPr>
            </w:pPr>
            <w:r>
              <w:rPr>
                <w:rFonts w:hint="eastAsia"/>
                <w:b/>
                <w:bCs/>
                <w:color w:val="auto"/>
                <w:highlight w:val="none"/>
              </w:rPr>
              <w:br w:type="page"/>
            </w:r>
            <w:r>
              <w:rPr>
                <w:rFonts w:hint="eastAsia" w:ascii="宋体" w:hAnsi="宋体" w:eastAsia="宋体" w:cs="宋体"/>
                <w:color w:val="auto"/>
                <w:sz w:val="21"/>
                <w:szCs w:val="21"/>
                <w:highlight w:val="none"/>
              </w:rPr>
              <w:t>序号</w:t>
            </w:r>
          </w:p>
        </w:tc>
        <w:tc>
          <w:tcPr>
            <w:tcW w:w="1646" w:type="dxa"/>
            <w:tcBorders>
              <w:top w:val="single" w:color="auto" w:sz="4" w:space="0"/>
              <w:left w:val="single" w:color="auto" w:sz="4" w:space="0"/>
              <w:bottom w:val="single" w:color="auto" w:sz="4" w:space="0"/>
              <w:right w:val="single" w:color="auto" w:sz="4" w:space="0"/>
            </w:tcBorders>
            <w:noWrap/>
            <w:vAlign w:val="center"/>
          </w:tcPr>
          <w:p w14:paraId="0C7AC91F">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6673" w:type="dxa"/>
            <w:tcBorders>
              <w:top w:val="single" w:color="auto" w:sz="4" w:space="0"/>
              <w:left w:val="single" w:color="auto" w:sz="4" w:space="0"/>
              <w:bottom w:val="single" w:color="auto" w:sz="4" w:space="0"/>
              <w:right w:val="single" w:color="auto" w:sz="4" w:space="0"/>
            </w:tcBorders>
            <w:noWrap/>
            <w:vAlign w:val="center"/>
          </w:tcPr>
          <w:p w14:paraId="2971989B">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bookmarkStart w:id="178" w:name="评分办法2"/>
            <w:r>
              <w:rPr>
                <w:rFonts w:hint="eastAsia" w:ascii="宋体" w:hAnsi="宋体" w:eastAsia="宋体" w:cs="宋体"/>
                <w:color w:val="auto"/>
                <w:sz w:val="21"/>
                <w:szCs w:val="21"/>
                <w:highlight w:val="none"/>
              </w:rPr>
              <w:t>评分标准</w:t>
            </w:r>
            <w:bookmarkEnd w:id="178"/>
          </w:p>
        </w:tc>
      </w:tr>
      <w:tr w14:paraId="11A0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bottom w:val="single" w:color="auto" w:sz="4" w:space="0"/>
              <w:right w:val="single" w:color="auto" w:sz="4" w:space="0"/>
            </w:tcBorders>
            <w:noWrap/>
            <w:vAlign w:val="center"/>
          </w:tcPr>
          <w:p w14:paraId="670A5E13">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46" w:type="dxa"/>
            <w:tcBorders>
              <w:top w:val="single" w:color="auto" w:sz="4" w:space="0"/>
              <w:left w:val="single" w:color="auto" w:sz="4" w:space="0"/>
              <w:bottom w:val="single" w:color="auto" w:sz="4" w:space="0"/>
              <w:right w:val="single" w:color="auto" w:sz="4" w:space="0"/>
            </w:tcBorders>
            <w:noWrap/>
            <w:vAlign w:val="center"/>
          </w:tcPr>
          <w:p w14:paraId="0E0403E6">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投标报价分</w:t>
            </w:r>
          </w:p>
          <w:p w14:paraId="65F78CC4">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（满分</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6673" w:type="dxa"/>
            <w:tcBorders>
              <w:top w:val="single" w:color="auto" w:sz="4" w:space="0"/>
              <w:left w:val="single" w:color="auto" w:sz="4" w:space="0"/>
              <w:bottom w:val="single" w:color="auto" w:sz="4" w:space="0"/>
              <w:right w:val="single" w:color="auto" w:sz="4" w:space="0"/>
            </w:tcBorders>
            <w:noWrap/>
            <w:vAlign w:val="top"/>
          </w:tcPr>
          <w:p w14:paraId="22A82683">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（1）评标报价为投标人的投标报价进行政策性扣除后的价格，评标报价只是</w:t>
            </w:r>
            <w:r>
              <w:rPr>
                <w:rFonts w:hint="eastAsia" w:ascii="宋体" w:hAnsi="宋体" w:eastAsia="宋体" w:cs="宋体"/>
                <w:color w:val="auto"/>
                <w:sz w:val="21"/>
                <w:szCs w:val="21"/>
                <w:highlight w:val="none"/>
                <w:lang w:eastAsia="zh-CN"/>
              </w:rPr>
              <w:t>做为</w:t>
            </w:r>
            <w:r>
              <w:rPr>
                <w:rFonts w:hint="eastAsia" w:ascii="宋体" w:hAnsi="宋体" w:eastAsia="宋体" w:cs="宋体"/>
                <w:color w:val="auto"/>
                <w:sz w:val="21"/>
                <w:szCs w:val="21"/>
                <w:highlight w:val="none"/>
              </w:rPr>
              <w:t>评标时使用。最终中标人的中标金额等于投标报价。</w:t>
            </w:r>
          </w:p>
          <w:p w14:paraId="2998D8FB">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（2）政策性扣除计算方法。</w:t>
            </w:r>
          </w:p>
          <w:p w14:paraId="54E20928">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即评标报价=投标报价×（1-10%）。接受大中型企业与小微企业组成联合体的采购项目，联合协议约定小微企业的合同份额占到合同总金额30%以上的，采购人、采购代理机构应当对联合体或者大中型企业的报价给予 4% 的扣除，用扣除后的价格参加评审，扣除后的价格为评标报价，即评标报价=投标报价×（1-4%）。除上述情况外，评标报价=投标报价</w:t>
            </w:r>
          </w:p>
          <w:p w14:paraId="65924F9C">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54223BF8">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AE0999D">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（5）满足招标文件要求且评标报价最低的评标报价为评标基准价，其价格分为满分。</w:t>
            </w:r>
          </w:p>
          <w:p w14:paraId="00EDBBBC">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（6）价格分计算公式：</w:t>
            </w:r>
          </w:p>
          <w:p w14:paraId="5A06B175">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价格分=（评标基准价/评标报价）×10分</w:t>
            </w:r>
          </w:p>
        </w:tc>
      </w:tr>
      <w:tr w14:paraId="68DB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236" w:type="dxa"/>
            <w:gridSpan w:val="3"/>
            <w:tcBorders>
              <w:top w:val="single" w:color="auto" w:sz="4" w:space="0"/>
              <w:left w:val="single" w:color="auto" w:sz="4" w:space="0"/>
              <w:bottom w:val="single" w:color="auto" w:sz="4" w:space="0"/>
              <w:right w:val="single" w:color="auto" w:sz="4" w:space="0"/>
            </w:tcBorders>
            <w:noWrap/>
            <w:vAlign w:val="center"/>
          </w:tcPr>
          <w:p w14:paraId="3E0520C0">
            <w:pPr>
              <w:keepNext w:val="0"/>
              <w:keepLines w:val="0"/>
              <w:pageBreakBefore w:val="0"/>
              <w:kinsoku/>
              <w:wordWrap/>
              <w:overflowPunct/>
              <w:topLinePunct w:val="0"/>
              <w:autoSpaceDE/>
              <w:autoSpaceDN/>
              <w:bidi w:val="0"/>
              <w:snapToGrid/>
              <w:spacing w:line="440" w:lineRule="exact"/>
              <w:ind w:leftChars="-6" w:right="240" w:hanging="12" w:hangingChars="6"/>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2.技术分（满分</w:t>
            </w:r>
            <w:r>
              <w:rPr>
                <w:rFonts w:hint="eastAsia" w:ascii="宋体" w:hAns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rPr>
              <w:t>分）</w:t>
            </w:r>
          </w:p>
        </w:tc>
      </w:tr>
      <w:tr w14:paraId="490E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551C139E">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646" w:type="dxa"/>
            <w:tcBorders>
              <w:top w:val="single" w:color="auto" w:sz="4" w:space="0"/>
              <w:left w:val="single" w:color="auto" w:sz="4" w:space="0"/>
              <w:right w:val="single" w:color="auto" w:sz="4" w:space="0"/>
            </w:tcBorders>
            <w:noWrap/>
            <w:vAlign w:val="center"/>
          </w:tcPr>
          <w:p w14:paraId="3A2C2492">
            <w:pPr>
              <w:snapToGrid w:val="0"/>
              <w:spacing w:line="36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服务实施方案</w:t>
            </w:r>
          </w:p>
          <w:p w14:paraId="02DA33F1">
            <w:pPr>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（满分1</w:t>
            </w:r>
            <w:r>
              <w:rPr>
                <w:rFonts w:hint="eastAsia" w:ascii="宋体" w:hAnsi="宋体" w:eastAsia="宋体" w:cs="Times New Roman"/>
                <w:color w:val="auto"/>
                <w:szCs w:val="21"/>
                <w:highlight w:val="none"/>
                <w:lang w:val="en-US" w:eastAsia="zh-CN"/>
              </w:rPr>
              <w:t>5</w:t>
            </w:r>
            <w:r>
              <w:rPr>
                <w:rFonts w:hint="eastAsia" w:ascii="宋体" w:hAnsi="宋体" w:eastAsia="宋体" w:cs="Times New Roman"/>
                <w:color w:val="auto"/>
                <w:szCs w:val="21"/>
                <w:highlight w:val="none"/>
              </w:rPr>
              <w:t>分）</w:t>
            </w:r>
          </w:p>
        </w:tc>
        <w:tc>
          <w:tcPr>
            <w:tcW w:w="6673" w:type="dxa"/>
            <w:tcBorders>
              <w:top w:val="single" w:color="auto" w:sz="4" w:space="0"/>
              <w:left w:val="single" w:color="auto" w:sz="4" w:space="0"/>
              <w:right w:val="single" w:color="auto" w:sz="4" w:space="0"/>
            </w:tcBorders>
            <w:noWrap/>
            <w:vAlign w:val="center"/>
          </w:tcPr>
          <w:p w14:paraId="4ED8A0A0">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由评委根据投标人“服务实施方案”的内容进行独立评审并打分。</w:t>
            </w:r>
          </w:p>
          <w:p w14:paraId="3C6E861E">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一档（6分）</w:t>
            </w:r>
          </w:p>
          <w:p w14:paraId="6382360A">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仅简单罗列基础环卫工作，未结合本项目县城、乡镇、公厕、中转站、填埋场、垃圾外运焚烧等服务范围，无作业流程、人员设备、机械化作业安排，内容空洞，不符合项目基本作业要求，可实施性差。</w:t>
            </w:r>
          </w:p>
          <w:p w14:paraId="58B82D59">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二档（9分）</w:t>
            </w:r>
          </w:p>
          <w:p w14:paraId="5CDB4DF2">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覆盖本项目主要环卫服务板块，基础作业内容完整；未深度结合本项目机械化清扫率、城乡垃圾收运模式、大件垃圾、建筑垃圾界定等专属要求，作业时序、人员设备安排笼统，仅满足基础保洁运转。</w:t>
            </w:r>
          </w:p>
          <w:p w14:paraId="7D796D3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三档（12分）</w:t>
            </w:r>
          </w:p>
          <w:p w14:paraId="7318A935">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全面对应招标文件全部服务内容，涵盖道路分级保洁、一河两岸、背街小巷、乡镇清运、中转站、公厕、填埋场、渗滤液、垃圾焚烧转运等全部工作；人员配置、车辆设备、作业频次、日产日清等内容清晰合理，流程完善、落地性强。</w:t>
            </w:r>
          </w:p>
          <w:p w14:paraId="03545BC0">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四档（15分）</w:t>
            </w:r>
          </w:p>
          <w:p w14:paraId="1F6B24AC">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在完整覆盖全部服务内容基础上，细化分级保洁质量标准、人机协同作业、极端天气作业、扬尘管控、垃圾密闭运输、设施管护、填埋场安全运维、渗滤液达标处置等关键措施，重难点分析到位，统筹调度科学，方案优于招标基础要求。</w:t>
            </w:r>
          </w:p>
        </w:tc>
      </w:tr>
      <w:tr w14:paraId="3500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0B3A73D7">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646" w:type="dxa"/>
            <w:tcBorders>
              <w:top w:val="single" w:color="auto" w:sz="4" w:space="0"/>
              <w:left w:val="single" w:color="auto" w:sz="4" w:space="0"/>
              <w:right w:val="single" w:color="auto" w:sz="4" w:space="0"/>
            </w:tcBorders>
            <w:noWrap/>
            <w:vAlign w:val="center"/>
          </w:tcPr>
          <w:p w14:paraId="2970AD21">
            <w:pPr>
              <w:adjustRightInd w:val="0"/>
              <w:spacing w:line="36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管理规章制度及培训计划方案</w:t>
            </w:r>
            <w:r>
              <w:rPr>
                <w:rFonts w:hint="eastAsia" w:ascii="宋体" w:hAnsi="宋体"/>
                <w:bCs/>
                <w:color w:val="auto"/>
                <w:szCs w:val="21"/>
                <w:highlight w:val="none"/>
              </w:rPr>
              <w:t>（满分</w:t>
            </w:r>
            <w:r>
              <w:rPr>
                <w:rFonts w:hint="eastAsia" w:ascii="宋体" w:hAnsi="宋体"/>
                <w:bCs/>
                <w:color w:val="auto"/>
                <w:szCs w:val="21"/>
                <w:highlight w:val="none"/>
                <w:lang w:val="en-US" w:eastAsia="zh-CN"/>
              </w:rPr>
              <w:t>15</w:t>
            </w:r>
            <w:r>
              <w:rPr>
                <w:rFonts w:hint="eastAsia" w:ascii="宋体" w:hAnsi="宋体"/>
                <w:bCs/>
                <w:color w:val="auto"/>
                <w:szCs w:val="21"/>
                <w:highlight w:val="none"/>
              </w:rPr>
              <w:t>分）</w:t>
            </w:r>
          </w:p>
        </w:tc>
        <w:tc>
          <w:tcPr>
            <w:tcW w:w="6673" w:type="dxa"/>
            <w:tcBorders>
              <w:top w:val="single" w:color="auto" w:sz="4" w:space="0"/>
              <w:left w:val="single" w:color="auto" w:sz="4" w:space="0"/>
              <w:right w:val="single" w:color="auto" w:sz="4" w:space="0"/>
            </w:tcBorders>
            <w:noWrap/>
            <w:vAlign w:val="center"/>
          </w:tcPr>
          <w:p w14:paraId="490A7810">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由评委根据投标人“管理规章制度及培训计划方案”的内容进行独立评审并打分。</w:t>
            </w:r>
          </w:p>
          <w:p w14:paraId="50F0C03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一档（6 分）无完整管理规章制度，无系统培训计划，岗位职责、设备管理、台账管理、人员管控、安全管理等关键制度缺失，无法保障项目日常管理运行。</w:t>
            </w:r>
          </w:p>
          <w:p w14:paraId="0929EC58">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二档（9 分）具备通用基础管理制度，岗位、考勤、车辆管理内容简单；未结合本项目人员定编、薪酬福利、工龄补贴、地磅校准、月度台账、场站专项管理要求；培训形式简单、无固定频次，管理体系不完善。</w:t>
            </w:r>
          </w:p>
          <w:p w14:paraId="73B48873">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三档（12 分）管理制度全面完善，涵盖人员管理、岗位职责、设备运维、物资管控、台账报送、消杀管理、考核奖惩、场站管理等；贴合项目用工、值守、资料上报要求；培训含岗前、岗位技能、安全操作常态化培训，管理规范可控。</w:t>
            </w:r>
          </w:p>
          <w:p w14:paraId="05948FE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四档（15 分）制度完全对接本项目考核罚则、履约管理、新旧承包过渡等全部条款，实行分岗位、分区域精细化管控；培训分层分类开展，增加环保法规、特种作业、季节性作业、应急实操、职业防护等专项培训，配套考核、台账、复盘机制，长效管理成熟稳定。</w:t>
            </w:r>
          </w:p>
        </w:tc>
      </w:tr>
      <w:tr w14:paraId="6D8E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6806E452">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1646" w:type="dxa"/>
            <w:tcBorders>
              <w:top w:val="single" w:color="auto" w:sz="4" w:space="0"/>
              <w:left w:val="single" w:color="auto" w:sz="4" w:space="0"/>
              <w:right w:val="single" w:color="auto" w:sz="4" w:space="0"/>
            </w:tcBorders>
            <w:noWrap/>
            <w:vAlign w:val="center"/>
          </w:tcPr>
          <w:p w14:paraId="06144968">
            <w:pPr>
              <w:widowControl/>
              <w:snapToGrid w:val="0"/>
              <w:spacing w:line="36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Times New Roman"/>
                <w:color w:val="auto"/>
                <w:kern w:val="0"/>
                <w:szCs w:val="21"/>
                <w:highlight w:val="none"/>
                <w:lang w:val="en-US" w:eastAsia="zh-CN"/>
              </w:rPr>
              <w:t>作业质量及安全保障措施方案</w:t>
            </w:r>
            <w:r>
              <w:rPr>
                <w:rFonts w:hint="eastAsia" w:ascii="宋体" w:hAnsi="宋体" w:cs="微软雅黑"/>
                <w:color w:val="auto"/>
                <w:szCs w:val="21"/>
                <w:highlight w:val="none"/>
              </w:rPr>
              <w:t>分（满分1</w:t>
            </w:r>
            <w:r>
              <w:rPr>
                <w:rFonts w:hint="eastAsia" w:ascii="宋体" w:hAnsi="宋体" w:cs="微软雅黑"/>
                <w:color w:val="auto"/>
                <w:szCs w:val="21"/>
                <w:highlight w:val="none"/>
                <w:lang w:val="en-US" w:eastAsia="zh-CN"/>
              </w:rPr>
              <w:t>5</w:t>
            </w:r>
            <w:r>
              <w:rPr>
                <w:rFonts w:hint="eastAsia" w:ascii="宋体" w:hAnsi="宋体" w:cs="微软雅黑"/>
                <w:color w:val="auto"/>
                <w:szCs w:val="21"/>
                <w:highlight w:val="none"/>
              </w:rPr>
              <w:t>分）</w:t>
            </w:r>
          </w:p>
        </w:tc>
        <w:tc>
          <w:tcPr>
            <w:tcW w:w="6673" w:type="dxa"/>
            <w:tcBorders>
              <w:top w:val="single" w:color="auto" w:sz="4" w:space="0"/>
              <w:left w:val="single" w:color="auto" w:sz="4" w:space="0"/>
              <w:right w:val="single" w:color="auto" w:sz="4" w:space="0"/>
            </w:tcBorders>
            <w:noWrap/>
            <w:vAlign w:val="center"/>
          </w:tcPr>
          <w:p w14:paraId="6DF23D1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由评委根据各投标人的“作业质量及安全保障措施方案”的内容进行独立评审并打分。</w:t>
            </w:r>
          </w:p>
          <w:p w14:paraId="6E8FECB7">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一档（6 分）无作业质量管控办法，安全生产、现场防护内容严重不足，未响应项目保洁标准、垃圾收运、设施管理等要求，无安全防护及风险防控措施，不满足基本履约底线。</w:t>
            </w:r>
          </w:p>
          <w:p w14:paraId="12701B51">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二档（9 分）简单列明常规质量与安全要求，质量巡查、问题整改机制缺失；安全仅落实基础劳保、交通通行要求，未针对机械化作业、场站运维、填埋场、渗滤液等高危环节制定专项措施，针对性不足。</w:t>
            </w:r>
          </w:p>
          <w:p w14:paraId="209A6711">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三档（12 分）严格对标招标文件作业质量标准，落实道路保洁、公厕管理、垃圾收运、容器保洁、场站消杀、四害防治等全项要求，建立巡查、整改、闭环管控机制；全覆盖人员防护、车辆安全、设备检修、消防用电、场站安全、全员保险等保障措施，风险防控到位。</w:t>
            </w:r>
          </w:p>
          <w:p w14:paraId="1A674E08">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Times New Roman"/>
                <w:color w:val="auto"/>
                <w:kern w:val="0"/>
                <w:szCs w:val="21"/>
                <w:highlight w:val="none"/>
                <w:lang w:val="en-US" w:eastAsia="zh-CN"/>
              </w:rPr>
              <w:t>四档（15 分）结合项目考核扣分标准，建立前置自查、多级督查、长效提质机制；针对极端天气、重大保障、环保管控制定专项质量方案；强化填埋场气体监测、有限空间作业、渗滤液运维、密闭运输、隐患排查、应急避险等专项安全措施，全方位筑牢质量及安全生产防线。</w:t>
            </w:r>
          </w:p>
        </w:tc>
      </w:tr>
      <w:tr w14:paraId="540A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41949725">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2.4</w:t>
            </w:r>
          </w:p>
        </w:tc>
        <w:tc>
          <w:tcPr>
            <w:tcW w:w="1646" w:type="dxa"/>
            <w:tcBorders>
              <w:top w:val="single" w:color="auto" w:sz="4" w:space="0"/>
              <w:left w:val="single" w:color="auto" w:sz="4" w:space="0"/>
              <w:right w:val="single" w:color="auto" w:sz="4" w:space="0"/>
            </w:tcBorders>
            <w:noWrap/>
            <w:vAlign w:val="center"/>
          </w:tcPr>
          <w:p w14:paraId="43770F68">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应急处理方案（满分15分）</w:t>
            </w:r>
          </w:p>
        </w:tc>
        <w:tc>
          <w:tcPr>
            <w:tcW w:w="6673" w:type="dxa"/>
            <w:tcBorders>
              <w:top w:val="single" w:color="auto" w:sz="4" w:space="0"/>
              <w:left w:val="single" w:color="auto" w:sz="4" w:space="0"/>
              <w:right w:val="single" w:color="auto" w:sz="4" w:space="0"/>
            </w:tcBorders>
            <w:noWrap/>
            <w:vAlign w:val="center"/>
          </w:tcPr>
          <w:p w14:paraId="1E93E427">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由评委根据各投标人的“应急处理方案”的内容进行独立评审并打分</w:t>
            </w:r>
          </w:p>
          <w:p w14:paraId="61D77748">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一档（6 分）未编制专项应急方案，无应急组织、人员物资、处置流程，无法应对极端天气、设备故障、垃圾积压、重大活动、突发环境问题等各类应急事项。</w:t>
            </w:r>
          </w:p>
          <w:p w14:paraId="63148784">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二档（9 分）仅有通用应急框架，内容简略；应急队伍、物资储备、设备调度、响应时限不明确，仅能应对简单日常保障，对自然灾害、设施故障、环保突发等场景处置不完善。</w:t>
            </w:r>
          </w:p>
          <w:p w14:paraId="34BE3B80">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三档（12 分）应急组织机构健全、分工明确，制定极端天气、重大节庆活动、设备故障、垃圾滞留、场站突发、环保督察、消杀防疫等专项预案；明确 24 小时值守、人员抽调、车辆调配、逐级上报、限时处置流程，贴合城乡全域作业实际。</w:t>
            </w:r>
          </w:p>
          <w:p w14:paraId="5E9CFA24">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四档（15 分）结合本地气候、城乡分散作业、填埋场及垃圾转运特色，完善跨区域联动调度；新增渗滤液异常、填埋场安全隐患、运输管控、舆情信访、突发污染等专项应急措施，配套应急演练、事后复盘、隐患整改机制，无条件服从主管部门统一调度。</w:t>
            </w:r>
          </w:p>
        </w:tc>
      </w:tr>
      <w:tr w14:paraId="5C9F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13A22983">
            <w:pPr>
              <w:widowControl/>
              <w:snapToGrid w:val="0"/>
              <w:spacing w:line="360" w:lineRule="exact"/>
              <w:jc w:val="center"/>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2.5</w:t>
            </w:r>
          </w:p>
        </w:tc>
        <w:tc>
          <w:tcPr>
            <w:tcW w:w="1646" w:type="dxa"/>
            <w:tcBorders>
              <w:top w:val="single" w:color="auto" w:sz="4" w:space="0"/>
              <w:left w:val="single" w:color="auto" w:sz="4" w:space="0"/>
              <w:right w:val="single" w:color="auto" w:sz="4" w:space="0"/>
            </w:tcBorders>
            <w:noWrap/>
            <w:vAlign w:val="center"/>
          </w:tcPr>
          <w:p w14:paraId="7F85D945">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服务承诺</w:t>
            </w:r>
          </w:p>
          <w:p w14:paraId="7ACC28CE">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（满分10分）</w:t>
            </w:r>
          </w:p>
        </w:tc>
        <w:tc>
          <w:tcPr>
            <w:tcW w:w="6673" w:type="dxa"/>
            <w:tcBorders>
              <w:top w:val="single" w:color="auto" w:sz="4" w:space="0"/>
              <w:left w:val="single" w:color="auto" w:sz="4" w:space="0"/>
              <w:right w:val="single" w:color="auto" w:sz="4" w:space="0"/>
            </w:tcBorders>
            <w:noWrap/>
            <w:vAlign w:val="center"/>
          </w:tcPr>
          <w:p w14:paraId="1A4F915B">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由评委根据各投标人的“服务承诺”的内容进行独立评审并打分。</w:t>
            </w:r>
          </w:p>
          <w:p w14:paraId="6883C35D">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一档（1 分）服务承诺内容简略、表述空泛，未响应项目人员、设备、作业质量、日常运维等核心要求，无有效履约约束。</w:t>
            </w:r>
          </w:p>
          <w:p w14:paraId="1C887F9E">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二档（4 分）仅提供通用基础服务承诺，未足额响应人员配置、车辆投入、作业时长、垃圾清运、公厕运营、台账报送、考核管理等关键条款，履约约束力弱。</w:t>
            </w:r>
          </w:p>
          <w:p w14:paraId="3B3FCE03">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三档（7 分）完全响应招标文件全部服务、用工、考核、运维管理条款，足额承诺人员设备投入、作业标准执行、垃圾日产日清、公厕规范开放、工资社保落实、台账按时报送、自觉接受督查考核，严格履行合同义务。</w:t>
            </w:r>
          </w:p>
          <w:p w14:paraId="0934B022">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四档（10 分）在全面履约基础上，主动作出增值服务承诺，强化精细化作业、限时整改、设施长效维护、无偿配合主管部门调度、稳定环卫队伍、平稳完成承包过渡、投诉快速处置、环保合规管控等举措，服务标准更高、履约保障更充分。</w:t>
            </w:r>
          </w:p>
        </w:tc>
      </w:tr>
      <w:tr w14:paraId="1CC0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236" w:type="dxa"/>
            <w:gridSpan w:val="3"/>
            <w:tcBorders>
              <w:top w:val="single" w:color="auto" w:sz="4" w:space="0"/>
              <w:left w:val="single" w:color="auto" w:sz="4" w:space="0"/>
              <w:right w:val="single" w:color="auto" w:sz="4" w:space="0"/>
            </w:tcBorders>
            <w:noWrap/>
            <w:vAlign w:val="center"/>
          </w:tcPr>
          <w:p w14:paraId="7F7E7D50">
            <w:pPr>
              <w:keepNext w:val="0"/>
              <w:keepLines w:val="0"/>
              <w:pageBreakBefore w:val="0"/>
              <w:kinsoku/>
              <w:wordWrap/>
              <w:overflowPunct/>
              <w:topLinePunct w:val="0"/>
              <w:autoSpaceDE/>
              <w:autoSpaceDN/>
              <w:bidi w:val="0"/>
              <w:snapToGrid/>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3.商务分（满分</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r>
      <w:tr w14:paraId="52C5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13298326">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646" w:type="dxa"/>
            <w:tcBorders>
              <w:top w:val="single" w:color="auto" w:sz="4" w:space="0"/>
              <w:left w:val="single" w:color="auto" w:sz="4" w:space="0"/>
              <w:right w:val="single" w:color="auto" w:sz="4" w:space="0"/>
            </w:tcBorders>
            <w:noWrap/>
            <w:vAlign w:val="center"/>
          </w:tcPr>
          <w:p w14:paraId="025BB094">
            <w:pPr>
              <w:widowControl/>
              <w:spacing w:line="360" w:lineRule="exact"/>
              <w:jc w:val="center"/>
              <w:rPr>
                <w:rFonts w:hint="eastAsia" w:ascii="宋体" w:hAnsi="宋体" w:eastAsia="宋体" w:cs="宋体"/>
                <w:color w:val="auto"/>
                <w:sz w:val="21"/>
                <w:szCs w:val="21"/>
                <w:highlight w:val="none"/>
              </w:rPr>
            </w:pPr>
            <w:r>
              <w:rPr>
                <w:rFonts w:hint="eastAsia" w:ascii="宋体" w:hAnsi="宋体" w:cs="Tahoma"/>
                <w:color w:val="auto"/>
                <w:kern w:val="0"/>
                <w:szCs w:val="21"/>
                <w:highlight w:val="none"/>
                <w:lang w:val="en-US" w:eastAsia="zh-CN"/>
              </w:rPr>
              <w:t>项目</w:t>
            </w:r>
            <w:r>
              <w:rPr>
                <w:rFonts w:hint="eastAsia" w:ascii="宋体" w:hAnsi="宋体" w:eastAsia="宋体" w:cs="Times New Roman"/>
                <w:color w:val="auto"/>
                <w:kern w:val="0"/>
                <w:szCs w:val="21"/>
                <w:highlight w:val="none"/>
                <w:lang w:val="en-US" w:eastAsia="zh-CN"/>
              </w:rPr>
              <w:t>负责人（满分2分）</w:t>
            </w:r>
          </w:p>
        </w:tc>
        <w:tc>
          <w:tcPr>
            <w:tcW w:w="6673" w:type="dxa"/>
            <w:tcBorders>
              <w:top w:val="single" w:color="auto" w:sz="4" w:space="0"/>
              <w:left w:val="single" w:color="auto" w:sz="4" w:space="0"/>
              <w:right w:val="single" w:color="auto" w:sz="4" w:space="0"/>
            </w:tcBorders>
            <w:noWrap/>
            <w:vAlign w:val="top"/>
          </w:tcPr>
          <w:p w14:paraId="7936BB3D">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评委根据投标文件拟投入的项目负责人情况，由评委进行评审并打分。</w:t>
            </w:r>
          </w:p>
          <w:p w14:paraId="1E9446B9">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（一）评分内容：1.项目负责人具有高级及以上职称的，得 2 分。</w:t>
            </w:r>
          </w:p>
          <w:p w14:paraId="733CCE31">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评分依据：1.提供项目负责人为投标人本单位人员的相关证明材料（开标截止时间前半年内任意一个月投标人为其缴纳的社保证明材料或劳动合同扫描件或其他有效证明材料）；若投标人成立不足三个月的，需提供成立情况说明函（格式自拟），无需提供相关人员社保，亦可得分；若为退休返聘人员，需提供说明函（格式自拟），无需提供相关人员社保，亦可得分。2.提供职称证的扫描件并加盖单位公章。</w:t>
            </w:r>
          </w:p>
        </w:tc>
      </w:tr>
      <w:tr w14:paraId="3A15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2DD2F0C9">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646" w:type="dxa"/>
            <w:tcBorders>
              <w:top w:val="single" w:color="auto" w:sz="4" w:space="0"/>
              <w:left w:val="single" w:color="auto" w:sz="4" w:space="0"/>
              <w:right w:val="single" w:color="auto" w:sz="4" w:space="0"/>
            </w:tcBorders>
            <w:noWrap/>
            <w:vAlign w:val="center"/>
          </w:tcPr>
          <w:p w14:paraId="7918A5E1">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 xml:space="preserve">管理团队 </w:t>
            </w:r>
          </w:p>
          <w:p w14:paraId="0E281D86">
            <w:pPr>
              <w:widowControl/>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人员（7 分）</w:t>
            </w:r>
          </w:p>
        </w:tc>
        <w:tc>
          <w:tcPr>
            <w:tcW w:w="6673" w:type="dxa"/>
            <w:tcBorders>
              <w:top w:val="single" w:color="auto" w:sz="4" w:space="0"/>
              <w:left w:val="single" w:color="auto" w:sz="4" w:space="0"/>
              <w:right w:val="single" w:color="auto" w:sz="4" w:space="0"/>
            </w:tcBorders>
            <w:noWrap/>
            <w:vAlign w:val="top"/>
          </w:tcPr>
          <w:p w14:paraId="5337D5EB">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评委根据投标文件拟投入的项目人员的情况，由评委进行评审并打分。</w:t>
            </w:r>
          </w:p>
          <w:p w14:paraId="49B7401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（一）评分内容：1.拟配备的管理团队成员(项目负责人除外)中具有高级职称的，每提供 1 人得 1.5 分;具有中级职称的，每提供 1 人得 1 分;本项满分 7 分。</w:t>
            </w:r>
          </w:p>
          <w:p w14:paraId="622D75C1">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评分依据：1.提供管理团队成员为投标人本单位人员的相关证明材料（开标截止时间前半年内任意一个月投标人为其缴纳的社保证明材料或劳动合同扫描件或单位出具的证明材料或其他有效证明材料）；若投标人成立不足三个月的，需提供成立情况说明函（格式自拟），无需提供相关人员社保，亦可得分；若为退休返聘人员，需提供说明函（格式自拟），无需提供相关人员社保，亦可得分。2.提供职称证书扫描件并加盖单位公章。</w:t>
            </w:r>
          </w:p>
        </w:tc>
      </w:tr>
      <w:tr w14:paraId="0266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4311C7EB">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1646" w:type="dxa"/>
            <w:tcBorders>
              <w:top w:val="single" w:color="auto" w:sz="4" w:space="0"/>
              <w:left w:val="single" w:color="auto" w:sz="4" w:space="0"/>
              <w:right w:val="single" w:color="auto" w:sz="4" w:space="0"/>
            </w:tcBorders>
            <w:noWrap/>
            <w:vAlign w:val="center"/>
          </w:tcPr>
          <w:p w14:paraId="32773474">
            <w:pPr>
              <w:widowControl/>
              <w:spacing w:line="360" w:lineRule="exact"/>
              <w:jc w:val="center"/>
              <w:rPr>
                <w:rFonts w:hint="eastAsia" w:ascii="宋体" w:hAnsi="宋体" w:eastAsia="宋体" w:cs="Tahoma"/>
                <w:color w:val="auto"/>
                <w:kern w:val="0"/>
                <w:szCs w:val="21"/>
                <w:highlight w:val="none"/>
                <w:lang w:val="en-US" w:eastAsia="zh-CN"/>
              </w:rPr>
            </w:pPr>
            <w:r>
              <w:rPr>
                <w:rFonts w:hint="eastAsia" w:ascii="宋体" w:hAnsi="宋体" w:eastAsia="宋体" w:cs="Tahoma"/>
                <w:color w:val="auto"/>
                <w:kern w:val="0"/>
                <w:szCs w:val="21"/>
                <w:highlight w:val="none"/>
                <w:lang w:val="en-US" w:eastAsia="zh-CN"/>
              </w:rPr>
              <w:t>业绩（8 分）</w:t>
            </w:r>
          </w:p>
        </w:tc>
        <w:tc>
          <w:tcPr>
            <w:tcW w:w="6673" w:type="dxa"/>
            <w:tcBorders>
              <w:top w:val="single" w:color="auto" w:sz="4" w:space="0"/>
              <w:left w:val="single" w:color="auto" w:sz="4" w:space="0"/>
              <w:right w:val="single" w:color="auto" w:sz="4" w:space="0"/>
            </w:tcBorders>
            <w:noWrap/>
            <w:vAlign w:val="top"/>
          </w:tcPr>
          <w:p w14:paraId="36F5FFAC">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投标人自 2023 年 1 月 1 日起承接过同类项目业绩，每项业绩 2分，以合同签订日期为准（合同内容含保洁或垃圾清运相关表述的环卫服务项目）满分 8 分。</w:t>
            </w:r>
          </w:p>
          <w:p w14:paraId="6F7CDBF5">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备注：1.投标人需提供合同关键页（应包含但不限于合同甲乙双方名称、服务项目名称、涉及业绩的服务内容、服务期限、签订合同时间、甲乙双方公章等关键信息），如合同乙方为联合体，还需提供联合体协议，协议中需体现相关服务内容。2.续签的合同不可累计得分，但同一合同的清扫、清运管理等只获得一次计分。</w:t>
            </w:r>
          </w:p>
        </w:tc>
      </w:tr>
      <w:tr w14:paraId="544B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67E39EE8">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c>
          <w:tcPr>
            <w:tcW w:w="1646" w:type="dxa"/>
            <w:tcBorders>
              <w:top w:val="single" w:color="auto" w:sz="4" w:space="0"/>
              <w:left w:val="single" w:color="auto" w:sz="4" w:space="0"/>
              <w:right w:val="single" w:color="auto" w:sz="4" w:space="0"/>
            </w:tcBorders>
            <w:noWrap/>
            <w:vAlign w:val="center"/>
          </w:tcPr>
          <w:p w14:paraId="512CF231">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 xml:space="preserve">认证情况 </w:t>
            </w:r>
          </w:p>
          <w:p w14:paraId="01B3382C">
            <w:pPr>
              <w:widowControl/>
              <w:snapToGrid w:val="0"/>
              <w:spacing w:line="360" w:lineRule="exact"/>
              <w:jc w:val="center"/>
              <w:rPr>
                <w:rFonts w:hint="eastAsia" w:ascii="宋体" w:hAnsi="宋体" w:eastAsia="宋体" w:cs="Tahoma"/>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（3 分）</w:t>
            </w:r>
          </w:p>
        </w:tc>
        <w:tc>
          <w:tcPr>
            <w:tcW w:w="6673" w:type="dxa"/>
            <w:tcBorders>
              <w:top w:val="single" w:color="auto" w:sz="4" w:space="0"/>
              <w:left w:val="single" w:color="auto" w:sz="4" w:space="0"/>
              <w:right w:val="single" w:color="auto" w:sz="4" w:space="0"/>
            </w:tcBorders>
            <w:noWrap/>
            <w:vAlign w:val="top"/>
          </w:tcPr>
          <w:p w14:paraId="362C13E8">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投标人具有在有效期内的 1、质量管理体系认证证书；2、环境管理体系认证证书；3、职业健康安全管理体系认证证书；每个证书计 1 分，最多计 3 分。注：投标人需提供有效期内的相关证书扫描件及中国国家认证认可监督管理委员会官网（http://www.cnca.gov.cn/）上查证到显示“有效”状态的网页截图。</w:t>
            </w:r>
          </w:p>
        </w:tc>
      </w:tr>
      <w:tr w14:paraId="5438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236" w:type="dxa"/>
            <w:gridSpan w:val="3"/>
            <w:tcBorders>
              <w:top w:val="single" w:color="auto" w:sz="4" w:space="0"/>
              <w:left w:val="single" w:color="auto" w:sz="4" w:space="0"/>
              <w:bottom w:val="single" w:color="auto" w:sz="4" w:space="0"/>
              <w:right w:val="single" w:color="auto" w:sz="4" w:space="0"/>
            </w:tcBorders>
            <w:noWrap/>
            <w:vAlign w:val="center"/>
          </w:tcPr>
          <w:p w14:paraId="3E4F7A4D">
            <w:pPr>
              <w:keepNext w:val="0"/>
              <w:keepLines w:val="0"/>
              <w:pageBreakBefore w:val="0"/>
              <w:tabs>
                <w:tab w:val="left" w:pos="8460"/>
              </w:tabs>
              <w:kinsoku/>
              <w:wordWrap/>
              <w:overflowPunct/>
              <w:topLinePunct w:val="0"/>
              <w:autoSpaceDE/>
              <w:autoSpaceDN/>
              <w:bidi w:val="0"/>
              <w:snapToGrid/>
              <w:spacing w:line="440" w:lineRule="exact"/>
              <w:ind w:right="24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总得分=1+2+3。</w:t>
            </w:r>
          </w:p>
          <w:p w14:paraId="3EA196D6">
            <w:pPr>
              <w:keepNext w:val="0"/>
              <w:keepLines w:val="0"/>
              <w:pageBreakBefore w:val="0"/>
              <w:tabs>
                <w:tab w:val="left" w:pos="8460"/>
              </w:tabs>
              <w:kinsoku/>
              <w:wordWrap/>
              <w:overflowPunct/>
              <w:topLinePunct w:val="0"/>
              <w:autoSpaceDE/>
              <w:autoSpaceDN/>
              <w:bidi w:val="0"/>
              <w:snapToGrid/>
              <w:spacing w:line="440" w:lineRule="exact"/>
              <w:ind w:right="24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备注：</w:t>
            </w:r>
            <w:r>
              <w:rPr>
                <w:rFonts w:hint="eastAsia" w:hAnsi="宋体"/>
                <w:b/>
                <w:bCs/>
                <w:color w:val="auto"/>
                <w:sz w:val="21"/>
                <w:highlight w:val="none"/>
              </w:rPr>
              <w:t>本项目为服务类项目，不涉及节能环保政策考核。</w:t>
            </w:r>
          </w:p>
        </w:tc>
      </w:tr>
    </w:tbl>
    <w:p w14:paraId="15D5FC45">
      <w:pPr>
        <w:pStyle w:val="24"/>
        <w:spacing w:line="360" w:lineRule="auto"/>
        <w:ind w:firstLine="0" w:firstLineChars="0"/>
        <w:rPr>
          <w:rFonts w:hint="eastAsia" w:hAnsi="宋体" w:cs="宋体"/>
          <w:color w:val="auto"/>
          <w:sz w:val="21"/>
          <w:highlight w:val="none"/>
        </w:rPr>
      </w:pPr>
      <w:r>
        <w:rPr>
          <w:rFonts w:hint="eastAsia" w:hAnsi="宋体" w:cs="宋体"/>
          <w:bCs/>
          <w:color w:val="auto"/>
          <w:highlight w:val="none"/>
        </w:rPr>
        <w:br w:type="page"/>
      </w:r>
      <w:r>
        <w:rPr>
          <w:rFonts w:hint="eastAsia" w:hAnsi="宋体" w:cs="宋体"/>
          <w:b/>
          <w:bCs/>
          <w:color w:val="auto"/>
          <w:sz w:val="32"/>
          <w:szCs w:val="32"/>
          <w:highlight w:val="none"/>
        </w:rPr>
        <w:t>四、</w:t>
      </w:r>
      <w:bookmarkStart w:id="179" w:name="中标候选人推荐原则"/>
      <w:r>
        <w:rPr>
          <w:rFonts w:hint="eastAsia" w:hAnsi="宋体" w:cs="宋体"/>
          <w:b/>
          <w:bCs/>
          <w:color w:val="auto"/>
          <w:sz w:val="32"/>
          <w:szCs w:val="32"/>
          <w:highlight w:val="none"/>
        </w:rPr>
        <w:t>中标候选人推荐原则</w:t>
      </w:r>
    </w:p>
    <w:bookmarkEnd w:id="179"/>
    <w:p w14:paraId="0E1954D1">
      <w:pPr>
        <w:adjustRightInd w:val="0"/>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（1）评标委员会将根据得分由高到低排列次序【</w:t>
      </w:r>
      <w:r>
        <w:rPr>
          <w:rFonts w:hint="eastAsia" w:ascii="宋体" w:hAnsi="宋体" w:cs="宋体"/>
          <w:b/>
          <w:color w:val="auto"/>
          <w:szCs w:val="21"/>
          <w:highlight w:val="none"/>
        </w:rPr>
        <w:t>得分相同时，以投标报价由低到高顺序排列。得分且投标报价相同的并列。投标文件满足招标文件全部实质性要求，且按照评审因素的量化指标评审（评审因素的量化指标：技术分得分高的顺序）得分最高的投标人为排名第一的中标候选人</w:t>
      </w:r>
      <w:r>
        <w:rPr>
          <w:rFonts w:hint="eastAsia" w:ascii="宋体" w:hAnsi="宋体" w:cs="宋体"/>
          <w:color w:val="auto"/>
          <w:szCs w:val="21"/>
          <w:highlight w:val="none"/>
        </w:rPr>
        <w:t>】并推荐中标候选人3名，得分最高的中标候选人为中标人。采购人应当确定评审委员会推荐排名第一的中标候选人为中标人。</w:t>
      </w:r>
    </w:p>
    <w:p w14:paraId="270BD0CE">
      <w:pPr>
        <w:adjustRightInd w:val="0"/>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排名第一的中标候选人放弃中标、因不可抗力提出不能履行合同，或者招标文件规定应当提交履约保证金而在规定的期限内未能提交的，采购人可以确定排名第二的中标候选人为供应商。排名第二的中标候选人因前款规定的同样原因不能签订合同的，采购人可以确定排名第三的中标候选人为供应商，其余以此类推。</w:t>
      </w:r>
    </w:p>
    <w:p w14:paraId="6F9275D1">
      <w:pPr>
        <w:autoSpaceDE w:val="0"/>
        <w:autoSpaceDN w:val="0"/>
        <w:adjustRightInd w:val="0"/>
        <w:snapToGrid w:val="0"/>
        <w:spacing w:line="500" w:lineRule="exact"/>
        <w:ind w:firstLine="315" w:firstLineChars="150"/>
        <w:jc w:val="left"/>
        <w:rPr>
          <w:rFonts w:hint="eastAsia" w:ascii="宋体" w:hAnsi="宋体" w:cs="宋体"/>
          <w:bCs/>
          <w:color w:val="auto"/>
          <w:szCs w:val="21"/>
          <w:highlight w:val="none"/>
        </w:rPr>
      </w:pPr>
      <w:r>
        <w:rPr>
          <w:rFonts w:hint="eastAsia" w:ascii="宋体" w:hAnsi="宋体" w:cs="宋体"/>
          <w:bCs/>
          <w:color w:val="auto"/>
          <w:szCs w:val="21"/>
          <w:highlight w:val="none"/>
        </w:rPr>
        <w:t>（2）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w:t>
      </w:r>
      <w:r>
        <w:rPr>
          <w:rFonts w:hint="eastAsia" w:ascii="宋体" w:hAnsi="宋体" w:cs="宋体"/>
          <w:bCs/>
          <w:color w:val="auto"/>
          <w:szCs w:val="21"/>
          <w:highlight w:val="none"/>
          <w:lang w:eastAsia="zh-CN"/>
        </w:rPr>
        <w:t>做为</w:t>
      </w:r>
      <w:r>
        <w:rPr>
          <w:rFonts w:hint="eastAsia" w:ascii="宋体" w:hAnsi="宋体" w:cs="宋体"/>
          <w:bCs/>
          <w:color w:val="auto"/>
          <w:szCs w:val="21"/>
          <w:highlight w:val="none"/>
        </w:rPr>
        <w:t>无效投标处理。</w:t>
      </w:r>
    </w:p>
    <w:p w14:paraId="6C1E9E93">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r>
        <w:rPr>
          <w:rFonts w:hint="eastAsia" w:ascii="宋体" w:hAnsi="宋体" w:cs="宋体"/>
          <w:color w:val="auto"/>
          <w:highlight w:val="none"/>
        </w:rPr>
        <w:br w:type="page"/>
      </w:r>
      <w:bookmarkStart w:id="180" w:name="_Toc26388"/>
      <w:bookmarkStart w:id="181" w:name="_Toc30923"/>
      <w:bookmarkStart w:id="182" w:name="_Toc12283"/>
      <w:bookmarkStart w:id="183" w:name="_Toc10044"/>
      <w:bookmarkStart w:id="184" w:name="_Toc24368"/>
      <w:bookmarkStart w:id="185" w:name="_Toc15247"/>
      <w:bookmarkStart w:id="186" w:name="_Toc13051"/>
      <w:bookmarkStart w:id="187" w:name="_Toc22771"/>
      <w:r>
        <w:rPr>
          <w:rFonts w:hint="eastAsia" w:ascii="宋体" w:hAnsi="宋体" w:cs="宋体"/>
          <w:color w:val="auto"/>
          <w:highlight w:val="none"/>
        </w:rPr>
        <w:t>第五章  拟签订的合同文本</w:t>
      </w:r>
      <w:bookmarkEnd w:id="180"/>
    </w:p>
    <w:p w14:paraId="4B4C8608">
      <w:pPr>
        <w:spacing w:line="360" w:lineRule="auto"/>
        <w:jc w:val="center"/>
        <w:rPr>
          <w:rFonts w:hint="eastAsia" w:ascii="宋体" w:hAnsi="宋体" w:cs="宋体"/>
          <w:color w:val="auto"/>
          <w:highlight w:val="none"/>
        </w:rPr>
      </w:pPr>
    </w:p>
    <w:p w14:paraId="55D8FB9B">
      <w:pPr>
        <w:tabs>
          <w:tab w:val="left" w:pos="425"/>
        </w:tabs>
        <w:ind w:firstLine="0" w:firstLineChars="0"/>
        <w:jc w:val="center"/>
        <w:outlineLvl w:val="9"/>
        <w:rPr>
          <w:rFonts w:ascii="宋体" w:hAnsi="宋体" w:cs="宋体"/>
          <w:color w:val="auto"/>
          <w:sz w:val="84"/>
          <w:szCs w:val="84"/>
          <w:highlight w:val="none"/>
        </w:rPr>
      </w:pPr>
      <w:r>
        <w:rPr>
          <w:rFonts w:hint="eastAsia" w:ascii="宋体" w:hAnsi="宋体" w:cs="宋体"/>
          <w:color w:val="auto"/>
          <w:sz w:val="84"/>
          <w:szCs w:val="84"/>
          <w:highlight w:val="none"/>
        </w:rPr>
        <w:t>政 府 采 购 合 同</w:t>
      </w:r>
    </w:p>
    <w:p w14:paraId="3079BFF8">
      <w:pPr>
        <w:spacing w:line="400" w:lineRule="exact"/>
        <w:jc w:val="center"/>
        <w:outlineLvl w:val="9"/>
        <w:rPr>
          <w:rFonts w:ascii="宋体" w:hAnsi="宋体" w:cs="宋体"/>
          <w:color w:val="auto"/>
          <w:highlight w:val="none"/>
        </w:rPr>
      </w:pPr>
    </w:p>
    <w:p w14:paraId="071D7C1D">
      <w:pPr>
        <w:spacing w:line="400" w:lineRule="exact"/>
        <w:jc w:val="center"/>
        <w:outlineLvl w:val="9"/>
        <w:rPr>
          <w:rFonts w:ascii="宋体" w:hAnsi="宋体" w:cs="宋体"/>
          <w:color w:val="auto"/>
          <w:highlight w:val="none"/>
        </w:rPr>
      </w:pPr>
    </w:p>
    <w:p w14:paraId="21BD4D71">
      <w:pPr>
        <w:pStyle w:val="170"/>
        <w:outlineLvl w:val="9"/>
        <w:rPr>
          <w:rFonts w:cs="宋体"/>
          <w:color w:val="auto"/>
          <w:highlight w:val="none"/>
        </w:rPr>
      </w:pPr>
    </w:p>
    <w:p w14:paraId="51D1B9D0">
      <w:pPr>
        <w:outlineLvl w:val="9"/>
        <w:rPr>
          <w:rFonts w:ascii="宋体" w:hAnsi="宋体" w:cs="宋体"/>
          <w:color w:val="auto"/>
          <w:highlight w:val="none"/>
        </w:rPr>
      </w:pPr>
    </w:p>
    <w:p w14:paraId="35AA1884">
      <w:pPr>
        <w:spacing w:line="400" w:lineRule="exact"/>
        <w:jc w:val="center"/>
        <w:outlineLvl w:val="9"/>
        <w:rPr>
          <w:rFonts w:ascii="宋体" w:hAnsi="宋体" w:cs="宋体"/>
          <w:color w:val="auto"/>
          <w:sz w:val="72"/>
          <w:szCs w:val="72"/>
          <w:highlight w:val="none"/>
        </w:rPr>
      </w:pPr>
    </w:p>
    <w:p w14:paraId="49F96292">
      <w:pPr>
        <w:pStyle w:val="170"/>
        <w:outlineLvl w:val="9"/>
        <w:rPr>
          <w:color w:val="auto"/>
          <w:highlight w:val="none"/>
        </w:rPr>
      </w:pPr>
    </w:p>
    <w:p w14:paraId="77EEC96C">
      <w:pPr>
        <w:spacing w:line="500" w:lineRule="exact"/>
        <w:outlineLvl w:val="9"/>
        <w:rPr>
          <w:rFonts w:ascii="宋体" w:hAnsi="宋体" w:cs="宋体"/>
          <w:b/>
          <w:bCs/>
          <w:color w:val="auto"/>
          <w:sz w:val="40"/>
          <w:szCs w:val="40"/>
          <w:highlight w:val="none"/>
        </w:rPr>
      </w:pPr>
    </w:p>
    <w:p w14:paraId="5AC8553F">
      <w:pPr>
        <w:spacing w:line="500" w:lineRule="exact"/>
        <w:outlineLvl w:val="9"/>
        <w:rPr>
          <w:rFonts w:ascii="宋体" w:hAnsi="宋体" w:cs="宋体"/>
          <w:b/>
          <w:bCs/>
          <w:color w:val="auto"/>
          <w:sz w:val="36"/>
          <w:szCs w:val="36"/>
          <w:highlight w:val="none"/>
        </w:rPr>
      </w:pPr>
    </w:p>
    <w:p w14:paraId="0596A356">
      <w:pPr>
        <w:spacing w:line="500" w:lineRule="exact"/>
        <w:ind w:left="1807" w:hanging="1807" w:hangingChars="500"/>
        <w:outlineLvl w:val="9"/>
        <w:rPr>
          <w:rFonts w:hint="eastAsia" w:ascii="宋体" w:hAnsi="宋体" w:eastAsia="宋体" w:cs="宋体"/>
          <w:b/>
          <w:bCs/>
          <w:color w:val="auto"/>
          <w:sz w:val="36"/>
          <w:szCs w:val="36"/>
          <w:highlight w:val="none"/>
          <w:lang w:eastAsia="zh-CN"/>
        </w:rPr>
      </w:pPr>
      <w:r>
        <w:rPr>
          <w:rFonts w:hint="eastAsia" w:ascii="宋体" w:hAnsi="宋体" w:cs="宋体"/>
          <w:b/>
          <w:bCs/>
          <w:color w:val="auto"/>
          <w:sz w:val="36"/>
          <w:szCs w:val="36"/>
          <w:highlight w:val="none"/>
        </w:rPr>
        <w:t>项目名称：</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蒙山县环卫服务一体化管理项目</w:t>
      </w:r>
    </w:p>
    <w:p w14:paraId="687BE658">
      <w:pPr>
        <w:spacing w:line="500" w:lineRule="exact"/>
        <w:outlineLvl w:val="9"/>
        <w:rPr>
          <w:rFonts w:ascii="宋体" w:hAnsi="宋体" w:cs="宋体"/>
          <w:b/>
          <w:bCs/>
          <w:color w:val="auto"/>
          <w:sz w:val="36"/>
          <w:szCs w:val="36"/>
          <w:highlight w:val="none"/>
        </w:rPr>
      </w:pPr>
    </w:p>
    <w:p w14:paraId="65599161">
      <w:pPr>
        <w:spacing w:line="500" w:lineRule="exact"/>
        <w:jc w:val="left"/>
        <w:outlineLvl w:val="9"/>
        <w:rPr>
          <w:rFonts w:hint="eastAsia" w:ascii="宋体" w:hAnsi="宋体" w:eastAsia="宋体" w:cs="宋体"/>
          <w:b/>
          <w:bCs/>
          <w:color w:val="auto"/>
          <w:kern w:val="44"/>
          <w:sz w:val="32"/>
          <w:szCs w:val="32"/>
          <w:highlight w:val="none"/>
          <w:lang w:eastAsia="zh-CN"/>
        </w:rPr>
      </w:pPr>
      <w:r>
        <w:rPr>
          <w:rFonts w:hint="eastAsia" w:ascii="宋体" w:hAnsi="宋体" w:cs="宋体"/>
          <w:b/>
          <w:bCs/>
          <w:color w:val="auto"/>
          <w:sz w:val="36"/>
          <w:szCs w:val="36"/>
          <w:highlight w:val="none"/>
        </w:rPr>
        <w:t>项目编号：</w:t>
      </w:r>
      <w:r>
        <w:rPr>
          <w:rFonts w:hint="eastAsia" w:ascii="宋体" w:hAnsi="宋体" w:cs="宋体"/>
          <w:b/>
          <w:bCs/>
          <w:color w:val="auto"/>
          <w:sz w:val="36"/>
          <w:szCs w:val="36"/>
          <w:highlight w:val="none"/>
          <w:lang w:val="en-US" w:eastAsia="zh-CN"/>
        </w:rPr>
        <w:t xml:space="preserve"> </w:t>
      </w:r>
    </w:p>
    <w:p w14:paraId="61088F85">
      <w:pPr>
        <w:pStyle w:val="170"/>
        <w:jc w:val="left"/>
        <w:outlineLvl w:val="9"/>
        <w:rPr>
          <w:rFonts w:cs="宋体"/>
          <w:b/>
          <w:bCs/>
          <w:color w:val="auto"/>
          <w:kern w:val="44"/>
          <w:sz w:val="32"/>
          <w:szCs w:val="32"/>
          <w:highlight w:val="none"/>
        </w:rPr>
      </w:pPr>
    </w:p>
    <w:p w14:paraId="3190F7B3">
      <w:pPr>
        <w:jc w:val="left"/>
        <w:outlineLvl w:val="9"/>
        <w:rPr>
          <w:rFonts w:ascii="宋体" w:hAnsi="宋体" w:cs="宋体"/>
          <w:b/>
          <w:bCs/>
          <w:color w:val="auto"/>
          <w:kern w:val="44"/>
          <w:sz w:val="32"/>
          <w:szCs w:val="32"/>
          <w:highlight w:val="none"/>
        </w:rPr>
      </w:pPr>
    </w:p>
    <w:p w14:paraId="29E94DA8">
      <w:pPr>
        <w:pStyle w:val="170"/>
        <w:outlineLvl w:val="9"/>
        <w:rPr>
          <w:rFonts w:cs="宋体"/>
          <w:b/>
          <w:bCs/>
          <w:color w:val="auto"/>
          <w:kern w:val="44"/>
          <w:sz w:val="32"/>
          <w:szCs w:val="32"/>
          <w:highlight w:val="none"/>
        </w:rPr>
      </w:pPr>
    </w:p>
    <w:p w14:paraId="1DD7D437">
      <w:pPr>
        <w:pStyle w:val="170"/>
        <w:ind w:firstLine="0"/>
        <w:outlineLvl w:val="9"/>
        <w:rPr>
          <w:color w:val="auto"/>
          <w:highlight w:val="none"/>
        </w:rPr>
      </w:pPr>
    </w:p>
    <w:p w14:paraId="4CDA13E1">
      <w:pPr>
        <w:jc w:val="left"/>
        <w:outlineLvl w:val="9"/>
        <w:rPr>
          <w:rFonts w:ascii="宋体" w:hAnsi="宋体" w:cs="宋体"/>
          <w:b/>
          <w:bCs/>
          <w:color w:val="auto"/>
          <w:kern w:val="44"/>
          <w:sz w:val="32"/>
          <w:szCs w:val="32"/>
          <w:highlight w:val="none"/>
        </w:rPr>
      </w:pPr>
    </w:p>
    <w:p w14:paraId="32C11EF0">
      <w:pPr>
        <w:pStyle w:val="170"/>
        <w:ind w:firstLine="0"/>
        <w:jc w:val="left"/>
        <w:outlineLvl w:val="9"/>
        <w:rPr>
          <w:rFonts w:cs="宋体"/>
          <w:b/>
          <w:bCs/>
          <w:color w:val="auto"/>
          <w:kern w:val="2"/>
          <w:sz w:val="32"/>
          <w:szCs w:val="32"/>
          <w:highlight w:val="none"/>
        </w:rPr>
      </w:pPr>
    </w:p>
    <w:p w14:paraId="0B9763E3">
      <w:pPr>
        <w:pStyle w:val="169"/>
        <w:outlineLvl w:val="9"/>
        <w:rPr>
          <w:color w:val="auto"/>
          <w:highlight w:val="none"/>
        </w:rPr>
      </w:pPr>
    </w:p>
    <w:p w14:paraId="0CAA4521">
      <w:pPr>
        <w:pStyle w:val="170"/>
        <w:ind w:firstLine="0"/>
        <w:outlineLvl w:val="9"/>
        <w:rPr>
          <w:rFonts w:hint="eastAsia" w:eastAsia="宋体" w:cs="宋体"/>
          <w:b/>
          <w:bCs/>
          <w:color w:val="auto"/>
          <w:kern w:val="2"/>
          <w:sz w:val="36"/>
          <w:szCs w:val="36"/>
          <w:highlight w:val="none"/>
          <w:lang w:eastAsia="zh-CN"/>
        </w:rPr>
      </w:pPr>
      <w:r>
        <w:rPr>
          <w:rFonts w:hint="eastAsia" w:cs="宋体"/>
          <w:b/>
          <w:bCs/>
          <w:color w:val="auto"/>
          <w:kern w:val="2"/>
          <w:sz w:val="36"/>
          <w:szCs w:val="36"/>
          <w:highlight w:val="none"/>
        </w:rPr>
        <w:t>采购单位：</w:t>
      </w:r>
      <w:r>
        <w:rPr>
          <w:rFonts w:hint="eastAsia" w:cs="宋体"/>
          <w:b/>
          <w:bCs/>
          <w:color w:val="auto"/>
          <w:kern w:val="2"/>
          <w:sz w:val="36"/>
          <w:szCs w:val="36"/>
          <w:highlight w:val="none"/>
          <w:lang w:val="en-US" w:eastAsia="zh-CN"/>
        </w:rPr>
        <w:t xml:space="preserve"> </w:t>
      </w:r>
    </w:p>
    <w:p w14:paraId="5C9E68D9">
      <w:pPr>
        <w:pStyle w:val="170"/>
        <w:ind w:left="2168" w:hanging="2168" w:hangingChars="600"/>
        <w:outlineLvl w:val="9"/>
        <w:rPr>
          <w:rFonts w:cs="宋体"/>
          <w:b/>
          <w:bCs/>
          <w:color w:val="auto"/>
          <w:kern w:val="2"/>
          <w:sz w:val="40"/>
          <w:szCs w:val="40"/>
          <w:highlight w:val="none"/>
        </w:rPr>
        <w:sectPr>
          <w:pgSz w:w="11906" w:h="16838"/>
          <w:pgMar w:top="1440" w:right="1066" w:bottom="1440" w:left="1800" w:header="851" w:footer="992" w:gutter="0"/>
          <w:pgNumType w:fmt="decimal"/>
          <w:cols w:space="720" w:num="1"/>
          <w:docGrid w:type="lines" w:linePitch="312" w:charSpace="0"/>
        </w:sectPr>
      </w:pPr>
      <w:r>
        <w:rPr>
          <w:rFonts w:hint="eastAsia" w:cs="宋体"/>
          <w:b/>
          <w:bCs/>
          <w:color w:val="auto"/>
          <w:kern w:val="2"/>
          <w:sz w:val="36"/>
          <w:szCs w:val="36"/>
          <w:highlight w:val="none"/>
        </w:rPr>
        <w:t>成交供应商：</w:t>
      </w:r>
    </w:p>
    <w:p w14:paraId="7BAA55B1">
      <w:pPr>
        <w:pStyle w:val="18"/>
        <w:numPr>
          <w:ilvl w:val="0"/>
          <w:numId w:val="0"/>
        </w:numPr>
        <w:spacing w:before="63" w:line="224" w:lineRule="auto"/>
        <w:jc w:val="center"/>
        <w:outlineLvl w:val="9"/>
        <w:rPr>
          <w:rFonts w:hint="eastAsia" w:ascii="宋体" w:hAnsi="宋体" w:eastAsia="宋体" w:cs="宋体"/>
          <w:b/>
          <w:bCs/>
          <w:color w:val="auto"/>
          <w:spacing w:val="6"/>
          <w:sz w:val="32"/>
          <w:szCs w:val="32"/>
          <w:highlight w:val="none"/>
        </w:rPr>
      </w:pPr>
      <w:r>
        <w:rPr>
          <w:rFonts w:hint="eastAsia" w:ascii="宋体" w:hAnsi="宋体" w:eastAsia="宋体" w:cs="宋体"/>
          <w:b/>
          <w:bCs/>
          <w:color w:val="auto"/>
          <w:spacing w:val="6"/>
          <w:sz w:val="32"/>
          <w:szCs w:val="32"/>
          <w:highlight w:val="none"/>
        </w:rPr>
        <w:t>政府采购合同</w:t>
      </w:r>
    </w:p>
    <w:p w14:paraId="10FC1A68">
      <w:pPr>
        <w:spacing w:line="447" w:lineRule="auto"/>
        <w:outlineLvl w:val="9"/>
        <w:rPr>
          <w:rFonts w:hint="eastAsia" w:ascii="宋体" w:hAnsi="宋体" w:eastAsia="宋体" w:cs="宋体"/>
          <w:color w:val="auto"/>
          <w:sz w:val="21"/>
          <w:highlight w:val="none"/>
        </w:rPr>
      </w:pPr>
    </w:p>
    <w:p w14:paraId="4766BB10">
      <w:pPr>
        <w:pStyle w:val="18"/>
        <w:keepNext w:val="0"/>
        <w:keepLines w:val="0"/>
        <w:pageBreakBefore w:val="0"/>
        <w:widowControl/>
        <w:kinsoku w:val="0"/>
        <w:wordWrap/>
        <w:overflowPunct/>
        <w:topLinePunct w:val="0"/>
        <w:autoSpaceDE w:val="0"/>
        <w:autoSpaceDN w:val="0"/>
        <w:bidi w:val="0"/>
        <w:adjustRightInd w:val="0"/>
        <w:snapToGrid w:val="0"/>
        <w:spacing w:before="34" w:line="300" w:lineRule="auto"/>
        <w:ind w:left="28"/>
        <w:textAlignment w:val="baseline"/>
        <w:outlineLvl w:val="9"/>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rPr>
        <w:t>项目名称：</w:t>
      </w:r>
      <w:r>
        <w:rPr>
          <w:rFonts w:hint="eastAsia" w:ascii="宋体" w:hAnsi="宋体" w:eastAsia="宋体" w:cs="宋体"/>
          <w:color w:val="auto"/>
          <w:spacing w:val="6"/>
          <w:sz w:val="21"/>
          <w:szCs w:val="21"/>
          <w:highlight w:val="none"/>
          <w:lang w:val="en-US" w:eastAsia="zh-CN"/>
        </w:rPr>
        <w:t xml:space="preserve"> </w:t>
      </w:r>
      <w:r>
        <w:rPr>
          <w:rFonts w:hint="eastAsia" w:ascii="宋体" w:hAnsi="宋体" w:eastAsia="宋体" w:cs="宋体"/>
          <w:color w:val="auto"/>
          <w:spacing w:val="6"/>
          <w:sz w:val="21"/>
          <w:szCs w:val="21"/>
          <w:highlight w:val="none"/>
          <w:lang w:eastAsia="zh-CN"/>
        </w:rPr>
        <w:t>蒙山县环卫服务一体化管理项目</w:t>
      </w:r>
    </w:p>
    <w:p w14:paraId="0D81A50F">
      <w:pPr>
        <w:pStyle w:val="18"/>
        <w:keepNext w:val="0"/>
        <w:keepLines w:val="0"/>
        <w:pageBreakBefore w:val="0"/>
        <w:widowControl/>
        <w:kinsoku w:val="0"/>
        <w:wordWrap/>
        <w:overflowPunct/>
        <w:topLinePunct w:val="0"/>
        <w:autoSpaceDE w:val="0"/>
        <w:autoSpaceDN w:val="0"/>
        <w:bidi w:val="0"/>
        <w:adjustRightInd w:val="0"/>
        <w:snapToGrid w:val="0"/>
        <w:spacing w:before="34" w:line="300" w:lineRule="auto"/>
        <w:ind w:left="28"/>
        <w:textAlignment w:val="baseline"/>
        <w:outlineLvl w:val="9"/>
        <w:rPr>
          <w:rFonts w:hint="eastAsia" w:ascii="宋体" w:hAnsi="宋体" w:eastAsia="宋体" w:cs="宋体"/>
          <w:color w:val="auto"/>
          <w:spacing w:val="6"/>
          <w:sz w:val="21"/>
          <w:szCs w:val="21"/>
          <w:highlight w:val="none"/>
          <w:lang w:eastAsia="zh-CN"/>
        </w:rPr>
      </w:pPr>
      <w:r>
        <w:rPr>
          <w:rFonts w:hint="eastAsia" w:ascii="宋体" w:hAnsi="宋体" w:eastAsia="宋体" w:cs="宋体"/>
          <w:color w:val="auto"/>
          <w:spacing w:val="6"/>
          <w:sz w:val="21"/>
          <w:szCs w:val="21"/>
          <w:highlight w:val="none"/>
        </w:rPr>
        <w:t>项目编号：</w:t>
      </w:r>
      <w:r>
        <w:rPr>
          <w:rFonts w:hint="eastAsia" w:ascii="宋体" w:hAnsi="宋体" w:eastAsia="宋体" w:cs="宋体"/>
          <w:color w:val="auto"/>
          <w:spacing w:val="6"/>
          <w:sz w:val="21"/>
          <w:szCs w:val="21"/>
          <w:highlight w:val="none"/>
          <w:lang w:val="en-US" w:eastAsia="zh-CN"/>
        </w:rPr>
        <w:t xml:space="preserve"> </w:t>
      </w:r>
    </w:p>
    <w:p w14:paraId="7638E5BC">
      <w:pPr>
        <w:pStyle w:val="18"/>
        <w:spacing w:before="65" w:line="353" w:lineRule="auto"/>
        <w:ind w:left="3" w:right="4683"/>
        <w:outlineLvl w:val="9"/>
        <w:rPr>
          <w:rFonts w:hint="eastAsia" w:ascii="宋体" w:hAnsi="宋体" w:eastAsia="宋体" w:cs="宋体"/>
          <w:color w:val="auto"/>
          <w:sz w:val="21"/>
          <w:szCs w:val="21"/>
          <w:highlight w:val="none"/>
        </w:rPr>
      </w:pPr>
    </w:p>
    <w:p w14:paraId="73C67DFE">
      <w:pPr>
        <w:pStyle w:val="18"/>
        <w:spacing w:before="34" w:line="227" w:lineRule="auto"/>
        <w:ind w:left="26"/>
        <w:outlineLvl w:val="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甲方</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34"/>
          <w:sz w:val="22"/>
          <w:szCs w:val="22"/>
          <w:highlight w:val="none"/>
          <w:u w:val="single" w:color="auto"/>
        </w:rPr>
        <w:t>蒙山县城镇环境卫生管理站</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6"/>
          <w:sz w:val="21"/>
          <w:szCs w:val="21"/>
          <w:highlight w:val="none"/>
        </w:rPr>
        <w:t>采购人）</w:t>
      </w:r>
    </w:p>
    <w:p w14:paraId="241C887C">
      <w:pPr>
        <w:pStyle w:val="18"/>
        <w:spacing w:before="154" w:line="227" w:lineRule="auto"/>
        <w:ind w:left="20"/>
        <w:outlineLvl w:val="9"/>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乙方</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3"/>
          <w:sz w:val="21"/>
          <w:szCs w:val="21"/>
          <w:highlight w:val="none"/>
          <w:u w:val="single"/>
          <w:lang w:val="en-US" w:eastAsia="zh-CN"/>
        </w:rPr>
        <w:t xml:space="preserve">                       </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8"/>
          <w:sz w:val="21"/>
          <w:szCs w:val="21"/>
          <w:highlight w:val="none"/>
        </w:rPr>
        <w:t>中标供应商）</w:t>
      </w:r>
    </w:p>
    <w:p w14:paraId="763742F4">
      <w:pPr>
        <w:pStyle w:val="18"/>
        <w:spacing w:before="138" w:line="335" w:lineRule="auto"/>
        <w:ind w:left="20" w:right="84" w:firstLine="399"/>
        <w:outlineLvl w:val="9"/>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根据《中华人民共和国政府采购法》、《中华人民共和国政府采购法实施条例》、《中华人民共和国</w:t>
      </w:r>
      <w:r>
        <w:rPr>
          <w:rFonts w:hint="eastAsia" w:ascii="宋体" w:hAnsi="宋体" w:eastAsia="宋体" w:cs="宋体"/>
          <w:color w:val="auto"/>
          <w:spacing w:val="8"/>
          <w:sz w:val="21"/>
          <w:szCs w:val="21"/>
          <w:highlight w:val="none"/>
        </w:rPr>
        <w:t>民法典》等法律、法规规定，按照招、投标文件规定条款和中标供应</w:t>
      </w:r>
      <w:r>
        <w:rPr>
          <w:rFonts w:hint="eastAsia" w:ascii="宋体" w:hAnsi="宋体" w:eastAsia="宋体" w:cs="宋体"/>
          <w:color w:val="auto"/>
          <w:spacing w:val="7"/>
          <w:sz w:val="21"/>
          <w:szCs w:val="21"/>
          <w:highlight w:val="none"/>
        </w:rPr>
        <w:t>商承诺、甲乙双方签订本采购合同。</w:t>
      </w:r>
    </w:p>
    <w:p w14:paraId="314A9E16">
      <w:pPr>
        <w:pStyle w:val="18"/>
        <w:numPr>
          <w:ilvl w:val="0"/>
          <w:numId w:val="7"/>
        </w:numPr>
        <w:kinsoku w:val="0"/>
        <w:overflowPunct w:val="0"/>
        <w:spacing w:line="400" w:lineRule="exact"/>
        <w:ind w:firstLine="422"/>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合同标的及合同金额</w:t>
      </w:r>
    </w:p>
    <w:p w14:paraId="59F47F47">
      <w:pPr>
        <w:widowControl/>
        <w:spacing w:line="400" w:lineRule="exact"/>
        <w:ind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根据《中标通知书》的中标内容，合同的总金额为：人民币（大写）</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），合同金额包括：</w:t>
      </w:r>
    </w:p>
    <w:p w14:paraId="26ABEBAD">
      <w:pPr>
        <w:widowControl/>
        <w:spacing w:line="400" w:lineRule="exact"/>
        <w:ind w:firstLine="422" w:firstLineChars="200"/>
        <w:jc w:val="left"/>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第二条 付款方式</w:t>
      </w:r>
    </w:p>
    <w:p w14:paraId="5A3B2F7D">
      <w:pPr>
        <w:widowControl/>
        <w:spacing w:line="400" w:lineRule="exact"/>
        <w:ind w:firstLine="420" w:firstLineChars="200"/>
        <w:jc w:val="left"/>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承包公司的运营费按36个月平均分摊。服务供应商设立环卫工人工资共管专户和基本账户，蒙山县财政局拨款到蒙山县城镇环境卫生管理站，蒙山县城镇环境卫生管理站根据日常检查考核结果扣除相应罚款后发放给承包公司。</w:t>
      </w:r>
    </w:p>
    <w:p w14:paraId="4541C74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color w:val="auto"/>
          <w:highlight w:val="none"/>
          <w:lang w:val="en-US" w:eastAsia="zh-CN"/>
        </w:rPr>
        <w:t>2.</w:t>
      </w:r>
      <w:r>
        <w:rPr>
          <w:rFonts w:hint="eastAsia" w:ascii="宋体" w:hAnsi="宋体" w:eastAsia="宋体" w:cs="宋体"/>
          <w:bCs/>
          <w:color w:val="auto"/>
          <w:szCs w:val="21"/>
          <w:highlight w:val="none"/>
          <w:lang w:val="en-US" w:eastAsia="zh-CN"/>
        </w:rPr>
        <w:t>承包期间，如需新增道路保洁、垃圾清运、洒水作业、公厕管理、填埋场管理等服务内容，年度增加费用在中标价年费用5%以内的，承包单位必须无条件增加服务工作且不再另行追加工作经费；年度增加费用超出中标价年费用5%的部分，由双方根据实际工作量，参考中标价另行协商确定追加费用并签订补充协议。</w:t>
      </w:r>
    </w:p>
    <w:p w14:paraId="1CE11E68">
      <w:pPr>
        <w:widowControl/>
        <w:spacing w:line="400" w:lineRule="exact"/>
        <w:ind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若根据国家或住房和城乡建设相关政策要求，我县需建设小型焚烧设备，届时现执行的生活垃圾外运焚烧处置费（该费用经通过核算运输成本、人工费用、处置费用核算后扣减确定）将终止拨付，后续将结合蒙山县实际情况、项目运营需求及相关成本核算，重新制定生活垃圾处置费标准，具体相关事宜由双方另行协商。                    </w:t>
      </w:r>
      <w:r>
        <w:rPr>
          <w:rFonts w:hint="eastAsia" w:ascii="宋体" w:hAnsi="宋体" w:eastAsia="宋体" w:cs="宋体"/>
          <w:color w:val="auto"/>
          <w:szCs w:val="21"/>
          <w:highlight w:val="none"/>
        </w:rPr>
        <w:t>。</w:t>
      </w:r>
    </w:p>
    <w:p w14:paraId="486932C4">
      <w:pPr>
        <w:spacing w:line="400" w:lineRule="exact"/>
        <w:ind w:firstLine="422" w:firstLineChars="200"/>
        <w:outlineLvl w:val="9"/>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eastAsia="zh-CN"/>
        </w:rPr>
        <w:t>三</w:t>
      </w:r>
      <w:r>
        <w:rPr>
          <w:rFonts w:hint="eastAsia" w:ascii="宋体" w:hAnsi="宋体" w:eastAsia="宋体" w:cs="宋体"/>
          <w:b/>
          <w:color w:val="auto"/>
          <w:szCs w:val="21"/>
          <w:highlight w:val="none"/>
        </w:rPr>
        <w:t>条 质量保证</w:t>
      </w:r>
      <w:r>
        <w:rPr>
          <w:rFonts w:hint="eastAsia" w:ascii="宋体" w:hAnsi="宋体" w:eastAsia="宋体" w:cs="宋体"/>
          <w:b/>
          <w:color w:val="auto"/>
          <w:szCs w:val="21"/>
          <w:highlight w:val="none"/>
          <w:lang w:val="en-US" w:eastAsia="zh-CN"/>
        </w:rPr>
        <w:t>及履约保证</w:t>
      </w:r>
    </w:p>
    <w:p w14:paraId="2536DAC0">
      <w:pPr>
        <w:snapToGrid w:val="0"/>
        <w:spacing w:line="400" w:lineRule="exact"/>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乙方应按招标文件、投标文件和承诺规定的服务内容向甲方提供相应服务。</w:t>
      </w:r>
    </w:p>
    <w:p w14:paraId="002DCFFC">
      <w:pPr>
        <w:snapToGrid w:val="0"/>
        <w:spacing w:line="400" w:lineRule="exact"/>
        <w:ind w:firstLine="420" w:firstLineChars="200"/>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履约保证金：（1）服务供应商收到中标通知书后，应按中标通知书中规定的时间、地点与采购单位签订合同。服务供应商应在接到中标通知书 20 日内向采购单位（指定账户）交纳年中标金额的 5%</w:t>
      </w:r>
      <w:r>
        <w:rPr>
          <w:rFonts w:hint="eastAsia" w:ascii="宋体" w:hAnsi="宋体" w:eastAsia="宋体" w:cs="宋体"/>
          <w:color w:val="auto"/>
          <w:sz w:val="21"/>
          <w:szCs w:val="21"/>
          <w:highlight w:val="none"/>
          <w:lang w:val="en-US" w:eastAsia="zh-CN"/>
        </w:rPr>
        <w:t>（如为中小微企业，则按合同金额的2%）</w:t>
      </w:r>
      <w:r>
        <w:rPr>
          <w:rFonts w:hint="eastAsia" w:ascii="宋体" w:hAnsi="宋体" w:eastAsia="宋体" w:cs="宋体"/>
          <w:color w:val="auto"/>
          <w:szCs w:val="21"/>
          <w:highlight w:val="none"/>
          <w:lang w:val="en-US" w:eastAsia="zh-CN"/>
        </w:rPr>
        <w:t>做为履约保证金，履约保证金的交纳方式：银行转账、支票、汇票、本票或者银行、保险机构出具的保函等非现金方式。服务期满后，如无违约情况，保证金如数退还，不计利息。</w:t>
      </w:r>
    </w:p>
    <w:p w14:paraId="2E20C40B">
      <w:pPr>
        <w:snapToGrid w:val="0"/>
        <w:spacing w:line="400" w:lineRule="exact"/>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（2）如果服务供应商不按中标通知书中规定签订合同或未按规定提交履约保证金，则按服务供应商违约处理。</w:t>
      </w:r>
    </w:p>
    <w:p w14:paraId="43A58F5C">
      <w:pPr>
        <w:spacing w:line="400" w:lineRule="exact"/>
        <w:ind w:firstLine="413" w:firstLineChars="196"/>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eastAsia="zh-CN"/>
        </w:rPr>
        <w:t>四</w:t>
      </w:r>
      <w:r>
        <w:rPr>
          <w:rFonts w:hint="eastAsia" w:ascii="宋体" w:hAnsi="宋体" w:eastAsia="宋体" w:cs="宋体"/>
          <w:b/>
          <w:color w:val="auto"/>
          <w:szCs w:val="21"/>
          <w:highlight w:val="none"/>
        </w:rPr>
        <w:t>条  交付</w:t>
      </w:r>
    </w:p>
    <w:p w14:paraId="1ED329D2">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服务时间：</w:t>
      </w:r>
      <w:r>
        <w:rPr>
          <w:rFonts w:hint="eastAsia" w:ascii="宋体" w:hAnsi="宋体" w:eastAsia="宋体" w:cs="宋体"/>
          <w:color w:val="auto"/>
          <w:szCs w:val="21"/>
          <w:highlight w:val="none"/>
          <w:u w:val="single"/>
        </w:rPr>
        <w:t xml:space="preserve"> 自</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年</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日至</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年</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日（共</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个月） </w:t>
      </w:r>
      <w:r>
        <w:rPr>
          <w:rFonts w:hint="eastAsia" w:ascii="宋体" w:hAnsi="宋体" w:eastAsia="宋体" w:cs="宋体"/>
          <w:color w:val="auto"/>
          <w:szCs w:val="21"/>
          <w:highlight w:val="none"/>
        </w:rPr>
        <w:t>。</w:t>
      </w:r>
    </w:p>
    <w:p w14:paraId="01FE1A9F">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w:t>
      </w:r>
    </w:p>
    <w:p w14:paraId="4A01848C">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.乙方提供不符合招投标文件和本合同规定的服务，甲方有权拒绝接受。</w:t>
      </w:r>
    </w:p>
    <w:p w14:paraId="4701A244">
      <w:pPr>
        <w:spacing w:line="400" w:lineRule="exact"/>
        <w:ind w:firstLine="405"/>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eastAsia="zh-CN"/>
        </w:rPr>
        <w:t>五</w:t>
      </w:r>
      <w:r>
        <w:rPr>
          <w:rFonts w:hint="eastAsia" w:ascii="宋体" w:hAnsi="宋体" w:eastAsia="宋体" w:cs="宋体"/>
          <w:b/>
          <w:color w:val="auto"/>
          <w:szCs w:val="21"/>
          <w:highlight w:val="none"/>
        </w:rPr>
        <w:t>条  服务期限</w:t>
      </w:r>
    </w:p>
    <w:p w14:paraId="46E2F898">
      <w:pPr>
        <w:spacing w:line="400" w:lineRule="exact"/>
        <w:ind w:firstLine="405"/>
        <w:outlineLvl w:val="9"/>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蒙山县县城建成区内道路综合清扫保洁服务、垃圾收运服务、垃圾中转站运营管理、市政公厕运营管理、乡（镇）生活垃圾清运及乡（镇）生活垃圾中转站运营管理等劳务外包项目运营期为3年（即2026年6月1日起至2029年5月31日止），生活垃圾外运焚烧处置和生活垃圾填埋场运营期为2年5个月（即2027年1月1日起至2029年5月31日止）。</w:t>
      </w:r>
    </w:p>
    <w:p w14:paraId="447F0B42">
      <w:pPr>
        <w:spacing w:line="400" w:lineRule="exact"/>
        <w:ind w:firstLine="405"/>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eastAsia="zh-CN"/>
        </w:rPr>
        <w:t>六</w:t>
      </w:r>
      <w:r>
        <w:rPr>
          <w:rFonts w:hint="eastAsia" w:ascii="宋体" w:hAnsi="宋体" w:eastAsia="宋体" w:cs="宋体"/>
          <w:b/>
          <w:color w:val="auto"/>
          <w:szCs w:val="21"/>
          <w:highlight w:val="none"/>
        </w:rPr>
        <w:t xml:space="preserve">条 </w:t>
      </w:r>
      <w:r>
        <w:rPr>
          <w:rFonts w:hint="eastAsia" w:ascii="宋体" w:hAnsi="宋体" w:eastAsia="宋体" w:cs="宋体"/>
          <w:b/>
          <w:color w:val="auto"/>
          <w:szCs w:val="21"/>
          <w:highlight w:val="none"/>
          <w:lang w:val="en-US" w:eastAsia="zh-CN"/>
        </w:rPr>
        <w:t>服务</w:t>
      </w:r>
      <w:r>
        <w:rPr>
          <w:rFonts w:hint="eastAsia" w:ascii="宋体" w:hAnsi="宋体" w:eastAsia="宋体" w:cs="宋体"/>
          <w:b/>
          <w:color w:val="auto"/>
          <w:szCs w:val="21"/>
          <w:highlight w:val="none"/>
        </w:rPr>
        <w:t>要求</w:t>
      </w:r>
    </w:p>
    <w:p w14:paraId="5AE5B1FD">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1.服务范围及内容：</w:t>
      </w:r>
    </w:p>
    <w:p w14:paraId="6030602F">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（一）</w:t>
      </w:r>
      <w:r>
        <w:rPr>
          <w:rFonts w:hint="eastAsia" w:ascii="宋体" w:hAnsi="宋体" w:eastAsia="宋体" w:cs="宋体"/>
          <w:bCs/>
          <w:color w:val="auto"/>
          <w:szCs w:val="21"/>
          <w:highlight w:val="none"/>
          <w:lang w:eastAsia="zh-CN"/>
        </w:rPr>
        <w:t>县城建成区内服务范围及内容</w:t>
      </w:r>
    </w:p>
    <w:p w14:paraId="1F1A4D16">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1.道路综合清扫保洁服务。</w:t>
      </w:r>
      <w:r>
        <w:rPr>
          <w:rFonts w:hint="eastAsia" w:ascii="宋体" w:hAnsi="宋体" w:eastAsia="宋体" w:cs="宋体"/>
          <w:bCs/>
          <w:color w:val="auto"/>
          <w:szCs w:val="21"/>
          <w:highlight w:val="none"/>
        </w:rPr>
        <w:t>负责县城</w:t>
      </w:r>
      <w:r>
        <w:rPr>
          <w:rFonts w:hint="eastAsia" w:ascii="宋体" w:hAnsi="宋体" w:eastAsia="宋体" w:cs="宋体"/>
          <w:bCs/>
          <w:color w:val="auto"/>
          <w:szCs w:val="21"/>
          <w:highlight w:val="none"/>
          <w:lang w:eastAsia="zh-CN"/>
        </w:rPr>
        <w:t>建成区（含承包期间新增建成区域）</w:t>
      </w:r>
      <w:r>
        <w:rPr>
          <w:rFonts w:hint="eastAsia" w:ascii="宋体" w:hAnsi="宋体" w:eastAsia="宋体" w:cs="宋体"/>
          <w:bCs/>
          <w:color w:val="auto"/>
          <w:szCs w:val="21"/>
          <w:highlight w:val="none"/>
        </w:rPr>
        <w:t>主次干道</w:t>
      </w:r>
      <w:r>
        <w:rPr>
          <w:rFonts w:hint="eastAsia" w:ascii="宋体" w:hAnsi="宋体" w:eastAsia="宋体" w:cs="宋体"/>
          <w:bCs/>
          <w:color w:val="auto"/>
          <w:szCs w:val="21"/>
          <w:highlight w:val="none"/>
          <w:lang w:eastAsia="zh-CN"/>
        </w:rPr>
        <w:t>（含车行道、辅道、人行道及绿化带）</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背街小巷、公共</w:t>
      </w:r>
      <w:r>
        <w:rPr>
          <w:rFonts w:hint="eastAsia" w:ascii="宋体" w:hAnsi="宋体" w:eastAsia="宋体" w:cs="宋体"/>
          <w:bCs/>
          <w:color w:val="auto"/>
          <w:szCs w:val="21"/>
          <w:highlight w:val="none"/>
        </w:rPr>
        <w:t>广场、公园</w:t>
      </w:r>
      <w:r>
        <w:rPr>
          <w:rFonts w:hint="eastAsia" w:ascii="宋体" w:hAnsi="宋体" w:eastAsia="宋体" w:cs="宋体"/>
          <w:bCs/>
          <w:color w:val="auto"/>
          <w:szCs w:val="21"/>
          <w:highlight w:val="none"/>
          <w:lang w:eastAsia="zh-CN"/>
        </w:rPr>
        <w:t>、桥梁、一河两岸等全部公共区域的</w:t>
      </w:r>
      <w:r>
        <w:rPr>
          <w:rFonts w:hint="eastAsia" w:ascii="宋体" w:hAnsi="宋体" w:eastAsia="宋体" w:cs="宋体"/>
          <w:bCs/>
          <w:color w:val="auto"/>
          <w:szCs w:val="21"/>
          <w:highlight w:val="none"/>
        </w:rPr>
        <w:t>清扫保洁</w:t>
      </w:r>
      <w:r>
        <w:rPr>
          <w:rFonts w:hint="eastAsia" w:ascii="宋体" w:hAnsi="宋体" w:eastAsia="宋体" w:cs="宋体"/>
          <w:bCs/>
          <w:color w:val="auto"/>
          <w:szCs w:val="21"/>
          <w:highlight w:val="none"/>
          <w:lang w:eastAsia="zh-CN"/>
        </w:rPr>
        <w:t>（机械化清扫率不低于</w:t>
      </w:r>
      <w:r>
        <w:rPr>
          <w:rFonts w:hint="eastAsia" w:ascii="宋体" w:hAnsi="宋体" w:eastAsia="宋体" w:cs="宋体"/>
          <w:bCs/>
          <w:color w:val="auto"/>
          <w:szCs w:val="21"/>
          <w:highlight w:val="none"/>
          <w:lang w:val="en-US" w:eastAsia="zh-CN"/>
        </w:rPr>
        <w:t>85%</w:t>
      </w:r>
      <w:r>
        <w:rPr>
          <w:rFonts w:hint="eastAsia" w:ascii="宋体" w:hAnsi="宋体" w:eastAsia="宋体" w:cs="宋体"/>
          <w:bCs/>
          <w:color w:val="auto"/>
          <w:szCs w:val="21"/>
          <w:highlight w:val="none"/>
          <w:lang w:eastAsia="zh-CN"/>
        </w:rPr>
        <w:t>）。按规范频次开展日常清扫作业、及时清除路面垃圾、废弃物、落叶及杂物，做到路面干净整洁、无明显垃圾散落、无卫生死角、无积存杂物。如遇台风、暴雨等特殊恶劣天气，需在天气转好后</w:t>
      </w:r>
      <w:r>
        <w:rPr>
          <w:rFonts w:hint="eastAsia" w:ascii="宋体" w:hAnsi="宋体" w:eastAsia="宋体" w:cs="宋体"/>
          <w:bCs/>
          <w:color w:val="auto"/>
          <w:szCs w:val="21"/>
          <w:highlight w:val="none"/>
          <w:lang w:val="en-US" w:eastAsia="zh-CN"/>
        </w:rPr>
        <w:t>2小时内启动应急清扫作业，</w:t>
      </w:r>
      <w:r>
        <w:rPr>
          <w:rFonts w:hint="eastAsia" w:ascii="宋体" w:hAnsi="宋体" w:eastAsia="宋体" w:cs="宋体"/>
          <w:bCs/>
          <w:color w:val="auto"/>
          <w:szCs w:val="21"/>
          <w:highlight w:val="none"/>
          <w:lang w:eastAsia="zh-CN"/>
        </w:rPr>
        <w:t>加大保洁清扫力度，迅速恢复道路整洁，保障通行环境干净有序。</w:t>
      </w:r>
    </w:p>
    <w:p w14:paraId="0F74C477">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2.道路洒水降尘作业。日常按规定频次开展道路洒水、冲洗、降尘作业，</w:t>
      </w:r>
      <w:r>
        <w:rPr>
          <w:rFonts w:hint="eastAsia" w:ascii="宋体" w:hAnsi="宋体" w:eastAsia="宋体" w:cs="宋体"/>
          <w:bCs/>
          <w:color w:val="auto"/>
          <w:szCs w:val="21"/>
          <w:highlight w:val="none"/>
          <w:lang w:eastAsia="zh-CN"/>
        </w:rPr>
        <w:t>如遇高温干旱、空气污染等天气时段，需提高道路洒水频次，有效抑制道路扬尘，减少空气污染，改善区域空气质量及市容环境。</w:t>
      </w:r>
    </w:p>
    <w:p w14:paraId="74BC610F">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3.杂草清理整治。负责建成区</w:t>
      </w:r>
      <w:r>
        <w:rPr>
          <w:rFonts w:hint="eastAsia" w:ascii="宋体" w:hAnsi="宋体" w:eastAsia="宋体" w:cs="宋体"/>
          <w:bCs/>
          <w:color w:val="auto"/>
          <w:szCs w:val="21"/>
          <w:highlight w:val="none"/>
          <w:lang w:eastAsia="zh-CN"/>
        </w:rPr>
        <w:t>次干道两侧人行道、路肩、路缘石、背街小巷、交通护栏、道路隔离带、桥梁及附属设施周边杂草常态化清理；城乡结合部定期开展杂草整治，做到无成片丛生杂草、无高杆杂草、无杂草积存，清理产生的杂草做到随清随运、日产日清，保持道路沿线及公共区域市容整洁美观。</w:t>
      </w:r>
    </w:p>
    <w:p w14:paraId="2F5F0F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垃圾收集容器保洁及更新采购。负责蒙山县建成区内公共区域所有的垃圾桶、果皮箱等垃圾收集容器的更新、补充及采购工作（生活垃圾公共堆放点由县环卫站结合实际需求确定），需严格保障容器数量充足、完好无损，且容器符合环保标准，满足公共区域垃圾收集基本需求；每日对其进行全面清掏、擦洗保洁，确保容器内外整洁无污垢、无异味、无垃圾残留、摆放规范有序，确保垃圾收集工作正常有序开展。</w:t>
      </w:r>
    </w:p>
    <w:p w14:paraId="1D3BDED1">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5.生活垃圾收运服务。</w:t>
      </w:r>
      <w:r>
        <w:rPr>
          <w:rFonts w:hint="eastAsia" w:ascii="宋体" w:hAnsi="宋体" w:eastAsia="宋体" w:cs="宋体"/>
          <w:bCs/>
          <w:color w:val="auto"/>
          <w:szCs w:val="21"/>
          <w:highlight w:val="none"/>
        </w:rPr>
        <w:t>负责县城</w:t>
      </w:r>
      <w:r>
        <w:rPr>
          <w:rFonts w:hint="eastAsia" w:ascii="宋体" w:hAnsi="宋体" w:eastAsia="宋体" w:cs="宋体"/>
          <w:bCs/>
          <w:color w:val="auto"/>
          <w:szCs w:val="21"/>
          <w:highlight w:val="none"/>
          <w:lang w:eastAsia="zh-CN"/>
        </w:rPr>
        <w:t>建成区</w:t>
      </w:r>
      <w:r>
        <w:rPr>
          <w:rFonts w:hint="eastAsia" w:ascii="宋体" w:hAnsi="宋体" w:eastAsia="宋体" w:cs="宋体"/>
          <w:bCs/>
          <w:color w:val="auto"/>
          <w:szCs w:val="21"/>
          <w:highlight w:val="none"/>
        </w:rPr>
        <w:t>内居民住户、商住小区、单位、铺面、商场</w:t>
      </w:r>
      <w:r>
        <w:rPr>
          <w:rFonts w:hint="eastAsia" w:ascii="宋体" w:hAnsi="宋体" w:eastAsia="宋体" w:cs="宋体"/>
          <w:bCs/>
          <w:color w:val="auto"/>
          <w:szCs w:val="21"/>
          <w:highlight w:val="none"/>
          <w:lang w:eastAsia="zh-CN"/>
        </w:rPr>
        <w:t>、学校、医院等各类场所的生活垃圾上门收集或定点清运工作；将</w:t>
      </w:r>
      <w:r>
        <w:rPr>
          <w:rFonts w:hint="eastAsia" w:ascii="宋体" w:hAnsi="宋体" w:eastAsia="宋体" w:cs="宋体"/>
          <w:bCs/>
          <w:color w:val="auto"/>
          <w:szCs w:val="21"/>
          <w:highlight w:val="none"/>
        </w:rPr>
        <w:t>县城</w:t>
      </w:r>
      <w:r>
        <w:rPr>
          <w:rFonts w:hint="eastAsia" w:ascii="宋体" w:hAnsi="宋体" w:eastAsia="宋体" w:cs="宋体"/>
          <w:bCs/>
          <w:color w:val="auto"/>
          <w:szCs w:val="21"/>
          <w:highlight w:val="none"/>
          <w:lang w:eastAsia="zh-CN"/>
        </w:rPr>
        <w:t>建成区</w:t>
      </w:r>
      <w:r>
        <w:rPr>
          <w:rFonts w:hint="eastAsia" w:ascii="宋体" w:hAnsi="宋体" w:eastAsia="宋体" w:cs="宋体"/>
          <w:bCs/>
          <w:color w:val="auto"/>
          <w:szCs w:val="21"/>
          <w:highlight w:val="none"/>
        </w:rPr>
        <w:t>范围内所有收集</w:t>
      </w:r>
      <w:r>
        <w:rPr>
          <w:rFonts w:hint="eastAsia" w:ascii="宋体" w:hAnsi="宋体" w:eastAsia="宋体" w:cs="宋体"/>
          <w:bCs/>
          <w:color w:val="auto"/>
          <w:szCs w:val="21"/>
          <w:highlight w:val="none"/>
          <w:lang w:eastAsia="zh-CN"/>
        </w:rPr>
        <w:t>的生活垃圾统一</w:t>
      </w:r>
      <w:r>
        <w:rPr>
          <w:rFonts w:hint="eastAsia" w:ascii="宋体" w:hAnsi="宋体" w:eastAsia="宋体" w:cs="宋体"/>
          <w:bCs/>
          <w:color w:val="auto"/>
          <w:szCs w:val="21"/>
          <w:highlight w:val="none"/>
        </w:rPr>
        <w:t>转运至</w:t>
      </w:r>
      <w:r>
        <w:rPr>
          <w:rFonts w:hint="eastAsia" w:ascii="宋体" w:hAnsi="宋体" w:eastAsia="宋体" w:cs="宋体"/>
          <w:bCs/>
          <w:color w:val="auto"/>
          <w:szCs w:val="21"/>
          <w:highlight w:val="none"/>
          <w:lang w:eastAsia="zh-CN"/>
        </w:rPr>
        <w:t>蒙山</w:t>
      </w:r>
      <w:r>
        <w:rPr>
          <w:rFonts w:hint="eastAsia" w:ascii="宋体" w:hAnsi="宋体" w:eastAsia="宋体" w:cs="宋体"/>
          <w:bCs/>
          <w:color w:val="auto"/>
          <w:szCs w:val="21"/>
          <w:highlight w:val="none"/>
        </w:rPr>
        <w:t>县生活垃圾填埋场</w:t>
      </w:r>
      <w:r>
        <w:rPr>
          <w:rFonts w:hint="eastAsia" w:ascii="宋体" w:hAnsi="宋体" w:eastAsia="宋体" w:cs="宋体"/>
          <w:bCs/>
          <w:color w:val="auto"/>
          <w:szCs w:val="21"/>
          <w:highlight w:val="none"/>
          <w:lang w:eastAsia="zh-CN"/>
        </w:rPr>
        <w:t>配套转运站，需配备符合标准的垃圾收运车辆，做到日产日清，车走地净，收运过程中避免垃圾遗撒、污水滴漏，收运车辆每日作业结束后需进行消杀除臭，杜绝异味扩散</w:t>
      </w:r>
      <w:r>
        <w:rPr>
          <w:rFonts w:hint="eastAsia" w:ascii="宋体" w:hAnsi="宋体" w:eastAsia="宋体" w:cs="宋体"/>
          <w:bCs/>
          <w:color w:val="auto"/>
          <w:szCs w:val="21"/>
          <w:highlight w:val="none"/>
        </w:rPr>
        <w:t>。</w:t>
      </w:r>
    </w:p>
    <w:p w14:paraId="0BADA4AD">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6.垃圾中转站运营管理。</w:t>
      </w:r>
      <w:r>
        <w:rPr>
          <w:rFonts w:hint="eastAsia" w:ascii="宋体" w:hAnsi="宋体" w:eastAsia="宋体" w:cs="宋体"/>
          <w:bCs/>
          <w:color w:val="auto"/>
          <w:szCs w:val="21"/>
          <w:highlight w:val="none"/>
        </w:rPr>
        <w:t>负责</w:t>
      </w:r>
      <w:r>
        <w:rPr>
          <w:rFonts w:hint="eastAsia" w:ascii="宋体" w:hAnsi="宋体" w:eastAsia="宋体" w:cs="宋体"/>
          <w:bCs/>
          <w:color w:val="auto"/>
          <w:szCs w:val="21"/>
          <w:highlight w:val="none"/>
          <w:lang w:eastAsia="zh-CN"/>
        </w:rPr>
        <w:t>对</w:t>
      </w:r>
      <w:r>
        <w:rPr>
          <w:rFonts w:hint="eastAsia" w:ascii="宋体" w:hAnsi="宋体" w:eastAsia="宋体" w:cs="宋体"/>
          <w:bCs/>
          <w:color w:val="auto"/>
          <w:szCs w:val="21"/>
          <w:highlight w:val="none"/>
        </w:rPr>
        <w:t>县城</w:t>
      </w:r>
      <w:r>
        <w:rPr>
          <w:rFonts w:hint="eastAsia" w:ascii="宋体" w:hAnsi="宋体" w:eastAsia="宋体" w:cs="宋体"/>
          <w:bCs/>
          <w:color w:val="auto"/>
          <w:szCs w:val="21"/>
          <w:highlight w:val="none"/>
          <w:lang w:eastAsia="zh-CN"/>
        </w:rPr>
        <w:t>建成区</w:t>
      </w:r>
      <w:r>
        <w:rPr>
          <w:rFonts w:hint="eastAsia" w:ascii="宋体" w:hAnsi="宋体" w:eastAsia="宋体" w:cs="宋体"/>
          <w:bCs/>
          <w:color w:val="auto"/>
          <w:szCs w:val="21"/>
          <w:highlight w:val="none"/>
        </w:rPr>
        <w:t>内</w:t>
      </w:r>
      <w:r>
        <w:rPr>
          <w:rFonts w:hint="eastAsia" w:ascii="宋体" w:hAnsi="宋体" w:eastAsia="宋体" w:cs="宋体"/>
          <w:bCs/>
          <w:color w:val="auto"/>
          <w:szCs w:val="21"/>
          <w:highlight w:val="none"/>
          <w:lang w:eastAsia="zh-CN"/>
        </w:rPr>
        <w:t>所有生活</w:t>
      </w:r>
      <w:r>
        <w:rPr>
          <w:rFonts w:hint="eastAsia" w:ascii="宋体" w:hAnsi="宋体" w:eastAsia="宋体" w:cs="宋体"/>
          <w:bCs/>
          <w:color w:val="auto"/>
          <w:szCs w:val="21"/>
          <w:highlight w:val="none"/>
        </w:rPr>
        <w:t>垃圾</w:t>
      </w:r>
      <w:r>
        <w:rPr>
          <w:rFonts w:hint="eastAsia" w:ascii="宋体" w:hAnsi="宋体" w:eastAsia="宋体" w:cs="宋体"/>
          <w:bCs/>
          <w:color w:val="auto"/>
          <w:szCs w:val="21"/>
          <w:highlight w:val="none"/>
          <w:lang w:eastAsia="zh-CN"/>
        </w:rPr>
        <w:t>中转站进行日常运营管理，包括</w:t>
      </w:r>
      <w:r>
        <w:rPr>
          <w:rFonts w:hint="eastAsia" w:ascii="宋体" w:hAnsi="宋体" w:eastAsia="宋体" w:cs="宋体"/>
          <w:bCs/>
          <w:color w:val="auto"/>
          <w:szCs w:val="21"/>
          <w:highlight w:val="none"/>
        </w:rPr>
        <w:t>设备</w:t>
      </w:r>
      <w:r>
        <w:rPr>
          <w:rFonts w:hint="eastAsia" w:ascii="宋体" w:hAnsi="宋体" w:eastAsia="宋体" w:cs="宋体"/>
          <w:bCs/>
          <w:color w:val="auto"/>
          <w:szCs w:val="21"/>
          <w:highlight w:val="none"/>
          <w:lang w:eastAsia="zh-CN"/>
        </w:rPr>
        <w:t>操作、日常巡检、车辆维护、站内卫生消杀除臭、垃圾暂存与转运协调等工作，确保中转站设备、运输车辆正常运行，站内环境整洁、无垃圾堆积、污水横流等现象，严格遵守环保操作规程；建立设备运行台账，每月提交至县环卫站。</w:t>
      </w:r>
    </w:p>
    <w:p w14:paraId="791A4DE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7.市政公厕运营管理。</w:t>
      </w:r>
      <w:r>
        <w:rPr>
          <w:rFonts w:hint="eastAsia" w:ascii="宋体" w:hAnsi="宋体" w:eastAsia="宋体" w:cs="宋体"/>
          <w:bCs/>
          <w:color w:val="auto"/>
          <w:szCs w:val="21"/>
          <w:highlight w:val="none"/>
        </w:rPr>
        <w:t>负责县城</w:t>
      </w:r>
      <w:r>
        <w:rPr>
          <w:rFonts w:hint="eastAsia" w:ascii="宋体" w:hAnsi="宋体" w:eastAsia="宋体" w:cs="宋体"/>
          <w:bCs/>
          <w:color w:val="auto"/>
          <w:szCs w:val="21"/>
          <w:highlight w:val="none"/>
          <w:lang w:eastAsia="zh-CN"/>
        </w:rPr>
        <w:t>建成区</w:t>
      </w:r>
      <w:r>
        <w:rPr>
          <w:rFonts w:hint="eastAsia" w:ascii="宋体" w:hAnsi="宋体" w:eastAsia="宋体" w:cs="宋体"/>
          <w:bCs/>
          <w:color w:val="auto"/>
          <w:szCs w:val="21"/>
          <w:highlight w:val="none"/>
        </w:rPr>
        <w:t>内</w:t>
      </w:r>
      <w:r>
        <w:rPr>
          <w:rFonts w:hint="eastAsia" w:ascii="宋体" w:hAnsi="宋体" w:eastAsia="宋体" w:cs="宋体"/>
          <w:bCs/>
          <w:color w:val="auto"/>
          <w:szCs w:val="21"/>
          <w:highlight w:val="none"/>
          <w:lang w:eastAsia="zh-CN"/>
        </w:rPr>
        <w:t>所有</w:t>
      </w:r>
      <w:r>
        <w:rPr>
          <w:rFonts w:hint="eastAsia" w:ascii="宋体" w:hAnsi="宋体" w:eastAsia="宋体" w:cs="宋体"/>
          <w:bCs/>
          <w:color w:val="auto"/>
          <w:szCs w:val="21"/>
          <w:highlight w:val="none"/>
        </w:rPr>
        <w:t>市政公厕</w:t>
      </w:r>
      <w:r>
        <w:rPr>
          <w:rFonts w:hint="eastAsia" w:ascii="宋体" w:hAnsi="宋体" w:eastAsia="宋体" w:cs="宋体"/>
          <w:bCs/>
          <w:color w:val="auto"/>
          <w:szCs w:val="21"/>
          <w:highlight w:val="none"/>
          <w:lang w:eastAsia="zh-CN"/>
        </w:rPr>
        <w:t>（含承包期间新增市政公厕）的日常运营维护，包括卫生清扫、消杀除臭</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设施设备维修更换等工作，确保公厕</w:t>
      </w:r>
      <w:r>
        <w:rPr>
          <w:rFonts w:hint="eastAsia" w:ascii="宋体" w:hAnsi="宋体" w:eastAsia="宋体" w:cs="宋体"/>
          <w:bCs/>
          <w:color w:val="auto"/>
          <w:szCs w:val="21"/>
          <w:highlight w:val="none"/>
          <w:lang w:val="en-US" w:eastAsia="zh-CN"/>
        </w:rPr>
        <w:t xml:space="preserve">24小时开放，内部环境干净、无异味、无积水、无蚊蝇滋生、设施完好，为群众提供便捷、舒适的如厕环境。  </w:t>
      </w:r>
    </w:p>
    <w:p w14:paraId="253E047F">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8.非承包范畴界定说明。</w:t>
      </w:r>
      <w:r>
        <w:rPr>
          <w:rFonts w:hint="eastAsia" w:ascii="宋体" w:hAnsi="宋体" w:eastAsia="宋体" w:cs="宋体"/>
          <w:bCs/>
          <w:color w:val="auto"/>
          <w:szCs w:val="21"/>
          <w:highlight w:val="none"/>
        </w:rPr>
        <w:t>根据《城市市容和环境卫生管理条例》(国务院第</w:t>
      </w:r>
      <w:r>
        <w:rPr>
          <w:rFonts w:hint="eastAsia" w:ascii="宋体" w:hAnsi="宋体" w:eastAsia="宋体" w:cs="宋体"/>
          <w:bCs/>
          <w:color w:val="auto"/>
          <w:szCs w:val="21"/>
          <w:highlight w:val="none"/>
          <w:lang w:val="en-US" w:eastAsia="zh-CN"/>
        </w:rPr>
        <w:t>676</w:t>
      </w:r>
      <w:r>
        <w:rPr>
          <w:rFonts w:hint="eastAsia" w:ascii="宋体" w:hAnsi="宋体" w:eastAsia="宋体" w:cs="宋体"/>
          <w:bCs/>
          <w:color w:val="auto"/>
          <w:szCs w:val="21"/>
          <w:highlight w:val="none"/>
        </w:rPr>
        <w:t>号令)</w:t>
      </w:r>
      <w:r>
        <w:rPr>
          <w:rFonts w:hint="eastAsia" w:ascii="宋体" w:hAnsi="宋体" w:eastAsia="宋体" w:cs="宋体"/>
          <w:bCs/>
          <w:color w:val="auto"/>
          <w:szCs w:val="21"/>
          <w:highlight w:val="none"/>
          <w:lang w:eastAsia="zh-CN"/>
        </w:rPr>
        <w:t>规定</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各农贸市场、商住小区及单位、学校、医院等，由各场所</w:t>
      </w:r>
      <w:r>
        <w:rPr>
          <w:rFonts w:hint="eastAsia" w:ascii="宋体" w:hAnsi="宋体" w:eastAsia="宋体" w:cs="宋体"/>
          <w:bCs/>
          <w:color w:val="auto"/>
          <w:szCs w:val="21"/>
          <w:highlight w:val="none"/>
        </w:rPr>
        <w:t>管理方自行</w:t>
      </w:r>
      <w:r>
        <w:rPr>
          <w:rFonts w:hint="eastAsia" w:ascii="宋体" w:hAnsi="宋体" w:eastAsia="宋体" w:cs="宋体"/>
          <w:bCs/>
          <w:color w:val="auto"/>
          <w:szCs w:val="21"/>
          <w:highlight w:val="none"/>
          <w:lang w:eastAsia="zh-CN"/>
        </w:rPr>
        <w:t>负责清理至指定收运点</w:t>
      </w:r>
      <w:r>
        <w:rPr>
          <w:rFonts w:hint="eastAsia" w:ascii="宋体" w:hAnsi="宋体" w:eastAsia="宋体" w:cs="宋体"/>
          <w:bCs/>
          <w:color w:val="auto"/>
          <w:szCs w:val="21"/>
          <w:highlight w:val="none"/>
        </w:rPr>
        <w:t>，不</w:t>
      </w:r>
      <w:r>
        <w:rPr>
          <w:rFonts w:hint="eastAsia" w:ascii="宋体" w:hAnsi="宋体" w:eastAsia="宋体" w:cs="宋体"/>
          <w:bCs/>
          <w:color w:val="auto"/>
          <w:szCs w:val="21"/>
          <w:highlight w:val="none"/>
          <w:lang w:eastAsia="zh-CN"/>
        </w:rPr>
        <w:t>纳入</w:t>
      </w:r>
      <w:r>
        <w:rPr>
          <w:rFonts w:hint="eastAsia" w:ascii="宋体" w:hAnsi="宋体" w:eastAsia="宋体" w:cs="宋体"/>
          <w:bCs/>
          <w:color w:val="auto"/>
          <w:szCs w:val="21"/>
          <w:highlight w:val="none"/>
        </w:rPr>
        <w:t>清扫</w:t>
      </w:r>
      <w:r>
        <w:rPr>
          <w:rFonts w:hint="eastAsia" w:ascii="宋体" w:hAnsi="宋体" w:eastAsia="宋体" w:cs="宋体"/>
          <w:bCs/>
          <w:color w:val="auto"/>
          <w:szCs w:val="21"/>
          <w:highlight w:val="none"/>
          <w:lang w:eastAsia="zh-CN"/>
        </w:rPr>
        <w:t>保洁</w:t>
      </w:r>
      <w:r>
        <w:rPr>
          <w:rFonts w:hint="eastAsia" w:ascii="宋体" w:hAnsi="宋体" w:eastAsia="宋体" w:cs="宋体"/>
          <w:bCs/>
          <w:color w:val="auto"/>
          <w:szCs w:val="21"/>
          <w:highlight w:val="none"/>
        </w:rPr>
        <w:t>范畴，县环卫站</w:t>
      </w:r>
      <w:r>
        <w:rPr>
          <w:rFonts w:hint="eastAsia" w:ascii="宋体" w:hAnsi="宋体" w:eastAsia="宋体" w:cs="宋体"/>
          <w:bCs/>
          <w:color w:val="auto"/>
          <w:szCs w:val="21"/>
          <w:highlight w:val="none"/>
          <w:lang w:eastAsia="zh-CN"/>
        </w:rPr>
        <w:t>仅负责</w:t>
      </w:r>
      <w:r>
        <w:rPr>
          <w:rFonts w:hint="eastAsia" w:ascii="宋体" w:hAnsi="宋体" w:eastAsia="宋体" w:cs="宋体"/>
          <w:bCs/>
          <w:color w:val="auto"/>
          <w:szCs w:val="21"/>
          <w:highlight w:val="none"/>
        </w:rPr>
        <w:t>收取生活垃圾处理费</w:t>
      </w:r>
      <w:r>
        <w:rPr>
          <w:rFonts w:hint="eastAsia" w:ascii="宋体" w:hAnsi="宋体" w:eastAsia="宋体" w:cs="宋体"/>
          <w:bCs/>
          <w:color w:val="auto"/>
          <w:szCs w:val="21"/>
          <w:highlight w:val="none"/>
          <w:lang w:eastAsia="zh-CN"/>
        </w:rPr>
        <w:t>，收费标准按《蒙山县人民政府关于统一征收城市生活垃圾处理费的通告》（蒙政通〔</w:t>
      </w:r>
      <w:r>
        <w:rPr>
          <w:rFonts w:hint="eastAsia" w:ascii="宋体" w:hAnsi="宋体" w:eastAsia="宋体" w:cs="宋体"/>
          <w:bCs/>
          <w:color w:val="auto"/>
          <w:szCs w:val="21"/>
          <w:highlight w:val="none"/>
          <w:lang w:val="en-US" w:eastAsia="zh-CN"/>
        </w:rPr>
        <w:t>2009</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6号</w:t>
      </w:r>
      <w:r>
        <w:rPr>
          <w:rFonts w:hint="eastAsia" w:ascii="宋体" w:hAnsi="宋体" w:eastAsia="宋体" w:cs="宋体"/>
          <w:bCs/>
          <w:color w:val="auto"/>
          <w:szCs w:val="21"/>
          <w:highlight w:val="none"/>
          <w:lang w:eastAsia="zh-CN"/>
        </w:rPr>
        <w:t>）文件执行</w:t>
      </w:r>
      <w:r>
        <w:rPr>
          <w:rFonts w:hint="eastAsia" w:ascii="宋体" w:hAnsi="宋体" w:eastAsia="宋体" w:cs="宋体"/>
          <w:bCs/>
          <w:color w:val="auto"/>
          <w:szCs w:val="21"/>
          <w:highlight w:val="none"/>
        </w:rPr>
        <w:t>。</w:t>
      </w:r>
    </w:p>
    <w:p w14:paraId="25A67A2A">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9.建筑垃圾处理。</w:t>
      </w:r>
      <w:r>
        <w:rPr>
          <w:rFonts w:hint="eastAsia" w:ascii="宋体" w:hAnsi="宋体" w:eastAsia="宋体" w:cs="宋体"/>
          <w:bCs/>
          <w:color w:val="auto"/>
          <w:szCs w:val="21"/>
          <w:highlight w:val="none"/>
          <w:lang w:eastAsia="zh-CN"/>
        </w:rPr>
        <w:t>遵循“</w:t>
      </w:r>
      <w:r>
        <w:rPr>
          <w:rFonts w:hint="eastAsia" w:ascii="宋体" w:hAnsi="宋体" w:eastAsia="宋体" w:cs="宋体"/>
          <w:bCs/>
          <w:color w:val="auto"/>
          <w:szCs w:val="21"/>
          <w:highlight w:val="none"/>
        </w:rPr>
        <w:t>谁污染</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谁负责</w:t>
      </w:r>
      <w:r>
        <w:rPr>
          <w:rFonts w:hint="eastAsia" w:ascii="宋体" w:hAnsi="宋体" w:eastAsia="宋体" w:cs="宋体"/>
          <w:bCs/>
          <w:color w:val="auto"/>
          <w:szCs w:val="21"/>
          <w:highlight w:val="none"/>
          <w:lang w:eastAsia="zh-CN"/>
        </w:rPr>
        <w:t>”原则</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街道区域内的建筑垃圾由责任主体自行清理，</w:t>
      </w:r>
      <w:r>
        <w:rPr>
          <w:rFonts w:hint="eastAsia" w:ascii="宋体" w:hAnsi="宋体" w:eastAsia="宋体" w:cs="宋体"/>
          <w:bCs/>
          <w:color w:val="auto"/>
          <w:szCs w:val="21"/>
          <w:highlight w:val="none"/>
        </w:rPr>
        <w:t>但少量即25公斤以下的装修垃圾纳入承包清扫内容。平时巡查</w:t>
      </w:r>
      <w:r>
        <w:rPr>
          <w:rFonts w:hint="eastAsia" w:ascii="宋体" w:hAnsi="宋体" w:eastAsia="宋体" w:cs="宋体"/>
          <w:bCs/>
          <w:color w:val="auto"/>
          <w:szCs w:val="21"/>
          <w:highlight w:val="none"/>
          <w:lang w:eastAsia="zh-CN"/>
        </w:rPr>
        <w:t>发现的建筑装修垃圾应由承包公司的督查人员</w:t>
      </w:r>
      <w:r>
        <w:rPr>
          <w:rFonts w:hint="eastAsia" w:ascii="宋体" w:hAnsi="宋体" w:eastAsia="宋体" w:cs="宋体"/>
          <w:bCs/>
          <w:color w:val="auto"/>
          <w:szCs w:val="21"/>
          <w:highlight w:val="none"/>
        </w:rPr>
        <w:t>及时通报城管</w:t>
      </w:r>
      <w:r>
        <w:rPr>
          <w:rFonts w:hint="eastAsia" w:ascii="宋体" w:hAnsi="宋体" w:eastAsia="宋体" w:cs="宋体"/>
          <w:bCs/>
          <w:color w:val="auto"/>
          <w:szCs w:val="21"/>
          <w:highlight w:val="none"/>
          <w:lang w:eastAsia="zh-CN"/>
        </w:rPr>
        <w:t>部门</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由</w:t>
      </w:r>
      <w:r>
        <w:rPr>
          <w:rFonts w:hint="eastAsia" w:ascii="宋体" w:hAnsi="宋体" w:eastAsia="宋体" w:cs="宋体"/>
          <w:bCs/>
          <w:color w:val="auto"/>
          <w:szCs w:val="21"/>
          <w:highlight w:val="none"/>
        </w:rPr>
        <w:t>城管部门催促业主尽快自行清理</w:t>
      </w:r>
      <w:r>
        <w:rPr>
          <w:rFonts w:hint="eastAsia" w:ascii="宋体" w:hAnsi="宋体" w:eastAsia="宋体" w:cs="宋体"/>
          <w:bCs/>
          <w:color w:val="auto"/>
          <w:szCs w:val="21"/>
          <w:highlight w:val="none"/>
          <w:lang w:eastAsia="zh-CN"/>
        </w:rPr>
        <w:t>；严禁环卫工人通过堆积行为，造成大于</w:t>
      </w:r>
      <w:r>
        <w:rPr>
          <w:rFonts w:hint="eastAsia" w:ascii="宋体" w:hAnsi="宋体" w:eastAsia="宋体" w:cs="宋体"/>
          <w:bCs/>
          <w:color w:val="auto"/>
          <w:szCs w:val="21"/>
          <w:highlight w:val="none"/>
          <w:lang w:val="en-US" w:eastAsia="zh-CN"/>
        </w:rPr>
        <w:t>25公斤以上的建筑垃圾逃避清运责任</w:t>
      </w:r>
      <w:r>
        <w:rPr>
          <w:rFonts w:hint="eastAsia" w:ascii="宋体" w:hAnsi="宋体" w:eastAsia="宋体" w:cs="宋体"/>
          <w:bCs/>
          <w:color w:val="auto"/>
          <w:szCs w:val="21"/>
          <w:highlight w:val="none"/>
        </w:rPr>
        <w:t>。</w:t>
      </w:r>
    </w:p>
    <w:p w14:paraId="3AFC1A1E">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10.大件垃圾清运。</w:t>
      </w:r>
      <w:r>
        <w:rPr>
          <w:rFonts w:hint="eastAsia" w:ascii="宋体" w:hAnsi="宋体" w:eastAsia="宋体" w:cs="宋体"/>
          <w:bCs/>
          <w:color w:val="auto"/>
          <w:szCs w:val="21"/>
          <w:highlight w:val="none"/>
          <w:lang w:eastAsia="zh-CN"/>
        </w:rPr>
        <w:t>对县城建成区内（含各小区）的大件垃圾（如床垫、沙发、废旧家具、玻璃等）实行随见随清，清运完成后需对现场进行清扫保洁。</w:t>
      </w:r>
    </w:p>
    <w:p w14:paraId="30E73BB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11.“牛皮癣”清理。清理道路两边可视范围区域乱张贴、乱涂写、乱刻画的小广告；不定期对公共广告信息张贴栏进行清洗，确保公共广告信息张贴栏干净整洁，便于市民张贴信息；</w:t>
      </w:r>
      <w:r>
        <w:rPr>
          <w:rFonts w:hint="eastAsia" w:ascii="宋体" w:hAnsi="宋体" w:eastAsia="宋体" w:cs="宋体"/>
          <w:bCs/>
          <w:color w:val="auto"/>
          <w:szCs w:val="21"/>
          <w:highlight w:val="none"/>
          <w:lang w:val="zh-CN" w:eastAsia="zh-CN"/>
        </w:rPr>
        <w:t>作业</w:t>
      </w:r>
      <w:r>
        <w:rPr>
          <w:rFonts w:hint="eastAsia" w:ascii="宋体" w:hAnsi="宋体" w:eastAsia="宋体" w:cs="宋体"/>
          <w:bCs/>
          <w:color w:val="auto"/>
          <w:szCs w:val="21"/>
          <w:highlight w:val="none"/>
          <w:lang w:val="en-US" w:eastAsia="zh-CN"/>
        </w:rPr>
        <w:t>人员在一级、二级、三级道路街道清扫保洁人员调配并需配备相关清理工具。</w:t>
      </w:r>
    </w:p>
    <w:p w14:paraId="58570BDC">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12.应急环境卫生保障。</w:t>
      </w:r>
      <w:r>
        <w:rPr>
          <w:rFonts w:hint="eastAsia" w:ascii="宋体" w:hAnsi="宋体" w:eastAsia="宋体" w:cs="宋体"/>
          <w:bCs/>
          <w:color w:val="auto"/>
          <w:szCs w:val="21"/>
          <w:highlight w:val="none"/>
        </w:rPr>
        <w:t>无条件配合</w:t>
      </w:r>
      <w:r>
        <w:rPr>
          <w:rFonts w:hint="eastAsia" w:ascii="宋体" w:hAnsi="宋体" w:eastAsia="宋体" w:cs="宋体"/>
          <w:bCs/>
          <w:color w:val="auto"/>
          <w:szCs w:val="21"/>
          <w:highlight w:val="none"/>
          <w:lang w:eastAsia="zh-CN"/>
        </w:rPr>
        <w:t>环卫主管部门</w:t>
      </w:r>
      <w:r>
        <w:rPr>
          <w:rFonts w:hint="eastAsia" w:ascii="宋体" w:hAnsi="宋体" w:eastAsia="宋体" w:cs="宋体"/>
          <w:bCs/>
          <w:color w:val="auto"/>
          <w:szCs w:val="21"/>
          <w:highlight w:val="none"/>
        </w:rPr>
        <w:t>完成</w:t>
      </w:r>
      <w:r>
        <w:rPr>
          <w:rFonts w:hint="eastAsia" w:ascii="宋体" w:hAnsi="宋体" w:eastAsia="宋体" w:cs="宋体"/>
          <w:bCs/>
          <w:color w:val="auto"/>
          <w:szCs w:val="21"/>
          <w:highlight w:val="none"/>
          <w:lang w:eastAsia="zh-CN"/>
        </w:rPr>
        <w:t>蒙山县</w:t>
      </w:r>
      <w:r>
        <w:rPr>
          <w:rFonts w:hint="eastAsia" w:ascii="宋体" w:hAnsi="宋体" w:eastAsia="宋体" w:cs="宋体"/>
          <w:bCs/>
          <w:color w:val="auto"/>
          <w:szCs w:val="21"/>
          <w:highlight w:val="none"/>
        </w:rPr>
        <w:t>应急</w:t>
      </w:r>
      <w:r>
        <w:rPr>
          <w:rFonts w:hint="eastAsia" w:ascii="宋体" w:hAnsi="宋体" w:eastAsia="宋体" w:cs="宋体"/>
          <w:bCs/>
          <w:color w:val="auto"/>
          <w:szCs w:val="21"/>
          <w:highlight w:val="none"/>
          <w:lang w:eastAsia="zh-CN"/>
        </w:rPr>
        <w:t>环境卫生</w:t>
      </w:r>
      <w:r>
        <w:rPr>
          <w:rFonts w:hint="eastAsia" w:ascii="宋体" w:hAnsi="宋体" w:eastAsia="宋体" w:cs="宋体"/>
          <w:bCs/>
          <w:color w:val="auto"/>
          <w:szCs w:val="21"/>
          <w:highlight w:val="none"/>
        </w:rPr>
        <w:t>保障工作</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如重要社会活动、重大节假日、节庆庆典等</w:t>
      </w:r>
      <w:r>
        <w:rPr>
          <w:rFonts w:hint="eastAsia" w:ascii="宋体" w:hAnsi="宋体" w:eastAsia="宋体" w:cs="宋体"/>
          <w:bCs/>
          <w:color w:val="auto"/>
          <w:szCs w:val="21"/>
          <w:highlight w:val="none"/>
          <w:lang w:eastAsia="zh-CN"/>
        </w:rPr>
        <w:t>期间）的环境卫生强化作业，增派人员与设备，确保保障期间环境整洁。</w:t>
      </w:r>
    </w:p>
    <w:p w14:paraId="64CAAA93">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13.生活垃圾处理费收缴。</w:t>
      </w:r>
      <w:r>
        <w:rPr>
          <w:rFonts w:hint="eastAsia" w:ascii="宋体" w:hAnsi="宋体" w:eastAsia="宋体" w:cs="宋体"/>
          <w:bCs/>
          <w:color w:val="auto"/>
          <w:szCs w:val="21"/>
          <w:highlight w:val="none"/>
        </w:rPr>
        <w:t>按照</w:t>
      </w:r>
      <w:r>
        <w:rPr>
          <w:rFonts w:hint="eastAsia" w:ascii="宋体" w:hAnsi="宋体" w:eastAsia="宋体" w:cs="宋体"/>
          <w:bCs/>
          <w:color w:val="auto"/>
          <w:szCs w:val="21"/>
          <w:highlight w:val="none"/>
          <w:lang w:eastAsia="zh-CN"/>
        </w:rPr>
        <w:t>环卫主管部门</w:t>
      </w:r>
      <w:r>
        <w:rPr>
          <w:rFonts w:hint="eastAsia" w:ascii="宋体" w:hAnsi="宋体" w:eastAsia="宋体" w:cs="宋体"/>
          <w:bCs/>
          <w:color w:val="auto"/>
          <w:szCs w:val="21"/>
          <w:highlight w:val="none"/>
        </w:rPr>
        <w:t>要求负责县城</w:t>
      </w:r>
      <w:r>
        <w:rPr>
          <w:rFonts w:hint="eastAsia" w:ascii="宋体" w:hAnsi="宋体" w:eastAsia="宋体" w:cs="宋体"/>
          <w:bCs/>
          <w:color w:val="auto"/>
          <w:szCs w:val="21"/>
          <w:highlight w:val="none"/>
          <w:lang w:eastAsia="zh-CN"/>
        </w:rPr>
        <w:t>建成区内生活垃圾处理费收缴等工作，收费人员由县环卫站统一管理、培训。</w:t>
      </w:r>
    </w:p>
    <w:p w14:paraId="345F292F">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（二）乡（镇）服务范围及内容</w:t>
      </w:r>
    </w:p>
    <w:p w14:paraId="0B68AFA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1.生活垃圾清运服务。按照“村收集、镇转运、县处理”模式，按规定清运乡镇生活垃圾（含大件垃圾，</w:t>
      </w:r>
      <w:r>
        <w:rPr>
          <w:rFonts w:hint="eastAsia" w:ascii="宋体" w:hAnsi="宋体" w:eastAsia="宋体" w:cs="宋体"/>
          <w:bCs/>
          <w:color w:val="auto"/>
          <w:szCs w:val="21"/>
          <w:highlight w:val="none"/>
          <w:lang w:eastAsia="zh-CN"/>
        </w:rPr>
        <w:t>如床垫、沙发、废旧家具、玻璃等</w:t>
      </w:r>
      <w:r>
        <w:rPr>
          <w:rFonts w:hint="eastAsia" w:ascii="宋体" w:hAnsi="宋体" w:eastAsia="宋体" w:cs="宋体"/>
          <w:bCs/>
          <w:color w:val="auto"/>
          <w:szCs w:val="21"/>
          <w:highlight w:val="none"/>
          <w:lang w:val="en-US" w:eastAsia="zh-CN"/>
        </w:rPr>
        <w:t>），确保乡（镇）生活垃圾桶点周边10米内无垃圾乱堆乱放现象，收运车辆需适应乡村道路条件，保障运输安全。</w:t>
      </w:r>
    </w:p>
    <w:p w14:paraId="40E084D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垃圾收集容器保洁及更新采购。负责各乡（镇）清运路线公共区域垃圾清运点所有垃圾收集容器的更新、补充及采购工作（生活垃圾公共堆放点由县环卫站会同属地乡镇人民政府结合实际需求统筹确定），需保障容器数量充足、完好无损，容器符合环保标准，及时更换破损、老化容器，确保垃圾收集工作正常有序开展。</w:t>
      </w:r>
    </w:p>
    <w:p w14:paraId="3E854FE4">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3.生活垃圾中转站运营管理。对各乡（镇）生活垃圾中转站进行运营管理，</w:t>
      </w:r>
      <w:r>
        <w:rPr>
          <w:rFonts w:hint="eastAsia" w:ascii="宋体" w:hAnsi="宋体" w:eastAsia="宋体" w:cs="宋体"/>
          <w:bCs/>
          <w:color w:val="auto"/>
          <w:szCs w:val="21"/>
          <w:highlight w:val="none"/>
          <w:lang w:eastAsia="zh-CN"/>
        </w:rPr>
        <w:t>包括</w:t>
      </w:r>
      <w:r>
        <w:rPr>
          <w:rFonts w:hint="eastAsia" w:ascii="宋体" w:hAnsi="宋体" w:eastAsia="宋体" w:cs="宋体"/>
          <w:bCs/>
          <w:color w:val="auto"/>
          <w:szCs w:val="21"/>
          <w:highlight w:val="none"/>
        </w:rPr>
        <w:t>设备</w:t>
      </w:r>
      <w:r>
        <w:rPr>
          <w:rFonts w:hint="eastAsia" w:ascii="宋体" w:hAnsi="宋体" w:eastAsia="宋体" w:cs="宋体"/>
          <w:bCs/>
          <w:color w:val="auto"/>
          <w:szCs w:val="21"/>
          <w:highlight w:val="none"/>
          <w:lang w:eastAsia="zh-CN"/>
        </w:rPr>
        <w:t>操作、日常巡检、车辆维护、站内卫生消杀除臭、垃圾暂存与转运协调等工作，确保中转站设备、运输车辆正常运行，站内环境整洁、无垃圾堆积、污水横流等现象，严格遵守环保操作规程；建立设备运行台账，每月提交至县环卫站。</w:t>
      </w:r>
    </w:p>
    <w:p w14:paraId="3E7C707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（三）生活垃圾外运焚烧处置服务范围及内容</w:t>
      </w:r>
    </w:p>
    <w:p w14:paraId="4936379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全流程处置责任。负责将蒙山县全县城每天产生的生活垃圾从蒙山县转运平台转运到具备资质的焚烧发电厂进行无害化焚烧处置。转运平台内生活垃圾要进行规范化装车、装车前需对垃圾进行初步分拣，确保符合焚烧厂进料标准；设置大件垃圾及其他垃圾临时堆放点，对分拣出的建筑垃圾需转运至蒙山县建筑垃圾消纳场处置，大型垃圾需破拆后再进行装车处置；运输路线需提前报环卫主管部门备案，且不得擅自变更，运输过程需全程记录（含运输时间、装载量等），每日与焚烧厂核对处置量并留存凭证，确保垃圾处置可追溯，每月向县环卫站提交转运平台运营报告（含设备运行记录、垃圾运输量、处置量等）。</w:t>
      </w:r>
    </w:p>
    <w:p w14:paraId="57A296A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转运平台与车辆配置要求。负责转运站的运营管理以及转运平台配置的车辆购置，运输车辆须与转运平台的设施设备相适应并能及时衔接转运垃圾，采用全密闭垃圾运输车辆，具有防臭味扩散、防遗撒、防渗滤液滴漏功能，清运能力不低于120吨/日；节假日及大型活动期间原有车辆不能满足垃圾清运的情况下，需无条件增加符合环保标准的运输车辆及时清运当天产生的生活垃圾，做到日产日清。</w:t>
      </w:r>
    </w:p>
    <w:p w14:paraId="03FFB1D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计量设备运维要求。承包公司应委托具备地磅校准资质的第三方机构，每6个月对地磅开展1次检查、校准和测试，确保计量数据准确，每次校准完成后10个工作日内，需将第三方机构出具的校准报告报县环卫站备案，定期检查、校准及测试产生的费用由承包公司全额承担，若因未按时校准导致计量数据偏差，造成的损失由承包公司负责。生活垃圾从转运平台出场重量与进入焚烧厂的称重重量若存在差异，且差异在合理误差范围内（±2%），以焚烧厂地磅称重重量做为最终认定依据；若差异超出合理误差范围，需由承包公司、县环卫站、焚烧厂三方共同核查原因，核查结果做为重量认定依据。</w:t>
      </w:r>
    </w:p>
    <w:p w14:paraId="6D8A9B2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（四）生活垃圾填埋场管理</w:t>
      </w:r>
    </w:p>
    <w:p w14:paraId="666A6FF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日常维护管理。对蒙山县生活垃圾填埋场进行日常运营管理，包括防渗系统维护、填埋气体导排系统维护与处理、场区道路、截洪沟等安全巡查，做好相关台账记录，确保填埋场正常运行；按照《生活垃圾填埋场污染控制标准》（GB16889-2024）要求开展环境监测并向县环卫站提交监测报告。</w:t>
      </w:r>
    </w:p>
    <w:p w14:paraId="57B498DC">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bCs/>
          <w:color w:val="auto"/>
          <w:szCs w:val="21"/>
          <w:highlight w:val="none"/>
          <w:lang w:val="en-US" w:eastAsia="zh-CN"/>
        </w:rPr>
        <w:t>2.渗滤液处理站运行管理。对渗滤液处理设施设备进行日常巡检与定期维护，建立设备台账、记录设备运行参数；重大故障需制定修复方案并同步上报县环卫站；严格按照渗滤液处理工艺要求控制进水负荷，建立渗滤液处理台账，确保出水水质符合《生活垃圾填埋场污染控制标准》（GB16889-2024）中表2排放标准。</w:t>
      </w:r>
    </w:p>
    <w:p w14:paraId="0D4B967D">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2、服务质量要求：</w:t>
      </w:r>
    </w:p>
    <w:p w14:paraId="7071793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为确保本项目各环节环卫服务规范、合规，严格依据国家及地方现行法规与技术标准制定作业要求，具体以《城市市容和环境卫生管理条例》(国务院第676号令)、《广西壮族自治区实施〈城市市容和环境卫生管理条例〉办法》（2025年第二次修正）、《城市道路清扫保洁质量与评价标准》(CJJ/T126-2022)、《城市公厕管理办法》（2011修正）、《生活垃圾转运站运行维护技术规程》(CJJ109-2023)、《生活垃圾卫生填埋场运行维护技术规程》（CJJ93-2011）、《生活垃圾填埋场污染控制标准》（GB16889-2024）等文件为核心依据，同时衔接最新修订标准针对本项目涵盖的道路清扫保洁、垃圾收运、中转站运营、公厕管理、生活垃圾外运焚烧处置、填埋场管理等不同作业内容，分类明确对应的作业标准与技术要求，确保各环节服务质量达标、流程合规。具体标准细则如下：</w:t>
      </w:r>
    </w:p>
    <w:p w14:paraId="6F0DA9D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（一）县城建成区内道路清扫保洁时间安排</w:t>
      </w:r>
    </w:p>
    <w:tbl>
      <w:tblPr>
        <w:tblStyle w:val="47"/>
        <w:tblW w:w="916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740"/>
        <w:gridCol w:w="2730"/>
        <w:gridCol w:w="2985"/>
      </w:tblGrid>
      <w:tr w14:paraId="3725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710" w:type="dxa"/>
            <w:noWrap w:val="0"/>
            <w:vAlign w:val="top"/>
          </w:tcPr>
          <w:p w14:paraId="03B8749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道路级别</w:t>
            </w:r>
          </w:p>
        </w:tc>
        <w:tc>
          <w:tcPr>
            <w:tcW w:w="1740" w:type="dxa"/>
            <w:noWrap w:val="0"/>
            <w:vAlign w:val="top"/>
          </w:tcPr>
          <w:p w14:paraId="6261FA4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作业时长</w:t>
            </w:r>
          </w:p>
        </w:tc>
        <w:tc>
          <w:tcPr>
            <w:tcW w:w="2730" w:type="dxa"/>
            <w:noWrap w:val="0"/>
            <w:vAlign w:val="top"/>
          </w:tcPr>
          <w:p w14:paraId="2FE49E2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巡回保洁时间</w:t>
            </w:r>
          </w:p>
        </w:tc>
        <w:tc>
          <w:tcPr>
            <w:tcW w:w="2985" w:type="dxa"/>
            <w:noWrap w:val="0"/>
            <w:vAlign w:val="top"/>
          </w:tcPr>
          <w:p w14:paraId="2066C53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普扫时间</w:t>
            </w:r>
          </w:p>
        </w:tc>
      </w:tr>
      <w:tr w14:paraId="6D22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0" w:type="dxa"/>
            <w:noWrap w:val="0"/>
            <w:vAlign w:val="top"/>
          </w:tcPr>
          <w:p w14:paraId="30F870C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一级道路</w:t>
            </w:r>
          </w:p>
          <w:p w14:paraId="7FE0514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二级道路</w:t>
            </w:r>
          </w:p>
        </w:tc>
        <w:tc>
          <w:tcPr>
            <w:tcW w:w="1740" w:type="dxa"/>
            <w:noWrap w:val="0"/>
            <w:vAlign w:val="top"/>
          </w:tcPr>
          <w:p w14:paraId="69FA4EF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18小时</w:t>
            </w:r>
          </w:p>
        </w:tc>
        <w:tc>
          <w:tcPr>
            <w:tcW w:w="2730" w:type="dxa"/>
            <w:noWrap w:val="0"/>
            <w:vAlign w:val="top"/>
          </w:tcPr>
          <w:p w14:paraId="1B81616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5:00-23:00</w:t>
            </w:r>
          </w:p>
          <w:p w14:paraId="5C48D1B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春、冬季为22:00</w:t>
            </w:r>
          </w:p>
        </w:tc>
        <w:tc>
          <w:tcPr>
            <w:tcW w:w="2985" w:type="dxa"/>
            <w:noWrap w:val="0"/>
            <w:vAlign w:val="top"/>
          </w:tcPr>
          <w:p w14:paraId="59EB12F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早班5:00-8:00</w:t>
            </w:r>
          </w:p>
          <w:p w14:paraId="19475D4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中班：16:00-19:00</w:t>
            </w:r>
          </w:p>
        </w:tc>
      </w:tr>
      <w:tr w14:paraId="47CA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710" w:type="dxa"/>
            <w:noWrap w:val="0"/>
            <w:vAlign w:val="top"/>
          </w:tcPr>
          <w:p w14:paraId="3507CBE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三级道路</w:t>
            </w:r>
          </w:p>
        </w:tc>
        <w:tc>
          <w:tcPr>
            <w:tcW w:w="1740" w:type="dxa"/>
            <w:noWrap w:val="0"/>
            <w:vAlign w:val="top"/>
          </w:tcPr>
          <w:p w14:paraId="455FA82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15小时</w:t>
            </w:r>
          </w:p>
        </w:tc>
        <w:tc>
          <w:tcPr>
            <w:tcW w:w="2730" w:type="dxa"/>
            <w:noWrap w:val="0"/>
            <w:vAlign w:val="top"/>
          </w:tcPr>
          <w:p w14:paraId="69EFF55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6:00-21:00</w:t>
            </w:r>
          </w:p>
        </w:tc>
        <w:tc>
          <w:tcPr>
            <w:tcW w:w="2985" w:type="dxa"/>
            <w:noWrap w:val="0"/>
            <w:vAlign w:val="top"/>
          </w:tcPr>
          <w:p w14:paraId="4B4C98D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6：00-9:00</w:t>
            </w:r>
          </w:p>
        </w:tc>
      </w:tr>
      <w:tr w14:paraId="7514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10" w:type="dxa"/>
            <w:noWrap w:val="0"/>
            <w:vAlign w:val="top"/>
          </w:tcPr>
          <w:p w14:paraId="2FA1FCA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市政公厕</w:t>
            </w:r>
          </w:p>
        </w:tc>
        <w:tc>
          <w:tcPr>
            <w:tcW w:w="1740" w:type="dxa"/>
            <w:noWrap w:val="0"/>
            <w:vAlign w:val="top"/>
          </w:tcPr>
          <w:p w14:paraId="6805574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16小时</w:t>
            </w:r>
          </w:p>
        </w:tc>
        <w:tc>
          <w:tcPr>
            <w:tcW w:w="2730" w:type="dxa"/>
            <w:noWrap w:val="0"/>
            <w:vAlign w:val="top"/>
          </w:tcPr>
          <w:p w14:paraId="1CB9634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6:00-22:00</w:t>
            </w:r>
          </w:p>
        </w:tc>
        <w:tc>
          <w:tcPr>
            <w:tcW w:w="2985" w:type="dxa"/>
            <w:noWrap w:val="0"/>
            <w:vAlign w:val="top"/>
          </w:tcPr>
          <w:p w14:paraId="61CFF0A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工作时间内随脏随保</w:t>
            </w:r>
          </w:p>
        </w:tc>
      </w:tr>
    </w:tbl>
    <w:p w14:paraId="60817B5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（二）县城建成区内道路综合清扫保洁质量标准</w:t>
      </w:r>
    </w:p>
    <w:p w14:paraId="510FBE9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一、二级道路达到“十无”、“七净”。“十无”即无果皮纸屑塑膜、无烟头、无扬尘、无砖瓦瓦块、无痰迹、无积存裸露垃圾、无污水、无杂草、无人畜粪便、无动物尸体等杂物；“七净”即下水口净、树池净、绿化带内及周边净、路沿石净、人行道净、车行道净、边沟净，地面垃圾停留时间不超过30分钟；三级道路清扫保洁质量达到“五无”、“五净”。“五无”即无堆积物、无污泥积水积尘、无果皮纸屑塑膜、无砖头瓦块、无积存裸露垃圾；“五净”即下水口净、树池净、绿化带内及周边净、人行道净、车行道净，地面垃圾停留时间不超过30分钟。严禁环卫工人将垃圾、泥沙扫入下水道进水口、倒入或挑入绿化带内。</w:t>
      </w:r>
    </w:p>
    <w:p w14:paraId="5818E1D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保洁时，环卫工人巡回走动，用小扫把清理路面果皮、纸屑、塑膜、烟蒂、饮料包装盒（瓶）等垃圾，人行道、路牙等处的杂草淤泥、垃圾必须及时清除，做到勤走、勤看、勤扫，确保路面整洁。清扫保洁过程中，遇有人乱扔、乱倒垃圾、乱泼洒污水、抛洒建筑材料时应用文明礼貌用语劝阻，情节严重的，及时报告环卫站，依法处理。</w:t>
      </w:r>
    </w:p>
    <w:p w14:paraId="4858802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3.物业管理公司所辖的小区内部的清扫保洁工作，由物业公司自行负责，小区衔接城区道路的人行道清扫、保洁工作由承包公司负责，不得推诿扯皮。</w:t>
      </w:r>
    </w:p>
    <w:p w14:paraId="2964F32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4.清扫保洁垃圾和居民投放垃圾应及时收集到中转站，不得积压在车（筒、箱、池）内，严禁裸露堆放在路面。</w:t>
      </w:r>
    </w:p>
    <w:p w14:paraId="02DB57C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垃圾收集点的垃圾应巡回收集中转，做到垃圾箱（筒、池）不满溢，垃圾收集点周围应清洁、无散落垃圾和污水，日产日清，无积压。垃圾桶、果皮箱内无积存垃圾，周围地面整洁、无污水流溢，收集作业完成后，应做到车走地净，垃圾应直接送到指定的转运站，运输途中不得抛撒。</w:t>
      </w:r>
    </w:p>
    <w:p w14:paraId="35E11F6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6.垃圾收集容器应定位设置，收集垃圾后正面配对摆放整齐并合上桶盖，垃圾桶或果皮箱等环卫设施发生遗失、损坏、不足及自然损耗现象，要及时向环卫站反映更换或增补。</w:t>
      </w:r>
    </w:p>
    <w:p w14:paraId="6C74ECD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7.无主装璜垃圾、碎石、砖块等，应及时通知城管人员清除。</w:t>
      </w:r>
    </w:p>
    <w:p w14:paraId="67D3237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8.收集车的车容须美观、整洁，做到每天清洗、定期喷漆，标识清晰。</w:t>
      </w:r>
    </w:p>
    <w:p w14:paraId="2C3346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9.中转垃圾倾倒以就近为原则，垃圾倾倒到中转站时，中转人员必须及时将垃圾推入箱体内。</w:t>
      </w:r>
    </w:p>
    <w:p w14:paraId="0662253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10.清扫、保洁、收集、中转垃圾严禁焚烧。</w:t>
      </w:r>
    </w:p>
    <w:p w14:paraId="23DF171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11.环卫工人上岗作业时，必须统一穿戴具有安全标识的工作服；清扫、收集垃圾、冲洗环卫设施作业时，要正确摆放安全标志做为防护提示，随走随放。</w:t>
      </w:r>
    </w:p>
    <w:p w14:paraId="6FC4B85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（三）县城建成区内机械化清扫和洒水冲洗作业标准</w:t>
      </w:r>
    </w:p>
    <w:p w14:paraId="4FC7B38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1.机械清扫和洒水压尘洗刷作业要以机械清扫为主，人工清扫保洁为辅，最大限度降低灰尘污染。（根据环保部门信息及工作要求，污染预警天气时，乙方无条件服从甲方安排洒水工作）。</w:t>
      </w:r>
    </w:p>
    <w:p w14:paraId="334E47E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2.一、二级道路每天机械化清扫次数不少于3次，即5:00-9：00、14:00-17:00、19:00-23:00，三级道路和适宜机械化清扫的背街小巷每天清扫次数不少于2次，即6:00-10:00、14:00-17:00，机械化清扫率达到95%以上。</w:t>
      </w:r>
    </w:p>
    <w:p w14:paraId="65EA3EF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一、二级道路每天（6:00-19:00期间）洒水次数不少于4次，三级道路和可通洒水车道路每天洒水次数不少于1次，雨天除外，如遇扬尘天气较为严重时，重点区域需要增加至6-8次。洒水车作业时必须开启警示信号，并控制适当的水压和车速，减少对路人的妨碍。</w:t>
      </w:r>
    </w:p>
    <w:p w14:paraId="3BBEC55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4.垃圾桶、果皮箱、交通护栏无明显污迹、积尘，桶（箱）体周围地面1米内整洁、无堆积垃圾、污渍，及时消杀灭菌，做到干净、整洁。</w:t>
      </w:r>
    </w:p>
    <w:p w14:paraId="415E476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（四）县城建成区杂草清理标准</w:t>
      </w:r>
    </w:p>
    <w:p w14:paraId="2AAC00E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质量标准：建成区道路路面及两侧无成片杂草、无丛生杂草；城乡结合部杂草高度控制在20cm以内。清理产生的杂草做到随清随运、日产日清；严禁就地焚烧杂草、严禁将杂草扫入雨水篦子及绿化带内，禁止使用高毒、高残留除草剂开展除草作业。</w:t>
      </w:r>
    </w:p>
    <w:p w14:paraId="468A335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2.作业频次：主次干道每周开展全覆盖清理不少于1次，实行日常随长随清，动态保洁；背街小巷及城乡结合部每月全覆盖清理不少于1次，杂草旺长季节全体加密作业频次，及时清除杂草，保持市容环境整洁。</w:t>
      </w:r>
    </w:p>
    <w:p w14:paraId="12D8F0B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（五）县城建成区内市政公厕保洁标准</w:t>
      </w:r>
    </w:p>
    <w:p w14:paraId="2125A4C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每间公厕至少配备1名保洁人员（梁羽生公厕需配备2人或以上）。按规定的作业时间实施作业，作业人员无缺岗、无迟到早退现象，保洁人员着装规范，管理规章制度和相关作业人员的信息在公厕入口处进行公示。</w:t>
      </w:r>
    </w:p>
    <w:p w14:paraId="3F2E877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公厕室内外环境干净整洁、无乱张贴现象，工具房工具、用品摆放整齐，公厕内采光、照明和通风良好，无明显臭味，墙面、天花板、门窗和隔离板无积灰、污迹、蛛网，无乱涂乱画；地面无污迹污垢、积水等。</w:t>
      </w:r>
    </w:p>
    <w:p w14:paraId="3C34FF6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3.蹲位整洁，大便槽两侧无粪便污物，槽内无积粪，洁净见底；小便槽（斗）无水锈、尿垢、垃圾，基本无臭；沟眼、管道保持畅通。</w:t>
      </w:r>
    </w:p>
    <w:p w14:paraId="5CB4E7F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4.定时喷洒灭蚊蝇药物，有效控制蝇蛆孳生。</w:t>
      </w:r>
    </w:p>
    <w:p w14:paraId="044AF91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5.公厕化粪池与出粪口设有盖板，无破损凹陷。定期清理化粪池，粪便不满溢，粪便密闭化运输。</w:t>
      </w:r>
    </w:p>
    <w:p w14:paraId="63131F5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6.公厕内外附属设施完整、完好，如用水用电设施、照明灯具、洗手器具、烘手器、冲水设备、玻璃镜、坑位、水管、厕所门窗等损坏需及时维修（含屋顶和墙面维修）。</w:t>
      </w:r>
    </w:p>
    <w:p w14:paraId="138B49A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7.市政公厕实行免费上厕，不得收取任何费用，24小时全天候开放。</w:t>
      </w:r>
    </w:p>
    <w:p w14:paraId="430C10D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（六）生活垃圾收转运作业标准</w:t>
      </w:r>
    </w:p>
    <w:p w14:paraId="215CEFC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生活垃圾收运作业采取分区包干责任制，实行定人、定时段、全覆盖收运，收集垃圾后场地及时清理，收集点周边10米范围不能出现有生活垃圾堆积现象，车走地净；垃圾桶、果皮箱要正面配对摆放并合上盖，严禁在路边分选垃圾。</w:t>
      </w:r>
    </w:p>
    <w:p w14:paraId="2CC6592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综合考虑集镇和农村的人口、垃圾产量、地理位置以及车辆运输能力，合理设置垃圾收集路线、垃圾收集容器和垃圾收运车辆，对农村的生活垃圾采用转运站转运和直运模式。农村生活垃圾必须安排足够的车辆、人员和工具，对我县8条主干道上生活垃圾收集点的生活垃圾做到日产日清，其余次干道三日一清，最终把生活垃圾运到县生活垃圾填埋场进行转运处置。</w:t>
      </w:r>
    </w:p>
    <w:p w14:paraId="5207F2B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3.农村大件垃圾实行年度定期集中处置，原则上每年3月、10月固定集中清运2次，如遇上级检查、调研等工作时，须及时组织专项清运。</w:t>
      </w:r>
    </w:p>
    <w:p w14:paraId="793F5D9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（七）生活垃圾中转站和转运平台运行管理标准</w:t>
      </w:r>
    </w:p>
    <w:p w14:paraId="3B9A13A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1.进入站内处理的垃圾应是生活垃圾，严禁工业、医疗、危险和放射性等有毒有害废弃物进入垃圾中转站和转运站；进入转运站垃圾来源要明确，严禁来源不清的垃圾进入转运站。</w:t>
      </w:r>
    </w:p>
    <w:p w14:paraId="57CA307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场地设有专人管理，工具、物品、车辆等置放有序整洁，每天对站内冲洗1次以上，保持站内外整洁、无撒落垃圾和堆放杂物、无积留污水，室内通风应良好、无恶臭；墙壁、窗户应无积尘、蛛网，没有污水管网连接的中转站，中转站污水收集池的污水要及时用车辆抽运到所在地的污水管网，每月对站内外排水沟实行定期清洗，沉沙井每月疏通清理一次；应定时喷洒消毒、除臭药物和投放除“四害”药物，“四害”密度达到在可视范围内，站内苍蝇活体少于20只、蟑螂活体少于5只/次，无老鼠活体出现。</w:t>
      </w:r>
    </w:p>
    <w:p w14:paraId="018EB23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进入站内的垃圾应当日转运，做到日产日清。站内外周围10米范围内不得有杂物（纸皮、矿泉水瓶、泡沫等）、垃圾等与工作无关的东西堆放，地面及门前不得有垃圾渗滤液留存，确保周围环境整洁；站内积存的渗滤液严禁注入垃圾转运车辆并转运至焚烧厂处置，需另行采用专用罐车运输至具备资质的第三方机构处理，或输送至填埋场渗滤液处理站规范处置。</w:t>
      </w:r>
    </w:p>
    <w:p w14:paraId="4995F24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站内设有规章制度并公布站点名称、开放时间、管理人员和投诉电话等。作业人员无缺岗、无迟到早退，按作业规范实施站内的运行管理及其他机器的安全操作，保持站内设施设备完好并正常运转，做好设备设施检修、安全检查等工作，建立设施设备的检查、保养和维修台账；站点工作人员下班后需要做好关闭电源、锁好门窗及对站点的清洗清洁工作；严禁在垃圾中转站、转运站内养禽畜、赌博、饮酒等不良和违法行为。</w:t>
      </w:r>
    </w:p>
    <w:p w14:paraId="1C99984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5.当日进站垃圾必须当日完成压缩，转运站每天对各种垃圾运输车辆和垃圾转运车的到站、出站和垃圾清运量等做出详细记录，并整理台账备查。</w:t>
      </w:r>
    </w:p>
    <w:p w14:paraId="7140BA2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承包公司应委托具备地磅校准资质的第三方机构，每6个月对地磅开展1次检查、校准和测试，确保计量数据准确，每次校准完成后10个工作日内，需将第三方机构出具的校准报告报县环卫站备案。若因未按时校准导致计量数据偏差，造成的损失由承包公司负责。生活垃圾从转运平台出场重量与进入焚烧厂的称重重量若存在差异，且差异在合理误差范围内（±2%），以焚烧厂地磅称重重量做为最终认定依据；若差异超出合理误差范围，需由承包公司、县环卫站、焚烧厂三方共同核查原因，核查结果做为重量认定依据。</w:t>
      </w:r>
    </w:p>
    <w:p w14:paraId="5022CC5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（八）垃圾车辆管理要求</w:t>
      </w:r>
    </w:p>
    <w:p w14:paraId="00D9FEB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公司使用的环卫运输车辆必须符合国家上路标准法规且新车占比率要达到85%以上（新车使用年限不得超过3年且能正常使用），配备的环卫车辆类型必须与本项目相关设施设备相适应且能满足各环节工作需求，县环卫站现有的环卫作业车辆可无偿移交给承包公司使用，承包公司负责车辆的维护维修、车辆年险、年检等，车辆不能满足工作需要时由承包公司自行配备，如县环卫站需要使用环卫作业车辆的，承包方需无偿提供给环卫站使用。</w:t>
      </w:r>
    </w:p>
    <w:p w14:paraId="6EFDF16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公司须在进场作业之日起投入足够的作业设施设备，自行解决道路清扫保洁、垃圾收转运、设施清洗等工作所需的日常工具和劳保用品；环卫作业人员配备统一的行业工作服，印有明显的单位标志。作业时衣着规范，佩戴反光安全标志，规范设置作业安全警示标志。其中①县城3吨垃圾压缩车不少于4台，8-12吨洗扫车不少于2台，8吨洒水车不少于2台，12吨勾臂车不少于2台，电瓶三轮车不少于80台；②农村生活垃圾收集车辆须满足：3吨垃圾压缩车不少于9辆，8-10吨垃圾压缩车不少于3辆。</w:t>
      </w:r>
    </w:p>
    <w:p w14:paraId="5F08B92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3.垃圾实行密闭化运输，运输过程中无垃圾遗撒，拖挂和污水地漏，无超重、超高运输，按指定地点装卸垃圾，不得乱倒、乱卸垃圾。</w:t>
      </w:r>
    </w:p>
    <w:p w14:paraId="7FE213E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4.垃圾运输车辆应整洁干净、性能良好、无残缺破损、无积垢、无吊挂垃圾、车辆需喷印有单位名称、车辆编号、环卫标志应清晰。</w:t>
      </w:r>
    </w:p>
    <w:p w14:paraId="2EF0568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（九）生活垃圾填埋场管理要求</w:t>
      </w:r>
    </w:p>
    <w:p w14:paraId="2B343AF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1.管理制度与人员规范。各项规章制度和操作规程在办公区、作业入口处等显眼位置悬挂上墙，工作人员上岗时需着装规范，佩戴工作牌。</w:t>
      </w:r>
    </w:p>
    <w:p w14:paraId="49EBD1A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场区巡检与维护。建立日常巡查制度，定期巡查，覆膜和边坡发现孔洞、脱焊及时修补，覆膜厚度均应符合国家现行标准《生活垃圾卫生填埋处理技术标准》（GB/T50869-2013）的规定；定期清除积水、杂物，保持场区道路、截洪沟、排水渠等地方完好畅通；定期检查填埋库区、调节池的甲烷浓度，填埋库区上方甲烷气体浓度应小于5%，临近5%时应立即采取相应的安全措施，及时导排收集甲烷气体，控制填埋库区气体浓度，预防火灾和爆炸；定期对场区供电设施、电器、照明、监控设备、通讯管线、避雷、应急物资等进行检查维护，发现失效或缺失应及时更换或增补；定期对场区进行保洁、清淤、除草、消杀除臭等工作，做到无垃圾散落、无污物堆积和无污水溢流。</w:t>
      </w:r>
    </w:p>
    <w:p w14:paraId="505D872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3.渗滤液处理站运行管理要求</w:t>
      </w:r>
    </w:p>
    <w:p w14:paraId="765086D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渗滤液处理站出水排放执行《生活垃圾填埋场污染物控制标准》（GB16889-2024）中表2直接排放的水污染物排放限值规定，如国家出台新的排放标准，则按新标准执行。</w:t>
      </w:r>
    </w:p>
    <w:p w14:paraId="2C9C480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表2：直接排放的水污染物排放限值</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3209"/>
        <w:gridCol w:w="2836"/>
        <w:gridCol w:w="1695"/>
      </w:tblGrid>
      <w:tr w14:paraId="4427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21" w:type="dxa"/>
            <w:noWrap w:val="0"/>
            <w:vAlign w:val="top"/>
          </w:tcPr>
          <w:p w14:paraId="0F79352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序号</w:t>
            </w:r>
          </w:p>
        </w:tc>
        <w:tc>
          <w:tcPr>
            <w:tcW w:w="3209" w:type="dxa"/>
            <w:noWrap w:val="0"/>
            <w:vAlign w:val="top"/>
          </w:tcPr>
          <w:p w14:paraId="423358F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污染物项目</w:t>
            </w:r>
          </w:p>
        </w:tc>
        <w:tc>
          <w:tcPr>
            <w:tcW w:w="2836" w:type="dxa"/>
            <w:noWrap w:val="0"/>
            <w:vAlign w:val="top"/>
          </w:tcPr>
          <w:p w14:paraId="20DA80A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排放质量浓度限值</w:t>
            </w:r>
          </w:p>
        </w:tc>
        <w:tc>
          <w:tcPr>
            <w:tcW w:w="1695" w:type="dxa"/>
            <w:noWrap w:val="0"/>
            <w:vAlign w:val="top"/>
          </w:tcPr>
          <w:p w14:paraId="25B38E7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监控位置</w:t>
            </w:r>
          </w:p>
        </w:tc>
      </w:tr>
      <w:tr w14:paraId="0AB8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321" w:type="dxa"/>
            <w:noWrap w:val="0"/>
            <w:vAlign w:val="top"/>
          </w:tcPr>
          <w:p w14:paraId="2DB6B64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w:t>
            </w:r>
          </w:p>
        </w:tc>
        <w:tc>
          <w:tcPr>
            <w:tcW w:w="3209" w:type="dxa"/>
            <w:noWrap w:val="0"/>
            <w:vAlign w:val="top"/>
          </w:tcPr>
          <w:p w14:paraId="3C45832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色度（稀释倍数）</w:t>
            </w:r>
          </w:p>
        </w:tc>
        <w:tc>
          <w:tcPr>
            <w:tcW w:w="2836" w:type="dxa"/>
            <w:noWrap w:val="0"/>
            <w:vAlign w:val="top"/>
          </w:tcPr>
          <w:p w14:paraId="1C8F72F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40</w:t>
            </w:r>
          </w:p>
        </w:tc>
        <w:tc>
          <w:tcPr>
            <w:tcW w:w="1695" w:type="dxa"/>
            <w:vMerge w:val="restart"/>
            <w:noWrap w:val="0"/>
            <w:vAlign w:val="center"/>
          </w:tcPr>
          <w:p w14:paraId="2C20A3C1">
            <w:pPr>
              <w:spacing w:line="360" w:lineRule="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渗滤液处理设施排放口</w:t>
            </w:r>
          </w:p>
        </w:tc>
      </w:tr>
      <w:tr w14:paraId="5659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831A19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w:t>
            </w:r>
          </w:p>
        </w:tc>
        <w:tc>
          <w:tcPr>
            <w:tcW w:w="3209" w:type="dxa"/>
            <w:noWrap w:val="0"/>
            <w:vAlign w:val="top"/>
          </w:tcPr>
          <w:p w14:paraId="43610BE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化学需氧量（COD）/（mg/L）</w:t>
            </w:r>
          </w:p>
        </w:tc>
        <w:tc>
          <w:tcPr>
            <w:tcW w:w="2836" w:type="dxa"/>
            <w:noWrap w:val="0"/>
            <w:vAlign w:val="top"/>
          </w:tcPr>
          <w:p w14:paraId="452A44F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100</w:t>
            </w:r>
          </w:p>
        </w:tc>
        <w:tc>
          <w:tcPr>
            <w:tcW w:w="1695" w:type="dxa"/>
            <w:vMerge w:val="continue"/>
            <w:noWrap w:val="0"/>
            <w:vAlign w:val="top"/>
          </w:tcPr>
          <w:p w14:paraId="0D4C44CE">
            <w:pPr>
              <w:spacing w:line="360" w:lineRule="auto"/>
              <w:ind w:firstLine="420" w:firstLineChars="200"/>
              <w:rPr>
                <w:rFonts w:hint="eastAsia" w:ascii="宋体" w:hAnsi="宋体" w:eastAsia="宋体" w:cs="宋体"/>
                <w:bCs/>
                <w:color w:val="auto"/>
                <w:szCs w:val="21"/>
                <w:highlight w:val="none"/>
                <w:lang w:val="en-US" w:eastAsia="zh-CN"/>
              </w:rPr>
            </w:pPr>
          </w:p>
        </w:tc>
      </w:tr>
      <w:tr w14:paraId="6DD8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551F3D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w:t>
            </w:r>
          </w:p>
        </w:tc>
        <w:tc>
          <w:tcPr>
            <w:tcW w:w="3209" w:type="dxa"/>
            <w:noWrap w:val="0"/>
            <w:vAlign w:val="top"/>
          </w:tcPr>
          <w:p w14:paraId="036A19AF">
            <w:pPr>
              <w:spacing w:line="360" w:lineRule="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生化需氧量（BOD5）/（mg/L）</w:t>
            </w:r>
          </w:p>
        </w:tc>
        <w:tc>
          <w:tcPr>
            <w:tcW w:w="2836" w:type="dxa"/>
            <w:noWrap w:val="0"/>
            <w:vAlign w:val="top"/>
          </w:tcPr>
          <w:p w14:paraId="31BD1ED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w:t>
            </w:r>
          </w:p>
        </w:tc>
        <w:tc>
          <w:tcPr>
            <w:tcW w:w="1695" w:type="dxa"/>
            <w:vMerge w:val="continue"/>
            <w:noWrap w:val="0"/>
            <w:vAlign w:val="top"/>
          </w:tcPr>
          <w:p w14:paraId="5214FD58">
            <w:pPr>
              <w:spacing w:line="360" w:lineRule="auto"/>
              <w:ind w:firstLine="420" w:firstLineChars="200"/>
              <w:rPr>
                <w:rFonts w:hint="eastAsia" w:ascii="宋体" w:hAnsi="宋体" w:eastAsia="宋体" w:cs="宋体"/>
                <w:bCs/>
                <w:color w:val="auto"/>
                <w:szCs w:val="21"/>
                <w:highlight w:val="none"/>
                <w:lang w:val="en-US" w:eastAsia="zh-CN"/>
              </w:rPr>
            </w:pPr>
          </w:p>
        </w:tc>
      </w:tr>
      <w:tr w14:paraId="51FE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009CE5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w:t>
            </w:r>
          </w:p>
        </w:tc>
        <w:tc>
          <w:tcPr>
            <w:tcW w:w="3209" w:type="dxa"/>
            <w:noWrap w:val="0"/>
            <w:vAlign w:val="top"/>
          </w:tcPr>
          <w:p w14:paraId="2B1F5A4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悬浮物（mg/L）</w:t>
            </w:r>
          </w:p>
        </w:tc>
        <w:tc>
          <w:tcPr>
            <w:tcW w:w="2836" w:type="dxa"/>
            <w:noWrap w:val="0"/>
            <w:vAlign w:val="top"/>
          </w:tcPr>
          <w:p w14:paraId="07325B5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w:t>
            </w:r>
          </w:p>
        </w:tc>
        <w:tc>
          <w:tcPr>
            <w:tcW w:w="1695" w:type="dxa"/>
            <w:vMerge w:val="continue"/>
            <w:noWrap w:val="0"/>
            <w:vAlign w:val="top"/>
          </w:tcPr>
          <w:p w14:paraId="01073F5C">
            <w:pPr>
              <w:spacing w:line="360" w:lineRule="auto"/>
              <w:ind w:firstLine="420" w:firstLineChars="200"/>
              <w:rPr>
                <w:rFonts w:hint="eastAsia" w:ascii="宋体" w:hAnsi="宋体" w:eastAsia="宋体" w:cs="宋体"/>
                <w:bCs/>
                <w:color w:val="auto"/>
                <w:szCs w:val="21"/>
                <w:highlight w:val="none"/>
                <w:lang w:val="en-US" w:eastAsia="zh-CN"/>
              </w:rPr>
            </w:pPr>
          </w:p>
        </w:tc>
      </w:tr>
      <w:tr w14:paraId="07F4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D85A44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w:t>
            </w:r>
          </w:p>
        </w:tc>
        <w:tc>
          <w:tcPr>
            <w:tcW w:w="3209" w:type="dxa"/>
            <w:noWrap w:val="0"/>
            <w:vAlign w:val="top"/>
          </w:tcPr>
          <w:p w14:paraId="291326D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总氮（mg/L）</w:t>
            </w:r>
          </w:p>
        </w:tc>
        <w:tc>
          <w:tcPr>
            <w:tcW w:w="2836" w:type="dxa"/>
            <w:noWrap w:val="0"/>
            <w:vAlign w:val="top"/>
          </w:tcPr>
          <w:p w14:paraId="1B99C56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40</w:t>
            </w:r>
          </w:p>
        </w:tc>
        <w:tc>
          <w:tcPr>
            <w:tcW w:w="1695" w:type="dxa"/>
            <w:vMerge w:val="continue"/>
            <w:noWrap w:val="0"/>
            <w:vAlign w:val="top"/>
          </w:tcPr>
          <w:p w14:paraId="538AE348">
            <w:pPr>
              <w:spacing w:line="360" w:lineRule="auto"/>
              <w:ind w:firstLine="420" w:firstLineChars="200"/>
              <w:rPr>
                <w:rFonts w:hint="eastAsia" w:ascii="宋体" w:hAnsi="宋体" w:eastAsia="宋体" w:cs="宋体"/>
                <w:bCs/>
                <w:color w:val="auto"/>
                <w:szCs w:val="21"/>
                <w:highlight w:val="none"/>
                <w:lang w:val="en-US" w:eastAsia="zh-CN"/>
              </w:rPr>
            </w:pPr>
          </w:p>
        </w:tc>
      </w:tr>
      <w:tr w14:paraId="0C23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E975FD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w:t>
            </w:r>
          </w:p>
        </w:tc>
        <w:tc>
          <w:tcPr>
            <w:tcW w:w="3209" w:type="dxa"/>
            <w:noWrap w:val="0"/>
            <w:vAlign w:val="top"/>
          </w:tcPr>
          <w:p w14:paraId="47A767D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氨氮（mg/L）</w:t>
            </w:r>
          </w:p>
        </w:tc>
        <w:tc>
          <w:tcPr>
            <w:tcW w:w="2836" w:type="dxa"/>
            <w:noWrap w:val="0"/>
            <w:vAlign w:val="top"/>
          </w:tcPr>
          <w:p w14:paraId="4FF1763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25</w:t>
            </w:r>
          </w:p>
        </w:tc>
        <w:tc>
          <w:tcPr>
            <w:tcW w:w="1695" w:type="dxa"/>
            <w:vMerge w:val="continue"/>
            <w:noWrap w:val="0"/>
            <w:vAlign w:val="top"/>
          </w:tcPr>
          <w:p w14:paraId="20433043">
            <w:pPr>
              <w:spacing w:line="360" w:lineRule="auto"/>
              <w:ind w:firstLine="420" w:firstLineChars="200"/>
              <w:rPr>
                <w:rFonts w:hint="eastAsia" w:ascii="宋体" w:hAnsi="宋体" w:eastAsia="宋体" w:cs="宋体"/>
                <w:bCs/>
                <w:color w:val="auto"/>
                <w:szCs w:val="21"/>
                <w:highlight w:val="none"/>
                <w:lang w:val="en-US" w:eastAsia="zh-CN"/>
              </w:rPr>
            </w:pPr>
          </w:p>
        </w:tc>
      </w:tr>
      <w:tr w14:paraId="3811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654D8C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w:t>
            </w:r>
          </w:p>
        </w:tc>
        <w:tc>
          <w:tcPr>
            <w:tcW w:w="3209" w:type="dxa"/>
            <w:noWrap w:val="0"/>
            <w:vAlign w:val="top"/>
          </w:tcPr>
          <w:p w14:paraId="2313CD8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总磷（mg/L）</w:t>
            </w:r>
          </w:p>
        </w:tc>
        <w:tc>
          <w:tcPr>
            <w:tcW w:w="2836" w:type="dxa"/>
            <w:noWrap w:val="0"/>
            <w:vAlign w:val="top"/>
          </w:tcPr>
          <w:p w14:paraId="6A2C829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w:t>
            </w:r>
          </w:p>
        </w:tc>
        <w:tc>
          <w:tcPr>
            <w:tcW w:w="1695" w:type="dxa"/>
            <w:vMerge w:val="continue"/>
            <w:noWrap w:val="0"/>
            <w:vAlign w:val="top"/>
          </w:tcPr>
          <w:p w14:paraId="73780F34">
            <w:pPr>
              <w:spacing w:line="360" w:lineRule="auto"/>
              <w:ind w:firstLine="420" w:firstLineChars="200"/>
              <w:rPr>
                <w:rFonts w:hint="eastAsia" w:ascii="宋体" w:hAnsi="宋体" w:eastAsia="宋体" w:cs="宋体"/>
                <w:bCs/>
                <w:color w:val="auto"/>
                <w:szCs w:val="21"/>
                <w:highlight w:val="none"/>
                <w:lang w:val="en-US" w:eastAsia="zh-CN"/>
              </w:rPr>
            </w:pPr>
          </w:p>
        </w:tc>
      </w:tr>
      <w:tr w14:paraId="4E21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3FBA5F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w:t>
            </w:r>
          </w:p>
        </w:tc>
        <w:tc>
          <w:tcPr>
            <w:tcW w:w="3209" w:type="dxa"/>
            <w:noWrap w:val="0"/>
            <w:vAlign w:val="top"/>
          </w:tcPr>
          <w:p w14:paraId="494F0BE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粪大肠菌群（个/L） </w:t>
            </w:r>
          </w:p>
        </w:tc>
        <w:tc>
          <w:tcPr>
            <w:tcW w:w="2836" w:type="dxa"/>
            <w:noWrap w:val="0"/>
            <w:vAlign w:val="top"/>
          </w:tcPr>
          <w:p w14:paraId="3C55109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10000</w:t>
            </w:r>
          </w:p>
        </w:tc>
        <w:tc>
          <w:tcPr>
            <w:tcW w:w="1695" w:type="dxa"/>
            <w:vMerge w:val="continue"/>
            <w:noWrap w:val="0"/>
            <w:vAlign w:val="top"/>
          </w:tcPr>
          <w:p w14:paraId="1CC75A27">
            <w:pPr>
              <w:spacing w:line="360" w:lineRule="auto"/>
              <w:ind w:firstLine="420" w:firstLineChars="200"/>
              <w:rPr>
                <w:rFonts w:hint="eastAsia" w:ascii="宋体" w:hAnsi="宋体" w:eastAsia="宋体" w:cs="宋体"/>
                <w:bCs/>
                <w:color w:val="auto"/>
                <w:szCs w:val="21"/>
                <w:highlight w:val="none"/>
                <w:lang w:val="en-US" w:eastAsia="zh-CN"/>
              </w:rPr>
            </w:pPr>
          </w:p>
        </w:tc>
      </w:tr>
      <w:tr w14:paraId="2DC5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E4B2F8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w:t>
            </w:r>
          </w:p>
        </w:tc>
        <w:tc>
          <w:tcPr>
            <w:tcW w:w="3209" w:type="dxa"/>
            <w:noWrap w:val="0"/>
            <w:vAlign w:val="top"/>
          </w:tcPr>
          <w:p w14:paraId="1FC04DE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总铜（mg/L）</w:t>
            </w:r>
          </w:p>
        </w:tc>
        <w:tc>
          <w:tcPr>
            <w:tcW w:w="2836" w:type="dxa"/>
            <w:noWrap w:val="0"/>
            <w:vAlign w:val="top"/>
          </w:tcPr>
          <w:p w14:paraId="39FDA43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0.5</w:t>
            </w:r>
          </w:p>
        </w:tc>
        <w:tc>
          <w:tcPr>
            <w:tcW w:w="1695" w:type="dxa"/>
            <w:vMerge w:val="continue"/>
            <w:noWrap w:val="0"/>
            <w:vAlign w:val="top"/>
          </w:tcPr>
          <w:p w14:paraId="4B15C381">
            <w:pPr>
              <w:spacing w:line="360" w:lineRule="auto"/>
              <w:ind w:firstLine="420" w:firstLineChars="200"/>
              <w:rPr>
                <w:rFonts w:hint="eastAsia" w:ascii="宋体" w:hAnsi="宋体" w:eastAsia="宋体" w:cs="宋体"/>
                <w:bCs/>
                <w:color w:val="auto"/>
                <w:szCs w:val="21"/>
                <w:highlight w:val="none"/>
                <w:lang w:val="en-US" w:eastAsia="zh-CN"/>
              </w:rPr>
            </w:pPr>
          </w:p>
        </w:tc>
      </w:tr>
      <w:tr w14:paraId="3696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6B885B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w:t>
            </w:r>
          </w:p>
        </w:tc>
        <w:tc>
          <w:tcPr>
            <w:tcW w:w="3209" w:type="dxa"/>
            <w:noWrap w:val="0"/>
            <w:vAlign w:val="top"/>
          </w:tcPr>
          <w:p w14:paraId="3F95680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总锌（mg/L）</w:t>
            </w:r>
          </w:p>
        </w:tc>
        <w:tc>
          <w:tcPr>
            <w:tcW w:w="2836" w:type="dxa"/>
            <w:noWrap w:val="0"/>
            <w:vAlign w:val="top"/>
          </w:tcPr>
          <w:p w14:paraId="70D4694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w:t>
            </w:r>
          </w:p>
        </w:tc>
        <w:tc>
          <w:tcPr>
            <w:tcW w:w="1695" w:type="dxa"/>
            <w:vMerge w:val="continue"/>
            <w:noWrap w:val="0"/>
            <w:vAlign w:val="top"/>
          </w:tcPr>
          <w:p w14:paraId="2A693798">
            <w:pPr>
              <w:spacing w:line="360" w:lineRule="auto"/>
              <w:ind w:firstLine="420" w:firstLineChars="200"/>
              <w:rPr>
                <w:rFonts w:hint="eastAsia" w:ascii="宋体" w:hAnsi="宋体" w:eastAsia="宋体" w:cs="宋体"/>
                <w:bCs/>
                <w:color w:val="auto"/>
                <w:szCs w:val="21"/>
                <w:highlight w:val="none"/>
                <w:lang w:val="en-US" w:eastAsia="zh-CN"/>
              </w:rPr>
            </w:pPr>
          </w:p>
        </w:tc>
      </w:tr>
      <w:tr w14:paraId="0C8A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2BD1BE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w:t>
            </w:r>
          </w:p>
        </w:tc>
        <w:tc>
          <w:tcPr>
            <w:tcW w:w="3209" w:type="dxa"/>
            <w:noWrap w:val="0"/>
            <w:vAlign w:val="top"/>
          </w:tcPr>
          <w:p w14:paraId="1C3174C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总汞（mg/L）</w:t>
            </w:r>
          </w:p>
        </w:tc>
        <w:tc>
          <w:tcPr>
            <w:tcW w:w="2836" w:type="dxa"/>
            <w:noWrap w:val="0"/>
            <w:vAlign w:val="top"/>
          </w:tcPr>
          <w:p w14:paraId="1ACB47A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0.001</w:t>
            </w:r>
          </w:p>
        </w:tc>
        <w:tc>
          <w:tcPr>
            <w:tcW w:w="1695" w:type="dxa"/>
            <w:vMerge w:val="continue"/>
            <w:noWrap w:val="0"/>
            <w:vAlign w:val="top"/>
          </w:tcPr>
          <w:p w14:paraId="6C0EF20C">
            <w:pPr>
              <w:spacing w:line="360" w:lineRule="auto"/>
              <w:ind w:firstLine="420" w:firstLineChars="200"/>
              <w:rPr>
                <w:rFonts w:hint="eastAsia" w:ascii="宋体" w:hAnsi="宋体" w:eastAsia="宋体" w:cs="宋体"/>
                <w:bCs/>
                <w:color w:val="auto"/>
                <w:szCs w:val="21"/>
                <w:highlight w:val="none"/>
                <w:lang w:val="en-US" w:eastAsia="zh-CN"/>
              </w:rPr>
            </w:pPr>
          </w:p>
        </w:tc>
      </w:tr>
      <w:tr w14:paraId="1BCD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FC5334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12</w:t>
            </w:r>
          </w:p>
        </w:tc>
        <w:tc>
          <w:tcPr>
            <w:tcW w:w="3209" w:type="dxa"/>
            <w:noWrap w:val="0"/>
            <w:vAlign w:val="top"/>
          </w:tcPr>
          <w:p w14:paraId="5BAA449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总镉（mg/L）</w:t>
            </w:r>
          </w:p>
        </w:tc>
        <w:tc>
          <w:tcPr>
            <w:tcW w:w="2836" w:type="dxa"/>
            <w:noWrap w:val="0"/>
            <w:vAlign w:val="top"/>
          </w:tcPr>
          <w:p w14:paraId="6570F73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0.01</w:t>
            </w:r>
          </w:p>
        </w:tc>
        <w:tc>
          <w:tcPr>
            <w:tcW w:w="1695" w:type="dxa"/>
            <w:vMerge w:val="continue"/>
            <w:noWrap w:val="0"/>
            <w:vAlign w:val="top"/>
          </w:tcPr>
          <w:p w14:paraId="0A5944A9">
            <w:pPr>
              <w:spacing w:line="360" w:lineRule="auto"/>
              <w:ind w:firstLine="420" w:firstLineChars="200"/>
              <w:rPr>
                <w:rFonts w:hint="eastAsia" w:ascii="宋体" w:hAnsi="宋体" w:eastAsia="宋体" w:cs="宋体"/>
                <w:bCs/>
                <w:color w:val="auto"/>
                <w:szCs w:val="21"/>
                <w:highlight w:val="none"/>
                <w:lang w:val="en-US" w:eastAsia="zh-CN"/>
              </w:rPr>
            </w:pPr>
          </w:p>
        </w:tc>
      </w:tr>
      <w:tr w14:paraId="0360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7E89F22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13</w:t>
            </w:r>
          </w:p>
        </w:tc>
        <w:tc>
          <w:tcPr>
            <w:tcW w:w="3209" w:type="dxa"/>
            <w:noWrap w:val="0"/>
            <w:vAlign w:val="top"/>
          </w:tcPr>
          <w:p w14:paraId="6B5777B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总铬（mg/L）</w:t>
            </w:r>
          </w:p>
        </w:tc>
        <w:tc>
          <w:tcPr>
            <w:tcW w:w="2836" w:type="dxa"/>
            <w:noWrap w:val="0"/>
            <w:vAlign w:val="top"/>
          </w:tcPr>
          <w:p w14:paraId="4B2D198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0.1</w:t>
            </w:r>
          </w:p>
        </w:tc>
        <w:tc>
          <w:tcPr>
            <w:tcW w:w="1695" w:type="dxa"/>
            <w:vMerge w:val="continue"/>
            <w:noWrap w:val="0"/>
            <w:vAlign w:val="top"/>
          </w:tcPr>
          <w:p w14:paraId="31B4716A">
            <w:pPr>
              <w:spacing w:line="360" w:lineRule="auto"/>
              <w:ind w:firstLine="420" w:firstLineChars="200"/>
              <w:rPr>
                <w:rFonts w:hint="eastAsia" w:ascii="宋体" w:hAnsi="宋体" w:eastAsia="宋体" w:cs="宋体"/>
                <w:bCs/>
                <w:color w:val="auto"/>
                <w:szCs w:val="21"/>
                <w:highlight w:val="none"/>
                <w:lang w:val="en-US" w:eastAsia="zh-CN"/>
              </w:rPr>
            </w:pPr>
          </w:p>
        </w:tc>
      </w:tr>
      <w:tr w14:paraId="5E79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91DE67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14</w:t>
            </w:r>
          </w:p>
        </w:tc>
        <w:tc>
          <w:tcPr>
            <w:tcW w:w="3209" w:type="dxa"/>
            <w:noWrap w:val="0"/>
            <w:vAlign w:val="top"/>
          </w:tcPr>
          <w:p w14:paraId="3FA15DB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六价铬（mg/L）</w:t>
            </w:r>
          </w:p>
        </w:tc>
        <w:tc>
          <w:tcPr>
            <w:tcW w:w="2836" w:type="dxa"/>
            <w:noWrap w:val="0"/>
            <w:vAlign w:val="top"/>
          </w:tcPr>
          <w:p w14:paraId="28DB276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0.05</w:t>
            </w:r>
          </w:p>
        </w:tc>
        <w:tc>
          <w:tcPr>
            <w:tcW w:w="1695" w:type="dxa"/>
            <w:vMerge w:val="continue"/>
            <w:noWrap w:val="0"/>
            <w:vAlign w:val="top"/>
          </w:tcPr>
          <w:p w14:paraId="5E92E01F">
            <w:pPr>
              <w:spacing w:line="360" w:lineRule="auto"/>
              <w:ind w:firstLine="420" w:firstLineChars="200"/>
              <w:rPr>
                <w:rFonts w:hint="eastAsia" w:ascii="宋体" w:hAnsi="宋体" w:eastAsia="宋体" w:cs="宋体"/>
                <w:bCs/>
                <w:color w:val="auto"/>
                <w:szCs w:val="21"/>
                <w:highlight w:val="none"/>
                <w:lang w:val="en-US" w:eastAsia="zh-CN"/>
              </w:rPr>
            </w:pPr>
          </w:p>
        </w:tc>
      </w:tr>
      <w:tr w14:paraId="4A7B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1C646C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w:t>
            </w:r>
          </w:p>
        </w:tc>
        <w:tc>
          <w:tcPr>
            <w:tcW w:w="3209" w:type="dxa"/>
            <w:noWrap w:val="0"/>
            <w:vAlign w:val="top"/>
          </w:tcPr>
          <w:p w14:paraId="0578560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总砷（mg/L）</w:t>
            </w:r>
          </w:p>
        </w:tc>
        <w:tc>
          <w:tcPr>
            <w:tcW w:w="2836" w:type="dxa"/>
            <w:noWrap w:val="0"/>
            <w:vAlign w:val="top"/>
          </w:tcPr>
          <w:p w14:paraId="0A4B13F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0.1</w:t>
            </w:r>
          </w:p>
        </w:tc>
        <w:tc>
          <w:tcPr>
            <w:tcW w:w="1695" w:type="dxa"/>
            <w:vMerge w:val="continue"/>
            <w:noWrap w:val="0"/>
            <w:vAlign w:val="top"/>
          </w:tcPr>
          <w:p w14:paraId="241743DD">
            <w:pPr>
              <w:spacing w:line="360" w:lineRule="auto"/>
              <w:ind w:firstLine="420" w:firstLineChars="200"/>
              <w:rPr>
                <w:rFonts w:hint="eastAsia" w:ascii="宋体" w:hAnsi="宋体" w:eastAsia="宋体" w:cs="宋体"/>
                <w:bCs/>
                <w:color w:val="auto"/>
                <w:szCs w:val="21"/>
                <w:highlight w:val="none"/>
                <w:lang w:val="en-US" w:eastAsia="zh-CN"/>
              </w:rPr>
            </w:pPr>
          </w:p>
        </w:tc>
      </w:tr>
      <w:tr w14:paraId="051E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8B11B3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16</w:t>
            </w:r>
          </w:p>
        </w:tc>
        <w:tc>
          <w:tcPr>
            <w:tcW w:w="3209" w:type="dxa"/>
            <w:noWrap w:val="0"/>
            <w:vAlign w:val="top"/>
          </w:tcPr>
          <w:p w14:paraId="170AEF1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总铅（mg/L）</w:t>
            </w:r>
          </w:p>
        </w:tc>
        <w:tc>
          <w:tcPr>
            <w:tcW w:w="2836" w:type="dxa"/>
            <w:noWrap w:val="0"/>
            <w:vAlign w:val="top"/>
          </w:tcPr>
          <w:p w14:paraId="31BB147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0.1</w:t>
            </w:r>
          </w:p>
        </w:tc>
        <w:tc>
          <w:tcPr>
            <w:tcW w:w="1695" w:type="dxa"/>
            <w:vMerge w:val="continue"/>
            <w:noWrap w:val="0"/>
            <w:vAlign w:val="top"/>
          </w:tcPr>
          <w:p w14:paraId="1BD179BB">
            <w:pPr>
              <w:spacing w:line="360" w:lineRule="auto"/>
              <w:ind w:firstLine="420" w:firstLineChars="200"/>
              <w:rPr>
                <w:rFonts w:hint="eastAsia" w:ascii="宋体" w:hAnsi="宋体" w:eastAsia="宋体" w:cs="宋体"/>
                <w:bCs/>
                <w:color w:val="auto"/>
                <w:szCs w:val="21"/>
                <w:highlight w:val="none"/>
                <w:lang w:val="en-US" w:eastAsia="zh-CN"/>
              </w:rPr>
            </w:pPr>
          </w:p>
        </w:tc>
      </w:tr>
      <w:tr w14:paraId="446D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49D56BD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17</w:t>
            </w:r>
          </w:p>
        </w:tc>
        <w:tc>
          <w:tcPr>
            <w:tcW w:w="3209" w:type="dxa"/>
            <w:noWrap w:val="0"/>
            <w:vAlign w:val="top"/>
          </w:tcPr>
          <w:p w14:paraId="650D61D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总铍（mg/L）</w:t>
            </w:r>
          </w:p>
        </w:tc>
        <w:tc>
          <w:tcPr>
            <w:tcW w:w="2836" w:type="dxa"/>
            <w:noWrap w:val="0"/>
            <w:vAlign w:val="top"/>
          </w:tcPr>
          <w:p w14:paraId="75E8590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0.002</w:t>
            </w:r>
          </w:p>
        </w:tc>
        <w:tc>
          <w:tcPr>
            <w:tcW w:w="1695" w:type="dxa"/>
            <w:vMerge w:val="continue"/>
            <w:noWrap w:val="0"/>
            <w:vAlign w:val="top"/>
          </w:tcPr>
          <w:p w14:paraId="3C7DB999">
            <w:pPr>
              <w:spacing w:line="360" w:lineRule="auto"/>
              <w:ind w:firstLine="420" w:firstLineChars="200"/>
              <w:rPr>
                <w:rFonts w:hint="eastAsia" w:ascii="宋体" w:hAnsi="宋体" w:eastAsia="宋体" w:cs="宋体"/>
                <w:bCs/>
                <w:color w:val="auto"/>
                <w:szCs w:val="21"/>
                <w:highlight w:val="none"/>
                <w:lang w:val="en-US" w:eastAsia="zh-CN"/>
              </w:rPr>
            </w:pPr>
          </w:p>
        </w:tc>
      </w:tr>
      <w:tr w14:paraId="211C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7ADF91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w:t>
            </w:r>
          </w:p>
        </w:tc>
        <w:tc>
          <w:tcPr>
            <w:tcW w:w="3209" w:type="dxa"/>
            <w:noWrap w:val="0"/>
            <w:vAlign w:val="top"/>
          </w:tcPr>
          <w:p w14:paraId="75654F6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总镍（mg/L）</w:t>
            </w:r>
          </w:p>
        </w:tc>
        <w:tc>
          <w:tcPr>
            <w:tcW w:w="2836" w:type="dxa"/>
            <w:noWrap w:val="0"/>
            <w:vAlign w:val="top"/>
          </w:tcPr>
          <w:p w14:paraId="23D1017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0.05</w:t>
            </w:r>
          </w:p>
        </w:tc>
        <w:tc>
          <w:tcPr>
            <w:tcW w:w="1695" w:type="dxa"/>
            <w:vMerge w:val="continue"/>
            <w:noWrap w:val="0"/>
            <w:vAlign w:val="top"/>
          </w:tcPr>
          <w:p w14:paraId="19FF6136">
            <w:pPr>
              <w:spacing w:line="360" w:lineRule="auto"/>
              <w:ind w:firstLine="420" w:firstLineChars="200"/>
              <w:rPr>
                <w:rFonts w:hint="eastAsia" w:ascii="宋体" w:hAnsi="宋体" w:eastAsia="宋体" w:cs="宋体"/>
                <w:bCs/>
                <w:color w:val="auto"/>
                <w:szCs w:val="21"/>
                <w:highlight w:val="none"/>
                <w:lang w:val="en-US" w:eastAsia="zh-CN"/>
              </w:rPr>
            </w:pPr>
          </w:p>
        </w:tc>
      </w:tr>
    </w:tbl>
    <w:p w14:paraId="1B97E4C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认真做好垃圾渗滤液处理站各设备的运行记录。编制设备清单和各设备运行记录的各类表格，安排人员每日巡视，并按表格内容做好记录，发现异常当天报告，小故障当天排除，中故障次日排除，大故障全力抢修，并做好相关报告及台账收集，完成每月3日前将《广西壮族自治区城镇生活垃圾填埋场运行月报表》报送县污垃办及其他交办的事项。</w:t>
      </w:r>
    </w:p>
    <w:p w14:paraId="14EFF44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（2）认真做好垃圾渗滤液处理站进、出水情况的运行记录。编制进、出水记录的各类表格，安排人员每日巡视，并按表格内容做好记录，发现异常当天报告，管理人员应在24小时内作出处理。</w:t>
      </w:r>
    </w:p>
    <w:p w14:paraId="5DF3206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渗滤液处理站负责人根据季节、调节池水量、水质特点及生产周期制定生产计划及有关物资采购计划，做好设备启动的前期准备工作；根据外部条件的变化，在设计的弹性范围内对工艺进行调整。因外部条件发生变化，导致系统运行发生偏差，巡视人员应做好记录，及时进行工艺调整，确保系统运行处在最佳状态。</w:t>
      </w:r>
    </w:p>
    <w:p w14:paraId="0BA8653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加强对各工艺流程中的水质检验，经对水质进行检测，各项指标达标后，下达可以排放的通知，严禁乱排乱放，出现泄漏等突发事件及时上报处理；季节性停机检修时，应提前七天向上级环保部门提交检修报告，获准后才能停机检修，检修结束、开机前亦然。</w:t>
      </w:r>
    </w:p>
    <w:p w14:paraId="16993E8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4.环境监测管理</w:t>
      </w:r>
    </w:p>
    <w:p w14:paraId="08A26F4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本项目委托具备专业资质的环境监测机构对填埋场定期开展环境监测，并出具结果报告，委托监测项目应包括地下水、地表水、废气等内容，具体检测项目（指标）及频次按照《生活垃圾填埋场污染控制标准》（GB16889-2024）要求，增加监测项目并覆盖涉重金属地下水隐患排查的重金属检测项目，如检测总铬、铅、镉、砷、汞、铊、锑等。</w:t>
      </w:r>
    </w:p>
    <w:p w14:paraId="05729B7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（2）完成上级下达的年度考核任务，确保生活垃圾填埋场存量渗滤液不超过调节池、应急池总库容的1/3标准且地下水质监测达到规定排放标准。</w:t>
      </w:r>
    </w:p>
    <w:p w14:paraId="4531445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（十）环卫人员要求</w:t>
      </w:r>
    </w:p>
    <w:p w14:paraId="67EE972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1.环卫人员要求：承包公司必须派遣项目负责人及适合本项目各岗位人员常驻现场，并确保进驻本项目的工作人员有足够能力胜任本项目的运营管理工作，本项目总人数原则上不少于245人。</w:t>
      </w:r>
    </w:p>
    <w:p w14:paraId="62E9584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（1）县城建成区内道路综合清扫保洁服务、垃圾收运服务、 垃圾中转站运营管理、市政公厕运营管理、乡（镇）生活垃圾清运及乡（镇）生活垃圾中转站运营管理原则上</w:t>
      </w:r>
      <w:r>
        <w:rPr>
          <w:rFonts w:hint="eastAsia" w:ascii="宋体" w:hAnsi="宋体" w:eastAsia="宋体" w:cs="宋体"/>
          <w:bCs/>
          <w:color w:val="auto"/>
          <w:szCs w:val="21"/>
          <w:highlight w:val="none"/>
          <w:lang w:val="en-US" w:eastAsia="zh-CN"/>
        </w:rPr>
        <w:t>不少于230人，其中清扫保洁组不少于10组，绿化组不少于1组，每组人数不少于15人。</w:t>
      </w:r>
    </w:p>
    <w:p w14:paraId="58FF865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（2）蒙山县生活垃圾填埋场和生活垃圾外运焚烧运营管理原则上</w:t>
      </w:r>
      <w:r>
        <w:rPr>
          <w:rFonts w:hint="eastAsia" w:ascii="宋体" w:hAnsi="宋体" w:eastAsia="宋体" w:cs="宋体"/>
          <w:bCs/>
          <w:color w:val="auto"/>
          <w:szCs w:val="21"/>
          <w:highlight w:val="none"/>
          <w:lang w:val="en-US" w:eastAsia="zh-CN"/>
        </w:rPr>
        <w:t>不少于15人，其中填埋场负责人需具有5年及</w:t>
      </w:r>
      <w:r>
        <w:rPr>
          <w:rFonts w:hint="eastAsia" w:ascii="宋体" w:hAnsi="宋体" w:eastAsia="宋体" w:cs="宋体"/>
          <w:bCs/>
          <w:color w:val="auto"/>
          <w:szCs w:val="21"/>
          <w:highlight w:val="none"/>
          <w:lang w:val="en-US" w:eastAsia="zh-CN"/>
        </w:rPr>
        <w:t>以上垃圾处理</w:t>
      </w:r>
      <w:r>
        <w:rPr>
          <w:rFonts w:hint="eastAsia" w:ascii="宋体" w:hAnsi="宋体" w:eastAsia="宋体" w:cs="宋体"/>
          <w:bCs/>
          <w:color w:val="auto"/>
          <w:szCs w:val="21"/>
          <w:highlight w:val="none"/>
          <w:lang w:val="en-US" w:eastAsia="zh-CN"/>
        </w:rPr>
        <w:t>工作经验或环保相关专业中级及以上专业技术</w:t>
      </w:r>
      <w:r>
        <w:rPr>
          <w:rFonts w:hint="eastAsia" w:ascii="宋体" w:hAnsi="宋体" w:eastAsia="宋体" w:cs="宋体"/>
          <w:bCs/>
          <w:color w:val="auto"/>
          <w:szCs w:val="21"/>
          <w:highlight w:val="none"/>
          <w:lang w:val="en-US" w:eastAsia="zh-CN"/>
        </w:rPr>
        <w:t>职称；设备技术人员原则上</w:t>
      </w:r>
      <w:r>
        <w:rPr>
          <w:rFonts w:hint="eastAsia" w:ascii="宋体" w:hAnsi="宋体" w:eastAsia="宋体" w:cs="宋体"/>
          <w:bCs/>
          <w:color w:val="auto"/>
          <w:szCs w:val="21"/>
          <w:highlight w:val="none"/>
          <w:lang w:val="en-US" w:eastAsia="zh-CN"/>
        </w:rPr>
        <w:t>不少于5名，负责设施运行、设备维护等技术保障，确保运营技术支撑到位。</w:t>
      </w:r>
    </w:p>
    <w:p w14:paraId="1271725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公司招聘环卫工作人员必须符合相关规定，与员工签订劳动合同/劳务协议，并为环卫工人购买有关工伤险和人身意外保险等，并按规定缴纳社会保险费用，如果出险，除保险公司应承担的责任外，其他的责任全部由承包公司负责；环卫工人应经过岗前培训和安全教育后才能上岗。</w:t>
      </w:r>
    </w:p>
    <w:p w14:paraId="7094DE3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清扫保洁作业过程中，保洁人员严格控制扬尘，减少作业污染；驾驶员拥有符合准驾车辆的各类证件，车辆行驶时遵守交通规则，按规定停放车辆，严禁占道停放，减少对道路交通的影响，垃圾收转运过程中所有责任由承包公司负责。</w:t>
      </w:r>
    </w:p>
    <w:p w14:paraId="529438F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（十一）应急保障作业要求</w:t>
      </w:r>
    </w:p>
    <w:p w14:paraId="720BEB5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如遇春节等重大节假日或县级以上评比、庆典以及项目涉及的垃圾中转站、填埋场、渗滤液处理设备等设施重大维修维护、自然灾害或突发事故事件等特殊情况，承包公司需提前制订专项应急实施方案，方案需明确人员增配、设备调度、作业频次调整、应急处置流程、责任分工等核心内容，无条件配合做好应急处理清洁环境卫生工作，及时安排工人加班，确保特殊时期环卫服务质量不下降、设施运行不中断；提前将应急实施方案书面报送县住建局、县环卫站备案，备案通过后方可按方案执行，县环卫可根据实际需求提出方案优化建议，承包公司需配合调整。</w:t>
      </w:r>
    </w:p>
    <w:p w14:paraId="0378DD1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建立处理突发事件应急工作领导小组，并明确各自的工作内容和责任，根据其服务区的社会经济情况与自然条件，对生活垃圾处理与管理系统可能遭遇的突发事件进行预判，根据自然灾害、事故灾害、公共卫生事件和社会安全事件等不同突发事件的性质、规模及可能的影响，制定多套应急预案及处置措施。发生突发事件时，应立即启动应急预案，积极组织抢救、抢修等活动，防止事态扩大，最大限度减少人员伤亡、财产损失与环境污染，并及时向上级主管部门汇报和向相关部门通报突发事件性质、规模及处置情况；突发事件处置完毕，应立即组织事故调查和受损程度评估，重新核定产能，积极恢复生产。</w:t>
      </w:r>
    </w:p>
    <w:p w14:paraId="3EF31F0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3.根据工作需要，凡涉及住建部门管辖职责范畴，须无条件接受并完成住建部门指派的各项临时工作任务。</w:t>
      </w:r>
    </w:p>
    <w:p w14:paraId="4B848C7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（十二）安全生产要求</w:t>
      </w:r>
    </w:p>
    <w:p w14:paraId="20353A8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1.本着“安全第一、服务第一、效果第一”的宗旨，承包公司须办理好所有工作人员的人身意外保险，车辆购置相关保险，确保设备车辆和人员的安全运行，并独自承担承包期间的一切刑事、民事、安全等责任。</w:t>
      </w:r>
    </w:p>
    <w:p w14:paraId="2E6A489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2.承包公司至少每月一次对环卫工人进行职业技能和安全知识培训，提升环卫工人业务能力水平。</w:t>
      </w:r>
    </w:p>
    <w:p w14:paraId="6FE0B56D">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3、作业服务质量考核</w:t>
      </w:r>
    </w:p>
    <w:p w14:paraId="2037676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（一）考核范围和对象</w:t>
      </w:r>
    </w:p>
    <w:p w14:paraId="63DA4D3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督查考核范围全面覆盖承包公司服务的所有领域，具体包括承包范围内机动车道、非机动车道、人行道、背街小巷的清扫保洁、生活垃圾收集转运工作、市政公厕日常运营管理、垃圾中转站和转运站全流程管理、生活垃圾外运焚烧合规性和处理量、生活垃圾填埋场运营管理、年度考核指标完成情况、安全生产、运行管理台账的完整性与真实性等。</w:t>
      </w:r>
    </w:p>
    <w:p w14:paraId="5C5472A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2.督查考核对象责任主体为承包公司聘用的管理人员和作业人员，本项目配置的所有环卫设备。</w:t>
      </w:r>
    </w:p>
    <w:p w14:paraId="78B8629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（二）考核管理制度</w:t>
      </w:r>
    </w:p>
    <w:p w14:paraId="7E1F47C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1.县环卫站牵头成立专项督查考核组，采取定期巡查与不定期抽查相结合的方式，每日对承包公司的各项工作服务内容开展常态化督导检查。</w:t>
      </w:r>
    </w:p>
    <w:p w14:paraId="7E83DBC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各乡镇组织专人负责本辖区生活垃圾清运工作的日常考核，对发现的问题及时汇总反馈至县环卫站或承包公司，并跟踪督促承包公司整改落实。各乡镇于每月形成书面考核意见报送至县环卫站，由县环卫站综合各单位反映情况、问题整改成效及日常作业服务质量，依规开展严格考核并实施相应扣款，切实做到责、权、利相统一。</w:t>
      </w:r>
    </w:p>
    <w:p w14:paraId="55DECA2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（三）违约罚则</w:t>
      </w:r>
    </w:p>
    <w:p w14:paraId="3F288EA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公司不按规定的最低作业人数上岗（用机械化清扫，承包公司可以书面申请，经主管部门同意核减人员除外），发现每班次每减少一人，扣除1000元，不得兼岗，否则发现有一人兼岗扣除500元，并在5个工作日内补充上岗，否则翻倍扣除。</w:t>
      </w:r>
    </w:p>
    <w:p w14:paraId="123BCB2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2.作业班次的时间要按县环卫站规定执行，确需调整由承包公司书面申请，经主管部门同意后方可执行，否则一次扣除500元。</w:t>
      </w:r>
    </w:p>
    <w:p w14:paraId="383D69B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3.作业人员迟到或早退的，一人次扣除20元。</w:t>
      </w:r>
    </w:p>
    <w:p w14:paraId="38DEFF6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4.环卫工人不着环卫制服或未佩戴安全标志；环卫作业时，未摆放安全标识和车辆未按规定行驶、乱停乱放等，每人次扣除100元。</w:t>
      </w:r>
    </w:p>
    <w:p w14:paraId="34E4447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各项目规章制度和操作规程未上墙的，每处扣除50元；未制定安全生产应急预案的，扣除1000元；未按应急预案落实应急措施的，每次扣除200元，应急事件处理不当造成损失的由承包公司承担；突发事件未及时上报的，每次扣除1000元。</w:t>
      </w:r>
    </w:p>
    <w:p w14:paraId="72BC2E0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6.一、二级道路清扫保洁实现“十无”、“七净”，三级道路清扫保洁实现“五无”、“五净”，每缺一“无”、一“净”的扣除50元，并在30分钟内整改到位，否则翻倍扣除。</w:t>
      </w:r>
    </w:p>
    <w:p w14:paraId="3DCF02F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7.杂草未按规定及时清理，每次每处扣除20元。</w:t>
      </w:r>
    </w:p>
    <w:p w14:paraId="34BA5D6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8.道路冲洗、洒水不按规定操作或缺少次数，每发现一次扣除50元。</w:t>
      </w:r>
    </w:p>
    <w:p w14:paraId="08B0EDC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9.垃圾收集桶、果皮箱不整洁的，每个(只)扣除10元。</w:t>
      </w:r>
    </w:p>
    <w:p w14:paraId="02F2345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10.公厕如有收费现象，一次扣除200元，发现未按时间开放一次扣罚100元。</w:t>
      </w:r>
    </w:p>
    <w:p w14:paraId="28E3199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11.公厕内外环境不整洁的，一次扣除50元，并在30分钟内整改到位，否则翻倍扣除。</w:t>
      </w:r>
    </w:p>
    <w:p w14:paraId="5F701DA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12.化粪池未及时清理，粪便满溢的，一次扣除200元。</w:t>
      </w:r>
    </w:p>
    <w:p w14:paraId="018636E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13.市政公厕、中转站、转运站、填埋场设施设备不能及时维护完善的，每处每次扣除50元。</w:t>
      </w:r>
    </w:p>
    <w:p w14:paraId="56892B5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14.市政公厕、中转站、转运站、填埋场未定时喷洒消毒、除臭药物和投放除“四害”药物的，每次每处扣除50元。</w:t>
      </w:r>
    </w:p>
    <w:p w14:paraId="2814AF7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15.垃圾收集车满溢，不能及时中转到指定转运站倾倒，每人次扣除20元，垃圾不能及时清运，积压裸露出站，每次每站扣除200元。</w:t>
      </w:r>
    </w:p>
    <w:p w14:paraId="23E0C9B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16.作业人员在垃圾收集转运过程中，垃圾车辆不覆盖，有垃圾遗撒、污水滴漏的每车每次扣除200元，10天内同一车辆重复出现同状况的则翻倍扣除。</w:t>
      </w:r>
    </w:p>
    <w:p w14:paraId="5532051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17.垃圾运输不进处理场，而中途乱倒，一次扣除1000元，并限在当日清理干净，造成严重影响的扣除5000元，并由承包公司负责相应的责任和费用。</w:t>
      </w:r>
    </w:p>
    <w:p w14:paraId="74D269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18.垃圾运到处理场，不按要求倾倒，一次扣除200元。</w:t>
      </w:r>
    </w:p>
    <w:p w14:paraId="648591C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19.进站垃圾未能做到日产日清的，每次扣除300元。</w:t>
      </w:r>
    </w:p>
    <w:p w14:paraId="2E22546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20.垃圾中转站、转运站、填埋场管理不到位，出现脏、乱、差情况，每次扣除100元；未及时将污水收集池内的污水进行处置造成污水外溢的，每次扣除500元；未使用专用罐车运输至具备资质的第三方机构处理，或输送至填埋场渗滤液处理站规范处置的，每次扣除1000元。</w:t>
      </w:r>
    </w:p>
    <w:p w14:paraId="6CB7E1F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21.发现拾荒人员进场分拣垃圾的，每次扣除200元；严禁焚烧垃圾及杂草，</w:t>
      </w:r>
      <w:r>
        <w:rPr>
          <w:rFonts w:hint="eastAsia" w:ascii="宋体" w:hAnsi="宋体" w:eastAsia="宋体" w:cs="宋体"/>
          <w:bCs/>
          <w:color w:val="auto"/>
          <w:szCs w:val="21"/>
          <w:highlight w:val="none"/>
          <w:lang w:val="en-US" w:eastAsia="zh-CN"/>
        </w:rPr>
        <w:t>否则每人次扣除100元。</w:t>
      </w:r>
    </w:p>
    <w:p w14:paraId="6114E1E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22.发现环卫工人上班时间分拣垃圾造成工作进度延缓的，每人次扣除100元。</w:t>
      </w:r>
    </w:p>
    <w:p w14:paraId="53607C4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23.垃圾不能及时收集清运或虽能收集但垃圾收集点周边不整洁的，每处扣除50元。</w:t>
      </w:r>
    </w:p>
    <w:p w14:paraId="6E347FF3">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24.乡镇巡查人员在日常巡查中，发现本辖区内生活垃圾、大件垃圾未按要求及时清运、滞留堆放的，每次每处扣10元。</w:t>
      </w:r>
    </w:p>
    <w:p w14:paraId="7D78528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25.承包公司使用环卫车辆不符合国家上路标准法规的，每辆车扣除500元；车容不整、标志不清晰的，每辆扣除20元；未能配备的与本项目相关设施设备相适应且能满足各环节工作需求的，每辆扣除1000元，并在5个工作日补充，否则翻倍扣除。</w:t>
      </w:r>
    </w:p>
    <w:p w14:paraId="0ACECC7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26.未按时间和规定检测地磅的，每次扣除500元；垃圾车辆未按规定进行过磅、登记、双方确认进场垃圾量的，每次扣除200元。</w:t>
      </w:r>
    </w:p>
    <w:p w14:paraId="2CF6EA8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27.私自接收不明生活垃圾的，每次扣除1000元。</w:t>
      </w:r>
    </w:p>
    <w:p w14:paraId="333DD31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28.未完成年度下达的绩效考核指标，每项指标扣除10000元。</w:t>
      </w:r>
    </w:p>
    <w:p w14:paraId="6FC472B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29.未按技术规范、技术要求和规定项目、频次进行环境监测和安全监测的，每次扣除1000元。</w:t>
      </w:r>
    </w:p>
    <w:p w14:paraId="703D974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30.监测数据超标（根据监测报告），每项每次扣100元。</w:t>
      </w:r>
    </w:p>
    <w:p w14:paraId="7EFE53D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31.在省、市等上级检查或重大活动时，承包公司必须按县环卫站要求作业，作业质量不符合合同内规定的作业质量标准要求的，一次扣除1000元。</w:t>
      </w:r>
    </w:p>
    <w:p w14:paraId="6FBDB96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32.有群众举报或网络问政，经查属实，一次扣除100元；环保督察部门发现问题、被约谈或通报，一次扣除300元，对生态环境保护工作造成负面影响的，一次扣除500元；有新闻媒体曝光或被上级批评事件的，经查属实，一次扣除800元；如未通过整改要求的，则按每项扣除金额翻倍。</w:t>
      </w:r>
    </w:p>
    <w:p w14:paraId="1FF8062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33.承包公司要保持通讯畅通，否则一次扣除50元。</w:t>
      </w:r>
    </w:p>
    <w:p w14:paraId="79AEF2D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34.不按规定时间上报数据报表的，每次扣除200元；数据、台账记录不完整、不实或不符合规定的，每处扣除50元，并及时整改到位，否则翻倍扣除。</w:t>
      </w:r>
    </w:p>
    <w:p w14:paraId="475C66A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35.未定期组织技术培训和安全生产培训的，每次扣除200元。</w:t>
      </w:r>
    </w:p>
    <w:p w14:paraId="08F16F7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36.在县环卫站支付承包公司承包费后不按时发放环卫工人工资的，每次扣除承包公司5万元；环卫工人工资不能足额发放的，每发现一次将差额部分扣除。</w:t>
      </w:r>
    </w:p>
    <w:p w14:paraId="23BF390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37.在需完成突击或应急任务时，承包公司不服从县环卫站统一安排，第一次扣除10000元，第二次扣除20000元，第三次县环卫站有权终止合同。</w:t>
      </w:r>
    </w:p>
    <w:p w14:paraId="78BEC9CA">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4、规范环卫工人工资</w:t>
      </w:r>
    </w:p>
    <w:p w14:paraId="6AECD47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为保障环卫工人合法权益，稳定作业队伍，结合蒙山县经济发展水平、环卫行业工作特性等实际情况，规范环卫工人工资，承包公司需严格执行，县住建局、县环卫站负责监督落实。</w:t>
      </w:r>
    </w:p>
    <w:p w14:paraId="619B6EB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（一）基础工资</w:t>
      </w:r>
    </w:p>
    <w:p w14:paraId="41D8DF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未达到法定退休年龄的环卫一线工人（指男性≤60周岁、女性≤55周岁且已签订劳动合同的人员）月基本工资标准不得低于《广西壮族自治区人民政府关于调整全区最低工资标准的通知》（桂政发〔2025〕16号）中三类地区1870元/月的标准（包含社保个人缴费部分，不包含单位缴纳部分）；已达到法定退休年龄的环卫一线工人（指男性＞60周岁、女性＞55周岁且已签订劳务协议的人员）月基本工资标准不得低于2100元/月。该工资不包含后续列明的各类补贴与津贴，仅做为工资发放的保底基数，承包期间若后续全区最低工资标准上调，一线环卫工人基础工资需同步调整。</w:t>
      </w:r>
    </w:p>
    <w:p w14:paraId="3521FAF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（二）岗位补贴与津贴</w:t>
      </w:r>
    </w:p>
    <w:p w14:paraId="0F8DB36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针对环卫作业特殊性，在基础工资外增设专项补贴与津贴，如岗位补贴、加班补贴、工龄补贴等。其中加班补贴不得低于《广西壮族自治区人民政府关于调整全区最低工资标准的通知》（桂政发〔2025〕16号）中三类地区用工小时最低工资标准；工龄补贴指环卫工人连续在环卫工作岗位（含不同承包公司承接的蒙山县环卫项目，需提供社保证明或是公司证明）满1年的，从第13个月起每月发放工龄补贴20元，每增加1年连续工龄，每月工龄补贴增加20元，以此类推（例：满2年工龄补贴40元/月，满3年工龄补贴60元/月……），工龄补贴累计最高不超过300元/月，达到上限后不再递增；若环卫工人中断环卫工作，工龄需重新计算，此前累计工龄不延续。</w:t>
      </w:r>
    </w:p>
    <w:p w14:paraId="07819FB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（三）购买保险</w:t>
      </w:r>
    </w:p>
    <w:p w14:paraId="11727AA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承包公司应为超龄环卫工人购买雇主责任险，切实保障环卫工人在工作期间的人身安全与合法权益。</w:t>
      </w:r>
    </w:p>
    <w:p w14:paraId="78464EBB">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5、承包过渡</w:t>
      </w:r>
    </w:p>
    <w:p w14:paraId="1334F0E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（一）新接任承包公司接收与试用</w:t>
      </w:r>
    </w:p>
    <w:p w14:paraId="3C3D426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1.承包公司需在原合同期满前15个工作日，向新接任承包公司提交《环卫工人过渡名单》，名单包含工人姓名、岗位、入职时间、薪酬标准、社保缴纳情况等信息，配合新公司完成环卫工人信息核验与工作交接。</w:t>
      </w:r>
    </w:p>
    <w:p w14:paraId="2F773D9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新公司无条件接收原承包公司聘请的环卫工人，与之签订用工合同，并对环卫工人开展为期1个月的试用期考核，试用期薪酬待遇按原承包公司标准执行，试用期考核内容包括出勤情况、工作质量、服从管理程度等，对试用期内出现迟到早退、出勤不出力、不服从管理等情形的环卫工人，新公司有权依法解除劳动关系；试用期合格的环卫工人，新公司需在试用期满后5个工作日内与其签订正式的劳动合同，劳动合同期限不得少于1年，且需承接原工人在原承包公司的连续工龄（用于工龄补贴核算），确保工人权益连续无断档。</w:t>
      </w:r>
    </w:p>
    <w:p w14:paraId="1EA765A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（二）过渡期间服务保障</w:t>
      </w:r>
    </w:p>
    <w:p w14:paraId="3D1172AC">
      <w:pPr>
        <w:spacing w:line="400" w:lineRule="exact"/>
        <w:ind w:firstLine="420" w:firstLineChars="200"/>
        <w:outlineLvl w:val="9"/>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承包公司在本项目承包期满后，新接任公司未正式接管前（即重新招投标至新公司进场的过渡阶段），双方签订《本项目合同延期补充协议》，原承包公司必须继续按原合同约定的作业质量标准提供清扫保洁、垃圾收转运、市政公厕管理、中转站和转运站全流程管理、生活垃圾外运焚烧、生活垃圾填埋场运营管理等服务；县环卫站需在过渡期间继续每日对原承包公司服务质量进行督查，按原合同约定扣除相应服务费用后，支付承包费给原承包公司；同时，县环卫站需协调原公司完成作业设施设备维护维修、完善台账资料并交接给新公司，确保环卫服务无缝衔接，环卫工作正常运行。</w:t>
      </w:r>
      <w:r>
        <w:rPr>
          <w:rFonts w:hint="eastAsia" w:ascii="宋体" w:hAnsi="宋体" w:eastAsia="宋体" w:cs="宋体"/>
          <w:color w:val="auto"/>
          <w:szCs w:val="21"/>
          <w:highlight w:val="none"/>
        </w:rPr>
        <w:t xml:space="preserve"> </w:t>
      </w:r>
    </w:p>
    <w:p w14:paraId="2D873A89">
      <w:pPr>
        <w:spacing w:line="400" w:lineRule="exact"/>
        <w:ind w:firstLine="316" w:firstLineChars="150"/>
        <w:outlineLvl w:val="9"/>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条</w:t>
      </w:r>
      <w:r>
        <w:rPr>
          <w:rFonts w:hint="eastAsia" w:ascii="宋体" w:hAnsi="宋体" w:cs="宋体"/>
          <w:b/>
          <w:color w:val="auto"/>
          <w:szCs w:val="21"/>
          <w:highlight w:val="none"/>
          <w:lang w:val="en-US" w:eastAsia="zh-CN"/>
        </w:rPr>
        <w:t xml:space="preserve">  </w:t>
      </w:r>
      <w:r>
        <w:rPr>
          <w:rFonts w:hint="eastAsia" w:ascii="宋体" w:hAnsi="宋体" w:cs="宋体"/>
          <w:b/>
          <w:color w:val="auto"/>
          <w:szCs w:val="21"/>
          <w:highlight w:val="none"/>
        </w:rPr>
        <w:t>安全生产和环境保护</w:t>
      </w:r>
    </w:p>
    <w:p w14:paraId="4E248B55">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1.乙方应始终遵守有关公共卫生和安全的适用法律法规基本协议的规定。</w:t>
      </w:r>
    </w:p>
    <w:p w14:paraId="7CDB9BBA">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2.乙方不应因项目的设施的运营和维护不到位而造成污水处理场地和排水干管（如果有）土地（包括土壤，地下水或表水及空气）或周围的污染。</w:t>
      </w:r>
    </w:p>
    <w:p w14:paraId="14D26DAE">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3.乙方在项目设施的运营和维护期间应采取一切合理措施来避免或尽量减少对项目设施周围建筑物和居民的干扰。</w:t>
      </w:r>
    </w:p>
    <w:p w14:paraId="03C44783">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4.但乙方对于以下任何一种情形不承担责任：</w:t>
      </w:r>
    </w:p>
    <w:p w14:paraId="4383B2BE">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（1）因第三方的</w:t>
      </w:r>
      <w:r>
        <w:rPr>
          <w:rFonts w:hint="eastAsia" w:ascii="宋体" w:hAnsi="宋体" w:cs="宋体"/>
          <w:color w:val="auto"/>
          <w:szCs w:val="21"/>
          <w:highlight w:val="none"/>
          <w:lang w:eastAsia="zh-CN"/>
        </w:rPr>
        <w:t>做为</w:t>
      </w:r>
      <w:r>
        <w:rPr>
          <w:rFonts w:hint="eastAsia" w:ascii="宋体" w:hAnsi="宋体" w:cs="宋体"/>
          <w:color w:val="auto"/>
          <w:szCs w:val="21"/>
          <w:highlight w:val="none"/>
        </w:rPr>
        <w:t>或者不</w:t>
      </w:r>
      <w:r>
        <w:rPr>
          <w:rFonts w:hint="eastAsia" w:ascii="宋体" w:hAnsi="宋体" w:cs="宋体"/>
          <w:color w:val="auto"/>
          <w:szCs w:val="21"/>
          <w:highlight w:val="none"/>
          <w:lang w:eastAsia="zh-CN"/>
        </w:rPr>
        <w:t>做为</w:t>
      </w:r>
      <w:r>
        <w:rPr>
          <w:rFonts w:hint="eastAsia" w:ascii="宋体" w:hAnsi="宋体" w:cs="宋体"/>
          <w:color w:val="auto"/>
          <w:szCs w:val="21"/>
          <w:highlight w:val="none"/>
        </w:rPr>
        <w:t>引起的；</w:t>
      </w:r>
    </w:p>
    <w:p w14:paraId="4FD796B5">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（2）甲方导致的环境污染及安全隐患。</w:t>
      </w:r>
    </w:p>
    <w:p w14:paraId="67891741">
      <w:pPr>
        <w:pStyle w:val="18"/>
        <w:spacing w:line="400" w:lineRule="exact"/>
        <w:ind w:firstLine="422"/>
        <w:outlineLvl w:val="9"/>
        <w:rPr>
          <w:rFonts w:hint="eastAsia"/>
          <w:color w:val="auto"/>
          <w:highlight w:val="none"/>
          <w:lang w:val="en-US" w:eastAsia="en-US"/>
        </w:rPr>
      </w:pPr>
      <w:r>
        <w:rPr>
          <w:rFonts w:hint="eastAsia" w:ascii="宋体" w:hAnsi="宋体" w:cs="宋体"/>
          <w:b/>
          <w:color w:val="auto"/>
          <w:sz w:val="21"/>
          <w:szCs w:val="21"/>
          <w:highlight w:val="none"/>
        </w:rPr>
        <w:t>第</w:t>
      </w:r>
      <w:r>
        <w:rPr>
          <w:rFonts w:hint="eastAsia" w:ascii="宋体" w:hAnsi="宋体" w:cs="宋体"/>
          <w:b/>
          <w:color w:val="auto"/>
          <w:sz w:val="21"/>
          <w:szCs w:val="21"/>
          <w:highlight w:val="none"/>
          <w:lang w:eastAsia="zh-CN"/>
        </w:rPr>
        <w:t>八</w:t>
      </w:r>
      <w:r>
        <w:rPr>
          <w:rFonts w:hint="eastAsia" w:ascii="宋体" w:hAnsi="宋体" w:cs="宋体"/>
          <w:b/>
          <w:color w:val="auto"/>
          <w:sz w:val="21"/>
          <w:szCs w:val="21"/>
          <w:highlight w:val="none"/>
        </w:rPr>
        <w:t>条</w:t>
      </w:r>
      <w:r>
        <w:rPr>
          <w:rFonts w:hint="eastAsia" w:ascii="宋体" w:hAnsi="宋体" w:cs="宋体"/>
          <w:b/>
          <w:color w:val="auto"/>
          <w:sz w:val="21"/>
          <w:szCs w:val="21"/>
          <w:highlight w:val="none"/>
          <w:lang w:val="en-US" w:eastAsia="zh-CN"/>
        </w:rPr>
        <w:t xml:space="preserve"> 甲</w:t>
      </w:r>
      <w:r>
        <w:rPr>
          <w:rFonts w:hint="eastAsia" w:ascii="宋体" w:hAnsi="宋体" w:cs="宋体"/>
          <w:b/>
          <w:color w:val="auto"/>
          <w:sz w:val="21"/>
          <w:szCs w:val="21"/>
          <w:highlight w:val="none"/>
        </w:rPr>
        <w:t>方权利与义务</w:t>
      </w:r>
    </w:p>
    <w:p w14:paraId="7919A7BF">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(一)未经甲方同意，乙方不得将垃圾清运业务全部或部分转包给其他任何第三人。</w:t>
      </w:r>
    </w:p>
    <w:p w14:paraId="38639B6E">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(二)甲方有权对乙方清运作业进行全面检查，监督和考核。</w:t>
      </w:r>
    </w:p>
    <w:p w14:paraId="160C563F">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当月罚款累计达</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次</w:t>
      </w:r>
      <w:r>
        <w:rPr>
          <w:rFonts w:hint="eastAsia" w:ascii="宋体" w:hAnsi="宋体" w:eastAsia="宋体" w:cs="宋体"/>
          <w:color w:val="auto"/>
          <w:szCs w:val="21"/>
          <w:highlight w:val="none"/>
          <w:lang w:eastAsia="zh-CN"/>
        </w:rPr>
        <w:t>及</w:t>
      </w:r>
      <w:r>
        <w:rPr>
          <w:rFonts w:hint="eastAsia" w:ascii="宋体" w:hAnsi="宋体" w:eastAsia="宋体" w:cs="宋体"/>
          <w:color w:val="auto"/>
          <w:szCs w:val="21"/>
          <w:highlight w:val="none"/>
        </w:rPr>
        <w:t>以上的甲方有权单方面终止本合同。</w:t>
      </w:r>
    </w:p>
    <w:p w14:paraId="101534C2">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(四)乙方在每个清运年度内因自身原因累计有</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次重大失误的，甲方有权单方面终止本合同。</w:t>
      </w:r>
    </w:p>
    <w:p w14:paraId="215E01E1">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五</w:t>
      </w:r>
      <w:r>
        <w:rPr>
          <w:rFonts w:hint="eastAsia" w:ascii="宋体" w:hAnsi="宋体" w:eastAsia="宋体" w:cs="宋体"/>
          <w:color w:val="auto"/>
          <w:szCs w:val="21"/>
          <w:highlight w:val="none"/>
        </w:rPr>
        <w:t>)甲方有义务积极协助乙方解决合同期内出现的相关问题。</w:t>
      </w:r>
    </w:p>
    <w:p w14:paraId="5300379C">
      <w:pPr>
        <w:pStyle w:val="18"/>
        <w:spacing w:line="400" w:lineRule="exact"/>
        <w:ind w:firstLine="422"/>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第</w:t>
      </w:r>
      <w:r>
        <w:rPr>
          <w:rFonts w:hint="eastAsia" w:ascii="宋体" w:hAnsi="宋体" w:cs="宋体"/>
          <w:b/>
          <w:color w:val="auto"/>
          <w:sz w:val="21"/>
          <w:szCs w:val="21"/>
          <w:highlight w:val="none"/>
          <w:lang w:val="en-US" w:eastAsia="zh-CN"/>
        </w:rPr>
        <w:t>九</w:t>
      </w:r>
      <w:r>
        <w:rPr>
          <w:rFonts w:hint="eastAsia" w:ascii="宋体" w:hAnsi="宋体" w:eastAsia="宋体" w:cs="宋体"/>
          <w:b/>
          <w:color w:val="auto"/>
          <w:sz w:val="21"/>
          <w:szCs w:val="21"/>
          <w:highlight w:val="none"/>
          <w:lang w:val="en-US" w:eastAsia="zh-CN"/>
        </w:rPr>
        <w:t>条</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乙方权利与义务</w:t>
      </w:r>
    </w:p>
    <w:p w14:paraId="4CC19914">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(一)乙方招聘员工时必须符合有关规定。</w:t>
      </w:r>
    </w:p>
    <w:p w14:paraId="7DC59D32">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(二)乙方须严格遵守《劳动法》,与员工签定正式劳动合同，并为员工购买有关工伤人身意外保险。如果出险，除保险公司应承担的责任外，其它的责任全部由乙方负责。</w:t>
      </w:r>
    </w:p>
    <w:p w14:paraId="7953AB8D">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(三)乙方承担所有清运作业人员及管理人员的安全责任及费用，并为作业人员提供工作服及必要的劳动防护用品。</w:t>
      </w:r>
    </w:p>
    <w:p w14:paraId="682A09B3">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(四)乙方及其雇佣的员工应严格遵守国家的法律、法规和甲方的有关规定，如果乙方及其所雇佣的工人违反法律、法规和相关规定，所造成的后果由乙方自行负责，与甲方无关。</w:t>
      </w:r>
    </w:p>
    <w:p w14:paraId="47348597">
      <w:pPr>
        <w:spacing w:line="400" w:lineRule="exact"/>
        <w:ind w:firstLine="405"/>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五)乙方应加强对员工作业的管理，严格遵守操作规程。遵守交通法规，文明作业，采取必要的安全防护措施，消除安全隐患，如果发生安全事故，责任由乙方负责。在合同期内，如乙方及其雇佣人员在工作中发生人身、财产损害或致第三者人身、财产损害，由乙方自行承担。</w:t>
      </w:r>
    </w:p>
    <w:p w14:paraId="32DC3C90">
      <w:pPr>
        <w:pStyle w:val="18"/>
        <w:spacing w:line="400" w:lineRule="exact"/>
        <w:ind w:firstLine="422"/>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cs="宋体"/>
          <w:b/>
          <w:color w:val="auto"/>
          <w:sz w:val="21"/>
          <w:szCs w:val="21"/>
          <w:highlight w:val="none"/>
          <w:lang w:eastAsia="zh-CN"/>
        </w:rPr>
        <w:t>十</w:t>
      </w:r>
      <w:r>
        <w:rPr>
          <w:rFonts w:hint="eastAsia" w:ascii="宋体" w:hAnsi="宋体" w:eastAsia="宋体" w:cs="宋体"/>
          <w:b/>
          <w:color w:val="auto"/>
          <w:sz w:val="21"/>
          <w:szCs w:val="21"/>
          <w:highlight w:val="none"/>
        </w:rPr>
        <w:t>条  双方责任</w:t>
      </w:r>
    </w:p>
    <w:p w14:paraId="2C34478A">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(一)甲方责任</w:t>
      </w:r>
    </w:p>
    <w:p w14:paraId="2C75A5D8">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、甲方应配合乙方做好环境卫生科学知识及环境卫生管理有关规定的宣传工作，指导乙方搞好卫生清扫、保洁工作。</w:t>
      </w:r>
    </w:p>
    <w:p w14:paraId="0F6F0267">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 、甲方应按合同规定的时间，及时足额支付承包费。</w:t>
      </w:r>
    </w:p>
    <w:p w14:paraId="2401FE63">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 、甲方负责每月对环卫清扫保洁情况进行检查打分。</w:t>
      </w:r>
    </w:p>
    <w:p w14:paraId="137E7691">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4、乙方有严重违反操作规程、损害居民利益或造成极坏影响的事件，甲方有权对其进行处罚。</w:t>
      </w:r>
    </w:p>
    <w:p w14:paraId="5B707716">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(二)乙方责任</w:t>
      </w:r>
    </w:p>
    <w:p w14:paraId="692B6F0D">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、乙方必须随时接受甲方或上级环境卫生管理部门的监督、检查和指导，必须无条件服从甲 方和上级组织的一些突击性任务及迎检活动，按时、按标准、按要求完成所分配的工作。</w:t>
      </w:r>
    </w:p>
    <w:p w14:paraId="6DD593FB">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2、由于不可抗力损害道路环卫情况的，乙方应在12小时内或甲方根据实际情况设定的时间内，完成现场清理工作。</w:t>
      </w:r>
    </w:p>
    <w:p w14:paraId="4482718C">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、乙方必须落实安全生产和安全防火措施，乙方应按甲方要求，为上岗工人购买统一的工作服和反光袖套，自行解决安全作业问题，乙方的工作服式样须由甲方选定。</w:t>
      </w:r>
    </w:p>
    <w:p w14:paraId="541F0E98">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4、乙方应严格遵守国家法律、法规的规定，做好社会治安综合治理工作，不得违反国家法律、法规的规定。如乙方员工有任何违法乱纪行为，乙方承担一切经济责任和法律责任。</w:t>
      </w:r>
    </w:p>
    <w:p w14:paraId="65CFFF40">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 、乙方未经甲方书面同意，不得擅自将保洁项目部分或全部转包或分包给他人。</w:t>
      </w:r>
    </w:p>
    <w:p w14:paraId="2618F839">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 、招聘环卫工人时，要优先考虑蒙山县本地人和现在在岗的环卫工人就业，其待遇由乙方与工人自行协商，但工资不得低于项目实施方案的规定标准，必须给环卫工人购买</w:t>
      </w:r>
      <w:r>
        <w:rPr>
          <w:rFonts w:hint="eastAsia" w:ascii="宋体" w:hAnsi="宋体" w:eastAsia="宋体" w:cs="宋体"/>
          <w:color w:val="auto"/>
          <w:szCs w:val="21"/>
          <w:highlight w:val="none"/>
          <w:lang w:val="en-US" w:eastAsia="zh-CN"/>
        </w:rPr>
        <w:t>工伤保险</w:t>
      </w:r>
      <w:r>
        <w:rPr>
          <w:rFonts w:hint="eastAsia" w:ascii="宋体" w:hAnsi="宋体" w:eastAsia="宋体" w:cs="宋体"/>
          <w:color w:val="auto"/>
          <w:szCs w:val="21"/>
          <w:highlight w:val="none"/>
        </w:rPr>
        <w:t>和意外伤害保险。如不足额为环卫工人缴交社保费， 一切责任均为乙方承担。</w:t>
      </w:r>
    </w:p>
    <w:p w14:paraId="24F05E02">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甲方和甲方指定的监督单位有权对乙方进行随时检查，如发现乙方组织措施不当，计划不落实，管理不严格，环卫清扫、保洁方案中所列人员、机械设备(工具)与实际投入不符，导致环卫清扫、保洁质量达不到规定标准，乙方在接到甲方的书面通知后，一个星期内必须整改。</w:t>
      </w:r>
    </w:p>
    <w:p w14:paraId="14218225">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 、自甲方与乙方签订合同开始实施后，由于乙方自身管理原因，造成所承包路段长时间无人清扫、垃圾无人收集转运、垃圾中转站管理不善、市政公厕无人保洁或管理不到位的，甲方提出整改警告；拒不整改</w:t>
      </w:r>
      <w:r>
        <w:rPr>
          <w:rFonts w:hint="eastAsia" w:ascii="宋体" w:hAnsi="宋体" w:cs="宋体"/>
          <w:color w:val="auto"/>
          <w:szCs w:val="21"/>
          <w:highlight w:val="none"/>
          <w:lang w:eastAsia="zh-CN"/>
        </w:rPr>
        <w:t>次月</w:t>
      </w:r>
      <w:r>
        <w:rPr>
          <w:rFonts w:hint="eastAsia" w:ascii="宋体" w:hAnsi="宋体" w:eastAsia="宋体" w:cs="宋体"/>
          <w:color w:val="auto"/>
          <w:szCs w:val="21"/>
          <w:highlight w:val="none"/>
        </w:rPr>
        <w:t>出现类似情况，甲方有权终止合同，一切损失由乙方承担。</w:t>
      </w:r>
    </w:p>
    <w:p w14:paraId="2E04247E">
      <w:pPr>
        <w:numPr>
          <w:ilvl w:val="0"/>
          <w:numId w:val="8"/>
        </w:numPr>
        <w:spacing w:line="400" w:lineRule="exact"/>
        <w:ind w:left="510" w:leftChars="0" w:firstLine="0" w:firstLineChars="0"/>
        <w:outlineLvl w:val="9"/>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退出机制</w:t>
      </w:r>
    </w:p>
    <w:p w14:paraId="3158AE43">
      <w:pPr>
        <w:numPr>
          <w:ilvl w:val="0"/>
          <w:numId w:val="0"/>
        </w:numPr>
        <w:spacing w:line="400" w:lineRule="exact"/>
        <w:ind w:firstLine="420" w:firstLineChars="200"/>
        <w:outlineLvl w:val="9"/>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承包方在项目实施过程中，出现以下任一情形的，县环卫站有权单方终止承包合同，承包方应无条件配合办理退出手续；承包方也可在相关事件发生后，经自身评估无法继续履行合同义务的，主动申请退出，退出申请需经县环卫站书面确认后方可启动退出流程。</w:t>
      </w:r>
    </w:p>
    <w:p w14:paraId="6829DF5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方一个月因作业质量、操作规范等问题被县环卫站、乡镇人民政府累计扣款达30次，由县环卫站向其下达整改警告，明确整改要求、整改期限及整改标准；承包方收到整改警告后拒不整改或整改未达标，次月仍出现同类频发扣款情形的；</w:t>
      </w:r>
    </w:p>
    <w:p w14:paraId="5860E77E">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2.承包期间，发生安全生产事故致1人及以上死亡或造成第三方重大财产损失，且经应急管理、安全监管、交警等相关部门认定承包方负主要责任或全部责任的；</w:t>
      </w:r>
    </w:p>
    <w:p w14:paraId="0CE4EFE8">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承包方投入的作业车辆、作业人员数量未适应本项目，导致环卫工作无法正常推进，由县环卫站向其下达整改警告，明确车辆、人员补充标准及期限；承包方收到警告后拒不整改、未按期限补充或补充后仍不达标，次月仍出现同类情形的；</w:t>
      </w:r>
    </w:p>
    <w:p w14:paraId="4F0BC9A8">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瞒报、虚报数据或伪造相关台账、记录的；因违规处置垃圾造成的土壤、水体、空气环境污染，引发周边居民大规模投诉或被环保部门处罚、通报批评的；因清扫不及时、保洁不到位、公厕管理不规范等问题引发重大环境投诉、舆情事件，造成恶劣社会影响，且承包方未在指定期限内整改、消除影响的。</w:t>
      </w:r>
    </w:p>
    <w:p w14:paraId="15ED4B21">
      <w:pPr>
        <w:numPr>
          <w:ilvl w:val="0"/>
          <w:numId w:val="0"/>
        </w:numPr>
        <w:spacing w:line="360" w:lineRule="auto"/>
        <w:ind w:firstLine="420" w:firstLineChars="200"/>
        <w:rPr>
          <w:rFonts w:hint="eastAsia" w:ascii="宋体" w:hAnsi="宋体" w:cs="宋体"/>
          <w:b/>
          <w:color w:val="auto"/>
          <w:sz w:val="21"/>
          <w:szCs w:val="21"/>
          <w:highlight w:val="none"/>
          <w:lang w:val="en-US" w:eastAsia="zh-CN"/>
        </w:rPr>
      </w:pPr>
      <w:r>
        <w:rPr>
          <w:rFonts w:hint="eastAsia" w:ascii="宋体" w:hAnsi="宋体" w:eastAsia="宋体" w:cs="宋体"/>
          <w:bCs/>
          <w:color w:val="auto"/>
          <w:szCs w:val="21"/>
          <w:highlight w:val="none"/>
          <w:lang w:val="en-US" w:eastAsia="zh-CN"/>
        </w:rPr>
        <w:t>5.因承包方自身责任导致项目无法正常推进或引发上级通报批评、媒体负面曝光，影响我县声誉的。</w:t>
      </w:r>
    </w:p>
    <w:p w14:paraId="27577214">
      <w:pPr>
        <w:pStyle w:val="18"/>
        <w:spacing w:line="400" w:lineRule="exact"/>
        <w:ind w:firstLine="422"/>
        <w:outlineLvl w:val="9"/>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第十二条</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责任事故</w:t>
      </w:r>
    </w:p>
    <w:p w14:paraId="04D5EE08">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本着“安全第一、服务第一、效果第一”的宗旨，乙方须办理好所有工作人员的</w:t>
      </w:r>
      <w:r>
        <w:rPr>
          <w:rFonts w:hint="eastAsia" w:ascii="宋体" w:hAnsi="宋体" w:cs="宋体"/>
          <w:color w:val="auto"/>
          <w:szCs w:val="21"/>
          <w:highlight w:val="none"/>
          <w:lang w:eastAsia="zh-CN"/>
        </w:rPr>
        <w:t>工伤</w:t>
      </w:r>
      <w:r>
        <w:rPr>
          <w:rFonts w:hint="eastAsia" w:ascii="宋体" w:hAnsi="宋体" w:eastAsia="宋体" w:cs="宋体"/>
          <w:color w:val="auto"/>
          <w:szCs w:val="21"/>
          <w:highlight w:val="none"/>
        </w:rPr>
        <w:t>人身意外保险，</w:t>
      </w:r>
      <w:r>
        <w:rPr>
          <w:rFonts w:hint="eastAsia" w:ascii="宋体" w:hAnsi="宋体" w:cs="宋体"/>
          <w:color w:val="auto"/>
          <w:szCs w:val="21"/>
          <w:highlight w:val="none"/>
          <w:lang w:eastAsia="zh-CN"/>
        </w:rPr>
        <w:t>车辆购买保险等</w:t>
      </w:r>
      <w:r>
        <w:rPr>
          <w:rFonts w:hint="eastAsia" w:ascii="宋体" w:hAnsi="宋体" w:eastAsia="宋体" w:cs="宋体"/>
          <w:color w:val="auto"/>
          <w:szCs w:val="21"/>
          <w:highlight w:val="none"/>
        </w:rPr>
        <w:t xml:space="preserve"> 确保设备车辆和人员的安全运行，并独自承担承包期间的一切刑事、民事、安全等责任。</w:t>
      </w:r>
    </w:p>
    <w:p w14:paraId="146FA18A">
      <w:pPr>
        <w:pStyle w:val="18"/>
        <w:spacing w:line="400" w:lineRule="exact"/>
        <w:ind w:firstLine="422"/>
        <w:outlineLvl w:val="9"/>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第十三条</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管理制度</w:t>
      </w:r>
    </w:p>
    <w:p w14:paraId="27BD0E8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（一）县环卫站牵头成立专项督查考核组，采取定期巡查与不定期抽查相结合的方式，每日对承包公司的各项工作服务内容开展常态化督导检查。</w:t>
      </w:r>
    </w:p>
    <w:p w14:paraId="5F623A5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各乡镇组织专人负责本辖区生活垃圾清运工作的日常考核，对发现的问题及时汇总反馈至县环卫站或承包公司，并跟踪督促承包公司整改落实。各乡镇于每月形成书面考核意见报送至县环卫站，由县环卫站综合各单位反映情况、问题整改成效及日常作业服务质量，依规开展严格考核并实施相应扣款，切实做到责、权、利相统一。</w:t>
      </w:r>
    </w:p>
    <w:p w14:paraId="3E7EE9ED">
      <w:pPr>
        <w:spacing w:line="360" w:lineRule="auto"/>
        <w:ind w:firstLine="420" w:firstLineChars="200"/>
        <w:rPr>
          <w:rFonts w:ascii="宋体" w:hAnsi="宋体" w:cs="宋体"/>
          <w:color w:val="auto"/>
          <w:szCs w:val="21"/>
          <w:highlight w:val="none"/>
        </w:rPr>
      </w:pPr>
      <w:r>
        <w:rPr>
          <w:rFonts w:hint="eastAsia" w:ascii="宋体" w:hAnsi="宋体" w:eastAsia="宋体" w:cs="宋体"/>
          <w:bCs/>
          <w:color w:val="auto"/>
          <w:szCs w:val="21"/>
          <w:highlight w:val="none"/>
          <w:lang w:val="en-US" w:eastAsia="zh-CN"/>
        </w:rPr>
        <w:t>(三)春节、国庆等重大节假日，承包公司需制订出应急实施方案，并提前7天报县住建、 县环卫站备案。</w:t>
      </w:r>
    </w:p>
    <w:p w14:paraId="59D28D11">
      <w:pPr>
        <w:spacing w:line="400" w:lineRule="exact"/>
        <w:ind w:firstLine="405"/>
        <w:outlineLvl w:val="9"/>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val="en-US" w:eastAsia="zh-CN"/>
        </w:rPr>
        <w:t>十四</w:t>
      </w:r>
      <w:r>
        <w:rPr>
          <w:rFonts w:hint="eastAsia" w:ascii="宋体" w:hAnsi="宋体" w:cs="宋体"/>
          <w:b/>
          <w:color w:val="auto"/>
          <w:szCs w:val="21"/>
          <w:highlight w:val="none"/>
        </w:rPr>
        <w:t>条  税费</w:t>
      </w:r>
    </w:p>
    <w:p w14:paraId="7C12FD79">
      <w:pPr>
        <w:spacing w:line="400" w:lineRule="exact"/>
        <w:ind w:firstLine="411" w:firstLineChars="196"/>
        <w:outlineLvl w:val="9"/>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329873DF">
      <w:pPr>
        <w:spacing w:line="400" w:lineRule="exact"/>
        <w:ind w:firstLine="422" w:firstLineChars="200"/>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val="en-US" w:eastAsia="zh-CN"/>
        </w:rPr>
        <w:t>五</w:t>
      </w:r>
      <w:r>
        <w:rPr>
          <w:rFonts w:hint="eastAsia" w:ascii="宋体" w:hAnsi="宋体" w:cs="宋体"/>
          <w:b/>
          <w:color w:val="auto"/>
          <w:szCs w:val="21"/>
          <w:highlight w:val="none"/>
        </w:rPr>
        <w:t>条  违约责任</w:t>
      </w:r>
    </w:p>
    <w:p w14:paraId="47C1977C">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1.乙方所提供的服务质量不合格的，应及时调整，调整不及时的按逾期处罚，乙方应向甲方支付合同金额</w:t>
      </w:r>
      <w:r>
        <w:rPr>
          <w:rFonts w:hint="eastAsia" w:ascii="宋体" w:hAnsi="宋体" w:cs="宋体"/>
          <w:color w:val="auto"/>
          <w:szCs w:val="21"/>
          <w:highlight w:val="none"/>
          <w:u w:val="single"/>
          <w:lang w:val="en-US" w:eastAsia="zh-CN"/>
        </w:rPr>
        <w:t>双方另行协商</w:t>
      </w:r>
      <w:r>
        <w:rPr>
          <w:rFonts w:hint="eastAsia" w:ascii="宋体" w:hAnsi="宋体" w:cs="宋体"/>
          <w:color w:val="auto"/>
          <w:szCs w:val="21"/>
          <w:highlight w:val="none"/>
        </w:rPr>
        <w:t>赔偿甲方经济损失。</w:t>
      </w:r>
    </w:p>
    <w:p w14:paraId="38DF93CD">
      <w:pPr>
        <w:spacing w:line="400" w:lineRule="exact"/>
        <w:ind w:firstLine="359" w:firstLineChars="171"/>
        <w:outlineLvl w:val="9"/>
        <w:rPr>
          <w:rFonts w:ascii="宋体" w:hAnsi="宋体" w:cs="宋体"/>
          <w:color w:val="auto"/>
          <w:szCs w:val="21"/>
          <w:highlight w:val="none"/>
        </w:rPr>
      </w:pPr>
      <w:r>
        <w:rPr>
          <w:rFonts w:hint="eastAsia" w:ascii="宋体" w:hAnsi="宋体" w:cs="宋体"/>
          <w:color w:val="auto"/>
          <w:szCs w:val="21"/>
          <w:highlight w:val="none"/>
        </w:rPr>
        <w:t>2.乙方提供的服务如果侵犯了第三方合法权益而引发的任何纠纷或诉讼，均由乙方负责交涉并承担全部责任。</w:t>
      </w:r>
    </w:p>
    <w:p w14:paraId="5F9D2DB5">
      <w:pPr>
        <w:spacing w:line="400" w:lineRule="exact"/>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eastAsia="宋体" w:cs="宋体"/>
          <w:color w:val="auto"/>
          <w:szCs w:val="21"/>
          <w:highlight w:val="none"/>
        </w:rPr>
        <w:t>乙方未按本合同和投标文件中规定的服务承诺提供服务的，</w:t>
      </w:r>
      <w:r>
        <w:rPr>
          <w:rFonts w:hint="eastAsia" w:ascii="宋体" w:hAnsi="宋体" w:eastAsia="宋体" w:cs="宋体"/>
          <w:color w:val="auto"/>
          <w:szCs w:val="21"/>
          <w:highlight w:val="none"/>
          <w:lang w:eastAsia="zh-CN"/>
        </w:rPr>
        <w:t>甲方有权单独终止合同。</w:t>
      </w:r>
    </w:p>
    <w:p w14:paraId="69E4B320">
      <w:pPr>
        <w:spacing w:line="400" w:lineRule="exact"/>
        <w:ind w:firstLine="411" w:firstLineChars="196"/>
        <w:outlineLvl w:val="9"/>
        <w:rPr>
          <w:rFonts w:ascii="宋体" w:hAnsi="宋体" w:cs="宋体"/>
          <w:b/>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实行退出机制或</w:t>
      </w:r>
      <w:r>
        <w:rPr>
          <w:rFonts w:hint="eastAsia" w:ascii="宋体" w:hAnsi="宋体" w:cs="宋体"/>
          <w:color w:val="auto"/>
          <w:szCs w:val="21"/>
          <w:highlight w:val="none"/>
        </w:rPr>
        <w:t>其他违约行为按违约款额</w:t>
      </w:r>
      <w:r>
        <w:rPr>
          <w:rFonts w:hint="eastAsia" w:ascii="宋体" w:hAnsi="宋体" w:cs="宋体"/>
          <w:color w:val="auto"/>
          <w:szCs w:val="21"/>
          <w:highlight w:val="none"/>
          <w:u w:val="single"/>
          <w:lang w:val="en-US" w:eastAsia="zh-CN"/>
        </w:rPr>
        <w:t>双方另行协商</w:t>
      </w:r>
      <w:r>
        <w:rPr>
          <w:rFonts w:hint="eastAsia" w:ascii="宋体" w:hAnsi="宋体" w:cs="宋体"/>
          <w:color w:val="auto"/>
          <w:szCs w:val="21"/>
          <w:highlight w:val="none"/>
        </w:rPr>
        <w:t>赔偿经济损失。</w:t>
      </w:r>
    </w:p>
    <w:p w14:paraId="1A6A28D8">
      <w:pPr>
        <w:spacing w:line="400" w:lineRule="exact"/>
        <w:ind w:firstLine="413" w:firstLineChars="196"/>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条  不可抗力事件处理</w:t>
      </w:r>
    </w:p>
    <w:p w14:paraId="65F162CB">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60FB146D">
      <w:pPr>
        <w:spacing w:line="400" w:lineRule="exact"/>
        <w:ind w:left="420"/>
        <w:outlineLvl w:val="9"/>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03FBE98E">
      <w:pPr>
        <w:spacing w:line="400" w:lineRule="exact"/>
        <w:ind w:left="420"/>
        <w:outlineLvl w:val="9"/>
        <w:rPr>
          <w:rFonts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14:paraId="29CD4163">
      <w:pPr>
        <w:spacing w:line="400" w:lineRule="exact"/>
        <w:ind w:firstLine="413" w:firstLineChars="196"/>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条  合同争议解决</w:t>
      </w:r>
    </w:p>
    <w:p w14:paraId="568DC74A">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1.因服务问题发生争议的，应邀请国家认可的相关机构进行鉴定。服务符合要求的，鉴定费由甲方承担；服务不符合要求的，鉴定费由乙方承担。</w:t>
      </w:r>
    </w:p>
    <w:p w14:paraId="64E92DA3">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2.因履行本合同引起的或与本合同有关的争议，甲乙双方应首先通过友好协商解决，如果协商不能解决，可向兴安县人民法院提起诉讼。</w:t>
      </w:r>
    </w:p>
    <w:p w14:paraId="70951E47">
      <w:pPr>
        <w:spacing w:line="400" w:lineRule="exact"/>
        <w:ind w:left="435"/>
        <w:outlineLvl w:val="9"/>
        <w:rPr>
          <w:rFonts w:ascii="宋体" w:hAnsi="宋体" w:cs="宋体"/>
          <w:color w:val="auto"/>
          <w:szCs w:val="21"/>
          <w:highlight w:val="none"/>
        </w:rPr>
      </w:pPr>
      <w:r>
        <w:rPr>
          <w:rFonts w:hint="eastAsia" w:ascii="宋体" w:hAnsi="宋体" w:cs="宋体"/>
          <w:color w:val="auto"/>
          <w:szCs w:val="21"/>
          <w:highlight w:val="none"/>
        </w:rPr>
        <w:t>3.诉讼期间，本合同继续履行。</w:t>
      </w:r>
    </w:p>
    <w:p w14:paraId="0775015A">
      <w:pPr>
        <w:spacing w:line="400" w:lineRule="exact"/>
        <w:ind w:firstLine="413" w:firstLineChars="196"/>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八</w:t>
      </w:r>
      <w:r>
        <w:rPr>
          <w:rFonts w:hint="eastAsia" w:ascii="宋体" w:hAnsi="宋体" w:cs="宋体"/>
          <w:b/>
          <w:color w:val="auto"/>
          <w:szCs w:val="21"/>
          <w:highlight w:val="none"/>
        </w:rPr>
        <w:t>条  合同生效及其它</w:t>
      </w:r>
    </w:p>
    <w:p w14:paraId="65A3A51E">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1.合同经甲乙双方法定代表人或授权代表签字并加盖单位公章后生效。</w:t>
      </w:r>
    </w:p>
    <w:p w14:paraId="6750F9A0">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2.合同执行中涉及采购资金和采购内容修改或补充的，需兴安县财政部门审批，并签订书面补充协议报兴安县</w:t>
      </w:r>
      <w:r>
        <w:rPr>
          <w:rFonts w:hint="eastAsia" w:ascii="宋体" w:hAnsi="宋体" w:cs="宋体"/>
          <w:color w:val="auto"/>
          <w:highlight w:val="none"/>
        </w:rPr>
        <w:t>人民政府采购管理办公室</w:t>
      </w:r>
      <w:r>
        <w:rPr>
          <w:rFonts w:hint="eastAsia" w:ascii="宋体" w:hAnsi="宋体" w:cs="宋体"/>
          <w:color w:val="auto"/>
          <w:szCs w:val="21"/>
          <w:highlight w:val="none"/>
        </w:rPr>
        <w:t>备案，方可</w:t>
      </w:r>
      <w:r>
        <w:rPr>
          <w:rFonts w:hint="eastAsia" w:ascii="宋体" w:hAnsi="宋体" w:cs="宋体"/>
          <w:color w:val="auto"/>
          <w:szCs w:val="21"/>
          <w:highlight w:val="none"/>
          <w:lang w:eastAsia="zh-CN"/>
        </w:rPr>
        <w:t>做为</w:t>
      </w:r>
      <w:r>
        <w:rPr>
          <w:rFonts w:hint="eastAsia" w:ascii="宋体" w:hAnsi="宋体" w:cs="宋体"/>
          <w:color w:val="auto"/>
          <w:szCs w:val="21"/>
          <w:highlight w:val="none"/>
        </w:rPr>
        <w:t>主合同不可分割的一部分。</w:t>
      </w:r>
    </w:p>
    <w:p w14:paraId="25F06BE9">
      <w:pPr>
        <w:spacing w:line="400" w:lineRule="exact"/>
        <w:ind w:left="435"/>
        <w:outlineLvl w:val="9"/>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3.本合同未尽事宜，遵照《中华人民共和国民法典》有关条文执行。</w:t>
      </w:r>
    </w:p>
    <w:p w14:paraId="4A40A3B7">
      <w:pPr>
        <w:spacing w:line="400" w:lineRule="exact"/>
        <w:ind w:firstLine="413" w:firstLineChars="196"/>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九</w:t>
      </w:r>
      <w:r>
        <w:rPr>
          <w:rFonts w:hint="eastAsia" w:ascii="宋体" w:hAnsi="宋体" w:cs="宋体"/>
          <w:b/>
          <w:color w:val="auto"/>
          <w:szCs w:val="21"/>
          <w:highlight w:val="none"/>
        </w:rPr>
        <w:t>条  合同的变更、终止与转让</w:t>
      </w:r>
    </w:p>
    <w:p w14:paraId="6F12F02E">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1.除《中华人民共和国政府采购法》第五十条规定的情形外，本合同一经签订，甲乙双方不得擅自变更，中止或终止。</w:t>
      </w:r>
    </w:p>
    <w:p w14:paraId="2C5974DC">
      <w:pPr>
        <w:spacing w:line="400" w:lineRule="exact"/>
        <w:ind w:left="420"/>
        <w:outlineLvl w:val="9"/>
        <w:rPr>
          <w:rFonts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6278B57D">
      <w:pPr>
        <w:pStyle w:val="18"/>
        <w:kinsoku w:val="0"/>
        <w:overflowPunct w:val="0"/>
        <w:spacing w:line="400" w:lineRule="exact"/>
        <w:ind w:firstLine="422"/>
        <w:outlineLvl w:val="9"/>
        <w:rPr>
          <w:rFonts w:ascii="宋体" w:hAnsi="宋体" w:cs="宋体"/>
          <w:b/>
          <w:bCs/>
          <w:color w:val="auto"/>
          <w:sz w:val="21"/>
          <w:szCs w:val="21"/>
          <w:highlight w:val="none"/>
        </w:rPr>
      </w:pPr>
      <w:r>
        <w:rPr>
          <w:rFonts w:hint="eastAsia" w:ascii="宋体" w:hAnsi="宋体" w:cs="宋体"/>
          <w:b/>
          <w:bCs/>
          <w:color w:val="auto"/>
          <w:sz w:val="21"/>
          <w:szCs w:val="21"/>
          <w:highlight w:val="none"/>
        </w:rPr>
        <w:t>第</w:t>
      </w:r>
      <w:r>
        <w:rPr>
          <w:rFonts w:hint="eastAsia" w:ascii="宋体" w:hAnsi="宋体" w:cs="宋体"/>
          <w:b/>
          <w:bCs/>
          <w:color w:val="auto"/>
          <w:sz w:val="21"/>
          <w:szCs w:val="21"/>
          <w:highlight w:val="none"/>
          <w:lang w:eastAsia="zh-CN"/>
        </w:rPr>
        <w:t>二十</w:t>
      </w:r>
      <w:r>
        <w:rPr>
          <w:rFonts w:hint="eastAsia" w:ascii="宋体" w:hAnsi="宋体" w:cs="宋体"/>
          <w:b/>
          <w:bCs/>
          <w:color w:val="auto"/>
          <w:sz w:val="21"/>
          <w:szCs w:val="21"/>
          <w:highlight w:val="none"/>
        </w:rPr>
        <w:t>条</w:t>
      </w:r>
      <w:r>
        <w:rPr>
          <w:rFonts w:ascii="宋体" w:hAnsi="宋体" w:cs="宋体"/>
          <w:b/>
          <w:bCs/>
          <w:color w:val="auto"/>
          <w:sz w:val="21"/>
          <w:szCs w:val="21"/>
          <w:highlight w:val="none"/>
        </w:rPr>
        <w:t xml:space="preserve">  </w:t>
      </w:r>
      <w:r>
        <w:rPr>
          <w:rFonts w:hint="eastAsia" w:ascii="宋体" w:hAnsi="宋体" w:cs="宋体"/>
          <w:b/>
          <w:bCs/>
          <w:color w:val="auto"/>
          <w:sz w:val="21"/>
          <w:szCs w:val="21"/>
          <w:highlight w:val="none"/>
        </w:rPr>
        <w:t>签订本合同依据</w:t>
      </w:r>
    </w:p>
    <w:p w14:paraId="16DFBC70">
      <w:pPr>
        <w:pStyle w:val="18"/>
        <w:kinsoku w:val="0"/>
        <w:overflowPunct w:val="0"/>
        <w:spacing w:line="400" w:lineRule="exact"/>
        <w:ind w:firstLine="420"/>
        <w:outlineLvl w:val="9"/>
        <w:rPr>
          <w:rFonts w:ascii="宋体" w:hAnsi="宋体" w:cs="宋体"/>
          <w:color w:val="auto"/>
          <w:sz w:val="21"/>
          <w:szCs w:val="21"/>
          <w:highlight w:val="none"/>
        </w:rPr>
      </w:pPr>
      <w:r>
        <w:rPr>
          <w:rFonts w:hint="eastAsia" w:ascii="宋体" w:hAnsi="宋体" w:cs="宋体"/>
          <w:color w:val="auto"/>
          <w:sz w:val="21"/>
          <w:szCs w:val="21"/>
          <w:highlight w:val="none"/>
        </w:rPr>
        <w:t>1.招标文件；</w:t>
      </w:r>
    </w:p>
    <w:p w14:paraId="05DB8F72">
      <w:pPr>
        <w:pStyle w:val="18"/>
        <w:kinsoku w:val="0"/>
        <w:overflowPunct w:val="0"/>
        <w:spacing w:line="400" w:lineRule="exact"/>
        <w:ind w:firstLine="420"/>
        <w:outlineLvl w:val="9"/>
        <w:rPr>
          <w:rFonts w:ascii="宋体" w:hAnsi="宋体" w:cs="宋体"/>
          <w:color w:val="auto"/>
          <w:sz w:val="21"/>
          <w:szCs w:val="21"/>
          <w:highlight w:val="none"/>
        </w:rPr>
      </w:pPr>
      <w:r>
        <w:rPr>
          <w:rFonts w:hint="eastAsia" w:ascii="宋体" w:hAnsi="宋体" w:cs="宋体"/>
          <w:color w:val="auto"/>
          <w:sz w:val="21"/>
          <w:szCs w:val="21"/>
          <w:highlight w:val="none"/>
        </w:rPr>
        <w:t>2.乙方提供的投标（或应答）文件；</w:t>
      </w:r>
    </w:p>
    <w:p w14:paraId="71FEB982">
      <w:pPr>
        <w:pStyle w:val="18"/>
        <w:kinsoku w:val="0"/>
        <w:overflowPunct w:val="0"/>
        <w:spacing w:line="400" w:lineRule="exact"/>
        <w:ind w:firstLine="420"/>
        <w:outlineLvl w:val="9"/>
        <w:rPr>
          <w:rFonts w:ascii="宋体" w:hAnsi="宋体" w:cs="宋体"/>
          <w:color w:val="auto"/>
          <w:sz w:val="21"/>
          <w:szCs w:val="21"/>
          <w:highlight w:val="none"/>
        </w:rPr>
      </w:pPr>
      <w:r>
        <w:rPr>
          <w:rFonts w:hint="eastAsia" w:ascii="宋体" w:hAnsi="宋体" w:cs="宋体"/>
          <w:color w:val="auto"/>
          <w:sz w:val="21"/>
          <w:szCs w:val="21"/>
          <w:highlight w:val="none"/>
        </w:rPr>
        <w:t>3.服务承诺书；</w:t>
      </w:r>
    </w:p>
    <w:p w14:paraId="7140987E">
      <w:pPr>
        <w:pStyle w:val="18"/>
        <w:kinsoku w:val="0"/>
        <w:overflowPunct w:val="0"/>
        <w:spacing w:line="400" w:lineRule="exact"/>
        <w:ind w:firstLine="420"/>
        <w:outlineLvl w:val="9"/>
        <w:rPr>
          <w:rFonts w:ascii="宋体" w:hAnsi="宋体"/>
          <w:color w:val="auto"/>
          <w:sz w:val="21"/>
          <w:szCs w:val="21"/>
          <w:highlight w:val="none"/>
        </w:rPr>
      </w:pPr>
      <w:r>
        <w:rPr>
          <w:rFonts w:hint="eastAsia" w:ascii="宋体" w:hAnsi="宋体" w:cs="宋体"/>
          <w:color w:val="auto"/>
          <w:sz w:val="21"/>
          <w:szCs w:val="21"/>
          <w:highlight w:val="none"/>
        </w:rPr>
        <w:t>4.中标通知书。</w:t>
      </w:r>
    </w:p>
    <w:p w14:paraId="59664FDE">
      <w:pPr>
        <w:pStyle w:val="18"/>
        <w:kinsoku w:val="0"/>
        <w:overflowPunct w:val="0"/>
        <w:spacing w:line="400" w:lineRule="exact"/>
        <w:ind w:firstLine="420"/>
        <w:outlineLvl w:val="9"/>
        <w:rPr>
          <w:rFonts w:hint="eastAsia" w:ascii="宋体" w:hAnsi="宋体" w:cs="宋体"/>
          <w:color w:val="auto"/>
          <w:szCs w:val="21"/>
          <w:highlight w:val="none"/>
        </w:rPr>
      </w:pPr>
      <w:r>
        <w:rPr>
          <w:rFonts w:hint="eastAsia" w:ascii="宋体" w:hAnsi="宋体"/>
          <w:color w:val="auto"/>
          <w:sz w:val="21"/>
          <w:szCs w:val="21"/>
          <w:highlight w:val="none"/>
        </w:rPr>
        <w:t>本合同甲乙双方签字盖章后生效，一式陆份，具有同等法律效力，甲方贰份、乙方贰份、采购代理机构贰份。政府采购合同双方自签订之日起1个工作日内将合同原件两份交采购代理机构。采购代理机构将政府采购合同在省级以上人民政府财政部门指定媒体上公告，一份由采购代理机构存档。</w:t>
      </w:r>
    </w:p>
    <w:p w14:paraId="6299ED5B">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（以下无正文）</w:t>
      </w:r>
    </w:p>
    <w:p w14:paraId="4775120F">
      <w:pPr>
        <w:spacing w:line="50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此合同版本仅供参考，以双方最终签订的合同为准，具体工程量在合同中明确。</w:t>
      </w:r>
    </w:p>
    <w:p w14:paraId="16C63A58">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br w:type="page"/>
      </w:r>
    </w:p>
    <w:tbl>
      <w:tblPr>
        <w:tblStyle w:val="46"/>
        <w:tblW w:w="49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3"/>
        <w:gridCol w:w="4733"/>
      </w:tblGrid>
      <w:tr w14:paraId="0C90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8"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0EAFE90">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甲方（公章）</w:t>
            </w:r>
          </w:p>
          <w:p w14:paraId="681B4C8A">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1B1F7495">
            <w:pPr>
              <w:snapToGrid w:val="0"/>
              <w:spacing w:line="500" w:lineRule="exact"/>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F6D367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乙方（公章）              </w:t>
            </w:r>
          </w:p>
          <w:p w14:paraId="7E079F71">
            <w:pPr>
              <w:snapToGrid w:val="0"/>
              <w:spacing w:line="500" w:lineRule="exact"/>
              <w:rPr>
                <w:rFonts w:hint="eastAsia" w:ascii="宋体" w:hAnsi="宋体" w:cs="宋体"/>
                <w:color w:val="auto"/>
                <w:szCs w:val="21"/>
                <w:highlight w:val="none"/>
              </w:rPr>
            </w:pPr>
          </w:p>
          <w:p w14:paraId="0B3ACC1A">
            <w:pPr>
              <w:snapToGrid w:val="0"/>
              <w:spacing w:line="500" w:lineRule="exact"/>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14:paraId="2AF0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158BB6D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单位地址：</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6B86960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4D91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586F244">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25A6FABE">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法定代表人：</w:t>
            </w:r>
          </w:p>
        </w:tc>
      </w:tr>
      <w:tr w14:paraId="53D7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5406F9C">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委托代理人：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B16E025">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委托代理人：</w:t>
            </w:r>
          </w:p>
        </w:tc>
      </w:tr>
      <w:tr w14:paraId="6CDF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00B799A">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电话：</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716F1DD">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电话：</w:t>
            </w:r>
          </w:p>
        </w:tc>
      </w:tr>
      <w:tr w14:paraId="7042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63DB150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电子邮箱：</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46770A8">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电子邮箱：</w:t>
            </w:r>
          </w:p>
        </w:tc>
      </w:tr>
      <w:tr w14:paraId="236F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62B6FD7B">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开户银行：</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50A9580">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开户银行：</w:t>
            </w:r>
          </w:p>
        </w:tc>
      </w:tr>
      <w:tr w14:paraId="051F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5266497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账号：</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D3B9EE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账号：</w:t>
            </w:r>
          </w:p>
        </w:tc>
      </w:tr>
      <w:tr w14:paraId="02F5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C448088">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纳税人识别号或统一社会信用代码：</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5821C3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纳税人识别号或统一社会信用代码：</w:t>
            </w:r>
          </w:p>
        </w:tc>
      </w:tr>
      <w:tr w14:paraId="21A5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6ADC56C6">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22967A3C">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p>
        </w:tc>
      </w:tr>
      <w:bookmarkEnd w:id="181"/>
      <w:bookmarkEnd w:id="182"/>
      <w:bookmarkEnd w:id="183"/>
      <w:bookmarkEnd w:id="184"/>
      <w:bookmarkEnd w:id="185"/>
      <w:bookmarkEnd w:id="186"/>
      <w:bookmarkEnd w:id="187"/>
    </w:tbl>
    <w:p w14:paraId="5B075CA1">
      <w:pPr>
        <w:spacing w:line="360" w:lineRule="auto"/>
        <w:jc w:val="both"/>
        <w:rPr>
          <w:color w:val="auto"/>
          <w:highlight w:val="none"/>
        </w:rPr>
      </w:pPr>
      <w:bookmarkStart w:id="188" w:name="_Toc2857"/>
      <w:r>
        <w:rPr>
          <w:rFonts w:hint="eastAsia"/>
          <w:color w:val="auto"/>
          <w:szCs w:val="21"/>
          <w:highlight w:val="none"/>
        </w:rPr>
        <w:br w:type="page"/>
      </w:r>
      <w:bookmarkEnd w:id="188"/>
      <w:bookmarkStart w:id="189" w:name="_Toc18485"/>
      <w:bookmarkStart w:id="190" w:name="_Toc27434"/>
      <w:bookmarkStart w:id="191" w:name="_Toc23062"/>
      <w:bookmarkStart w:id="192" w:name="_Toc27421"/>
      <w:bookmarkStart w:id="193" w:name="_Toc17923"/>
      <w:bookmarkStart w:id="194" w:name="_Toc15053"/>
      <w:bookmarkStart w:id="195" w:name="_Toc19811"/>
    </w:p>
    <w:p w14:paraId="07B7874D">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bookmarkStart w:id="196" w:name="_Toc10994"/>
      <w:r>
        <w:rPr>
          <w:rFonts w:hint="eastAsia" w:ascii="宋体" w:hAnsi="宋体" w:cs="宋体"/>
          <w:color w:val="auto"/>
          <w:highlight w:val="none"/>
        </w:rPr>
        <w:t>第六章</w:t>
      </w:r>
      <w:r>
        <w:rPr>
          <w:rFonts w:hint="eastAsia" w:ascii="宋体" w:hAnsi="宋体" w:cs="宋体"/>
          <w:color w:val="auto"/>
          <w:highlight w:val="none"/>
          <w:lang w:val="en-US" w:eastAsia="zh-CN"/>
        </w:rPr>
        <w:t xml:space="preserve">  </w:t>
      </w:r>
      <w:r>
        <w:rPr>
          <w:rFonts w:hint="eastAsia" w:ascii="宋体" w:hAnsi="宋体" w:cs="宋体"/>
          <w:color w:val="auto"/>
          <w:highlight w:val="none"/>
        </w:rPr>
        <w:t>投标文件格式</w:t>
      </w:r>
      <w:bookmarkEnd w:id="189"/>
      <w:bookmarkEnd w:id="190"/>
      <w:bookmarkEnd w:id="191"/>
      <w:bookmarkEnd w:id="192"/>
      <w:bookmarkEnd w:id="193"/>
      <w:bookmarkEnd w:id="194"/>
      <w:bookmarkEnd w:id="195"/>
      <w:bookmarkEnd w:id="196"/>
      <w:bookmarkStart w:id="197" w:name="_Toc254970557"/>
      <w:bookmarkStart w:id="198" w:name="_Toc254970698"/>
    </w:p>
    <w:p w14:paraId="1D3230DB">
      <w:pPr>
        <w:spacing w:line="800" w:lineRule="exact"/>
        <w:jc w:val="left"/>
        <w:rPr>
          <w:rFonts w:hint="eastAsia" w:ascii="宋体" w:hAnsi="宋体" w:cs="宋体"/>
          <w:b/>
          <w:color w:val="auto"/>
          <w:sz w:val="32"/>
          <w:szCs w:val="32"/>
          <w:highlight w:val="none"/>
        </w:rPr>
      </w:pPr>
      <w:bookmarkStart w:id="199" w:name="_Toc19686837"/>
      <w:r>
        <w:rPr>
          <w:rFonts w:hint="eastAsia" w:ascii="宋体" w:hAnsi="宋体" w:cs="宋体"/>
          <w:b/>
          <w:color w:val="auto"/>
          <w:sz w:val="32"/>
          <w:szCs w:val="32"/>
          <w:highlight w:val="none"/>
        </w:rPr>
        <w:t>一、资格证明文件部分格式</w:t>
      </w:r>
      <w:bookmarkEnd w:id="197"/>
      <w:bookmarkEnd w:id="198"/>
      <w:bookmarkEnd w:id="199"/>
    </w:p>
    <w:p w14:paraId="24BDD5B1">
      <w:pPr>
        <w:numPr>
          <w:ilvl w:val="2"/>
          <w:numId w:val="0"/>
        </w:num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32"/>
          <w:szCs w:val="32"/>
          <w:highlight w:val="none"/>
        </w:rPr>
        <w:t>1.资格证明文件封面格式：</w:t>
      </w:r>
      <w:r>
        <w:rPr>
          <w:rFonts w:hint="eastAsia" w:ascii="宋体" w:hAnsi="宋体" w:cs="宋体"/>
          <w:b/>
          <w:color w:val="auto"/>
          <w:sz w:val="24"/>
          <w:highlight w:val="none"/>
        </w:rPr>
        <w:t xml:space="preserve"> </w:t>
      </w:r>
    </w:p>
    <w:p w14:paraId="471DD902">
      <w:pPr>
        <w:snapToGrid w:val="0"/>
        <w:spacing w:before="120" w:beforeLines="50" w:after="50"/>
        <w:jc w:val="center"/>
        <w:rPr>
          <w:rFonts w:hint="eastAsia" w:ascii="宋体" w:hAnsi="宋体" w:cs="宋体"/>
          <w:bCs/>
          <w:color w:val="auto"/>
          <w:sz w:val="48"/>
          <w:szCs w:val="48"/>
          <w:highlight w:val="none"/>
        </w:rPr>
      </w:pPr>
    </w:p>
    <w:p w14:paraId="0FB09870">
      <w:pPr>
        <w:snapToGrid w:val="0"/>
        <w:spacing w:before="120" w:beforeLines="50" w:after="50"/>
        <w:jc w:val="center"/>
        <w:rPr>
          <w:rFonts w:hint="eastAsia" w:ascii="宋体" w:hAnsi="宋体" w:cs="宋体"/>
          <w:bCs/>
          <w:color w:val="auto"/>
          <w:sz w:val="48"/>
          <w:szCs w:val="48"/>
          <w:highlight w:val="none"/>
        </w:rPr>
      </w:pPr>
    </w:p>
    <w:p w14:paraId="521B2F87">
      <w:pPr>
        <w:snapToGrid w:val="0"/>
        <w:spacing w:before="120" w:beforeLines="50" w:after="50"/>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385BFD55">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149634D8">
      <w:pPr>
        <w:snapToGrid w:val="0"/>
        <w:spacing w:before="120" w:beforeLines="50" w:after="50"/>
        <w:jc w:val="center"/>
        <w:outlineLvl w:val="1"/>
        <w:rPr>
          <w:rFonts w:hint="eastAsia" w:ascii="宋体" w:hAnsi="宋体" w:cs="宋体"/>
          <w:b/>
          <w:color w:val="auto"/>
          <w:sz w:val="32"/>
          <w:szCs w:val="32"/>
          <w:highlight w:val="none"/>
        </w:rPr>
      </w:pPr>
      <w:bookmarkStart w:id="200" w:name="_Toc20082"/>
      <w:bookmarkStart w:id="201" w:name="_Toc19149"/>
      <w:bookmarkStart w:id="202" w:name="_Toc19386"/>
      <w:bookmarkStart w:id="203" w:name="_Toc7560"/>
      <w:bookmarkStart w:id="204" w:name="_Toc14799"/>
      <w:bookmarkStart w:id="205" w:name="_Toc18416"/>
      <w:bookmarkStart w:id="206" w:name="_Toc15907"/>
    </w:p>
    <w:p w14:paraId="744EBB59">
      <w:pPr>
        <w:keepNext w:val="0"/>
        <w:keepLines w:val="0"/>
        <w:pageBreakBefore w:val="0"/>
        <w:widowControl w:val="0"/>
        <w:kinsoku/>
        <w:wordWrap/>
        <w:overflowPunct/>
        <w:topLinePunct w:val="0"/>
        <w:autoSpaceDE/>
        <w:autoSpaceDN/>
        <w:bidi w:val="0"/>
        <w:adjustRightInd/>
        <w:snapToGrid w:val="0"/>
        <w:spacing w:before="120" w:beforeLines="50" w:after="50"/>
        <w:jc w:val="center"/>
        <w:textAlignment w:val="auto"/>
        <w:outlineLvl w:val="9"/>
        <w:rPr>
          <w:rFonts w:hint="eastAsia" w:ascii="宋体" w:hAnsi="宋体" w:cs="宋体"/>
          <w:b/>
          <w:color w:val="auto"/>
          <w:sz w:val="24"/>
          <w:szCs w:val="20"/>
          <w:highlight w:val="none"/>
        </w:rPr>
      </w:pPr>
      <w:bookmarkStart w:id="207" w:name="_Toc26094"/>
      <w:bookmarkStart w:id="208" w:name="_Toc11901"/>
      <w:r>
        <w:rPr>
          <w:rFonts w:hint="eastAsia" w:ascii="宋体" w:hAnsi="宋体" w:cs="宋体"/>
          <w:b/>
          <w:color w:val="auto"/>
          <w:sz w:val="32"/>
          <w:szCs w:val="32"/>
          <w:highlight w:val="none"/>
        </w:rPr>
        <w:t>资格证明文件</w:t>
      </w:r>
      <w:bookmarkEnd w:id="200"/>
      <w:bookmarkEnd w:id="201"/>
      <w:bookmarkEnd w:id="202"/>
      <w:bookmarkEnd w:id="203"/>
      <w:bookmarkEnd w:id="204"/>
      <w:bookmarkEnd w:id="205"/>
      <w:bookmarkEnd w:id="206"/>
      <w:bookmarkEnd w:id="207"/>
      <w:bookmarkEnd w:id="208"/>
    </w:p>
    <w:p w14:paraId="21AB413B">
      <w:pPr>
        <w:snapToGrid w:val="0"/>
        <w:spacing w:before="120" w:beforeLines="50" w:after="50"/>
        <w:rPr>
          <w:rFonts w:hint="eastAsia" w:ascii="宋体" w:hAnsi="宋体" w:cs="宋体"/>
          <w:bCs/>
          <w:color w:val="auto"/>
          <w:sz w:val="24"/>
          <w:szCs w:val="20"/>
          <w:highlight w:val="none"/>
        </w:rPr>
      </w:pPr>
    </w:p>
    <w:p w14:paraId="0FE9503B">
      <w:pPr>
        <w:snapToGrid w:val="0"/>
        <w:spacing w:before="120" w:beforeLines="50" w:after="50"/>
        <w:rPr>
          <w:rFonts w:hint="eastAsia" w:ascii="宋体" w:hAnsi="宋体" w:cs="宋体"/>
          <w:bCs/>
          <w:color w:val="auto"/>
          <w:sz w:val="24"/>
          <w:szCs w:val="20"/>
          <w:highlight w:val="none"/>
        </w:rPr>
      </w:pPr>
    </w:p>
    <w:p w14:paraId="24522EC7">
      <w:pPr>
        <w:snapToGrid w:val="0"/>
        <w:spacing w:before="120" w:beforeLines="50" w:after="50"/>
        <w:rPr>
          <w:rFonts w:hint="eastAsia" w:ascii="宋体" w:hAnsi="宋体" w:cs="宋体"/>
          <w:bCs/>
          <w:color w:val="auto"/>
          <w:sz w:val="24"/>
          <w:szCs w:val="20"/>
          <w:highlight w:val="none"/>
        </w:rPr>
      </w:pPr>
    </w:p>
    <w:p w14:paraId="1495315F">
      <w:pPr>
        <w:snapToGrid w:val="0"/>
        <w:spacing w:before="120" w:beforeLines="50" w:after="50"/>
        <w:rPr>
          <w:rFonts w:hint="eastAsia" w:ascii="宋体" w:hAnsi="宋体" w:cs="宋体"/>
          <w:bCs/>
          <w:color w:val="auto"/>
          <w:sz w:val="24"/>
          <w:szCs w:val="20"/>
          <w:highlight w:val="none"/>
        </w:rPr>
      </w:pPr>
    </w:p>
    <w:p w14:paraId="08BF183E">
      <w:pPr>
        <w:snapToGrid w:val="0"/>
        <w:spacing w:before="120" w:beforeLines="50" w:after="50"/>
        <w:rPr>
          <w:rFonts w:hint="eastAsia" w:ascii="宋体" w:hAnsi="宋体" w:cs="宋体"/>
          <w:bCs/>
          <w:color w:val="auto"/>
          <w:sz w:val="24"/>
          <w:szCs w:val="20"/>
          <w:highlight w:val="none"/>
        </w:rPr>
      </w:pPr>
    </w:p>
    <w:p w14:paraId="2302BB3E">
      <w:pPr>
        <w:snapToGrid w:val="0"/>
        <w:spacing w:before="120" w:beforeLines="50" w:after="50"/>
        <w:rPr>
          <w:rFonts w:hint="eastAsia" w:ascii="宋体" w:hAnsi="宋体" w:cs="宋体"/>
          <w:bCs/>
          <w:color w:val="auto"/>
          <w:sz w:val="24"/>
          <w:szCs w:val="20"/>
          <w:highlight w:val="none"/>
        </w:rPr>
      </w:pPr>
    </w:p>
    <w:p w14:paraId="188B5103">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6ACA7695">
      <w:pPr>
        <w:snapToGrid w:val="0"/>
        <w:spacing w:before="120" w:beforeLines="50" w:after="50"/>
        <w:ind w:firstLine="540" w:firstLineChars="225"/>
        <w:rPr>
          <w:rFonts w:hint="eastAsia" w:ascii="宋体" w:hAnsi="宋体" w:cs="宋体"/>
          <w:bCs/>
          <w:color w:val="auto"/>
          <w:sz w:val="24"/>
          <w:szCs w:val="20"/>
          <w:highlight w:val="none"/>
        </w:rPr>
      </w:pPr>
    </w:p>
    <w:p w14:paraId="31885576">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65AE1CC0">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41B44CCE">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所投分标（如有）：</w:t>
      </w:r>
    </w:p>
    <w:p w14:paraId="63C72B68">
      <w:pPr>
        <w:snapToGrid w:val="0"/>
        <w:spacing w:before="120" w:beforeLines="50" w:after="50"/>
        <w:ind w:firstLine="540" w:firstLineChars="225"/>
        <w:rPr>
          <w:rFonts w:hint="eastAsia" w:ascii="宋体" w:hAnsi="宋体" w:cs="宋体"/>
          <w:bCs/>
          <w:color w:val="auto"/>
          <w:sz w:val="24"/>
          <w:szCs w:val="20"/>
          <w:highlight w:val="none"/>
        </w:rPr>
      </w:pPr>
    </w:p>
    <w:p w14:paraId="2F0B0C23">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743140B9">
      <w:pPr>
        <w:pStyle w:val="7"/>
        <w:snapToGrid w:val="0"/>
        <w:spacing w:before="50" w:after="50"/>
        <w:ind w:firstLine="540" w:firstLineChars="225"/>
        <w:rPr>
          <w:rFonts w:hint="eastAsia" w:ascii="宋体" w:hAnsi="宋体" w:cs="宋体"/>
          <w:bCs/>
          <w:color w:val="auto"/>
          <w:sz w:val="24"/>
          <w:szCs w:val="24"/>
          <w:highlight w:val="none"/>
        </w:rPr>
      </w:pPr>
    </w:p>
    <w:p w14:paraId="59BCD081">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3AA835A6">
      <w:pPr>
        <w:pStyle w:val="7"/>
        <w:snapToGrid w:val="0"/>
        <w:spacing w:before="50" w:after="50"/>
        <w:ind w:firstLine="960" w:firstLineChars="400"/>
        <w:rPr>
          <w:rFonts w:hint="eastAsia" w:ascii="宋体" w:hAnsi="宋体" w:cs="宋体"/>
          <w:bCs/>
          <w:color w:val="auto"/>
          <w:sz w:val="24"/>
          <w:szCs w:val="24"/>
          <w:highlight w:val="none"/>
        </w:rPr>
      </w:pPr>
    </w:p>
    <w:p w14:paraId="3C283F53">
      <w:pPr>
        <w:snapToGrid w:val="0"/>
        <w:spacing w:before="120"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10704154">
      <w:pPr>
        <w:numPr>
          <w:ilvl w:val="2"/>
          <w:numId w:val="0"/>
        </w:numPr>
        <w:snapToGrid w:val="0"/>
        <w:spacing w:before="120" w:beforeLines="50" w:after="50" w:line="360" w:lineRule="auto"/>
        <w:jc w:val="center"/>
        <w:rPr>
          <w:rFonts w:hint="eastAsia" w:ascii="宋体" w:hAnsi="宋体" w:cs="宋体"/>
          <w:color w:val="auto"/>
          <w:sz w:val="24"/>
          <w:szCs w:val="20"/>
          <w:highlight w:val="none"/>
        </w:rPr>
      </w:pPr>
      <w:r>
        <w:rPr>
          <w:rFonts w:hint="eastAsia" w:ascii="宋体" w:hAnsi="宋体" w:cs="宋体"/>
          <w:b/>
          <w:bCs/>
          <w:color w:val="auto"/>
          <w:sz w:val="24"/>
          <w:highlight w:val="none"/>
        </w:rPr>
        <w:br w:type="page"/>
      </w:r>
      <w:r>
        <w:rPr>
          <w:rFonts w:hint="eastAsia" w:ascii="宋体" w:hAnsi="宋体" w:cs="宋体"/>
          <w:b/>
          <w:bCs/>
          <w:color w:val="auto"/>
          <w:sz w:val="32"/>
          <w:szCs w:val="32"/>
          <w:highlight w:val="none"/>
        </w:rPr>
        <w:t>2.资格证明文件目录</w:t>
      </w:r>
    </w:p>
    <w:p w14:paraId="2CA39ABA">
      <w:pPr>
        <w:snapToGrid w:val="0"/>
        <w:spacing w:line="360" w:lineRule="auto"/>
        <w:ind w:firstLine="480" w:firstLineChars="200"/>
        <w:jc w:val="left"/>
        <w:rPr>
          <w:rFonts w:hint="eastAsia" w:ascii="宋体" w:hAnsi="宋体" w:cs="宋体"/>
          <w:color w:val="auto"/>
          <w:sz w:val="24"/>
          <w:highlight w:val="none"/>
        </w:rPr>
      </w:pPr>
    </w:p>
    <w:p w14:paraId="07A95737">
      <w:pPr>
        <w:snapToGrid w:val="0"/>
        <w:spacing w:line="360" w:lineRule="auto"/>
        <w:ind w:firstLine="1260" w:firstLineChars="600"/>
        <w:jc w:val="center"/>
        <w:rPr>
          <w:rFonts w:hint="eastAsia"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60E2E7C8">
      <w:pPr>
        <w:snapToGrid w:val="0"/>
        <w:spacing w:before="50" w:after="120" w:afterLines="50"/>
        <w:jc w:val="left"/>
        <w:rPr>
          <w:rFonts w:hint="eastAsia" w:ascii="宋体" w:hAnsi="宋体" w:cs="宋体"/>
          <w:color w:val="auto"/>
          <w:sz w:val="24"/>
          <w:highlight w:val="none"/>
        </w:rPr>
      </w:pPr>
    </w:p>
    <w:p w14:paraId="4E538743">
      <w:pPr>
        <w:snapToGrid w:val="0"/>
        <w:spacing w:before="50" w:after="120" w:afterLines="50"/>
        <w:jc w:val="left"/>
        <w:rPr>
          <w:rFonts w:hint="eastAsia" w:ascii="宋体" w:hAnsi="宋体" w:cs="宋体"/>
          <w:color w:val="auto"/>
          <w:sz w:val="24"/>
          <w:highlight w:val="none"/>
        </w:rPr>
      </w:pPr>
    </w:p>
    <w:p w14:paraId="6469F156">
      <w:pPr>
        <w:snapToGrid w:val="0"/>
        <w:spacing w:line="360" w:lineRule="auto"/>
        <w:ind w:right="480"/>
        <w:jc w:val="left"/>
        <w:rPr>
          <w:rFonts w:hint="eastAsia" w:ascii="宋体" w:hAnsi="宋体" w:cs="宋体"/>
          <w:b/>
          <w:color w:val="auto"/>
          <w:sz w:val="32"/>
          <w:szCs w:val="32"/>
          <w:highlight w:val="none"/>
        </w:rPr>
      </w:pPr>
      <w:r>
        <w:rPr>
          <w:rFonts w:hint="eastAsia" w:ascii="宋体" w:hAnsi="宋体" w:cs="宋体"/>
          <w:b/>
          <w:color w:val="auto"/>
          <w:sz w:val="24"/>
          <w:szCs w:val="20"/>
          <w:highlight w:val="none"/>
        </w:rPr>
        <w:br w:type="page"/>
      </w:r>
      <w:r>
        <w:rPr>
          <w:rFonts w:hint="eastAsia" w:ascii="宋体" w:hAnsi="宋体" w:cs="宋体"/>
          <w:b/>
          <w:color w:val="auto"/>
          <w:sz w:val="32"/>
          <w:szCs w:val="32"/>
          <w:highlight w:val="none"/>
        </w:rPr>
        <w:t>3.投标声明</w:t>
      </w:r>
    </w:p>
    <w:p w14:paraId="7B18A794">
      <w:pPr>
        <w:snapToGrid w:val="0"/>
        <w:spacing w:line="50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投标声明</w:t>
      </w:r>
    </w:p>
    <w:p w14:paraId="379466F4">
      <w:pPr>
        <w:spacing w:line="48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（采购人名称）：</w:t>
      </w:r>
    </w:p>
    <w:p w14:paraId="2663AF0E">
      <w:pPr>
        <w:spacing w:line="480" w:lineRule="exact"/>
        <w:ind w:firstLine="457" w:firstLineChars="218"/>
        <w:contextualSpacing/>
        <w:jc w:val="left"/>
        <w:rPr>
          <w:rFonts w:hint="eastAsia" w:ascii="宋体" w:hAnsi="宋体" w:cs="宋体"/>
          <w:color w:val="auto"/>
          <w:szCs w:val="21"/>
          <w:highlight w:val="none"/>
        </w:rPr>
      </w:pPr>
      <w:r>
        <w:rPr>
          <w:rFonts w:hint="eastAsia" w:ascii="宋体" w:hAnsi="宋体" w:cs="宋体"/>
          <w:color w:val="auto"/>
          <w:szCs w:val="21"/>
          <w:highlight w:val="none"/>
        </w:rPr>
        <w:t>我方参加贵单位组织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）的政府采购活动。我方在此郑重声明：</w:t>
      </w:r>
    </w:p>
    <w:p w14:paraId="2C1C1F67">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3A936D6">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2.我方不是为本次采购项目提供整体设计、规范编制或者项目管理、监理、检测等服务的供应商。</w:t>
      </w:r>
    </w:p>
    <w:p w14:paraId="2A1DD185">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3.我方承诺符合《中华人民共和国政府采购法》第二十二条规定：</w:t>
      </w:r>
    </w:p>
    <w:p w14:paraId="26E7BB95">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（一）具有独立承担民事责任的能力；</w:t>
      </w:r>
    </w:p>
    <w:p w14:paraId="0CD7A1AB">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（二）具有良好的商业信誉和健全的财务会计制度；</w:t>
      </w:r>
    </w:p>
    <w:p w14:paraId="3339A6AE">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（三）具有履行合同所必需的设备和专业技术能力；</w:t>
      </w:r>
    </w:p>
    <w:p w14:paraId="729C66AB">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（四）有依法缴纳税收和社会保障资金的良好记录；</w:t>
      </w:r>
    </w:p>
    <w:p w14:paraId="66CDD2B6">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（五）参加政府采购活动前三年内，在经营活动中没有重大违法记录；</w:t>
      </w:r>
    </w:p>
    <w:p w14:paraId="41D55D1D">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（六）法律、行政法规规定的其他条件。</w:t>
      </w:r>
    </w:p>
    <w:p w14:paraId="2BE21A1F">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4.以上事项如有虚假或者隐瞒，我方愿意承担一切后果，并不再寻求任何旨在减轻或者免除法律责任的辩解。</w:t>
      </w:r>
    </w:p>
    <w:p w14:paraId="3D8959F9">
      <w:pPr>
        <w:spacing w:line="48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特此承诺。</w:t>
      </w:r>
    </w:p>
    <w:p w14:paraId="5700AEDF">
      <w:pPr>
        <w:spacing w:line="480" w:lineRule="exact"/>
        <w:contextualSpacing/>
        <w:jc w:val="left"/>
        <w:rPr>
          <w:rFonts w:hint="eastAsia"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法定代表人（签字或者盖章或者电子签名）：</w:t>
      </w:r>
    </w:p>
    <w:p w14:paraId="6752A9F7">
      <w:pPr>
        <w:spacing w:line="48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3B13B1AF">
      <w:pPr>
        <w:spacing w:line="48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35CBFA48">
      <w:pPr>
        <w:spacing w:line="480" w:lineRule="exact"/>
        <w:contextualSpacing/>
        <w:rPr>
          <w:rFonts w:hint="eastAsia" w:ascii="宋体" w:hAnsi="宋体" w:cs="宋体"/>
          <w:b/>
          <w:color w:val="auto"/>
          <w:szCs w:val="21"/>
          <w:highlight w:val="none"/>
        </w:rPr>
      </w:pPr>
    </w:p>
    <w:p w14:paraId="20FC02C4">
      <w:pPr>
        <w:numPr>
          <w:ilvl w:val="2"/>
          <w:numId w:val="0"/>
        </w:numPr>
        <w:snapToGrid w:val="0"/>
        <w:spacing w:line="500" w:lineRule="exact"/>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4.投标人直接控股、管理关系信息表</w:t>
      </w:r>
    </w:p>
    <w:p w14:paraId="63F903D3">
      <w:pPr>
        <w:snapToGrid w:val="0"/>
        <w:spacing w:before="50" w:after="120" w:afterLines="50"/>
        <w:jc w:val="center"/>
        <w:rPr>
          <w:rFonts w:hint="eastAsia" w:ascii="宋体" w:hAnsi="宋体" w:cs="宋体"/>
          <w:b/>
          <w:color w:val="auto"/>
          <w:sz w:val="28"/>
          <w:szCs w:val="28"/>
          <w:highlight w:val="none"/>
        </w:rPr>
      </w:pPr>
    </w:p>
    <w:p w14:paraId="602A77E5">
      <w:pPr>
        <w:snapToGrid w:val="0"/>
        <w:spacing w:before="50" w:after="120" w:afterLines="50"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 xml:space="preserve">  投标人直接控股股东信息表</w:t>
      </w:r>
    </w:p>
    <w:tbl>
      <w:tblPr>
        <w:tblStyle w:val="4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D7D2D37">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7F9F1B2">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6BAEBA">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3354419">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284182">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65F7678">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3B1A6E51">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80D3F2">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492E10">
            <w:pPr>
              <w:spacing w:line="5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80996A">
            <w:pPr>
              <w:spacing w:line="5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F6393B">
            <w:pPr>
              <w:spacing w:line="5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2EC876">
            <w:pPr>
              <w:spacing w:line="500" w:lineRule="exact"/>
              <w:jc w:val="center"/>
              <w:rPr>
                <w:rFonts w:hint="eastAsia" w:ascii="宋体" w:hAnsi="宋体" w:cs="宋体"/>
                <w:color w:val="auto"/>
                <w:kern w:val="0"/>
                <w:szCs w:val="21"/>
                <w:highlight w:val="none"/>
              </w:rPr>
            </w:pPr>
          </w:p>
        </w:tc>
      </w:tr>
      <w:tr w14:paraId="39E1C63A">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6353FF">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AA54566">
            <w:pPr>
              <w:spacing w:line="5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0386D8">
            <w:pPr>
              <w:spacing w:line="5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2C025C">
            <w:pPr>
              <w:spacing w:line="5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8753DF">
            <w:pPr>
              <w:spacing w:line="500" w:lineRule="exact"/>
              <w:jc w:val="center"/>
              <w:rPr>
                <w:rFonts w:hint="eastAsia" w:ascii="宋体" w:hAnsi="宋体" w:cs="宋体"/>
                <w:color w:val="auto"/>
                <w:kern w:val="0"/>
                <w:szCs w:val="21"/>
                <w:highlight w:val="none"/>
              </w:rPr>
            </w:pPr>
          </w:p>
        </w:tc>
      </w:tr>
      <w:tr w14:paraId="30999AE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B184AC">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3CB5494">
            <w:pPr>
              <w:spacing w:line="5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6654E3">
            <w:pPr>
              <w:spacing w:line="5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1B51EB">
            <w:pPr>
              <w:spacing w:line="5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84EB7B">
            <w:pPr>
              <w:spacing w:line="500" w:lineRule="exact"/>
              <w:jc w:val="center"/>
              <w:rPr>
                <w:rFonts w:hint="eastAsia" w:ascii="宋体" w:hAnsi="宋体" w:cs="宋体"/>
                <w:color w:val="auto"/>
                <w:kern w:val="0"/>
                <w:szCs w:val="21"/>
                <w:highlight w:val="none"/>
              </w:rPr>
            </w:pPr>
          </w:p>
        </w:tc>
      </w:tr>
      <w:tr w14:paraId="7B566225">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E89CE5">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A5D945">
            <w:pPr>
              <w:spacing w:line="5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A34FA3">
            <w:pPr>
              <w:spacing w:line="5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94248C">
            <w:pPr>
              <w:spacing w:line="5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3B813E">
            <w:pPr>
              <w:spacing w:line="500" w:lineRule="exact"/>
              <w:jc w:val="center"/>
              <w:rPr>
                <w:rFonts w:hint="eastAsia" w:ascii="宋体" w:hAnsi="宋体" w:cs="宋体"/>
                <w:color w:val="auto"/>
                <w:kern w:val="0"/>
                <w:szCs w:val="21"/>
                <w:highlight w:val="none"/>
              </w:rPr>
            </w:pPr>
          </w:p>
        </w:tc>
      </w:tr>
    </w:tbl>
    <w:p w14:paraId="1DB5F996">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74098566">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838C9DC">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219D0681">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3.供应商不存在直接控股股东的，则在“</w:t>
      </w:r>
      <w:r>
        <w:rPr>
          <w:rFonts w:hint="eastAsia" w:ascii="宋体" w:hAnsi="宋体" w:cs="宋体"/>
          <w:b/>
          <w:bCs/>
          <w:color w:val="auto"/>
          <w:kern w:val="0"/>
          <w:szCs w:val="21"/>
          <w:highlight w:val="none"/>
        </w:rPr>
        <w:t>直接控股股东名称</w:t>
      </w:r>
      <w:r>
        <w:rPr>
          <w:rFonts w:hint="eastAsia" w:ascii="宋体" w:hAnsi="宋体" w:cs="宋体"/>
          <w:color w:val="auto"/>
          <w:szCs w:val="21"/>
          <w:highlight w:val="none"/>
        </w:rPr>
        <w:t>”中填“无”。</w:t>
      </w:r>
    </w:p>
    <w:p w14:paraId="7428670C">
      <w:pPr>
        <w:snapToGrid w:val="0"/>
        <w:spacing w:line="500" w:lineRule="exact"/>
        <w:jc w:val="left"/>
        <w:rPr>
          <w:rFonts w:hint="eastAsia" w:ascii="宋体" w:hAnsi="宋体" w:cs="宋体"/>
          <w:color w:val="auto"/>
          <w:szCs w:val="21"/>
          <w:highlight w:val="none"/>
        </w:rPr>
      </w:pPr>
    </w:p>
    <w:p w14:paraId="337B7CE8">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65ED789F">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7159EC36">
      <w:pPr>
        <w:snapToGrid w:val="0"/>
        <w:spacing w:before="120" w:beforeLines="50" w:after="50" w:line="360" w:lineRule="auto"/>
        <w:ind w:right="480"/>
        <w:jc w:val="center"/>
        <w:rPr>
          <w:rFonts w:hint="eastAsia" w:ascii="宋体" w:hAnsi="宋体" w:cs="宋体"/>
          <w:color w:val="auto"/>
          <w:sz w:val="32"/>
          <w:szCs w:val="32"/>
          <w:highlight w:val="none"/>
        </w:rPr>
      </w:pPr>
      <w:r>
        <w:rPr>
          <w:rFonts w:hint="eastAsia" w:ascii="宋体" w:hAnsi="宋体" w:cs="宋体"/>
          <w:b/>
          <w:color w:val="auto"/>
          <w:sz w:val="28"/>
          <w:szCs w:val="28"/>
          <w:highlight w:val="none"/>
        </w:rPr>
        <w:br w:type="page"/>
      </w:r>
      <w:r>
        <w:rPr>
          <w:rFonts w:hint="eastAsia" w:ascii="宋体" w:hAnsi="宋体" w:cs="宋体"/>
          <w:b/>
          <w:color w:val="auto"/>
          <w:sz w:val="28"/>
          <w:szCs w:val="28"/>
          <w:highlight w:val="none"/>
        </w:rPr>
        <w:t xml:space="preserve">       </w:t>
      </w:r>
      <w:r>
        <w:rPr>
          <w:rFonts w:hint="eastAsia" w:ascii="宋体" w:hAnsi="宋体" w:cs="宋体"/>
          <w:b/>
          <w:color w:val="auto"/>
          <w:sz w:val="32"/>
          <w:szCs w:val="32"/>
          <w:highlight w:val="none"/>
        </w:rPr>
        <w:t>投标人直接管理关系信息表</w:t>
      </w:r>
    </w:p>
    <w:tbl>
      <w:tblPr>
        <w:tblStyle w:val="46"/>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30447FD">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E6EC6E2">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2F7B9AC">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DAFC4BE">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E453C27">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2B20265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7550F0">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2A2C39">
            <w:pPr>
              <w:spacing w:line="500" w:lineRule="exact"/>
              <w:jc w:val="center"/>
              <w:rPr>
                <w:rFonts w:hint="eastAsia"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A91FD5">
            <w:pPr>
              <w:spacing w:line="500" w:lineRule="exact"/>
              <w:jc w:val="center"/>
              <w:rPr>
                <w:rFonts w:hint="eastAsia"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168A69">
            <w:pPr>
              <w:spacing w:line="500" w:lineRule="exact"/>
              <w:jc w:val="center"/>
              <w:rPr>
                <w:rFonts w:hint="eastAsia" w:ascii="宋体" w:hAnsi="宋体" w:cs="宋体"/>
                <w:color w:val="auto"/>
                <w:kern w:val="0"/>
                <w:szCs w:val="21"/>
                <w:highlight w:val="none"/>
              </w:rPr>
            </w:pPr>
          </w:p>
        </w:tc>
      </w:tr>
      <w:tr w14:paraId="028E4AA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13C732">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0A85D1D">
            <w:pPr>
              <w:spacing w:line="500" w:lineRule="exact"/>
              <w:jc w:val="center"/>
              <w:rPr>
                <w:rFonts w:hint="eastAsia"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23BECF">
            <w:pPr>
              <w:spacing w:line="500" w:lineRule="exact"/>
              <w:jc w:val="center"/>
              <w:rPr>
                <w:rFonts w:hint="eastAsia"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5F0889">
            <w:pPr>
              <w:spacing w:line="500" w:lineRule="exact"/>
              <w:jc w:val="center"/>
              <w:rPr>
                <w:rFonts w:hint="eastAsia" w:ascii="宋体" w:hAnsi="宋体" w:cs="宋体"/>
                <w:color w:val="auto"/>
                <w:kern w:val="0"/>
                <w:szCs w:val="21"/>
                <w:highlight w:val="none"/>
              </w:rPr>
            </w:pPr>
          </w:p>
        </w:tc>
      </w:tr>
      <w:tr w14:paraId="1DCC954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A6B9D4">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AFFBBE">
            <w:pPr>
              <w:spacing w:line="500" w:lineRule="exact"/>
              <w:jc w:val="center"/>
              <w:rPr>
                <w:rFonts w:hint="eastAsia"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F535F8">
            <w:pPr>
              <w:spacing w:line="500" w:lineRule="exact"/>
              <w:jc w:val="center"/>
              <w:rPr>
                <w:rFonts w:hint="eastAsia"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76C9E1">
            <w:pPr>
              <w:spacing w:line="500" w:lineRule="exact"/>
              <w:jc w:val="center"/>
              <w:rPr>
                <w:rFonts w:hint="eastAsia" w:ascii="宋体" w:hAnsi="宋体" w:cs="宋体"/>
                <w:color w:val="auto"/>
                <w:kern w:val="0"/>
                <w:szCs w:val="21"/>
                <w:highlight w:val="none"/>
              </w:rPr>
            </w:pPr>
          </w:p>
        </w:tc>
      </w:tr>
      <w:tr w14:paraId="31C98F5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5BA303B">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0443207">
            <w:pPr>
              <w:spacing w:line="500" w:lineRule="exact"/>
              <w:jc w:val="center"/>
              <w:rPr>
                <w:rFonts w:hint="eastAsia"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B35FF7">
            <w:pPr>
              <w:spacing w:line="500" w:lineRule="exact"/>
              <w:jc w:val="center"/>
              <w:rPr>
                <w:rFonts w:hint="eastAsia"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9140C4">
            <w:pPr>
              <w:spacing w:line="500" w:lineRule="exact"/>
              <w:jc w:val="center"/>
              <w:rPr>
                <w:rFonts w:hint="eastAsia" w:ascii="宋体" w:hAnsi="宋体" w:cs="宋体"/>
                <w:color w:val="auto"/>
                <w:kern w:val="0"/>
                <w:szCs w:val="21"/>
                <w:highlight w:val="none"/>
              </w:rPr>
            </w:pPr>
          </w:p>
        </w:tc>
      </w:tr>
    </w:tbl>
    <w:p w14:paraId="0C775E2F">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7BB9AE1C">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14:paraId="03767474">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pacing w:val="-6"/>
          <w:szCs w:val="21"/>
          <w:highlight w:val="none"/>
        </w:rPr>
        <w:t>本表所指的管理关系仅限于直接管理关系，不包括间接的管理关系。</w:t>
      </w:r>
    </w:p>
    <w:p w14:paraId="3889E405">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3.供应商不存在直接管理关系的，则在“</w:t>
      </w:r>
      <w:r>
        <w:rPr>
          <w:rFonts w:hint="eastAsia" w:ascii="宋体" w:hAnsi="宋体" w:cs="宋体"/>
          <w:b/>
          <w:bCs/>
          <w:color w:val="auto"/>
          <w:kern w:val="0"/>
          <w:szCs w:val="21"/>
          <w:highlight w:val="none"/>
        </w:rPr>
        <w:t>直接管理关系单位名称</w:t>
      </w:r>
      <w:r>
        <w:rPr>
          <w:rFonts w:hint="eastAsia" w:ascii="宋体" w:hAnsi="宋体" w:cs="宋体"/>
          <w:color w:val="auto"/>
          <w:szCs w:val="21"/>
          <w:highlight w:val="none"/>
        </w:rPr>
        <w:t>”中填“无”。</w:t>
      </w:r>
    </w:p>
    <w:p w14:paraId="17874A95">
      <w:pPr>
        <w:snapToGrid w:val="0"/>
        <w:spacing w:line="500" w:lineRule="exact"/>
        <w:jc w:val="left"/>
        <w:rPr>
          <w:rFonts w:hint="eastAsia" w:ascii="宋体" w:hAnsi="宋体" w:cs="宋体"/>
          <w:color w:val="auto"/>
          <w:szCs w:val="21"/>
          <w:highlight w:val="none"/>
        </w:rPr>
      </w:pPr>
    </w:p>
    <w:p w14:paraId="2AA4FF7F">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7BD3C143">
      <w:pPr>
        <w:snapToGrid w:val="0"/>
        <w:spacing w:line="500" w:lineRule="exact"/>
        <w:ind w:right="480" w:firstLine="210" w:firstLineChars="100"/>
        <w:jc w:val="left"/>
        <w:rPr>
          <w:rFonts w:hint="eastAsia" w:ascii="宋体" w:hAnsi="宋体" w:cs="宋体"/>
          <w:color w:val="auto"/>
          <w:sz w:val="24"/>
          <w:highlight w:val="none"/>
        </w:rPr>
      </w:pPr>
      <w:r>
        <w:rPr>
          <w:rFonts w:hint="eastAsia" w:ascii="宋体" w:hAnsi="宋体" w:cs="宋体"/>
          <w:color w:val="auto"/>
          <w:szCs w:val="21"/>
          <w:highlight w:val="none"/>
        </w:rPr>
        <w:t xml:space="preserve">                                                  日期：    年   月   日</w:t>
      </w:r>
    </w:p>
    <w:p w14:paraId="767460A3">
      <w:pPr>
        <w:pStyle w:val="7"/>
        <w:overflowPunct w:val="0"/>
        <w:spacing w:line="360" w:lineRule="auto"/>
        <w:ind w:firstLineChars="175"/>
        <w:contextualSpacing/>
        <w:rPr>
          <w:rFonts w:hint="eastAsia" w:ascii="宋体" w:hAnsi="宋体" w:cs="宋体"/>
          <w:b/>
          <w:color w:val="auto"/>
          <w:sz w:val="32"/>
          <w:szCs w:val="32"/>
          <w:highlight w:val="none"/>
        </w:rPr>
      </w:pPr>
      <w:r>
        <w:rPr>
          <w:rFonts w:hint="eastAsia" w:ascii="宋体" w:hAnsi="宋体" w:cs="宋体"/>
          <w:color w:val="auto"/>
          <w:sz w:val="24"/>
          <w:highlight w:val="none"/>
        </w:rPr>
        <w:br w:type="page"/>
      </w:r>
      <w:bookmarkStart w:id="209" w:name="_Toc19686838"/>
      <w:r>
        <w:rPr>
          <w:rFonts w:hint="eastAsia" w:ascii="宋体" w:hAnsi="宋体" w:cs="宋体"/>
          <w:b/>
          <w:color w:val="auto"/>
          <w:sz w:val="32"/>
          <w:szCs w:val="32"/>
          <w:highlight w:val="none"/>
        </w:rPr>
        <w:t>二、商务技术文件部分格式</w:t>
      </w:r>
      <w:bookmarkEnd w:id="209"/>
    </w:p>
    <w:p w14:paraId="0B956E44">
      <w:pPr>
        <w:snapToGrid w:val="0"/>
        <w:spacing w:before="120" w:beforeLines="50" w:after="50" w:line="360" w:lineRule="auto"/>
        <w:ind w:firstLine="643" w:firstLineChars="200"/>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 xml:space="preserve">1.商务文件封面格式： </w:t>
      </w:r>
    </w:p>
    <w:p w14:paraId="5C561933">
      <w:pPr>
        <w:snapToGrid w:val="0"/>
        <w:spacing w:before="120" w:beforeLines="50" w:after="50"/>
        <w:jc w:val="center"/>
        <w:rPr>
          <w:rFonts w:hint="eastAsia" w:ascii="宋体" w:hAnsi="宋体" w:cs="宋体"/>
          <w:bCs/>
          <w:color w:val="auto"/>
          <w:sz w:val="48"/>
          <w:szCs w:val="48"/>
          <w:highlight w:val="none"/>
        </w:rPr>
      </w:pPr>
    </w:p>
    <w:p w14:paraId="3C83C65F">
      <w:pPr>
        <w:snapToGrid w:val="0"/>
        <w:spacing w:before="120"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56655F97">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50C198AD">
      <w:pPr>
        <w:snapToGrid w:val="0"/>
        <w:spacing w:before="120" w:beforeLines="50" w:after="50"/>
        <w:jc w:val="center"/>
        <w:outlineLvl w:val="1"/>
        <w:rPr>
          <w:rFonts w:hint="eastAsia" w:ascii="宋体" w:hAnsi="宋体" w:cs="宋体"/>
          <w:b/>
          <w:color w:val="auto"/>
          <w:sz w:val="32"/>
          <w:szCs w:val="32"/>
          <w:highlight w:val="none"/>
        </w:rPr>
      </w:pPr>
      <w:bookmarkStart w:id="210" w:name="_Toc20190"/>
      <w:bookmarkStart w:id="211" w:name="_Toc23455"/>
      <w:bookmarkStart w:id="212" w:name="_Toc29222"/>
      <w:bookmarkStart w:id="213" w:name="_Toc25713"/>
      <w:bookmarkStart w:id="214" w:name="_Toc9192"/>
      <w:bookmarkStart w:id="215" w:name="_Toc32717"/>
      <w:bookmarkStart w:id="216" w:name="_Toc30127"/>
    </w:p>
    <w:p w14:paraId="2C469F06">
      <w:pPr>
        <w:keepNext w:val="0"/>
        <w:keepLines w:val="0"/>
        <w:pageBreakBefore w:val="0"/>
        <w:widowControl w:val="0"/>
        <w:kinsoku/>
        <w:wordWrap/>
        <w:overflowPunct/>
        <w:topLinePunct w:val="0"/>
        <w:autoSpaceDE/>
        <w:autoSpaceDN/>
        <w:bidi w:val="0"/>
        <w:adjustRightInd/>
        <w:snapToGrid w:val="0"/>
        <w:spacing w:before="120" w:beforeLines="50" w:after="50"/>
        <w:jc w:val="center"/>
        <w:textAlignment w:val="auto"/>
        <w:outlineLvl w:val="9"/>
        <w:rPr>
          <w:rFonts w:hint="eastAsia" w:ascii="宋体" w:hAnsi="宋体" w:cs="宋体"/>
          <w:b/>
          <w:color w:val="auto"/>
          <w:sz w:val="24"/>
          <w:szCs w:val="20"/>
          <w:highlight w:val="none"/>
        </w:rPr>
      </w:pPr>
      <w:bookmarkStart w:id="217" w:name="_Toc14107"/>
      <w:bookmarkStart w:id="218" w:name="_Toc22221"/>
      <w:r>
        <w:rPr>
          <w:rFonts w:hint="eastAsia" w:ascii="宋体" w:hAnsi="宋体" w:cs="宋体"/>
          <w:b/>
          <w:color w:val="auto"/>
          <w:sz w:val="32"/>
          <w:szCs w:val="32"/>
          <w:highlight w:val="none"/>
        </w:rPr>
        <w:t>商务文件</w:t>
      </w:r>
      <w:bookmarkEnd w:id="210"/>
      <w:bookmarkEnd w:id="211"/>
      <w:bookmarkEnd w:id="212"/>
      <w:bookmarkEnd w:id="213"/>
      <w:bookmarkEnd w:id="214"/>
      <w:bookmarkEnd w:id="215"/>
      <w:bookmarkEnd w:id="216"/>
      <w:bookmarkEnd w:id="217"/>
      <w:bookmarkEnd w:id="218"/>
    </w:p>
    <w:p w14:paraId="6B069F67">
      <w:pPr>
        <w:snapToGrid w:val="0"/>
        <w:spacing w:before="120" w:beforeLines="50" w:after="50"/>
        <w:rPr>
          <w:rFonts w:hint="eastAsia" w:ascii="宋体" w:hAnsi="宋体" w:cs="宋体"/>
          <w:bCs/>
          <w:color w:val="auto"/>
          <w:sz w:val="24"/>
          <w:szCs w:val="20"/>
          <w:highlight w:val="none"/>
        </w:rPr>
      </w:pPr>
    </w:p>
    <w:p w14:paraId="2B743016">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6A7ADCCA">
      <w:pPr>
        <w:snapToGrid w:val="0"/>
        <w:spacing w:before="120" w:beforeLines="50" w:after="50"/>
        <w:ind w:firstLine="540" w:firstLineChars="225"/>
        <w:rPr>
          <w:rFonts w:hint="eastAsia" w:ascii="宋体" w:hAnsi="宋体" w:cs="宋体"/>
          <w:bCs/>
          <w:color w:val="auto"/>
          <w:sz w:val="24"/>
          <w:szCs w:val="20"/>
          <w:highlight w:val="none"/>
        </w:rPr>
      </w:pPr>
    </w:p>
    <w:p w14:paraId="0B0D9221">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6EA87651">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152223A9">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所投分标（如有）：</w:t>
      </w:r>
    </w:p>
    <w:p w14:paraId="12AF2122">
      <w:pPr>
        <w:snapToGrid w:val="0"/>
        <w:spacing w:before="120" w:beforeLines="50" w:after="50"/>
        <w:ind w:firstLine="540" w:firstLineChars="225"/>
        <w:rPr>
          <w:rFonts w:hint="eastAsia" w:ascii="宋体" w:hAnsi="宋体" w:cs="宋体"/>
          <w:bCs/>
          <w:color w:val="auto"/>
          <w:sz w:val="24"/>
          <w:szCs w:val="20"/>
          <w:highlight w:val="none"/>
        </w:rPr>
      </w:pPr>
    </w:p>
    <w:p w14:paraId="1C2F61F1">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5215B2E5">
      <w:pPr>
        <w:pStyle w:val="7"/>
        <w:snapToGrid w:val="0"/>
        <w:spacing w:before="50" w:after="50"/>
        <w:ind w:firstLine="540" w:firstLineChars="225"/>
        <w:rPr>
          <w:rFonts w:hint="eastAsia" w:ascii="宋体" w:hAnsi="宋体" w:cs="宋体"/>
          <w:bCs/>
          <w:color w:val="auto"/>
          <w:sz w:val="24"/>
          <w:szCs w:val="24"/>
          <w:highlight w:val="none"/>
        </w:rPr>
      </w:pPr>
    </w:p>
    <w:p w14:paraId="18F2B316">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11A2C7D1">
      <w:pPr>
        <w:pStyle w:val="7"/>
        <w:snapToGrid w:val="0"/>
        <w:spacing w:before="50" w:after="50"/>
        <w:ind w:firstLine="960" w:firstLineChars="400"/>
        <w:rPr>
          <w:rFonts w:hint="eastAsia" w:ascii="宋体" w:hAnsi="宋体" w:cs="宋体"/>
          <w:bCs/>
          <w:color w:val="auto"/>
          <w:sz w:val="24"/>
          <w:szCs w:val="24"/>
          <w:highlight w:val="none"/>
        </w:rPr>
      </w:pPr>
    </w:p>
    <w:p w14:paraId="780AED98">
      <w:pPr>
        <w:snapToGrid w:val="0"/>
        <w:spacing w:before="120"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4DE1EF4E">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3F6CFE42">
      <w:pPr>
        <w:snapToGrid w:val="0"/>
        <w:spacing w:line="360" w:lineRule="auto"/>
        <w:jc w:val="left"/>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32"/>
          <w:szCs w:val="32"/>
          <w:highlight w:val="none"/>
        </w:rPr>
        <w:t>2.商务文件目录</w:t>
      </w:r>
    </w:p>
    <w:p w14:paraId="6388E554">
      <w:pPr>
        <w:snapToGrid w:val="0"/>
        <w:spacing w:before="50" w:after="120" w:afterLines="50" w:line="360" w:lineRule="auto"/>
        <w:jc w:val="center"/>
        <w:rPr>
          <w:rFonts w:hint="eastAsia" w:ascii="宋体" w:hAnsi="宋体" w:cs="宋体"/>
          <w:color w:val="auto"/>
          <w:sz w:val="24"/>
          <w:highlight w:val="none"/>
        </w:rPr>
      </w:pPr>
    </w:p>
    <w:p w14:paraId="3A044605">
      <w:pPr>
        <w:snapToGrid w:val="0"/>
        <w:spacing w:before="50" w:after="120" w:afterLines="50" w:line="360" w:lineRule="auto"/>
        <w:jc w:val="center"/>
        <w:rPr>
          <w:rFonts w:hint="eastAsia" w:ascii="宋体" w:hAnsi="宋体" w:cs="宋体"/>
          <w:b/>
          <w:bCs/>
          <w:color w:val="auto"/>
          <w:szCs w:val="21"/>
          <w:highlight w:val="none"/>
        </w:rPr>
      </w:pPr>
      <w:r>
        <w:rPr>
          <w:rFonts w:hint="eastAsia" w:ascii="宋体" w:hAnsi="宋体" w:cs="宋体"/>
          <w:color w:val="auto"/>
          <w:szCs w:val="21"/>
          <w:highlight w:val="none"/>
        </w:rPr>
        <w:t>根据招标文件规定及投标人提供的材料自行编写目录。</w:t>
      </w:r>
    </w:p>
    <w:p w14:paraId="437C1A79">
      <w:pPr>
        <w:snapToGrid w:val="0"/>
        <w:spacing w:before="50" w:after="120" w:afterLines="50"/>
        <w:jc w:val="left"/>
        <w:rPr>
          <w:rFonts w:hint="eastAsia" w:ascii="宋体" w:hAnsi="宋体" w:cs="宋体"/>
          <w:color w:val="auto"/>
          <w:highlight w:val="none"/>
        </w:rPr>
      </w:pPr>
    </w:p>
    <w:p w14:paraId="3A25109B">
      <w:pPr>
        <w:snapToGrid w:val="0"/>
        <w:spacing w:before="120" w:beforeLines="50" w:after="50"/>
        <w:jc w:val="left"/>
        <w:rPr>
          <w:rFonts w:hint="eastAsia" w:ascii="宋体" w:hAnsi="宋体" w:cs="宋体"/>
          <w:b/>
          <w:color w:val="auto"/>
          <w:sz w:val="32"/>
          <w:szCs w:val="32"/>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3.无串通投标行为的承诺函</w:t>
      </w:r>
    </w:p>
    <w:p w14:paraId="387F978E">
      <w:pPr>
        <w:snapToGrid w:val="0"/>
        <w:spacing w:before="120" w:beforeLines="50" w:after="50"/>
        <w:jc w:val="left"/>
        <w:rPr>
          <w:rFonts w:hint="eastAsia" w:ascii="宋体" w:hAnsi="宋体" w:cs="宋体"/>
          <w:b/>
          <w:color w:val="auto"/>
          <w:sz w:val="24"/>
          <w:highlight w:val="none"/>
        </w:rPr>
      </w:pPr>
    </w:p>
    <w:p w14:paraId="0EA9818A">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无串通投标行为的承诺函</w:t>
      </w:r>
    </w:p>
    <w:p w14:paraId="6BE3C04D">
      <w:pPr>
        <w:spacing w:line="500" w:lineRule="exact"/>
        <w:ind w:firstLine="422" w:firstLineChars="200"/>
        <w:contextualSpacing/>
        <w:jc w:val="left"/>
        <w:rPr>
          <w:rFonts w:hint="eastAsia"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08CCA740">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w:t>
      </w:r>
      <w:r>
        <w:rPr>
          <w:rFonts w:hint="eastAsia"/>
          <w:color w:val="auto"/>
          <w:highlight w:val="none"/>
        </w:rPr>
        <w:t>或者不同供应商报名的IP地址一致的；</w:t>
      </w:r>
    </w:p>
    <w:p w14:paraId="2FC0C815">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7C3D4DDF">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14:paraId="250A81A7">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557CD46D">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35D27ECF">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59C479E7">
      <w:pPr>
        <w:spacing w:line="500" w:lineRule="exact"/>
        <w:ind w:firstLine="422" w:firstLineChars="200"/>
        <w:contextualSpacing/>
        <w:jc w:val="left"/>
        <w:rPr>
          <w:rFonts w:hint="eastAsia"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79A2A33B">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1.投标人直接或者间接从采购人或者采购代理机构处获得其他投标人的相关信息并修改其投标文件或者响应文件；</w:t>
      </w:r>
    </w:p>
    <w:p w14:paraId="08B2740C">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2.投标人按照采购人或者采购代理机构的授意撤换、修改投标文件或者响应文件；</w:t>
      </w:r>
    </w:p>
    <w:p w14:paraId="0ADD3F82">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3.投标人之间协商报价、技术方案等投标文件或者响应文件的实质性内容；</w:t>
      </w:r>
    </w:p>
    <w:p w14:paraId="583E43CD">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01E6F72A">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3F1CC47C">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32D6F665">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1E7C7E9C">
      <w:pPr>
        <w:spacing w:line="500" w:lineRule="exact"/>
        <w:ind w:firstLine="413" w:firstLineChars="196"/>
        <w:contextualSpacing/>
        <w:jc w:val="left"/>
        <w:rPr>
          <w:rFonts w:hint="eastAsia"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以上情形一经核查属实，我方愿意承担一切后果，并不再寻求任何旨在减轻或者免除法律责任的辩解。</w:t>
      </w:r>
    </w:p>
    <w:p w14:paraId="2502BF99">
      <w:pPr>
        <w:pStyle w:val="24"/>
        <w:spacing w:line="500" w:lineRule="exact"/>
        <w:contextualSpacing/>
        <w:jc w:val="center"/>
        <w:rPr>
          <w:rFonts w:hint="eastAsia" w:hAnsi="宋体" w:cs="宋体"/>
          <w:color w:val="auto"/>
          <w:sz w:val="21"/>
          <w:highlight w:val="none"/>
        </w:rPr>
      </w:pPr>
      <w:r>
        <w:rPr>
          <w:rFonts w:hint="eastAsia" w:hAnsi="宋体" w:cs="宋体"/>
          <w:color w:val="auto"/>
          <w:sz w:val="21"/>
          <w:highlight w:val="none"/>
        </w:rPr>
        <w:t xml:space="preserve">                                      投标人名称（电子签章）：</w:t>
      </w:r>
    </w:p>
    <w:p w14:paraId="0BE2BA0C">
      <w:pPr>
        <w:pStyle w:val="24"/>
        <w:spacing w:line="500" w:lineRule="exact"/>
        <w:contextualSpacing/>
        <w:rPr>
          <w:rFonts w:hint="eastAsia" w:hAnsi="宋体" w:cs="宋体"/>
          <w:color w:val="auto"/>
          <w:sz w:val="21"/>
          <w:highlight w:val="none"/>
        </w:rPr>
      </w:pPr>
      <w:r>
        <w:rPr>
          <w:rFonts w:hint="eastAsia" w:hAnsi="宋体" w:cs="宋体"/>
          <w:color w:val="auto"/>
          <w:sz w:val="21"/>
          <w:highlight w:val="none"/>
        </w:rPr>
        <w:t xml:space="preserve">                                                  日期：      年    月     日</w:t>
      </w:r>
    </w:p>
    <w:p w14:paraId="5F00840F">
      <w:pPr>
        <w:snapToGrid w:val="0"/>
        <w:spacing w:before="120" w:beforeLines="50" w:after="50"/>
        <w:ind w:firstLine="472" w:firstLineChars="196"/>
        <w:jc w:val="left"/>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4.法定代表人身份证明</w:t>
      </w:r>
    </w:p>
    <w:p w14:paraId="188D83CF">
      <w:pPr>
        <w:spacing w:before="240" w:beforeLines="100" w:after="120" w:afterLines="50"/>
        <w:ind w:left="540"/>
        <w:jc w:val="center"/>
        <w:rPr>
          <w:rFonts w:hint="eastAsia" w:ascii="宋体" w:hAnsi="宋体" w:cs="宋体"/>
          <w:b/>
          <w:color w:val="auto"/>
          <w:sz w:val="32"/>
          <w:szCs w:val="32"/>
          <w:highlight w:val="none"/>
        </w:rPr>
      </w:pPr>
    </w:p>
    <w:p w14:paraId="6DF2BE85">
      <w:pPr>
        <w:spacing w:before="240" w:beforeLines="100" w:after="120" w:afterLines="50"/>
        <w:ind w:left="54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法定代表人身份证明</w:t>
      </w:r>
    </w:p>
    <w:p w14:paraId="163B3E07">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p>
    <w:p w14:paraId="58A89060">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AAE3FBE">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p>
    <w:p w14:paraId="294468FE">
      <w:pPr>
        <w:spacing w:line="500" w:lineRule="exact"/>
        <w:ind w:left="540"/>
        <w:rPr>
          <w:rFonts w:hint="eastAsia" w:ascii="宋体" w:hAnsi="宋体" w:cs="宋体"/>
          <w:color w:val="auto"/>
          <w:szCs w:val="21"/>
          <w:highlight w:val="none"/>
          <w:u w:val="single"/>
        </w:rPr>
      </w:pP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14:paraId="2A28B38C">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70DBE147">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（投标人名称）              </w:t>
      </w:r>
      <w:r>
        <w:rPr>
          <w:rFonts w:hint="eastAsia" w:ascii="宋体" w:hAnsi="宋体" w:cs="宋体"/>
          <w:color w:val="auto"/>
          <w:szCs w:val="21"/>
          <w:highlight w:val="none"/>
        </w:rPr>
        <w:t>的法定代表人。</w:t>
      </w:r>
    </w:p>
    <w:p w14:paraId="1C9CEBF1">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特此证明。</w:t>
      </w:r>
    </w:p>
    <w:p w14:paraId="6C51A845">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附件：法定代表人有效身份证正反面扫描件</w:t>
      </w:r>
    </w:p>
    <w:p w14:paraId="72496D03">
      <w:pPr>
        <w:spacing w:line="500" w:lineRule="exact"/>
        <w:ind w:left="540"/>
        <w:rPr>
          <w:rFonts w:hint="eastAsia" w:ascii="宋体" w:hAnsi="宋体" w:cs="宋体"/>
          <w:color w:val="auto"/>
          <w:szCs w:val="21"/>
          <w:highlight w:val="none"/>
        </w:rPr>
      </w:pPr>
    </w:p>
    <w:p w14:paraId="1E166FBF">
      <w:pPr>
        <w:pStyle w:val="24"/>
        <w:spacing w:line="500" w:lineRule="exact"/>
        <w:contextualSpacing/>
        <w:jc w:val="center"/>
        <w:rPr>
          <w:rFonts w:hint="eastAsia" w:hAnsi="宋体" w:cs="宋体"/>
          <w:color w:val="auto"/>
          <w:sz w:val="21"/>
          <w:highlight w:val="none"/>
        </w:rPr>
      </w:pPr>
      <w:r>
        <w:rPr>
          <w:rFonts w:hint="eastAsia" w:hAnsi="宋体" w:cs="宋体"/>
          <w:color w:val="auto"/>
          <w:sz w:val="21"/>
          <w:highlight w:val="none"/>
        </w:rPr>
        <w:t xml:space="preserve">                                      投标人名称（电子签章）：</w:t>
      </w:r>
    </w:p>
    <w:p w14:paraId="0AF32966">
      <w:pPr>
        <w:pStyle w:val="24"/>
        <w:spacing w:line="500" w:lineRule="exact"/>
        <w:contextualSpacing/>
        <w:rPr>
          <w:rFonts w:hint="eastAsia" w:hAnsi="宋体" w:cs="宋体"/>
          <w:color w:val="auto"/>
          <w:sz w:val="21"/>
          <w:highlight w:val="none"/>
        </w:rPr>
      </w:pPr>
      <w:r>
        <w:rPr>
          <w:rFonts w:hint="eastAsia" w:hAnsi="宋体" w:cs="宋体"/>
          <w:color w:val="auto"/>
          <w:sz w:val="21"/>
          <w:highlight w:val="none"/>
        </w:rPr>
        <w:t xml:space="preserve">                                                  日期：      年    月     日</w:t>
      </w:r>
    </w:p>
    <w:p w14:paraId="541B07DE">
      <w:pPr>
        <w:snapToGrid w:val="0"/>
        <w:spacing w:before="120" w:beforeLines="50" w:after="50"/>
        <w:jc w:val="center"/>
        <w:rPr>
          <w:rFonts w:hint="eastAsia" w:ascii="宋体" w:hAnsi="宋体" w:cs="宋体"/>
          <w:b/>
          <w:color w:val="auto"/>
          <w:szCs w:val="21"/>
          <w:highlight w:val="none"/>
        </w:rPr>
      </w:pPr>
    </w:p>
    <w:p w14:paraId="598B61EC">
      <w:pPr>
        <w:snapToGrid w:val="0"/>
        <w:spacing w:before="120" w:beforeLines="50" w:after="50"/>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注：自然人投标的无需提供</w:t>
      </w:r>
    </w:p>
    <w:p w14:paraId="6C03AB5F">
      <w:pPr>
        <w:snapToGrid w:val="0"/>
        <w:spacing w:before="120" w:beforeLines="50" w:after="50"/>
        <w:jc w:val="left"/>
        <w:rPr>
          <w:rFonts w:hint="eastAsia" w:ascii="宋体" w:hAnsi="宋体" w:cs="宋体"/>
          <w:b/>
          <w:color w:val="auto"/>
          <w:sz w:val="32"/>
          <w:szCs w:val="32"/>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5.授权委托书格式</w:t>
      </w:r>
    </w:p>
    <w:p w14:paraId="5D27FE55">
      <w:pPr>
        <w:snapToGrid w:val="0"/>
        <w:spacing w:before="120" w:beforeLines="50" w:after="50"/>
        <w:jc w:val="center"/>
        <w:rPr>
          <w:rFonts w:hint="eastAsia" w:ascii="宋体" w:hAnsi="宋体" w:cs="宋体"/>
          <w:b/>
          <w:color w:val="auto"/>
          <w:sz w:val="32"/>
          <w:szCs w:val="32"/>
          <w:highlight w:val="none"/>
        </w:rPr>
      </w:pPr>
    </w:p>
    <w:p w14:paraId="664A96AD">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授权委托书（如有委托时）</w:t>
      </w:r>
    </w:p>
    <w:p w14:paraId="2CF5CE39">
      <w:pPr>
        <w:spacing w:line="500" w:lineRule="exact"/>
        <w:contextualSpacing/>
        <w:rPr>
          <w:rFonts w:hint="eastAsia"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r>
        <w:rPr>
          <w:rFonts w:hint="eastAsia" w:ascii="宋体" w:hAnsi="宋体" w:cs="宋体"/>
          <w:color w:val="auto"/>
          <w:szCs w:val="21"/>
          <w:highlight w:val="none"/>
        </w:rPr>
        <w:t>：</w:t>
      </w:r>
    </w:p>
    <w:p w14:paraId="0B7C0094">
      <w:pPr>
        <w:spacing w:line="5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项目的投标活动，并代表我方全权办理针对上述项目的所有采购程序和环节的具体事务和签署相关文件。</w:t>
      </w:r>
    </w:p>
    <w:p w14:paraId="19EF0436">
      <w:pPr>
        <w:spacing w:line="5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我方对委托代理人的签字或者电子签名事项负全部责任。</w:t>
      </w:r>
    </w:p>
    <w:p w14:paraId="14B6955B">
      <w:pPr>
        <w:spacing w:line="50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u w:val="single"/>
        </w:rPr>
        <w:t>本授权书自签署之日起生效，在撤销授权的书面通知以前，本授权书一直有效。委托代理人在授权书有效期内签署的所有文件不因授权的撤销而失效。</w:t>
      </w:r>
    </w:p>
    <w:p w14:paraId="1F375942">
      <w:pPr>
        <w:spacing w:line="50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3DD9D183">
      <w:pPr>
        <w:spacing w:line="500" w:lineRule="exact"/>
        <w:ind w:firstLine="480"/>
        <w:contextualSpacing/>
        <w:rPr>
          <w:rFonts w:hint="eastAsia" w:ascii="宋体" w:hAnsi="宋体" w:cs="宋体"/>
          <w:color w:val="auto"/>
          <w:kern w:val="0"/>
          <w:szCs w:val="21"/>
          <w:highlight w:val="none"/>
        </w:rPr>
      </w:pPr>
      <w:r>
        <w:rPr>
          <w:rFonts w:hint="eastAsia" w:ascii="宋体" w:hAnsi="宋体" w:cs="宋体"/>
          <w:color w:val="auto"/>
          <w:szCs w:val="21"/>
          <w:highlight w:val="none"/>
        </w:rPr>
        <w:t>附：法定代表人身份证明及</w:t>
      </w:r>
      <w:r>
        <w:rPr>
          <w:rFonts w:hint="eastAsia" w:ascii="宋体" w:hAnsi="宋体" w:cs="宋体"/>
          <w:color w:val="auto"/>
          <w:kern w:val="0"/>
          <w:szCs w:val="21"/>
          <w:highlight w:val="none"/>
        </w:rPr>
        <w:t>委托代理人有效身份证正反面扫描件。</w:t>
      </w:r>
    </w:p>
    <w:p w14:paraId="5ACBEB57">
      <w:pPr>
        <w:spacing w:line="500" w:lineRule="exact"/>
        <w:contextualSpacing/>
        <w:rPr>
          <w:rFonts w:hint="eastAsia" w:ascii="宋体" w:hAnsi="宋体" w:cs="宋体"/>
          <w:color w:val="auto"/>
          <w:szCs w:val="21"/>
          <w:highlight w:val="none"/>
        </w:rPr>
      </w:pPr>
    </w:p>
    <w:p w14:paraId="1317AF6F">
      <w:pPr>
        <w:spacing w:line="50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委托代理人（签字或者电子签名）：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DF8B285">
      <w:pPr>
        <w:spacing w:line="500" w:lineRule="exact"/>
        <w:contextualSpacing/>
        <w:rPr>
          <w:rFonts w:hint="eastAsia" w:ascii="宋体" w:hAnsi="宋体" w:cs="宋体"/>
          <w:color w:val="auto"/>
          <w:szCs w:val="21"/>
          <w:highlight w:val="none"/>
          <w:u w:val="single"/>
        </w:rPr>
      </w:pPr>
      <w:r>
        <w:rPr>
          <w:rFonts w:hint="eastAsia" w:ascii="宋体" w:hAnsi="宋体" w:cs="宋体"/>
          <w:color w:val="auto"/>
          <w:szCs w:val="21"/>
          <w:highlight w:val="none"/>
        </w:rPr>
        <w:t>委托代理人身份证号码：</w:t>
      </w:r>
      <w:r>
        <w:rPr>
          <w:rFonts w:hint="eastAsia" w:ascii="宋体" w:hAnsi="宋体" w:cs="宋体"/>
          <w:color w:val="auto"/>
          <w:szCs w:val="21"/>
          <w:highlight w:val="none"/>
          <w:u w:val="single"/>
        </w:rPr>
        <w:t xml:space="preserve">                                 </w:t>
      </w:r>
    </w:p>
    <w:p w14:paraId="0DC1708F">
      <w:pPr>
        <w:spacing w:line="500" w:lineRule="exact"/>
        <w:contextualSpacing/>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法定代表人（签字或者盖章或者电子签名）：</w:t>
      </w:r>
      <w:r>
        <w:rPr>
          <w:rFonts w:hint="eastAsia" w:ascii="宋体" w:hAnsi="宋体" w:cs="宋体"/>
          <w:color w:val="auto"/>
          <w:szCs w:val="21"/>
          <w:highlight w:val="none"/>
          <w:u w:val="single"/>
        </w:rPr>
        <w:t xml:space="preserve">               </w:t>
      </w:r>
    </w:p>
    <w:p w14:paraId="0CFC6FB4">
      <w:pPr>
        <w:spacing w:line="50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421ABCE4">
      <w:pPr>
        <w:spacing w:line="50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144B3C1C">
      <w:pPr>
        <w:spacing w:line="50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6CF1E4F9">
      <w:pPr>
        <w:spacing w:line="50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注：1.</w:t>
      </w:r>
      <w:bookmarkStart w:id="219" w:name="_Hlk65851555"/>
      <w:bookmarkStart w:id="220" w:name="_Hlk65851620"/>
      <w:r>
        <w:rPr>
          <w:rFonts w:hint="eastAsia" w:ascii="宋体" w:hAnsi="宋体" w:cs="宋体"/>
          <w:color w:val="auto"/>
          <w:szCs w:val="21"/>
          <w:highlight w:val="none"/>
        </w:rPr>
        <w:t>法定代表人必须在授权委托书上签字或者盖章或者电子签名，</w:t>
      </w:r>
      <w:bookmarkEnd w:id="219"/>
      <w:r>
        <w:rPr>
          <w:rFonts w:hint="eastAsia" w:ascii="宋体" w:hAnsi="宋体" w:cs="宋体"/>
          <w:color w:val="auto"/>
          <w:szCs w:val="21"/>
          <w:highlight w:val="none"/>
        </w:rPr>
        <w:t>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bookmarkEnd w:id="220"/>
    </w:p>
    <w:p w14:paraId="690E7BD8">
      <w:pPr>
        <w:spacing w:line="5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2.法人、其他组织投标时“我方”是指“我单位”，自然人投标时“我方”是指“本人”。</w:t>
      </w:r>
    </w:p>
    <w:p w14:paraId="750DFF74">
      <w:pPr>
        <w:spacing w:line="440" w:lineRule="exact"/>
        <w:contextualSpacing/>
        <w:jc w:val="left"/>
        <w:rPr>
          <w:rFonts w:hint="eastAsia" w:ascii="宋体" w:hAnsi="宋体" w:cs="宋体"/>
          <w:color w:val="auto"/>
          <w:sz w:val="24"/>
          <w:highlight w:val="none"/>
        </w:rPr>
        <w:sectPr>
          <w:footerReference r:id="rId12" w:type="default"/>
          <w:pgSz w:w="11906" w:h="16838"/>
          <w:pgMar w:top="1247" w:right="1247" w:bottom="1247" w:left="1247" w:header="851" w:footer="992" w:gutter="0"/>
          <w:pgNumType w:fmt="decimal"/>
          <w:cols w:space="720" w:num="1"/>
          <w:titlePg/>
          <w:docGrid w:linePitch="312" w:charSpace="0"/>
        </w:sectPr>
      </w:pPr>
      <w:bookmarkStart w:id="221" w:name="_Hlk65852658"/>
    </w:p>
    <w:p w14:paraId="45903D51">
      <w:pPr>
        <w:snapToGrid w:val="0"/>
        <w:spacing w:before="120" w:beforeLines="50" w:after="50"/>
        <w:ind w:firstLine="758" w:firstLineChars="236"/>
        <w:jc w:val="center"/>
        <w:rPr>
          <w:rFonts w:ascii="宋体" w:hAnsi="宋体"/>
          <w:b/>
          <w:bCs/>
          <w:color w:val="auto"/>
          <w:sz w:val="32"/>
          <w:szCs w:val="32"/>
          <w:highlight w:val="none"/>
        </w:rPr>
      </w:pPr>
      <w:r>
        <w:rPr>
          <w:rFonts w:hint="eastAsia" w:ascii="宋体" w:hAnsi="宋体"/>
          <w:b/>
          <w:bCs/>
          <w:color w:val="auto"/>
          <w:sz w:val="32"/>
          <w:szCs w:val="32"/>
          <w:highlight w:val="none"/>
        </w:rPr>
        <w:t>授权委托书</w:t>
      </w:r>
    </w:p>
    <w:p w14:paraId="032FDBD6">
      <w:pPr>
        <w:snapToGrid w:val="0"/>
        <w:spacing w:before="120" w:beforeLines="50" w:after="50"/>
        <w:ind w:firstLine="758" w:firstLineChars="236"/>
        <w:jc w:val="center"/>
        <w:rPr>
          <w:rFonts w:hint="eastAsia" w:ascii="宋体" w:hAnsi="宋体"/>
          <w:b/>
          <w:bCs/>
          <w:color w:val="auto"/>
          <w:sz w:val="32"/>
          <w:szCs w:val="32"/>
          <w:highlight w:val="none"/>
        </w:rPr>
      </w:pPr>
      <w:r>
        <w:rPr>
          <w:rFonts w:hint="eastAsia" w:ascii="宋体" w:hAnsi="宋体"/>
          <w:b/>
          <w:bCs/>
          <w:color w:val="auto"/>
          <w:sz w:val="32"/>
          <w:szCs w:val="32"/>
          <w:highlight w:val="none"/>
        </w:rPr>
        <w:t>（联合体投标格式）</w:t>
      </w:r>
    </w:p>
    <w:p w14:paraId="111E307A">
      <w:pPr>
        <w:snapToGrid w:val="0"/>
        <w:spacing w:before="120" w:beforeLines="50" w:after="50"/>
        <w:ind w:firstLine="758" w:firstLineChars="236"/>
        <w:jc w:val="center"/>
        <w:rPr>
          <w:rFonts w:ascii="宋体" w:hAnsi="宋体"/>
          <w:color w:val="auto"/>
          <w:sz w:val="24"/>
          <w:highlight w:val="none"/>
        </w:rPr>
      </w:pPr>
      <w:r>
        <w:rPr>
          <w:rFonts w:hint="eastAsia" w:ascii="宋体" w:hAnsi="宋体"/>
          <w:b/>
          <w:bCs/>
          <w:color w:val="auto"/>
          <w:sz w:val="32"/>
          <w:szCs w:val="32"/>
          <w:highlight w:val="none"/>
        </w:rPr>
        <w:t>（如有委托时）</w:t>
      </w:r>
    </w:p>
    <w:p w14:paraId="3E9B6056">
      <w:pPr>
        <w:spacing w:line="360" w:lineRule="auto"/>
        <w:contextualSpacing/>
        <w:jc w:val="left"/>
        <w:rPr>
          <w:rFonts w:hint="eastAsia" w:ascii="宋体" w:hAnsi="宋体"/>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64E57611">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 xml:space="preserve">根据 </w:t>
      </w:r>
      <w:r>
        <w:rPr>
          <w:rFonts w:hint="eastAsia" w:ascii="宋体" w:hAnsi="宋体"/>
          <w:color w:val="auto"/>
          <w:sz w:val="24"/>
          <w:highlight w:val="none"/>
          <w:u w:val="single"/>
        </w:rPr>
        <w:t xml:space="preserve"> （牵头人名称）</w:t>
      </w:r>
      <w:r>
        <w:rPr>
          <w:rFonts w:hint="eastAsia" w:ascii="宋体" w:hAnsi="宋体"/>
          <w:color w:val="auto"/>
          <w:sz w:val="24"/>
          <w:highlight w:val="none"/>
        </w:rPr>
        <w:t>与</w:t>
      </w:r>
      <w:r>
        <w:rPr>
          <w:rFonts w:hint="eastAsia" w:ascii="宋体" w:hAnsi="宋体"/>
          <w:color w:val="auto"/>
          <w:sz w:val="24"/>
          <w:highlight w:val="none"/>
          <w:u w:val="single"/>
        </w:rPr>
        <w:t>（联合体其他成员名称）</w:t>
      </w:r>
      <w:r>
        <w:rPr>
          <w:rFonts w:hint="eastAsia" w:ascii="宋体" w:hAnsi="宋体"/>
          <w:color w:val="auto"/>
          <w:sz w:val="24"/>
          <w:highlight w:val="none"/>
        </w:rPr>
        <w:t>签订的《联合体投标协议书》的内容，</w:t>
      </w:r>
      <w:r>
        <w:rPr>
          <w:rFonts w:hint="eastAsia" w:ascii="宋体" w:hAnsi="宋体"/>
          <w:color w:val="auto"/>
          <w:sz w:val="24"/>
          <w:highlight w:val="none"/>
          <w:u w:val="single"/>
        </w:rPr>
        <w:t>（牵头人名称）</w:t>
      </w:r>
      <w:r>
        <w:rPr>
          <w:rFonts w:hint="eastAsia" w:ascii="宋体" w:hAnsi="宋体"/>
          <w:color w:val="auto"/>
          <w:sz w:val="24"/>
          <w:highlight w:val="none"/>
        </w:rPr>
        <w:t>的法定代表人</w:t>
      </w:r>
      <w:r>
        <w:rPr>
          <w:rFonts w:hint="eastAsia" w:ascii="宋体" w:hAnsi="宋体"/>
          <w:color w:val="auto"/>
          <w:sz w:val="24"/>
          <w:highlight w:val="none"/>
          <w:u w:val="single"/>
        </w:rPr>
        <w:t>（姓名）</w:t>
      </w:r>
      <w:r>
        <w:rPr>
          <w:rFonts w:hint="eastAsia" w:ascii="宋体" w:hAnsi="宋体"/>
          <w:color w:val="auto"/>
          <w:sz w:val="24"/>
          <w:highlight w:val="none"/>
        </w:rPr>
        <w:t>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35DAB34D">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我方对委托代理人的签字事项负全部责任。</w:t>
      </w:r>
    </w:p>
    <w:p w14:paraId="27974DCB">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本授权书自签署之日起生效，在撤销授权的书面通知以前，本授权书一直有效。委托代理人在授权书有效期内签署的所有文件不因授权的撤销而失效。</w:t>
      </w:r>
    </w:p>
    <w:p w14:paraId="1E253E01">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42D51CE9">
      <w:pPr>
        <w:spacing w:line="360" w:lineRule="auto"/>
        <w:ind w:firstLine="566" w:firstLineChars="236"/>
        <w:contextualSpacing/>
        <w:rPr>
          <w:rFonts w:ascii="宋体" w:hAnsi="宋体"/>
          <w:color w:val="auto"/>
          <w:sz w:val="24"/>
          <w:highlight w:val="none"/>
        </w:rPr>
      </w:pPr>
      <w:r>
        <w:rPr>
          <w:rFonts w:hint="eastAsia" w:ascii="宋体" w:hAnsi="宋体"/>
          <w:color w:val="auto"/>
          <w:sz w:val="24"/>
          <w:highlight w:val="none"/>
        </w:rPr>
        <w:t>附：牵头人法定代表人身份证明及委托代理人有效身份证正反面复印件</w:t>
      </w:r>
    </w:p>
    <w:p w14:paraId="3FBB0A1B">
      <w:pPr>
        <w:spacing w:line="360" w:lineRule="auto"/>
        <w:ind w:firstLine="566" w:firstLineChars="236"/>
        <w:contextualSpacing/>
        <w:rPr>
          <w:rFonts w:hint="eastAsia" w:ascii="宋体" w:hAnsi="宋体"/>
          <w:color w:val="auto"/>
          <w:sz w:val="24"/>
          <w:highlight w:val="none"/>
        </w:rPr>
      </w:pPr>
    </w:p>
    <w:p w14:paraId="1C13435C">
      <w:pPr>
        <w:spacing w:line="360" w:lineRule="auto"/>
        <w:ind w:firstLine="566" w:firstLineChars="236"/>
        <w:contextualSpacing/>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牵头人法定代表人（签字或盖章）：</w:t>
      </w:r>
    </w:p>
    <w:p w14:paraId="64D07C0C">
      <w:pPr>
        <w:spacing w:line="360" w:lineRule="auto"/>
        <w:ind w:firstLine="566" w:firstLineChars="236"/>
        <w:contextualSpacing/>
        <w:rPr>
          <w:rFonts w:hint="eastAsia" w:ascii="宋体" w:hAnsi="宋体"/>
          <w:color w:val="auto"/>
          <w:sz w:val="24"/>
          <w:highlight w:val="none"/>
        </w:rPr>
      </w:pPr>
      <w:r>
        <w:rPr>
          <w:rFonts w:hint="eastAsia" w:ascii="宋体" w:hAnsi="宋体" w:eastAsia="宋体" w:cs="Times New Roman"/>
          <w:color w:val="auto"/>
          <w:sz w:val="24"/>
          <w:highlight w:val="none"/>
        </w:rPr>
        <w:t>牵头人（电子签章）</w:t>
      </w:r>
      <w:r>
        <w:rPr>
          <w:rFonts w:hint="eastAsia" w:ascii="宋体" w:hAnsi="宋体"/>
          <w:color w:val="auto"/>
          <w:sz w:val="24"/>
          <w:highlight w:val="none"/>
        </w:rPr>
        <w:t>：</w:t>
      </w:r>
    </w:p>
    <w:p w14:paraId="7BC775F2">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日期：    年   月   日</w:t>
      </w:r>
    </w:p>
    <w:p w14:paraId="29B69CD7">
      <w:pPr>
        <w:spacing w:line="360" w:lineRule="auto"/>
        <w:ind w:firstLine="566" w:firstLineChars="236"/>
        <w:contextualSpacing/>
        <w:rPr>
          <w:rFonts w:hint="eastAsia" w:ascii="宋体" w:hAnsi="宋体"/>
          <w:color w:val="auto"/>
          <w:sz w:val="24"/>
          <w:highlight w:val="none"/>
        </w:rPr>
      </w:pPr>
    </w:p>
    <w:p w14:paraId="67D255E9">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被授权人（签字）：</w:t>
      </w:r>
    </w:p>
    <w:p w14:paraId="61840E38">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日期：    年   月   日</w:t>
      </w:r>
    </w:p>
    <w:p w14:paraId="3BA0BFD2">
      <w:pPr>
        <w:spacing w:line="360" w:lineRule="auto"/>
        <w:ind w:firstLine="755" w:firstLineChars="236"/>
        <w:contextualSpacing/>
        <w:rPr>
          <w:rFonts w:hint="eastAsia" w:ascii="宋体" w:hAnsi="宋体" w:cs="仿宋_GB2312"/>
          <w:color w:val="auto"/>
          <w:sz w:val="32"/>
          <w:szCs w:val="32"/>
          <w:highlight w:val="none"/>
        </w:rPr>
      </w:pPr>
    </w:p>
    <w:p w14:paraId="5D219F52">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222" w:name="_Hlk65852428"/>
      <w:r>
        <w:rPr>
          <w:rFonts w:hint="eastAsia" w:ascii="宋体" w:hAnsi="宋体" w:cs="仿宋_GB2312"/>
          <w:color w:val="auto"/>
          <w:sz w:val="24"/>
          <w:highlight w:val="none"/>
        </w:rPr>
        <w:t xml:space="preserve"> 法定代表人必须在授权委托书上亲笔签字或盖章，委托代理人必须在授权委托书上亲笔签字，</w:t>
      </w:r>
      <w:bookmarkEnd w:id="222"/>
      <w:r>
        <w:rPr>
          <w:rFonts w:hint="eastAsia" w:ascii="宋体" w:hAnsi="宋体" w:cs="仿宋_GB2312"/>
          <w:b/>
          <w:bCs/>
          <w:color w:val="auto"/>
          <w:sz w:val="24"/>
          <w:highlight w:val="none"/>
        </w:rPr>
        <w:t>否则作无效投标处理</w:t>
      </w:r>
      <w:r>
        <w:rPr>
          <w:rFonts w:hint="eastAsia" w:ascii="宋体" w:hAnsi="宋体" w:cs="仿宋_GB2312"/>
          <w:color w:val="auto"/>
          <w:sz w:val="24"/>
          <w:highlight w:val="none"/>
        </w:rPr>
        <w:t>；</w:t>
      </w:r>
    </w:p>
    <w:p w14:paraId="0575F551">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2.本授权委托书应由联合体牵头人的法定代表人按上述规定签字。</w:t>
      </w:r>
    </w:p>
    <w:p w14:paraId="7E6962CC">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z w:val="24"/>
          <w:highlight w:val="none"/>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3484E03">
      <w:pPr>
        <w:spacing w:line="440" w:lineRule="exact"/>
        <w:contextualSpacing/>
        <w:jc w:val="left"/>
        <w:rPr>
          <w:rFonts w:hint="eastAsia" w:ascii="宋体" w:hAnsi="宋体" w:cs="宋体"/>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法人、其他组织投标时“我方”是指“我单位”，自然人投标时“我方”是指“本人”。</w:t>
      </w:r>
    </w:p>
    <w:p w14:paraId="44606ED6">
      <w:pPr>
        <w:spacing w:line="440" w:lineRule="exact"/>
        <w:contextualSpacing/>
        <w:rPr>
          <w:rFonts w:hint="eastAsia" w:ascii="宋体" w:hAnsi="宋体" w:cs="宋体"/>
          <w:color w:val="auto"/>
          <w:sz w:val="24"/>
          <w:highlight w:val="none"/>
        </w:rPr>
      </w:pPr>
    </w:p>
    <w:bookmarkEnd w:id="221"/>
    <w:p w14:paraId="197285C8">
      <w:pPr>
        <w:snapToGrid w:val="0"/>
        <w:spacing w:before="50" w:after="120" w:afterLines="50"/>
        <w:ind w:firstLine="480" w:firstLineChars="200"/>
        <w:jc w:val="left"/>
        <w:rPr>
          <w:rFonts w:hint="eastAsia" w:ascii="宋体" w:hAnsi="宋体" w:cs="宋体"/>
          <w:color w:val="auto"/>
          <w:sz w:val="24"/>
          <w:highlight w:val="none"/>
        </w:rPr>
        <w:sectPr>
          <w:pgSz w:w="11906" w:h="16838"/>
          <w:pgMar w:top="1247" w:right="1247" w:bottom="1247" w:left="1247" w:header="851" w:footer="992" w:gutter="0"/>
          <w:pgNumType w:fmt="decimal"/>
          <w:cols w:space="720" w:num="1"/>
          <w:titlePg/>
          <w:docGrid w:linePitch="312" w:charSpace="0"/>
        </w:sectPr>
      </w:pPr>
    </w:p>
    <w:p w14:paraId="3145D9C9">
      <w:pPr>
        <w:rPr>
          <w:rFonts w:hint="eastAsia" w:ascii="宋体" w:hAnsi="宋体" w:cs="宋体"/>
          <w:b/>
          <w:color w:val="auto"/>
          <w:sz w:val="32"/>
          <w:szCs w:val="32"/>
          <w:highlight w:val="none"/>
        </w:rPr>
      </w:pPr>
      <w:r>
        <w:rPr>
          <w:rFonts w:hint="eastAsia" w:ascii="宋体" w:hAnsi="宋体" w:cs="宋体"/>
          <w:b/>
          <w:color w:val="auto"/>
          <w:sz w:val="32"/>
          <w:szCs w:val="32"/>
          <w:highlight w:val="none"/>
        </w:rPr>
        <w:t>6.商务要求偏离表格式（注：按项目需求表具体项目修改）</w:t>
      </w:r>
    </w:p>
    <w:p w14:paraId="558D4645">
      <w:pPr>
        <w:snapToGrid w:val="0"/>
        <w:spacing w:before="50"/>
        <w:jc w:val="left"/>
        <w:rPr>
          <w:rFonts w:hint="eastAsia" w:ascii="宋体" w:hAnsi="宋体" w:cs="宋体"/>
          <w:color w:val="auto"/>
          <w:sz w:val="24"/>
          <w:highlight w:val="none"/>
        </w:rPr>
      </w:pPr>
    </w:p>
    <w:p w14:paraId="5F8E61B9">
      <w:pPr>
        <w:pStyle w:val="24"/>
        <w:spacing w:line="500" w:lineRule="exact"/>
        <w:rPr>
          <w:rFonts w:hint="eastAsia" w:hAnsi="宋体" w:cs="宋体"/>
          <w:color w:val="auto"/>
          <w:sz w:val="21"/>
          <w:highlight w:val="none"/>
        </w:rPr>
      </w:pPr>
      <w:r>
        <w:rPr>
          <w:rFonts w:hint="eastAsia" w:hAnsi="宋体" w:cs="宋体"/>
          <w:color w:val="auto"/>
          <w:sz w:val="21"/>
          <w:highlight w:val="none"/>
        </w:rPr>
        <w:t>所投分标：</w:t>
      </w:r>
      <w:r>
        <w:rPr>
          <w:rFonts w:hint="eastAsia" w:hAnsi="宋体" w:cs="宋体"/>
          <w:color w:val="auto"/>
          <w:sz w:val="21"/>
          <w:highlight w:val="none"/>
          <w:u w:val="single"/>
        </w:rPr>
        <w:t xml:space="preserve">     </w:t>
      </w:r>
      <w:r>
        <w:rPr>
          <w:rFonts w:hint="eastAsia" w:hAnsi="宋体" w:cs="宋体"/>
          <w:color w:val="auto"/>
          <w:sz w:val="21"/>
          <w:highlight w:val="none"/>
        </w:rPr>
        <w:t>分标</w:t>
      </w:r>
    </w:p>
    <w:tbl>
      <w:tblPr>
        <w:tblStyle w:val="46"/>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5F74C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14:paraId="206F3836">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17056CF0">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招标文件商务条款要求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790ED664">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615779AC">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14:paraId="2209C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6"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0BB2DE06">
            <w:pPr>
              <w:spacing w:line="500" w:lineRule="exact"/>
              <w:jc w:val="center"/>
              <w:rPr>
                <w:rFonts w:hint="eastAsia" w:ascii="宋体" w:hAnsi="宋体" w:cs="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center"/>
          </w:tcPr>
          <w:p w14:paraId="2B82B7F0">
            <w:pPr>
              <w:spacing w:line="50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0B5BFC76">
            <w:pPr>
              <w:snapToGrid w:val="0"/>
              <w:spacing w:before="120" w:beforeLines="50" w:line="5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2AD20890">
            <w:pPr>
              <w:snapToGrid w:val="0"/>
              <w:spacing w:before="120" w:beforeLines="50" w:line="500" w:lineRule="exact"/>
              <w:jc w:val="center"/>
              <w:rPr>
                <w:rFonts w:hint="eastAsia" w:ascii="宋体" w:hAnsi="宋体" w:cs="宋体"/>
                <w:color w:val="auto"/>
                <w:szCs w:val="21"/>
                <w:highlight w:val="none"/>
              </w:rPr>
            </w:pPr>
          </w:p>
        </w:tc>
      </w:tr>
      <w:tr w14:paraId="46CCF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032276AA">
            <w:pPr>
              <w:spacing w:line="500" w:lineRule="exact"/>
              <w:jc w:val="center"/>
              <w:rPr>
                <w:rFonts w:hint="eastAsia" w:ascii="宋体" w:hAnsi="宋体" w:cs="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center"/>
          </w:tcPr>
          <w:p w14:paraId="36BA92FC">
            <w:pPr>
              <w:spacing w:line="50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5297BE15">
            <w:pPr>
              <w:snapToGrid w:val="0"/>
              <w:spacing w:before="120" w:beforeLines="50" w:line="500" w:lineRule="exact"/>
              <w:ind w:left="43"/>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6466B1BD">
            <w:pPr>
              <w:snapToGrid w:val="0"/>
              <w:spacing w:before="120" w:beforeLines="50" w:line="500" w:lineRule="exact"/>
              <w:ind w:left="43"/>
              <w:jc w:val="center"/>
              <w:rPr>
                <w:rFonts w:hint="eastAsia" w:ascii="宋体" w:hAnsi="宋体" w:cs="宋体"/>
                <w:color w:val="auto"/>
                <w:szCs w:val="21"/>
                <w:highlight w:val="none"/>
              </w:rPr>
            </w:pPr>
          </w:p>
        </w:tc>
      </w:tr>
      <w:tr w14:paraId="40EDD8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14:paraId="5C3CD94B">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1DB5FF8C">
            <w:pPr>
              <w:snapToGrid w:val="0"/>
              <w:spacing w:before="120" w:beforeLines="50" w:line="500" w:lineRule="exact"/>
              <w:jc w:val="center"/>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2B982B3">
            <w:pPr>
              <w:snapToGrid w:val="0"/>
              <w:spacing w:before="120" w:beforeLines="50" w:line="5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30897B7A">
            <w:pPr>
              <w:snapToGrid w:val="0"/>
              <w:spacing w:before="120" w:beforeLines="50" w:line="500" w:lineRule="exact"/>
              <w:jc w:val="center"/>
              <w:rPr>
                <w:rFonts w:hint="eastAsia" w:ascii="宋体" w:hAnsi="宋体" w:cs="宋体"/>
                <w:color w:val="auto"/>
                <w:szCs w:val="21"/>
                <w:highlight w:val="none"/>
              </w:rPr>
            </w:pPr>
          </w:p>
        </w:tc>
      </w:tr>
    </w:tbl>
    <w:p w14:paraId="6BB0F699">
      <w:pPr>
        <w:pStyle w:val="17"/>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20BCBCE0">
      <w:pPr>
        <w:pStyle w:val="19"/>
        <w:spacing w:line="5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1.说明：应对照招标文件“第二章 采购需求”中的商务条款要求逐条作明确的投标响应，并作出偏离说明。</w:t>
      </w:r>
    </w:p>
    <w:p w14:paraId="6C887020">
      <w:pPr>
        <w:pStyle w:val="17"/>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2.投标人应根据自身的承诺，对照招标文件要求在“偏离说明”中注明“</w:t>
      </w:r>
      <w:r>
        <w:rPr>
          <w:rFonts w:hint="eastAsia" w:ascii="宋体" w:hAnsi="宋体" w:cs="宋体"/>
          <w:color w:val="auto"/>
          <w:sz w:val="21"/>
          <w:szCs w:val="21"/>
          <w:highlight w:val="none"/>
        </w:rPr>
        <w:t>正偏离”“负偏离</w:t>
      </w:r>
      <w:r>
        <w:rPr>
          <w:rFonts w:hint="eastAsia" w:ascii="宋体" w:hAnsi="宋体" w:cs="宋体"/>
          <w:b w:val="0"/>
          <w:bCs w:val="0"/>
          <w:color w:val="auto"/>
          <w:sz w:val="21"/>
          <w:szCs w:val="21"/>
          <w:highlight w:val="none"/>
        </w:rPr>
        <w:t>”或者“</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”。既不属于“</w:t>
      </w:r>
      <w:r>
        <w:rPr>
          <w:rFonts w:hint="eastAsia" w:ascii="宋体" w:hAnsi="宋体" w:cs="宋体"/>
          <w:color w:val="auto"/>
          <w:sz w:val="21"/>
          <w:szCs w:val="21"/>
          <w:highlight w:val="none"/>
        </w:rPr>
        <w:t>正偏离</w:t>
      </w:r>
      <w:r>
        <w:rPr>
          <w:rFonts w:hint="eastAsia" w:ascii="宋体" w:hAnsi="宋体" w:cs="宋体"/>
          <w:b w:val="0"/>
          <w:bCs w:val="0"/>
          <w:color w:val="auto"/>
          <w:sz w:val="21"/>
          <w:szCs w:val="21"/>
          <w:highlight w:val="none"/>
        </w:rPr>
        <w:t>”也不属于“</w:t>
      </w:r>
      <w:r>
        <w:rPr>
          <w:rFonts w:hint="eastAsia" w:ascii="宋体" w:hAnsi="宋体" w:cs="宋体"/>
          <w:color w:val="auto"/>
          <w:sz w:val="21"/>
          <w:szCs w:val="21"/>
          <w:highlight w:val="none"/>
        </w:rPr>
        <w:t>负偏离</w:t>
      </w:r>
      <w:r>
        <w:rPr>
          <w:rFonts w:hint="eastAsia" w:ascii="宋体" w:hAnsi="宋体" w:cs="宋体"/>
          <w:b w:val="0"/>
          <w:bCs w:val="0"/>
          <w:color w:val="auto"/>
          <w:sz w:val="21"/>
          <w:szCs w:val="21"/>
          <w:highlight w:val="none"/>
        </w:rPr>
        <w:t>”即为“</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w:t>
      </w:r>
    </w:p>
    <w:p w14:paraId="41E091CD">
      <w:pPr>
        <w:snapToGrid w:val="0"/>
        <w:spacing w:before="50" w:after="50" w:line="500" w:lineRule="exact"/>
        <w:rPr>
          <w:rFonts w:hint="eastAsia" w:ascii="宋体" w:hAnsi="宋体" w:cs="宋体"/>
          <w:color w:val="auto"/>
          <w:szCs w:val="21"/>
          <w:highlight w:val="none"/>
        </w:rPr>
      </w:pPr>
    </w:p>
    <w:p w14:paraId="5F8DE3A1">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4CA8AE17">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3D98F703">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0A53A311">
      <w:pPr>
        <w:snapToGrid w:val="0"/>
        <w:spacing w:before="120" w:beforeLines="50" w:after="50"/>
        <w:jc w:val="left"/>
        <w:rPr>
          <w:rFonts w:hint="eastAsia" w:ascii="宋体" w:hAnsi="宋体" w:cs="宋体"/>
          <w:color w:val="auto"/>
          <w:szCs w:val="21"/>
          <w:highlight w:val="none"/>
        </w:rPr>
        <w:sectPr>
          <w:footerReference r:id="rId16" w:type="first"/>
          <w:headerReference r:id="rId13" w:type="default"/>
          <w:footerReference r:id="rId14" w:type="default"/>
          <w:footerReference r:id="rId15" w:type="even"/>
          <w:pgSz w:w="11906" w:h="16838"/>
          <w:pgMar w:top="1440" w:right="1797" w:bottom="1440" w:left="1797" w:header="851" w:footer="992" w:gutter="0"/>
          <w:pgNumType w:fmt="decimal"/>
          <w:cols w:space="720" w:num="1"/>
          <w:docGrid w:linePitch="312" w:charSpace="0"/>
        </w:sectPr>
      </w:pPr>
    </w:p>
    <w:p w14:paraId="40557032">
      <w:pPr>
        <w:snapToGrid w:val="0"/>
        <w:spacing w:before="120" w:beforeLines="50" w:after="50"/>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7.投标人业绩证明材料</w:t>
      </w:r>
    </w:p>
    <w:p w14:paraId="2C821927">
      <w:pPr>
        <w:pStyle w:val="34"/>
        <w:snapToGrid w:val="0"/>
        <w:ind w:left="480" w:hanging="480"/>
        <w:rPr>
          <w:rFonts w:hint="eastAsia" w:ascii="宋体" w:hAnsi="宋体" w:cs="宋体"/>
          <w:color w:val="auto"/>
          <w:sz w:val="24"/>
          <w:highlight w:val="none"/>
        </w:rPr>
      </w:pPr>
    </w:p>
    <w:p w14:paraId="5701FABC">
      <w:pPr>
        <w:pStyle w:val="34"/>
        <w:snapToGrid w:val="0"/>
        <w:spacing w:line="500" w:lineRule="exact"/>
        <w:ind w:left="420" w:hanging="420"/>
        <w:rPr>
          <w:rFonts w:hint="eastAsia" w:ascii="宋体" w:hAnsi="宋体" w:cs="宋体"/>
          <w:color w:val="auto"/>
          <w:sz w:val="21"/>
          <w:szCs w:val="21"/>
          <w:highlight w:val="none"/>
        </w:rPr>
      </w:pPr>
      <w:r>
        <w:rPr>
          <w:rFonts w:hint="eastAsia" w:ascii="宋体" w:hAnsi="宋体" w:cs="宋体"/>
          <w:color w:val="auto"/>
          <w:sz w:val="21"/>
          <w:szCs w:val="21"/>
          <w:highlight w:val="none"/>
        </w:rPr>
        <w:t>投标人业绩情况一览表格式：</w:t>
      </w:r>
    </w:p>
    <w:tbl>
      <w:tblPr>
        <w:tblStyle w:val="4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63FDF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0"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26E4AE3C">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5A5BFB44">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68CC1ACC">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合同金额</w:t>
            </w:r>
          </w:p>
          <w:p w14:paraId="0A6C99B0">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59A644F0">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采购人联系人及</w:t>
            </w:r>
          </w:p>
          <w:p w14:paraId="1D639B79">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125E6A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6C940E31">
            <w:pPr>
              <w:spacing w:line="50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2DE70644">
            <w:pPr>
              <w:spacing w:line="50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1887FEE8">
            <w:pPr>
              <w:spacing w:line="500" w:lineRule="exact"/>
              <w:jc w:val="left"/>
              <w:rPr>
                <w:rFonts w:hint="eastAsia" w:ascii="宋体" w:hAnsi="宋体" w:cs="宋体"/>
                <w:color w:val="auto"/>
                <w:szCs w:val="21"/>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277C776A">
            <w:pPr>
              <w:spacing w:line="500" w:lineRule="exact"/>
              <w:jc w:val="left"/>
              <w:rPr>
                <w:rFonts w:hint="eastAsia" w:ascii="宋体" w:hAnsi="宋体" w:cs="宋体"/>
                <w:color w:val="auto"/>
                <w:szCs w:val="21"/>
                <w:highlight w:val="none"/>
              </w:rPr>
            </w:pPr>
          </w:p>
        </w:tc>
      </w:tr>
      <w:tr w14:paraId="35FBE4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36318F16">
            <w:pPr>
              <w:snapToGrid w:val="0"/>
              <w:spacing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F07D219">
            <w:pPr>
              <w:snapToGrid w:val="0"/>
              <w:spacing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2854EB0">
            <w:pPr>
              <w:snapToGrid w:val="0"/>
              <w:spacing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BDC414E">
            <w:pPr>
              <w:snapToGrid w:val="0"/>
              <w:spacing w:line="500" w:lineRule="exact"/>
              <w:jc w:val="left"/>
              <w:rPr>
                <w:rFonts w:hint="eastAsia" w:ascii="宋体" w:hAnsi="宋体" w:cs="宋体"/>
                <w:color w:val="auto"/>
                <w:szCs w:val="21"/>
                <w:highlight w:val="none"/>
              </w:rPr>
            </w:pPr>
          </w:p>
        </w:tc>
      </w:tr>
      <w:tr w14:paraId="37E6C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4F432D7">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19D9AAD">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68720783">
            <w:pPr>
              <w:snapToGrid w:val="0"/>
              <w:spacing w:before="50" w:after="120" w:afterLines="50"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F1B6A1E">
            <w:pPr>
              <w:snapToGrid w:val="0"/>
              <w:spacing w:before="50" w:after="120" w:afterLines="50" w:line="500" w:lineRule="exact"/>
              <w:jc w:val="left"/>
              <w:rPr>
                <w:rFonts w:hint="eastAsia" w:ascii="宋体" w:hAnsi="宋体" w:cs="宋体"/>
                <w:color w:val="auto"/>
                <w:szCs w:val="21"/>
                <w:highlight w:val="none"/>
              </w:rPr>
            </w:pPr>
          </w:p>
        </w:tc>
      </w:tr>
      <w:tr w14:paraId="42BA73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0245D773">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E6E4AE9">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8A1EAB7">
            <w:pPr>
              <w:snapToGrid w:val="0"/>
              <w:spacing w:before="50" w:after="120" w:afterLines="50"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6F6F63F">
            <w:pPr>
              <w:snapToGrid w:val="0"/>
              <w:spacing w:before="50" w:after="120" w:afterLines="50" w:line="500" w:lineRule="exact"/>
              <w:jc w:val="left"/>
              <w:rPr>
                <w:rFonts w:hint="eastAsia" w:ascii="宋体" w:hAnsi="宋体" w:cs="宋体"/>
                <w:color w:val="auto"/>
                <w:szCs w:val="21"/>
                <w:highlight w:val="none"/>
              </w:rPr>
            </w:pPr>
          </w:p>
        </w:tc>
      </w:tr>
      <w:tr w14:paraId="0C53B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FE86365">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E833774">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18D6A28">
            <w:pPr>
              <w:snapToGrid w:val="0"/>
              <w:spacing w:before="50" w:after="120" w:afterLines="50"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2B69B0A">
            <w:pPr>
              <w:snapToGrid w:val="0"/>
              <w:spacing w:before="50" w:after="120" w:afterLines="50" w:line="500" w:lineRule="exact"/>
              <w:jc w:val="left"/>
              <w:rPr>
                <w:rFonts w:hint="eastAsia" w:ascii="宋体" w:hAnsi="宋体" w:cs="宋体"/>
                <w:color w:val="auto"/>
                <w:szCs w:val="21"/>
                <w:highlight w:val="none"/>
              </w:rPr>
            </w:pPr>
          </w:p>
        </w:tc>
      </w:tr>
      <w:tr w14:paraId="54453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6298C060">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6CD2F4FD">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C95FF21">
            <w:pPr>
              <w:snapToGrid w:val="0"/>
              <w:spacing w:before="50" w:after="120" w:afterLines="50"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9463F16">
            <w:pPr>
              <w:snapToGrid w:val="0"/>
              <w:spacing w:before="50" w:after="120" w:afterLines="50" w:line="500" w:lineRule="exact"/>
              <w:jc w:val="left"/>
              <w:rPr>
                <w:rFonts w:hint="eastAsia" w:ascii="宋体" w:hAnsi="宋体" w:cs="宋体"/>
                <w:color w:val="auto"/>
                <w:szCs w:val="21"/>
                <w:highlight w:val="none"/>
              </w:rPr>
            </w:pPr>
          </w:p>
        </w:tc>
      </w:tr>
    </w:tbl>
    <w:p w14:paraId="12855648">
      <w:pPr>
        <w:pStyle w:val="14"/>
        <w:spacing w:before="0" w:after="0" w:line="5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注：投标人根据评标标准具体要求附业绩证明材料。</w:t>
      </w:r>
    </w:p>
    <w:p w14:paraId="7FC275EE">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0EAD2E2F">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0373A63B">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647F54BD">
      <w:pPr>
        <w:snapToGrid w:val="0"/>
        <w:spacing w:before="50"/>
        <w:ind w:firstLine="480" w:firstLineChars="200"/>
        <w:jc w:val="left"/>
        <w:rPr>
          <w:rFonts w:hint="eastAsia" w:ascii="宋体" w:hAnsi="宋体" w:cs="宋体"/>
          <w:color w:val="auto"/>
          <w:sz w:val="24"/>
          <w:szCs w:val="20"/>
          <w:highlight w:val="none"/>
        </w:rPr>
      </w:pPr>
    </w:p>
    <w:p w14:paraId="1468B8BC">
      <w:pPr>
        <w:snapToGrid w:val="0"/>
        <w:spacing w:before="50"/>
        <w:jc w:val="left"/>
        <w:rPr>
          <w:rFonts w:hint="eastAsia" w:ascii="宋体" w:hAnsi="宋体" w:cs="宋体"/>
          <w:color w:val="auto"/>
          <w:sz w:val="24"/>
          <w:highlight w:val="none"/>
        </w:rPr>
      </w:pPr>
    </w:p>
    <w:p w14:paraId="2484FEA2">
      <w:pPr>
        <w:snapToGrid w:val="0"/>
        <w:spacing w:before="120" w:beforeLines="50"/>
        <w:rPr>
          <w:rFonts w:hint="eastAsia" w:ascii="宋体" w:hAnsi="宋体" w:cs="宋体"/>
          <w:color w:val="auto"/>
          <w:sz w:val="24"/>
          <w:szCs w:val="20"/>
          <w:highlight w:val="none"/>
        </w:rPr>
        <w:sectPr>
          <w:pgSz w:w="11906" w:h="16838"/>
          <w:pgMar w:top="1440" w:right="1797" w:bottom="1440" w:left="1797" w:header="851" w:footer="992" w:gutter="0"/>
          <w:pgNumType w:fmt="decimal"/>
          <w:cols w:space="720" w:num="1"/>
          <w:docGrid w:linePitch="312" w:charSpace="0"/>
        </w:sectPr>
      </w:pPr>
    </w:p>
    <w:p w14:paraId="3E2F5CB6">
      <w:pPr>
        <w:snapToGrid w:val="0"/>
        <w:spacing w:before="120" w:beforeLines="50" w:after="50"/>
        <w:ind w:left="142"/>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 xml:space="preserve">8. 技术文件封面格式： </w:t>
      </w:r>
    </w:p>
    <w:p w14:paraId="4965D41A">
      <w:pPr>
        <w:snapToGrid w:val="0"/>
        <w:spacing w:before="120" w:beforeLines="50" w:after="50" w:line="360" w:lineRule="auto"/>
        <w:ind w:left="142"/>
        <w:jc w:val="center"/>
        <w:rPr>
          <w:rFonts w:hint="eastAsia" w:ascii="宋体" w:hAnsi="宋体" w:cs="宋体"/>
          <w:bCs/>
          <w:color w:val="auto"/>
          <w:sz w:val="48"/>
          <w:szCs w:val="48"/>
          <w:highlight w:val="none"/>
        </w:rPr>
      </w:pPr>
    </w:p>
    <w:p w14:paraId="45C16902">
      <w:pPr>
        <w:snapToGrid w:val="0"/>
        <w:spacing w:before="120" w:beforeLines="50" w:after="50" w:line="360" w:lineRule="auto"/>
        <w:ind w:left="142"/>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175DB899">
      <w:pPr>
        <w:snapToGrid w:val="0"/>
        <w:spacing w:before="120" w:beforeLines="50" w:after="50"/>
        <w:jc w:val="center"/>
        <w:outlineLvl w:val="1"/>
        <w:rPr>
          <w:rFonts w:hint="eastAsia" w:ascii="宋体" w:hAnsi="宋体" w:cs="宋体"/>
          <w:b/>
          <w:bCs/>
          <w:color w:val="auto"/>
          <w:sz w:val="32"/>
          <w:szCs w:val="32"/>
          <w:highlight w:val="none"/>
        </w:rPr>
      </w:pPr>
      <w:bookmarkStart w:id="223" w:name="_Toc18269"/>
      <w:bookmarkStart w:id="224" w:name="_Toc3212"/>
      <w:bookmarkStart w:id="225" w:name="_Toc2377"/>
      <w:bookmarkStart w:id="226" w:name="_Toc29270"/>
      <w:bookmarkStart w:id="227" w:name="_Toc1166"/>
      <w:bookmarkStart w:id="228" w:name="_Toc12150"/>
      <w:bookmarkStart w:id="229" w:name="_Toc11729"/>
      <w:bookmarkStart w:id="230" w:name="_Toc8203"/>
      <w:bookmarkStart w:id="231" w:name="_Toc15981"/>
    </w:p>
    <w:p w14:paraId="62152A8C">
      <w:pPr>
        <w:keepNext w:val="0"/>
        <w:keepLines w:val="0"/>
        <w:pageBreakBefore w:val="0"/>
        <w:widowControl w:val="0"/>
        <w:kinsoku/>
        <w:wordWrap/>
        <w:overflowPunct/>
        <w:topLinePunct w:val="0"/>
        <w:autoSpaceDE/>
        <w:autoSpaceDN/>
        <w:bidi w:val="0"/>
        <w:adjustRightInd/>
        <w:snapToGrid w:val="0"/>
        <w:spacing w:before="120" w:beforeLines="50" w:after="50"/>
        <w:jc w:val="center"/>
        <w:textAlignment w:val="auto"/>
        <w:outlineLvl w:val="9"/>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技术文件</w:t>
      </w:r>
      <w:bookmarkEnd w:id="223"/>
      <w:bookmarkEnd w:id="224"/>
      <w:bookmarkEnd w:id="225"/>
      <w:bookmarkEnd w:id="226"/>
      <w:bookmarkEnd w:id="227"/>
      <w:bookmarkEnd w:id="228"/>
      <w:bookmarkEnd w:id="229"/>
      <w:bookmarkEnd w:id="230"/>
      <w:bookmarkEnd w:id="231"/>
    </w:p>
    <w:p w14:paraId="4F7847E5">
      <w:pPr>
        <w:snapToGrid w:val="0"/>
        <w:spacing w:before="120" w:beforeLines="50" w:after="50"/>
        <w:rPr>
          <w:rFonts w:hint="eastAsia" w:ascii="宋体" w:hAnsi="宋体" w:cs="宋体"/>
          <w:bCs/>
          <w:color w:val="auto"/>
          <w:sz w:val="24"/>
          <w:szCs w:val="20"/>
          <w:highlight w:val="none"/>
        </w:rPr>
      </w:pPr>
    </w:p>
    <w:p w14:paraId="7B8C0A8E">
      <w:pPr>
        <w:snapToGrid w:val="0"/>
        <w:spacing w:before="120" w:beforeLines="50" w:after="50" w:line="400" w:lineRule="exact"/>
        <w:ind w:firstLine="360" w:firstLineChars="150"/>
        <w:rPr>
          <w:rFonts w:hint="eastAsia" w:ascii="宋体" w:hAnsi="宋体" w:cs="宋体"/>
          <w:bCs/>
          <w:color w:val="auto"/>
          <w:sz w:val="24"/>
          <w:highlight w:val="none"/>
        </w:rPr>
      </w:pPr>
    </w:p>
    <w:p w14:paraId="5DB90E2E">
      <w:pPr>
        <w:snapToGrid w:val="0"/>
        <w:spacing w:before="120" w:beforeLines="50" w:after="50" w:line="500" w:lineRule="exact"/>
        <w:ind w:firstLine="360" w:firstLineChars="150"/>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项目名称： </w:t>
      </w:r>
    </w:p>
    <w:p w14:paraId="095517BF">
      <w:pPr>
        <w:snapToGrid w:val="0"/>
        <w:spacing w:before="120" w:beforeLines="50" w:after="50" w:line="5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14:paraId="7DA6E251">
      <w:pPr>
        <w:snapToGrid w:val="0"/>
        <w:spacing w:before="120" w:beforeLines="50" w:after="50" w:line="5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所投分标（如有）：</w:t>
      </w:r>
    </w:p>
    <w:p w14:paraId="63ECEFA0">
      <w:pPr>
        <w:snapToGrid w:val="0"/>
        <w:spacing w:before="120" w:beforeLines="50" w:after="50" w:line="5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14:paraId="7716CFA8">
      <w:pPr>
        <w:snapToGrid w:val="0"/>
        <w:spacing w:before="120" w:beforeLines="50" w:after="50" w:line="5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投标人地址：</w:t>
      </w:r>
    </w:p>
    <w:p w14:paraId="21D57543">
      <w:pPr>
        <w:snapToGrid w:val="0"/>
        <w:spacing w:before="120" w:beforeLines="50" w:after="50" w:line="500" w:lineRule="exact"/>
        <w:ind w:firstLine="645"/>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75BCF92F">
      <w:pPr>
        <w:snapToGrid w:val="0"/>
        <w:spacing w:before="120" w:beforeLines="50" w:after="50"/>
        <w:ind w:firstLine="645"/>
        <w:jc w:val="center"/>
        <w:rPr>
          <w:rFonts w:hint="eastAsia" w:ascii="宋体" w:hAnsi="宋体" w:cs="宋体"/>
          <w:color w:val="auto"/>
          <w:sz w:val="24"/>
          <w:szCs w:val="20"/>
          <w:highlight w:val="none"/>
        </w:rPr>
      </w:pPr>
    </w:p>
    <w:p w14:paraId="71EB90AD">
      <w:pPr>
        <w:snapToGrid w:val="0"/>
        <w:spacing w:before="120" w:beforeLines="50" w:after="50"/>
        <w:ind w:left="142"/>
        <w:jc w:val="left"/>
        <w:rPr>
          <w:rFonts w:hint="eastAsia" w:ascii="宋体" w:hAnsi="宋体" w:cs="宋体"/>
          <w:b/>
          <w:bCs/>
          <w:color w:val="auto"/>
          <w:sz w:val="24"/>
          <w:highlight w:val="none"/>
        </w:rPr>
      </w:pPr>
      <w:r>
        <w:rPr>
          <w:rFonts w:hint="eastAsia" w:ascii="宋体" w:hAnsi="宋体" w:cs="宋体"/>
          <w:b/>
          <w:bCs/>
          <w:color w:val="auto"/>
          <w:sz w:val="24"/>
          <w:highlight w:val="none"/>
        </w:rPr>
        <w:br w:type="page"/>
      </w:r>
      <w:r>
        <w:rPr>
          <w:rFonts w:hint="eastAsia" w:ascii="宋体" w:hAnsi="宋体" w:cs="宋体"/>
          <w:b/>
          <w:bCs/>
          <w:color w:val="auto"/>
          <w:sz w:val="32"/>
          <w:szCs w:val="32"/>
          <w:highlight w:val="none"/>
        </w:rPr>
        <w:t>9.技术文件目录</w:t>
      </w:r>
    </w:p>
    <w:p w14:paraId="2BD9CF5B">
      <w:pPr>
        <w:snapToGrid w:val="0"/>
        <w:spacing w:before="50" w:after="120" w:afterLines="50" w:line="280" w:lineRule="exact"/>
        <w:ind w:left="283" w:leftChars="135" w:firstLine="720" w:firstLineChars="300"/>
        <w:jc w:val="center"/>
        <w:rPr>
          <w:rFonts w:hint="eastAsia" w:ascii="宋体" w:hAnsi="宋体" w:cs="宋体"/>
          <w:color w:val="auto"/>
          <w:sz w:val="24"/>
          <w:highlight w:val="none"/>
        </w:rPr>
      </w:pPr>
    </w:p>
    <w:p w14:paraId="0DC9BAB8">
      <w:pPr>
        <w:snapToGrid w:val="0"/>
        <w:spacing w:before="50" w:after="120" w:afterLines="50" w:line="280" w:lineRule="exact"/>
        <w:ind w:left="283" w:leftChars="135" w:firstLine="840" w:firstLineChars="400"/>
        <w:jc w:val="center"/>
        <w:rPr>
          <w:rFonts w:hint="eastAsia"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4D8C371B">
      <w:pPr>
        <w:snapToGrid w:val="0"/>
        <w:spacing w:before="120" w:beforeLines="50" w:after="50"/>
        <w:jc w:val="left"/>
        <w:rPr>
          <w:rFonts w:hint="eastAsia" w:ascii="宋体" w:hAnsi="宋体" w:cs="宋体"/>
          <w:b/>
          <w:color w:val="auto"/>
          <w:sz w:val="24"/>
          <w:highlight w:val="none"/>
        </w:rPr>
      </w:pPr>
    </w:p>
    <w:p w14:paraId="6245E900">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10.技术要求偏离表格式</w:t>
      </w:r>
    </w:p>
    <w:p w14:paraId="4BB51AA2">
      <w:pPr>
        <w:snapToGrid w:val="0"/>
        <w:spacing w:before="120" w:beforeLines="50" w:after="50"/>
        <w:ind w:left="142"/>
        <w:jc w:val="left"/>
        <w:rPr>
          <w:rFonts w:hint="eastAsia" w:ascii="宋体" w:hAnsi="宋体" w:cs="宋体"/>
          <w:b/>
          <w:color w:val="auto"/>
          <w:sz w:val="24"/>
          <w:highlight w:val="none"/>
        </w:rPr>
      </w:pPr>
    </w:p>
    <w:p w14:paraId="2FA419EF">
      <w:pPr>
        <w:snapToGrid w:val="0"/>
        <w:spacing w:before="120" w:beforeLines="50" w:after="50"/>
        <w:ind w:left="14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技术要求偏离表</w:t>
      </w:r>
    </w:p>
    <w:p w14:paraId="0C9E4237">
      <w:pPr>
        <w:pStyle w:val="24"/>
        <w:rPr>
          <w:rFonts w:hint="eastAsia" w:hAnsi="宋体" w:cs="宋体"/>
          <w:color w:val="auto"/>
          <w:sz w:val="21"/>
          <w:highlight w:val="none"/>
        </w:rPr>
      </w:pPr>
      <w:r>
        <w:rPr>
          <w:rFonts w:hint="eastAsia" w:hAnsi="宋体" w:cs="宋体"/>
          <w:color w:val="auto"/>
          <w:sz w:val="21"/>
          <w:highlight w:val="none"/>
        </w:rPr>
        <w:t>所投分标：</w:t>
      </w:r>
      <w:r>
        <w:rPr>
          <w:rFonts w:hint="eastAsia" w:hAnsi="宋体" w:cs="宋体"/>
          <w:color w:val="auto"/>
          <w:sz w:val="21"/>
          <w:highlight w:val="none"/>
          <w:u w:val="single"/>
        </w:rPr>
        <w:t xml:space="preserve">     </w:t>
      </w:r>
      <w:r>
        <w:rPr>
          <w:rFonts w:hint="eastAsia" w:hAnsi="宋体" w:cs="宋体"/>
          <w:color w:val="auto"/>
          <w:sz w:val="21"/>
          <w:highlight w:val="none"/>
        </w:rPr>
        <w:t>分标</w:t>
      </w:r>
    </w:p>
    <w:tbl>
      <w:tblPr>
        <w:tblStyle w:val="4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109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52898927">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项号</w:t>
            </w:r>
          </w:p>
        </w:tc>
        <w:tc>
          <w:tcPr>
            <w:tcW w:w="2143" w:type="dxa"/>
            <w:noWrap w:val="0"/>
            <w:vAlign w:val="center"/>
          </w:tcPr>
          <w:p w14:paraId="2F2C5D9F">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标的名称</w:t>
            </w:r>
          </w:p>
        </w:tc>
        <w:tc>
          <w:tcPr>
            <w:tcW w:w="1834" w:type="dxa"/>
            <w:noWrap w:val="0"/>
            <w:vAlign w:val="center"/>
          </w:tcPr>
          <w:p w14:paraId="755A8DC5">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服务内容及要求</w:t>
            </w:r>
          </w:p>
        </w:tc>
        <w:tc>
          <w:tcPr>
            <w:tcW w:w="2181" w:type="dxa"/>
            <w:noWrap w:val="0"/>
            <w:vAlign w:val="center"/>
          </w:tcPr>
          <w:p w14:paraId="6A36CA43">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投标响应</w:t>
            </w:r>
          </w:p>
        </w:tc>
        <w:tc>
          <w:tcPr>
            <w:tcW w:w="1934" w:type="dxa"/>
            <w:noWrap w:val="0"/>
            <w:vAlign w:val="center"/>
          </w:tcPr>
          <w:p w14:paraId="2445E986">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偏离说明</w:t>
            </w:r>
          </w:p>
        </w:tc>
      </w:tr>
      <w:tr w14:paraId="5B17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6B0AC2F9">
            <w:pPr>
              <w:pStyle w:val="24"/>
              <w:spacing w:line="600" w:lineRule="exact"/>
              <w:jc w:val="center"/>
              <w:rPr>
                <w:rFonts w:hint="eastAsia" w:hAnsi="宋体" w:cs="宋体"/>
                <w:color w:val="auto"/>
                <w:kern w:val="2"/>
                <w:sz w:val="21"/>
                <w:highlight w:val="none"/>
                <w:lang w:val="en-US" w:eastAsia="zh-CN"/>
              </w:rPr>
            </w:pPr>
          </w:p>
        </w:tc>
        <w:tc>
          <w:tcPr>
            <w:tcW w:w="2143" w:type="dxa"/>
            <w:noWrap w:val="0"/>
            <w:vAlign w:val="center"/>
          </w:tcPr>
          <w:p w14:paraId="1BAB122A">
            <w:pPr>
              <w:pStyle w:val="24"/>
              <w:spacing w:line="600" w:lineRule="exact"/>
              <w:jc w:val="center"/>
              <w:rPr>
                <w:rFonts w:hint="eastAsia" w:hAnsi="宋体" w:cs="宋体"/>
                <w:color w:val="auto"/>
                <w:kern w:val="2"/>
                <w:sz w:val="21"/>
                <w:highlight w:val="none"/>
                <w:lang w:val="en-US" w:eastAsia="zh-CN"/>
              </w:rPr>
            </w:pPr>
          </w:p>
        </w:tc>
        <w:tc>
          <w:tcPr>
            <w:tcW w:w="1834" w:type="dxa"/>
            <w:noWrap w:val="0"/>
            <w:vAlign w:val="center"/>
          </w:tcPr>
          <w:p w14:paraId="67B2FAA6">
            <w:pPr>
              <w:pStyle w:val="24"/>
              <w:spacing w:line="600" w:lineRule="exact"/>
              <w:jc w:val="center"/>
              <w:rPr>
                <w:rFonts w:hint="eastAsia" w:hAnsi="宋体" w:cs="宋体"/>
                <w:color w:val="auto"/>
                <w:kern w:val="2"/>
                <w:sz w:val="21"/>
                <w:highlight w:val="none"/>
                <w:lang w:val="en-US" w:eastAsia="zh-CN"/>
              </w:rPr>
            </w:pPr>
          </w:p>
        </w:tc>
        <w:tc>
          <w:tcPr>
            <w:tcW w:w="2181" w:type="dxa"/>
            <w:noWrap w:val="0"/>
            <w:vAlign w:val="center"/>
          </w:tcPr>
          <w:p w14:paraId="0A47B726">
            <w:pPr>
              <w:pStyle w:val="24"/>
              <w:spacing w:line="600" w:lineRule="exact"/>
              <w:jc w:val="center"/>
              <w:rPr>
                <w:rFonts w:hint="eastAsia" w:hAnsi="宋体" w:cs="宋体"/>
                <w:color w:val="auto"/>
                <w:kern w:val="2"/>
                <w:sz w:val="21"/>
                <w:highlight w:val="none"/>
                <w:lang w:val="en-US" w:eastAsia="zh-CN"/>
              </w:rPr>
            </w:pPr>
          </w:p>
        </w:tc>
        <w:tc>
          <w:tcPr>
            <w:tcW w:w="1934" w:type="dxa"/>
            <w:noWrap w:val="0"/>
            <w:vAlign w:val="center"/>
          </w:tcPr>
          <w:p w14:paraId="30704E6D">
            <w:pPr>
              <w:pStyle w:val="24"/>
              <w:spacing w:line="600" w:lineRule="exact"/>
              <w:jc w:val="center"/>
              <w:rPr>
                <w:rFonts w:hint="eastAsia" w:hAnsi="宋体" w:cs="宋体"/>
                <w:color w:val="auto"/>
                <w:kern w:val="2"/>
                <w:sz w:val="21"/>
                <w:highlight w:val="none"/>
                <w:lang w:val="en-US" w:eastAsia="zh-CN"/>
              </w:rPr>
            </w:pPr>
          </w:p>
        </w:tc>
      </w:tr>
      <w:tr w14:paraId="27CB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DAC2BBD">
            <w:pPr>
              <w:pStyle w:val="24"/>
              <w:spacing w:line="600" w:lineRule="exact"/>
              <w:jc w:val="center"/>
              <w:rPr>
                <w:rFonts w:hint="default" w:hAnsi="宋体" w:cs="宋体"/>
                <w:color w:val="auto"/>
                <w:kern w:val="2"/>
                <w:sz w:val="21"/>
                <w:highlight w:val="none"/>
                <w:lang w:val="en-US" w:eastAsia="zh-CN"/>
              </w:rPr>
            </w:pPr>
            <w:r>
              <w:rPr>
                <w:rFonts w:hint="eastAsia" w:hAnsi="宋体" w:cs="宋体"/>
                <w:color w:val="auto"/>
                <w:kern w:val="2"/>
                <w:sz w:val="21"/>
                <w:highlight w:val="none"/>
                <w:lang w:val="en-US" w:eastAsia="zh-CN"/>
              </w:rPr>
              <w:t>...</w:t>
            </w:r>
          </w:p>
        </w:tc>
        <w:tc>
          <w:tcPr>
            <w:tcW w:w="2143" w:type="dxa"/>
            <w:noWrap w:val="0"/>
            <w:vAlign w:val="top"/>
          </w:tcPr>
          <w:p w14:paraId="69E67EE9">
            <w:pPr>
              <w:pStyle w:val="24"/>
              <w:spacing w:line="600" w:lineRule="exact"/>
              <w:rPr>
                <w:rFonts w:hint="eastAsia" w:hAnsi="宋体" w:cs="宋体"/>
                <w:color w:val="auto"/>
                <w:kern w:val="2"/>
                <w:sz w:val="21"/>
                <w:highlight w:val="none"/>
                <w:lang w:val="en-US" w:eastAsia="zh-CN"/>
              </w:rPr>
            </w:pPr>
          </w:p>
        </w:tc>
        <w:tc>
          <w:tcPr>
            <w:tcW w:w="1834" w:type="dxa"/>
            <w:noWrap w:val="0"/>
            <w:vAlign w:val="top"/>
          </w:tcPr>
          <w:p w14:paraId="12C2B7BA">
            <w:pPr>
              <w:pStyle w:val="24"/>
              <w:spacing w:line="600" w:lineRule="exact"/>
              <w:rPr>
                <w:rFonts w:hint="eastAsia" w:hAnsi="宋体" w:cs="宋体"/>
                <w:color w:val="auto"/>
                <w:kern w:val="2"/>
                <w:sz w:val="21"/>
                <w:highlight w:val="none"/>
                <w:lang w:val="en-US" w:eastAsia="zh-CN"/>
              </w:rPr>
            </w:pPr>
          </w:p>
        </w:tc>
        <w:tc>
          <w:tcPr>
            <w:tcW w:w="2181" w:type="dxa"/>
            <w:noWrap w:val="0"/>
            <w:vAlign w:val="top"/>
          </w:tcPr>
          <w:p w14:paraId="14D5F781">
            <w:pPr>
              <w:pStyle w:val="24"/>
              <w:spacing w:line="600" w:lineRule="exact"/>
              <w:rPr>
                <w:rFonts w:hint="eastAsia" w:hAnsi="宋体" w:cs="宋体"/>
                <w:color w:val="auto"/>
                <w:kern w:val="2"/>
                <w:sz w:val="21"/>
                <w:highlight w:val="none"/>
                <w:lang w:val="en-US" w:eastAsia="zh-CN"/>
              </w:rPr>
            </w:pPr>
          </w:p>
        </w:tc>
        <w:tc>
          <w:tcPr>
            <w:tcW w:w="1934" w:type="dxa"/>
            <w:noWrap w:val="0"/>
            <w:vAlign w:val="top"/>
          </w:tcPr>
          <w:p w14:paraId="1FA6A9F1">
            <w:pPr>
              <w:pStyle w:val="24"/>
              <w:spacing w:line="600" w:lineRule="exact"/>
              <w:rPr>
                <w:rFonts w:hint="eastAsia" w:hAnsi="宋体" w:cs="宋体"/>
                <w:color w:val="auto"/>
                <w:kern w:val="2"/>
                <w:sz w:val="21"/>
                <w:highlight w:val="none"/>
                <w:lang w:val="en-US" w:eastAsia="zh-CN"/>
              </w:rPr>
            </w:pPr>
          </w:p>
        </w:tc>
      </w:tr>
    </w:tbl>
    <w:p w14:paraId="73BBA94E">
      <w:pPr>
        <w:pStyle w:val="17"/>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1DFC12B9">
      <w:pPr>
        <w:pStyle w:val="19"/>
        <w:spacing w:line="500" w:lineRule="exact"/>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1.说明：应对照招标文件“第二章 采购需求”中的技术要求逐条作明确的投标响应，并作出偏离说明。</w:t>
      </w:r>
    </w:p>
    <w:p w14:paraId="4C48168A">
      <w:pPr>
        <w:pStyle w:val="17"/>
        <w:contextualSpacing/>
        <w:rPr>
          <w:rFonts w:hint="eastAsia" w:ascii="宋体" w:hAnsi="宋体" w:cs="宋体"/>
          <w:color w:val="auto"/>
          <w:sz w:val="21"/>
          <w:szCs w:val="21"/>
          <w:highlight w:val="none"/>
        </w:rPr>
      </w:pPr>
      <w:r>
        <w:rPr>
          <w:rFonts w:hint="eastAsia" w:ascii="宋体" w:hAnsi="宋体" w:cs="宋体"/>
          <w:b w:val="0"/>
          <w:bCs w:val="0"/>
          <w:color w:val="auto"/>
          <w:sz w:val="21"/>
          <w:szCs w:val="21"/>
          <w:highlight w:val="none"/>
        </w:rPr>
        <w:t>2.投标人应根据自身的承诺，对照招标文件要求，在“偏离说明”中注明“</w:t>
      </w:r>
      <w:r>
        <w:rPr>
          <w:rFonts w:hint="eastAsia" w:ascii="宋体" w:hAnsi="宋体" w:cs="宋体"/>
          <w:color w:val="auto"/>
          <w:sz w:val="21"/>
          <w:szCs w:val="21"/>
          <w:highlight w:val="none"/>
        </w:rPr>
        <w:t>正偏离”“负偏离</w:t>
      </w:r>
      <w:r>
        <w:rPr>
          <w:rFonts w:hint="eastAsia" w:ascii="宋体" w:hAnsi="宋体" w:cs="宋体"/>
          <w:b w:val="0"/>
          <w:bCs w:val="0"/>
          <w:color w:val="auto"/>
          <w:sz w:val="21"/>
          <w:szCs w:val="21"/>
          <w:highlight w:val="none"/>
        </w:rPr>
        <w:t>”或者“</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”。既不属于“</w:t>
      </w:r>
      <w:r>
        <w:rPr>
          <w:rFonts w:hint="eastAsia" w:ascii="宋体" w:hAnsi="宋体" w:cs="宋体"/>
          <w:color w:val="auto"/>
          <w:sz w:val="21"/>
          <w:szCs w:val="21"/>
          <w:highlight w:val="none"/>
        </w:rPr>
        <w:t>正偏离</w:t>
      </w:r>
      <w:r>
        <w:rPr>
          <w:rFonts w:hint="eastAsia" w:ascii="宋体" w:hAnsi="宋体" w:cs="宋体"/>
          <w:b w:val="0"/>
          <w:bCs w:val="0"/>
          <w:color w:val="auto"/>
          <w:sz w:val="21"/>
          <w:szCs w:val="21"/>
          <w:highlight w:val="none"/>
        </w:rPr>
        <w:t>”也不属于“</w:t>
      </w:r>
      <w:r>
        <w:rPr>
          <w:rFonts w:hint="eastAsia" w:ascii="宋体" w:hAnsi="宋体" w:cs="宋体"/>
          <w:color w:val="auto"/>
          <w:sz w:val="21"/>
          <w:szCs w:val="21"/>
          <w:highlight w:val="none"/>
        </w:rPr>
        <w:t>负偏离</w:t>
      </w:r>
      <w:r>
        <w:rPr>
          <w:rFonts w:hint="eastAsia" w:ascii="宋体" w:hAnsi="宋体" w:cs="宋体"/>
          <w:b w:val="0"/>
          <w:bCs w:val="0"/>
          <w:color w:val="auto"/>
          <w:sz w:val="21"/>
          <w:szCs w:val="21"/>
          <w:highlight w:val="none"/>
        </w:rPr>
        <w:t>”即为“</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w:t>
      </w:r>
    </w:p>
    <w:p w14:paraId="7973859D">
      <w:pPr>
        <w:pStyle w:val="17"/>
        <w:spacing w:line="360" w:lineRule="auto"/>
        <w:contextualSpacing/>
        <w:rPr>
          <w:rFonts w:hint="eastAsia" w:ascii="宋体" w:hAnsi="宋体" w:cs="宋体"/>
          <w:color w:val="auto"/>
          <w:spacing w:val="20"/>
          <w:sz w:val="21"/>
          <w:szCs w:val="21"/>
          <w:highlight w:val="none"/>
        </w:rPr>
      </w:pPr>
    </w:p>
    <w:p w14:paraId="2BAFBE25">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27A9A491">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5CF99F90">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4176021C">
      <w:pPr>
        <w:spacing w:line="360" w:lineRule="auto"/>
        <w:contextualSpacing/>
        <w:rPr>
          <w:rFonts w:hint="eastAsia" w:ascii="宋体" w:hAnsi="宋体" w:cs="宋体"/>
          <w:color w:val="auto"/>
          <w:spacing w:val="20"/>
          <w:szCs w:val="21"/>
          <w:highlight w:val="none"/>
          <w:u w:val="single"/>
        </w:rPr>
      </w:pPr>
    </w:p>
    <w:p w14:paraId="58F1D77D">
      <w:pPr>
        <w:spacing w:line="360" w:lineRule="auto"/>
        <w:contextualSpacing/>
        <w:rPr>
          <w:rFonts w:hint="eastAsia" w:ascii="宋体" w:hAnsi="宋体" w:cs="宋体"/>
          <w:color w:val="auto"/>
          <w:sz w:val="24"/>
          <w:szCs w:val="20"/>
          <w:highlight w:val="none"/>
        </w:rPr>
      </w:pPr>
    </w:p>
    <w:p w14:paraId="36B3B8D1">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11.项目实施人员一览表格式</w:t>
      </w:r>
    </w:p>
    <w:p w14:paraId="7D702DD8">
      <w:pPr>
        <w:snapToGrid w:val="0"/>
        <w:spacing w:before="120" w:beforeLines="50" w:after="50"/>
        <w:ind w:left="142"/>
        <w:jc w:val="left"/>
        <w:rPr>
          <w:rFonts w:hint="eastAsia" w:ascii="宋体" w:hAnsi="宋体" w:cs="宋体"/>
          <w:b/>
          <w:color w:val="auto"/>
          <w:sz w:val="24"/>
          <w:highlight w:val="none"/>
        </w:rPr>
      </w:pPr>
    </w:p>
    <w:p w14:paraId="0CCE9DA4">
      <w:pPr>
        <w:snapToGrid w:val="0"/>
        <w:spacing w:before="120" w:beforeLines="50" w:after="50"/>
        <w:ind w:left="14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项目实施人员一览表</w:t>
      </w:r>
    </w:p>
    <w:p w14:paraId="6C7EB6FC">
      <w:pPr>
        <w:pStyle w:val="24"/>
        <w:spacing w:line="500" w:lineRule="exact"/>
        <w:rPr>
          <w:rFonts w:hint="eastAsia" w:hAnsi="宋体" w:cs="宋体"/>
          <w:color w:val="auto"/>
          <w:sz w:val="21"/>
          <w:highlight w:val="none"/>
        </w:rPr>
      </w:pPr>
      <w:r>
        <w:rPr>
          <w:rFonts w:hint="eastAsia" w:hAnsi="宋体" w:cs="宋体"/>
          <w:color w:val="auto"/>
          <w:sz w:val="21"/>
          <w:highlight w:val="none"/>
        </w:rPr>
        <w:t>所投分标：</w:t>
      </w:r>
      <w:r>
        <w:rPr>
          <w:rFonts w:hint="eastAsia" w:hAnsi="宋体" w:cs="宋体"/>
          <w:color w:val="auto"/>
          <w:sz w:val="21"/>
          <w:highlight w:val="none"/>
          <w:u w:val="single"/>
        </w:rPr>
        <w:t xml:space="preserve">     </w:t>
      </w:r>
      <w:r>
        <w:rPr>
          <w:rFonts w:hint="eastAsia" w:hAnsi="宋体" w:cs="宋体"/>
          <w:color w:val="auto"/>
          <w:sz w:val="21"/>
          <w:highlight w:val="none"/>
        </w:rPr>
        <w:t>分标</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767"/>
        <w:gridCol w:w="1840"/>
        <w:gridCol w:w="1536"/>
        <w:gridCol w:w="1837"/>
        <w:gridCol w:w="1994"/>
      </w:tblGrid>
      <w:tr w14:paraId="56B8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884" w:type="dxa"/>
            <w:noWrap w:val="0"/>
            <w:vAlign w:val="center"/>
          </w:tcPr>
          <w:p w14:paraId="059BB431">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767" w:type="dxa"/>
            <w:noWrap w:val="0"/>
            <w:vAlign w:val="center"/>
          </w:tcPr>
          <w:p w14:paraId="3B18077D">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840" w:type="dxa"/>
            <w:noWrap w:val="0"/>
            <w:vAlign w:val="center"/>
          </w:tcPr>
          <w:p w14:paraId="2091DF96">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专业技术资格（职称）或者职业资格或者执业资格证或者其他证书</w:t>
            </w:r>
          </w:p>
        </w:tc>
        <w:tc>
          <w:tcPr>
            <w:tcW w:w="1536" w:type="dxa"/>
            <w:noWrap w:val="0"/>
            <w:vAlign w:val="center"/>
          </w:tcPr>
          <w:p w14:paraId="4649437D">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证书编号</w:t>
            </w:r>
          </w:p>
        </w:tc>
        <w:tc>
          <w:tcPr>
            <w:tcW w:w="1837" w:type="dxa"/>
            <w:noWrap w:val="0"/>
            <w:vAlign w:val="center"/>
          </w:tcPr>
          <w:p w14:paraId="31F5BEF2">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参加本单位</w:t>
            </w:r>
          </w:p>
          <w:p w14:paraId="6E80ED31">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工作时间</w:t>
            </w:r>
          </w:p>
        </w:tc>
        <w:tc>
          <w:tcPr>
            <w:tcW w:w="1994" w:type="dxa"/>
            <w:noWrap w:val="0"/>
            <w:vAlign w:val="center"/>
          </w:tcPr>
          <w:p w14:paraId="2196E303">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劳动合同编号</w:t>
            </w:r>
          </w:p>
        </w:tc>
      </w:tr>
      <w:tr w14:paraId="0DDB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84" w:type="dxa"/>
            <w:noWrap w:val="0"/>
            <w:vAlign w:val="center"/>
          </w:tcPr>
          <w:p w14:paraId="249B0CDA">
            <w:pPr>
              <w:snapToGrid w:val="0"/>
              <w:spacing w:before="50" w:after="120" w:afterLines="50" w:line="500" w:lineRule="exact"/>
              <w:jc w:val="center"/>
              <w:rPr>
                <w:rFonts w:hint="eastAsia" w:ascii="宋体" w:hAnsi="宋体" w:cs="宋体"/>
                <w:color w:val="auto"/>
                <w:szCs w:val="21"/>
                <w:highlight w:val="none"/>
              </w:rPr>
            </w:pPr>
          </w:p>
        </w:tc>
        <w:tc>
          <w:tcPr>
            <w:tcW w:w="767" w:type="dxa"/>
            <w:noWrap w:val="0"/>
            <w:vAlign w:val="center"/>
          </w:tcPr>
          <w:p w14:paraId="7D152641">
            <w:pPr>
              <w:snapToGrid w:val="0"/>
              <w:spacing w:before="50" w:after="120" w:afterLines="50" w:line="500" w:lineRule="exact"/>
              <w:jc w:val="center"/>
              <w:rPr>
                <w:rFonts w:hint="eastAsia" w:ascii="宋体" w:hAnsi="宋体" w:cs="宋体"/>
                <w:color w:val="auto"/>
                <w:szCs w:val="21"/>
                <w:highlight w:val="none"/>
              </w:rPr>
            </w:pPr>
          </w:p>
        </w:tc>
        <w:tc>
          <w:tcPr>
            <w:tcW w:w="1840" w:type="dxa"/>
            <w:noWrap w:val="0"/>
            <w:vAlign w:val="center"/>
          </w:tcPr>
          <w:p w14:paraId="705713A4">
            <w:pPr>
              <w:snapToGrid w:val="0"/>
              <w:spacing w:before="50" w:after="120" w:afterLines="50" w:line="500" w:lineRule="exact"/>
              <w:jc w:val="center"/>
              <w:rPr>
                <w:rFonts w:hint="eastAsia" w:ascii="宋体" w:hAnsi="宋体" w:cs="宋体"/>
                <w:color w:val="auto"/>
                <w:szCs w:val="21"/>
                <w:highlight w:val="none"/>
              </w:rPr>
            </w:pPr>
          </w:p>
        </w:tc>
        <w:tc>
          <w:tcPr>
            <w:tcW w:w="1536" w:type="dxa"/>
            <w:noWrap w:val="0"/>
            <w:vAlign w:val="center"/>
          </w:tcPr>
          <w:p w14:paraId="4950F669">
            <w:pPr>
              <w:snapToGrid w:val="0"/>
              <w:spacing w:before="50" w:after="120" w:afterLines="50" w:line="500" w:lineRule="exact"/>
              <w:jc w:val="center"/>
              <w:rPr>
                <w:rFonts w:hint="eastAsia" w:ascii="宋体" w:hAnsi="宋体" w:cs="宋体"/>
                <w:color w:val="auto"/>
                <w:szCs w:val="21"/>
                <w:highlight w:val="none"/>
              </w:rPr>
            </w:pPr>
          </w:p>
        </w:tc>
        <w:tc>
          <w:tcPr>
            <w:tcW w:w="1837" w:type="dxa"/>
            <w:noWrap w:val="0"/>
            <w:vAlign w:val="center"/>
          </w:tcPr>
          <w:p w14:paraId="27968D6D">
            <w:pPr>
              <w:snapToGrid w:val="0"/>
              <w:spacing w:before="50" w:after="120" w:afterLines="50" w:line="500" w:lineRule="exact"/>
              <w:jc w:val="center"/>
              <w:rPr>
                <w:rFonts w:hint="eastAsia" w:ascii="宋体" w:hAnsi="宋体" w:cs="宋体"/>
                <w:color w:val="auto"/>
                <w:szCs w:val="21"/>
                <w:highlight w:val="none"/>
              </w:rPr>
            </w:pPr>
          </w:p>
        </w:tc>
        <w:tc>
          <w:tcPr>
            <w:tcW w:w="1994" w:type="dxa"/>
            <w:noWrap w:val="0"/>
            <w:vAlign w:val="center"/>
          </w:tcPr>
          <w:p w14:paraId="2E7E43D7">
            <w:pPr>
              <w:snapToGrid w:val="0"/>
              <w:spacing w:before="50" w:after="120" w:afterLines="50" w:line="500" w:lineRule="exact"/>
              <w:jc w:val="center"/>
              <w:rPr>
                <w:rFonts w:hint="eastAsia" w:ascii="宋体" w:hAnsi="宋体" w:cs="宋体"/>
                <w:color w:val="auto"/>
                <w:szCs w:val="21"/>
                <w:highlight w:val="none"/>
              </w:rPr>
            </w:pPr>
          </w:p>
        </w:tc>
      </w:tr>
      <w:tr w14:paraId="6E40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84" w:type="dxa"/>
            <w:noWrap w:val="0"/>
            <w:vAlign w:val="center"/>
          </w:tcPr>
          <w:p w14:paraId="720C400A">
            <w:pPr>
              <w:snapToGrid w:val="0"/>
              <w:spacing w:before="50" w:after="120" w:afterLines="50" w:line="500" w:lineRule="exact"/>
              <w:jc w:val="center"/>
              <w:rPr>
                <w:rFonts w:hint="eastAsia" w:ascii="宋体" w:hAnsi="宋体" w:cs="宋体"/>
                <w:color w:val="auto"/>
                <w:szCs w:val="21"/>
                <w:highlight w:val="none"/>
              </w:rPr>
            </w:pPr>
          </w:p>
        </w:tc>
        <w:tc>
          <w:tcPr>
            <w:tcW w:w="767" w:type="dxa"/>
            <w:noWrap w:val="0"/>
            <w:vAlign w:val="center"/>
          </w:tcPr>
          <w:p w14:paraId="6766CC9D">
            <w:pPr>
              <w:snapToGrid w:val="0"/>
              <w:spacing w:before="50" w:after="120" w:afterLines="50" w:line="500" w:lineRule="exact"/>
              <w:jc w:val="center"/>
              <w:rPr>
                <w:rFonts w:hint="eastAsia" w:ascii="宋体" w:hAnsi="宋体" w:cs="宋体"/>
                <w:color w:val="auto"/>
                <w:szCs w:val="21"/>
                <w:highlight w:val="none"/>
              </w:rPr>
            </w:pPr>
          </w:p>
        </w:tc>
        <w:tc>
          <w:tcPr>
            <w:tcW w:w="1840" w:type="dxa"/>
            <w:noWrap w:val="0"/>
            <w:vAlign w:val="center"/>
          </w:tcPr>
          <w:p w14:paraId="403F1C8C">
            <w:pPr>
              <w:snapToGrid w:val="0"/>
              <w:spacing w:before="50" w:after="120" w:afterLines="50" w:line="500" w:lineRule="exact"/>
              <w:jc w:val="center"/>
              <w:rPr>
                <w:rFonts w:hint="eastAsia" w:ascii="宋体" w:hAnsi="宋体" w:cs="宋体"/>
                <w:color w:val="auto"/>
                <w:szCs w:val="21"/>
                <w:highlight w:val="none"/>
              </w:rPr>
            </w:pPr>
          </w:p>
        </w:tc>
        <w:tc>
          <w:tcPr>
            <w:tcW w:w="1536" w:type="dxa"/>
            <w:noWrap w:val="0"/>
            <w:vAlign w:val="center"/>
          </w:tcPr>
          <w:p w14:paraId="68066BDF">
            <w:pPr>
              <w:snapToGrid w:val="0"/>
              <w:spacing w:before="50" w:after="120" w:afterLines="50" w:line="500" w:lineRule="exact"/>
              <w:jc w:val="center"/>
              <w:rPr>
                <w:rFonts w:hint="eastAsia" w:ascii="宋体" w:hAnsi="宋体" w:cs="宋体"/>
                <w:color w:val="auto"/>
                <w:szCs w:val="21"/>
                <w:highlight w:val="none"/>
              </w:rPr>
            </w:pPr>
          </w:p>
        </w:tc>
        <w:tc>
          <w:tcPr>
            <w:tcW w:w="1837" w:type="dxa"/>
            <w:noWrap w:val="0"/>
            <w:vAlign w:val="center"/>
          </w:tcPr>
          <w:p w14:paraId="6AA482AC">
            <w:pPr>
              <w:snapToGrid w:val="0"/>
              <w:spacing w:before="50" w:after="120" w:afterLines="50" w:line="500" w:lineRule="exact"/>
              <w:jc w:val="center"/>
              <w:rPr>
                <w:rFonts w:hint="eastAsia" w:ascii="宋体" w:hAnsi="宋体" w:cs="宋体"/>
                <w:color w:val="auto"/>
                <w:szCs w:val="21"/>
                <w:highlight w:val="none"/>
              </w:rPr>
            </w:pPr>
          </w:p>
        </w:tc>
        <w:tc>
          <w:tcPr>
            <w:tcW w:w="1994" w:type="dxa"/>
            <w:noWrap w:val="0"/>
            <w:vAlign w:val="center"/>
          </w:tcPr>
          <w:p w14:paraId="01113126">
            <w:pPr>
              <w:snapToGrid w:val="0"/>
              <w:spacing w:before="50" w:after="120" w:afterLines="50" w:line="500" w:lineRule="exact"/>
              <w:jc w:val="center"/>
              <w:rPr>
                <w:rFonts w:hint="eastAsia" w:ascii="宋体" w:hAnsi="宋体" w:cs="宋体"/>
                <w:color w:val="auto"/>
                <w:szCs w:val="21"/>
                <w:highlight w:val="none"/>
              </w:rPr>
            </w:pPr>
          </w:p>
        </w:tc>
      </w:tr>
      <w:tr w14:paraId="3ADD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84" w:type="dxa"/>
            <w:noWrap w:val="0"/>
            <w:vAlign w:val="center"/>
          </w:tcPr>
          <w:p w14:paraId="0591E3DE">
            <w:pPr>
              <w:snapToGrid w:val="0"/>
              <w:spacing w:before="50" w:after="120" w:afterLines="50" w:line="500" w:lineRule="exact"/>
              <w:jc w:val="center"/>
              <w:rPr>
                <w:rFonts w:hint="eastAsia" w:ascii="宋体" w:hAnsi="宋体" w:cs="宋体"/>
                <w:color w:val="auto"/>
                <w:szCs w:val="21"/>
                <w:highlight w:val="none"/>
              </w:rPr>
            </w:pPr>
          </w:p>
        </w:tc>
        <w:tc>
          <w:tcPr>
            <w:tcW w:w="767" w:type="dxa"/>
            <w:noWrap w:val="0"/>
            <w:vAlign w:val="center"/>
          </w:tcPr>
          <w:p w14:paraId="5810C6CD">
            <w:pPr>
              <w:snapToGrid w:val="0"/>
              <w:spacing w:before="50" w:after="120" w:afterLines="50" w:line="500" w:lineRule="exact"/>
              <w:jc w:val="center"/>
              <w:rPr>
                <w:rFonts w:hint="eastAsia" w:ascii="宋体" w:hAnsi="宋体" w:cs="宋体"/>
                <w:color w:val="auto"/>
                <w:szCs w:val="21"/>
                <w:highlight w:val="none"/>
              </w:rPr>
            </w:pPr>
          </w:p>
        </w:tc>
        <w:tc>
          <w:tcPr>
            <w:tcW w:w="1840" w:type="dxa"/>
            <w:noWrap w:val="0"/>
            <w:vAlign w:val="center"/>
          </w:tcPr>
          <w:p w14:paraId="4CCBB468">
            <w:pPr>
              <w:snapToGrid w:val="0"/>
              <w:spacing w:before="50" w:after="120" w:afterLines="50" w:line="500" w:lineRule="exact"/>
              <w:jc w:val="center"/>
              <w:rPr>
                <w:rFonts w:hint="eastAsia" w:ascii="宋体" w:hAnsi="宋体" w:cs="宋体"/>
                <w:color w:val="auto"/>
                <w:szCs w:val="21"/>
                <w:highlight w:val="none"/>
              </w:rPr>
            </w:pPr>
          </w:p>
        </w:tc>
        <w:tc>
          <w:tcPr>
            <w:tcW w:w="1536" w:type="dxa"/>
            <w:noWrap w:val="0"/>
            <w:vAlign w:val="center"/>
          </w:tcPr>
          <w:p w14:paraId="1E217059">
            <w:pPr>
              <w:snapToGrid w:val="0"/>
              <w:spacing w:before="50" w:after="120" w:afterLines="50" w:line="500" w:lineRule="exact"/>
              <w:jc w:val="center"/>
              <w:rPr>
                <w:rFonts w:hint="eastAsia" w:ascii="宋体" w:hAnsi="宋体" w:cs="宋体"/>
                <w:color w:val="auto"/>
                <w:szCs w:val="21"/>
                <w:highlight w:val="none"/>
              </w:rPr>
            </w:pPr>
          </w:p>
        </w:tc>
        <w:tc>
          <w:tcPr>
            <w:tcW w:w="1837" w:type="dxa"/>
            <w:noWrap w:val="0"/>
            <w:vAlign w:val="center"/>
          </w:tcPr>
          <w:p w14:paraId="281D0906">
            <w:pPr>
              <w:snapToGrid w:val="0"/>
              <w:spacing w:before="50" w:after="120" w:afterLines="50" w:line="500" w:lineRule="exact"/>
              <w:jc w:val="center"/>
              <w:rPr>
                <w:rFonts w:hint="eastAsia" w:ascii="宋体" w:hAnsi="宋体" w:cs="宋体"/>
                <w:color w:val="auto"/>
                <w:szCs w:val="21"/>
                <w:highlight w:val="none"/>
              </w:rPr>
            </w:pPr>
          </w:p>
        </w:tc>
        <w:tc>
          <w:tcPr>
            <w:tcW w:w="1994" w:type="dxa"/>
            <w:noWrap w:val="0"/>
            <w:vAlign w:val="center"/>
          </w:tcPr>
          <w:p w14:paraId="23E284F4">
            <w:pPr>
              <w:snapToGrid w:val="0"/>
              <w:spacing w:before="50" w:after="120" w:afterLines="50" w:line="500" w:lineRule="exact"/>
              <w:jc w:val="center"/>
              <w:rPr>
                <w:rFonts w:hint="eastAsia" w:ascii="宋体" w:hAnsi="宋体" w:cs="宋体"/>
                <w:color w:val="auto"/>
                <w:szCs w:val="21"/>
                <w:highlight w:val="none"/>
              </w:rPr>
            </w:pPr>
          </w:p>
        </w:tc>
      </w:tr>
    </w:tbl>
    <w:p w14:paraId="24DEF863">
      <w:pPr>
        <w:spacing w:line="5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03D47BA9">
      <w:pPr>
        <w:spacing w:line="5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1.在填写时，如本表格不适合投标单位的实际情况，可根据本表格式自行制表填写。</w:t>
      </w:r>
    </w:p>
    <w:p w14:paraId="727C89EC">
      <w:pPr>
        <w:spacing w:line="5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2.投标人应当附本表所列证书的扫描件并加盖投标人电子签章。</w:t>
      </w:r>
    </w:p>
    <w:p w14:paraId="21D4D8B4">
      <w:pPr>
        <w:snapToGrid w:val="0"/>
        <w:spacing w:before="50" w:after="50" w:line="500" w:lineRule="exact"/>
        <w:ind w:firstLine="3360" w:firstLineChars="1600"/>
        <w:rPr>
          <w:rFonts w:hint="eastAsia" w:ascii="宋体" w:hAnsi="宋体" w:cs="宋体"/>
          <w:color w:val="auto"/>
          <w:szCs w:val="21"/>
          <w:highlight w:val="none"/>
        </w:rPr>
      </w:pPr>
      <w:bookmarkStart w:id="232" w:name="_Toc19686836"/>
    </w:p>
    <w:p w14:paraId="4111B24A">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35B57BC8">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0FFDD62D">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3E47E676">
      <w:pPr>
        <w:spacing w:line="500" w:lineRule="exact"/>
        <w:rPr>
          <w:rFonts w:hint="eastAsia" w:ascii="宋体" w:hAnsi="宋体" w:cs="宋体"/>
          <w:b/>
          <w:color w:val="auto"/>
          <w:sz w:val="32"/>
          <w:szCs w:val="32"/>
          <w:highlight w:val="none"/>
        </w:rPr>
      </w:pPr>
      <w:r>
        <w:rPr>
          <w:rFonts w:hint="eastAsia" w:ascii="宋体" w:hAnsi="宋体" w:cs="宋体"/>
          <w:b/>
          <w:color w:val="auto"/>
          <w:szCs w:val="21"/>
          <w:highlight w:val="none"/>
        </w:rPr>
        <w:br w:type="page"/>
      </w:r>
      <w:r>
        <w:rPr>
          <w:rFonts w:hint="eastAsia" w:ascii="宋体" w:hAnsi="宋体" w:cs="宋体"/>
          <w:b/>
          <w:color w:val="auto"/>
          <w:sz w:val="32"/>
          <w:szCs w:val="32"/>
          <w:highlight w:val="none"/>
        </w:rPr>
        <w:t>三、报价文件格式</w:t>
      </w:r>
      <w:bookmarkEnd w:id="232"/>
    </w:p>
    <w:p w14:paraId="0A3BD0D0">
      <w:pPr>
        <w:snapToGrid w:val="0"/>
        <w:spacing w:before="120" w:beforeLines="50" w:after="50" w:line="360" w:lineRule="auto"/>
        <w:ind w:left="142"/>
        <w:jc w:val="left"/>
        <w:rPr>
          <w:rFonts w:hint="eastAsia" w:ascii="宋体" w:hAnsi="宋体" w:cs="宋体"/>
          <w:color w:val="auto"/>
          <w:sz w:val="32"/>
          <w:szCs w:val="32"/>
          <w:highlight w:val="none"/>
        </w:rPr>
      </w:pPr>
      <w:r>
        <w:rPr>
          <w:rFonts w:hint="eastAsia" w:ascii="宋体" w:hAnsi="宋体" w:cs="宋体"/>
          <w:b/>
          <w:color w:val="auto"/>
          <w:sz w:val="32"/>
          <w:szCs w:val="32"/>
          <w:highlight w:val="none"/>
        </w:rPr>
        <w:t xml:space="preserve">1.报价文件封面格式： </w:t>
      </w:r>
    </w:p>
    <w:p w14:paraId="62AE94C7">
      <w:pPr>
        <w:snapToGrid w:val="0"/>
        <w:spacing w:before="120" w:beforeLines="50" w:after="50" w:line="360" w:lineRule="auto"/>
        <w:ind w:left="142"/>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4FFD88E9">
      <w:pPr>
        <w:snapToGrid w:val="0"/>
        <w:spacing w:before="120" w:beforeLines="50" w:after="50" w:line="400" w:lineRule="exact"/>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p>
    <w:p w14:paraId="425F18C7">
      <w:pPr>
        <w:snapToGrid w:val="0"/>
        <w:spacing w:before="120" w:beforeLines="50" w:after="50" w:line="400" w:lineRule="exact"/>
        <w:jc w:val="center"/>
        <w:rPr>
          <w:rFonts w:hint="eastAsia" w:ascii="宋体" w:hAnsi="宋体" w:cs="宋体"/>
          <w:bCs/>
          <w:color w:val="auto"/>
          <w:sz w:val="24"/>
          <w:szCs w:val="20"/>
          <w:highlight w:val="none"/>
        </w:rPr>
      </w:pPr>
    </w:p>
    <w:p w14:paraId="0C52932E">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outlineLvl w:val="9"/>
        <w:rPr>
          <w:rFonts w:hint="eastAsia" w:ascii="宋体" w:hAnsi="宋体" w:cs="宋体"/>
          <w:b/>
          <w:bCs/>
          <w:color w:val="auto"/>
          <w:sz w:val="32"/>
          <w:szCs w:val="32"/>
          <w:highlight w:val="none"/>
        </w:rPr>
      </w:pPr>
      <w:bookmarkStart w:id="233" w:name="_Toc18841"/>
      <w:bookmarkStart w:id="234" w:name="_Toc30012"/>
      <w:bookmarkStart w:id="235" w:name="_Toc2956"/>
      <w:bookmarkStart w:id="236" w:name="_Toc29722"/>
      <w:bookmarkStart w:id="237" w:name="_Toc3271"/>
      <w:bookmarkStart w:id="238" w:name="_Toc20928"/>
      <w:bookmarkStart w:id="239" w:name="_Toc32292"/>
      <w:bookmarkStart w:id="240" w:name="_Toc21225"/>
      <w:bookmarkStart w:id="241" w:name="_Toc510"/>
      <w:r>
        <w:rPr>
          <w:rFonts w:hint="eastAsia" w:ascii="宋体" w:hAnsi="宋体" w:cs="宋体"/>
          <w:b/>
          <w:bCs/>
          <w:color w:val="auto"/>
          <w:sz w:val="32"/>
          <w:szCs w:val="32"/>
          <w:highlight w:val="none"/>
        </w:rPr>
        <w:t>报价文件</w:t>
      </w:r>
      <w:bookmarkEnd w:id="233"/>
      <w:bookmarkEnd w:id="234"/>
      <w:bookmarkEnd w:id="235"/>
      <w:bookmarkEnd w:id="236"/>
      <w:bookmarkEnd w:id="237"/>
      <w:bookmarkEnd w:id="238"/>
      <w:bookmarkEnd w:id="239"/>
      <w:bookmarkEnd w:id="240"/>
      <w:bookmarkEnd w:id="241"/>
    </w:p>
    <w:p w14:paraId="51A01309">
      <w:pPr>
        <w:snapToGrid w:val="0"/>
        <w:spacing w:before="120" w:beforeLines="50" w:after="50" w:line="400" w:lineRule="exact"/>
        <w:rPr>
          <w:rFonts w:hint="eastAsia" w:ascii="宋体" w:hAnsi="宋体" w:cs="宋体"/>
          <w:bCs/>
          <w:color w:val="auto"/>
          <w:sz w:val="24"/>
          <w:szCs w:val="20"/>
          <w:highlight w:val="none"/>
        </w:rPr>
      </w:pPr>
    </w:p>
    <w:p w14:paraId="21CB870D">
      <w:pPr>
        <w:snapToGrid w:val="0"/>
        <w:spacing w:before="120" w:beforeLines="50" w:after="50" w:line="400" w:lineRule="exact"/>
        <w:rPr>
          <w:rFonts w:hint="eastAsia" w:ascii="宋体" w:hAnsi="宋体" w:cs="宋体"/>
          <w:bCs/>
          <w:color w:val="auto"/>
          <w:sz w:val="24"/>
          <w:szCs w:val="20"/>
          <w:highlight w:val="none"/>
        </w:rPr>
      </w:pPr>
    </w:p>
    <w:p w14:paraId="2A609DDA">
      <w:pPr>
        <w:snapToGrid w:val="0"/>
        <w:spacing w:before="120" w:beforeLines="50" w:after="50" w:line="400" w:lineRule="exact"/>
        <w:rPr>
          <w:rFonts w:hint="eastAsia" w:ascii="宋体" w:hAnsi="宋体" w:cs="宋体"/>
          <w:bCs/>
          <w:color w:val="auto"/>
          <w:sz w:val="24"/>
          <w:szCs w:val="20"/>
          <w:highlight w:val="none"/>
        </w:rPr>
      </w:pPr>
    </w:p>
    <w:p w14:paraId="126E6221">
      <w:pPr>
        <w:snapToGrid w:val="0"/>
        <w:spacing w:before="120" w:beforeLines="50" w:after="50" w:line="400" w:lineRule="exact"/>
        <w:rPr>
          <w:rFonts w:hint="eastAsia" w:ascii="宋体" w:hAnsi="宋体" w:cs="宋体"/>
          <w:bCs/>
          <w:color w:val="auto"/>
          <w:sz w:val="24"/>
          <w:szCs w:val="20"/>
          <w:highlight w:val="none"/>
        </w:rPr>
      </w:pPr>
    </w:p>
    <w:p w14:paraId="24E0E0E6">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项目名称： </w:t>
      </w:r>
    </w:p>
    <w:p w14:paraId="323F092B">
      <w:pPr>
        <w:snapToGrid w:val="0"/>
        <w:spacing w:before="120" w:beforeLines="50" w:after="50" w:line="400" w:lineRule="exact"/>
        <w:ind w:firstLine="360" w:firstLineChars="150"/>
        <w:rPr>
          <w:rFonts w:hint="eastAsia" w:ascii="宋体" w:hAnsi="宋体" w:cs="宋体"/>
          <w:bCs/>
          <w:color w:val="auto"/>
          <w:sz w:val="24"/>
          <w:highlight w:val="none"/>
        </w:rPr>
      </w:pPr>
    </w:p>
    <w:p w14:paraId="18C94BA3">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14:paraId="6A4E13A1">
      <w:pPr>
        <w:snapToGrid w:val="0"/>
        <w:spacing w:before="120" w:beforeLines="50" w:after="50" w:line="400" w:lineRule="exact"/>
        <w:ind w:firstLine="360" w:firstLineChars="150"/>
        <w:rPr>
          <w:rFonts w:hint="eastAsia" w:ascii="宋体" w:hAnsi="宋体" w:cs="宋体"/>
          <w:bCs/>
          <w:color w:val="auto"/>
          <w:sz w:val="24"/>
          <w:highlight w:val="none"/>
        </w:rPr>
      </w:pPr>
    </w:p>
    <w:p w14:paraId="497C7B65">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所投分标（如有）：</w:t>
      </w:r>
    </w:p>
    <w:p w14:paraId="7F93EB2B">
      <w:pPr>
        <w:snapToGrid w:val="0"/>
        <w:spacing w:before="120" w:beforeLines="50" w:after="50" w:line="400" w:lineRule="exact"/>
        <w:ind w:firstLine="360" w:firstLineChars="150"/>
        <w:rPr>
          <w:rFonts w:hint="eastAsia" w:ascii="宋体" w:hAnsi="宋体" w:cs="宋体"/>
          <w:bCs/>
          <w:color w:val="auto"/>
          <w:sz w:val="24"/>
          <w:highlight w:val="none"/>
        </w:rPr>
      </w:pPr>
    </w:p>
    <w:p w14:paraId="4280F1F4">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14:paraId="492F9D08">
      <w:pPr>
        <w:snapToGrid w:val="0"/>
        <w:spacing w:before="120" w:beforeLines="50" w:after="50" w:line="400" w:lineRule="exact"/>
        <w:ind w:firstLine="360" w:firstLineChars="150"/>
        <w:rPr>
          <w:rFonts w:hint="eastAsia" w:ascii="宋体" w:hAnsi="宋体" w:cs="宋体"/>
          <w:bCs/>
          <w:color w:val="auto"/>
          <w:sz w:val="24"/>
          <w:highlight w:val="none"/>
        </w:rPr>
      </w:pPr>
    </w:p>
    <w:p w14:paraId="6318DD89">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投标人地址：</w:t>
      </w:r>
    </w:p>
    <w:p w14:paraId="7DC66D27">
      <w:pPr>
        <w:pStyle w:val="7"/>
        <w:snapToGrid w:val="0"/>
        <w:spacing w:before="50" w:after="50" w:line="400" w:lineRule="exact"/>
        <w:ind w:firstLine="960" w:firstLineChars="400"/>
        <w:rPr>
          <w:rFonts w:hint="eastAsia" w:ascii="宋体" w:hAnsi="宋体" w:cs="宋体"/>
          <w:bCs/>
          <w:color w:val="auto"/>
          <w:sz w:val="24"/>
          <w:szCs w:val="24"/>
          <w:highlight w:val="none"/>
        </w:rPr>
      </w:pPr>
    </w:p>
    <w:p w14:paraId="02533ACE">
      <w:pPr>
        <w:snapToGrid w:val="0"/>
        <w:spacing w:before="120" w:beforeLines="50" w:after="50" w:line="400" w:lineRule="exact"/>
        <w:rPr>
          <w:rFonts w:hint="eastAsia" w:ascii="宋体" w:hAnsi="宋体" w:cs="宋体"/>
          <w:color w:val="auto"/>
          <w:sz w:val="30"/>
          <w:szCs w:val="20"/>
          <w:highlight w:val="none"/>
        </w:rPr>
      </w:pPr>
      <w:r>
        <w:rPr>
          <w:rFonts w:hint="eastAsia" w:ascii="宋体" w:hAnsi="宋体" w:cs="宋体"/>
          <w:color w:val="auto"/>
          <w:sz w:val="24"/>
          <w:highlight w:val="none"/>
        </w:rPr>
        <w:t xml:space="preserve">                                   年  月  日</w:t>
      </w:r>
    </w:p>
    <w:p w14:paraId="3BF98950">
      <w:pPr>
        <w:snapToGrid w:val="0"/>
        <w:spacing w:before="120" w:beforeLines="50" w:after="50" w:line="360" w:lineRule="auto"/>
        <w:jc w:val="left"/>
        <w:rPr>
          <w:rFonts w:hint="eastAsia" w:ascii="宋体" w:hAnsi="宋体" w:cs="宋体"/>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2.</w:t>
      </w:r>
      <w:r>
        <w:rPr>
          <w:rFonts w:hint="eastAsia" w:ascii="宋体" w:hAnsi="宋体" w:cs="宋体"/>
          <w:b/>
          <w:bCs/>
          <w:color w:val="auto"/>
          <w:sz w:val="32"/>
          <w:szCs w:val="32"/>
          <w:highlight w:val="none"/>
        </w:rPr>
        <w:t>报价文件目录</w:t>
      </w:r>
    </w:p>
    <w:p w14:paraId="5B81B942">
      <w:pPr>
        <w:snapToGrid w:val="0"/>
        <w:spacing w:before="50" w:after="120" w:afterLines="50" w:line="360" w:lineRule="auto"/>
        <w:jc w:val="center"/>
        <w:rPr>
          <w:rFonts w:hint="eastAsia" w:ascii="宋体" w:hAnsi="宋体" w:cs="宋体"/>
          <w:color w:val="auto"/>
          <w:szCs w:val="21"/>
          <w:highlight w:val="none"/>
        </w:rPr>
      </w:pPr>
    </w:p>
    <w:p w14:paraId="4DA51315">
      <w:pPr>
        <w:snapToGrid w:val="0"/>
        <w:spacing w:before="50" w:after="120" w:afterLines="50" w:line="360" w:lineRule="auto"/>
        <w:jc w:val="center"/>
        <w:rPr>
          <w:rFonts w:hint="eastAsia" w:ascii="宋体" w:hAnsi="宋体" w:cs="宋体"/>
          <w:b/>
          <w:color w:val="auto"/>
          <w:sz w:val="24"/>
          <w:highlight w:val="none"/>
        </w:rPr>
      </w:pPr>
      <w:r>
        <w:rPr>
          <w:rFonts w:hint="eastAsia" w:ascii="宋体" w:hAnsi="宋体" w:cs="宋体"/>
          <w:color w:val="auto"/>
          <w:szCs w:val="21"/>
          <w:highlight w:val="none"/>
        </w:rPr>
        <w:t>根据招标文件规定及投标人提供的材料自行编写目录。</w:t>
      </w:r>
    </w:p>
    <w:p w14:paraId="4E5124F9">
      <w:pPr>
        <w:snapToGrid w:val="0"/>
        <w:spacing w:before="120" w:beforeLines="50" w:after="50"/>
        <w:rPr>
          <w:rFonts w:hint="eastAsia" w:ascii="宋体" w:hAnsi="宋体" w:cs="宋体"/>
          <w:b/>
          <w:color w:val="auto"/>
          <w:sz w:val="24"/>
          <w:highlight w:val="none"/>
        </w:rPr>
      </w:pPr>
    </w:p>
    <w:p w14:paraId="3835B8EA">
      <w:pPr>
        <w:snapToGrid w:val="0"/>
        <w:spacing w:before="120" w:beforeLines="50" w:after="50"/>
        <w:rPr>
          <w:rFonts w:hint="eastAsia" w:ascii="宋体" w:hAnsi="宋体" w:cs="宋体"/>
          <w:b/>
          <w:color w:val="auto"/>
          <w:sz w:val="24"/>
          <w:highlight w:val="none"/>
        </w:rPr>
      </w:pPr>
    </w:p>
    <w:p w14:paraId="478A6879">
      <w:pPr>
        <w:snapToGrid w:val="0"/>
        <w:spacing w:before="120" w:beforeLines="50" w:after="50"/>
        <w:rPr>
          <w:rFonts w:hint="eastAsia" w:ascii="宋体" w:hAnsi="宋体" w:cs="宋体"/>
          <w:b/>
          <w:color w:val="auto"/>
          <w:sz w:val="24"/>
          <w:highlight w:val="none"/>
        </w:rPr>
      </w:pPr>
    </w:p>
    <w:p w14:paraId="2D072348">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3. 投标函格式：</w:t>
      </w:r>
    </w:p>
    <w:p w14:paraId="4DE4AC4B">
      <w:pPr>
        <w:snapToGrid w:val="0"/>
        <w:spacing w:before="120" w:beforeLines="50" w:after="50" w:line="32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投标函</w:t>
      </w:r>
    </w:p>
    <w:p w14:paraId="0750023B">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采购人名称</w:t>
      </w:r>
      <w:r>
        <w:rPr>
          <w:rFonts w:hint="eastAsia" w:ascii="宋体" w:hAnsi="宋体" w:cs="宋体"/>
          <w:color w:val="auto"/>
          <w:szCs w:val="21"/>
          <w:highlight w:val="none"/>
        </w:rPr>
        <w:t>：</w:t>
      </w:r>
    </w:p>
    <w:p w14:paraId="417E6BD1">
      <w:pPr>
        <w:snapToGrid w:val="0"/>
        <w:spacing w:line="500" w:lineRule="exact"/>
        <w:ind w:firstLine="480"/>
        <w:rPr>
          <w:rFonts w:hint="eastAsia" w:ascii="宋体" w:hAnsi="宋体" w:cs="宋体"/>
          <w:color w:val="auto"/>
          <w:szCs w:val="21"/>
          <w:highlight w:val="none"/>
        </w:rPr>
      </w:pPr>
      <w:r>
        <w:rPr>
          <w:rFonts w:hint="eastAsia" w:ascii="宋体" w:hAnsi="宋体" w:cs="宋体"/>
          <w:color w:val="auto"/>
          <w:szCs w:val="21"/>
          <w:highlight w:val="none"/>
        </w:rPr>
        <w:t>根据贵方</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）的招标公告，签字代表______</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（姓名）经正式授权并代表投标人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（投标人名称）提交投标文件。</w:t>
      </w:r>
    </w:p>
    <w:p w14:paraId="296EB042">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据此函，我方宣布同意如下：</w:t>
      </w:r>
    </w:p>
    <w:p w14:paraId="1AC8F938">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315479E0">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2.我方在投标之前已经完全理解并接受招标文件的各项规定和要求，对招标文件的合理性、合法性不再有异议。</w:t>
      </w:r>
    </w:p>
    <w:p w14:paraId="5603F04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3.本投标有效期自投标截止之日起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14A3E94">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4.如中标，本投标文件至本项目合同履行完毕止均保持有效，我方将按“招标文件”及政府采购法律、法规的规定履行合同责任和义务。</w:t>
      </w:r>
    </w:p>
    <w:p w14:paraId="093134C9">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5.我方同意按照贵方要求提供与投标有关的一切数据或者资料。</w:t>
      </w:r>
    </w:p>
    <w:p w14:paraId="3E12093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6.我方向贵方提交的所有投标文件、资料都是准确的和真实的。</w:t>
      </w:r>
    </w:p>
    <w:p w14:paraId="41672EE0">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14:paraId="780B3A50">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1E3096F8">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s="宋体"/>
          <w:color w:val="auto"/>
          <w:szCs w:val="21"/>
          <w:highlight w:val="none"/>
        </w:rPr>
        <w:t>未</w:t>
      </w:r>
      <w:r>
        <w:rPr>
          <w:rFonts w:hint="eastAsia" w:ascii="宋体" w:hAnsi="宋体" w:cs="宋体"/>
          <w:color w:val="auto"/>
          <w:kern w:val="0"/>
          <w:szCs w:val="21"/>
          <w:highlight w:val="none"/>
        </w:rPr>
        <w:t>涉及商业秘密；</w:t>
      </w:r>
    </w:p>
    <w:p w14:paraId="1F614396">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DDA69E2">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9.与本投标有关的一切正式往来信函请寄：</w:t>
      </w:r>
    </w:p>
    <w:p w14:paraId="0D780B9A">
      <w:pPr>
        <w:snapToGrid w:val="0"/>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711C50B">
      <w:pPr>
        <w:snapToGrid w:val="0"/>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邮编：</w:t>
      </w:r>
      <w:r>
        <w:rPr>
          <w:rFonts w:hint="eastAsia" w:ascii="宋体" w:hAnsi="宋体" w:cs="宋体"/>
          <w:color w:val="auto"/>
          <w:szCs w:val="21"/>
          <w:highlight w:val="none"/>
          <w:u w:val="single"/>
        </w:rPr>
        <w:t xml:space="preserve">                           </w:t>
      </w:r>
    </w:p>
    <w:p w14:paraId="3DAD1B17">
      <w:pPr>
        <w:snapToGrid w:val="0"/>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p>
    <w:p w14:paraId="7AF63FE7">
      <w:pPr>
        <w:snapToGrid w:val="0"/>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p>
    <w:p w14:paraId="46817A48">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p>
    <w:p w14:paraId="13D02B46">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7FCA367F">
      <w:pPr>
        <w:snapToGrid w:val="0"/>
        <w:spacing w:line="500" w:lineRule="exact"/>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14:paraId="7D0DDEFF">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8EFD627">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31BED99B">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1A9246EB">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22FEDAE9">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0226554F">
      <w:pPr>
        <w:snapToGrid w:val="0"/>
        <w:spacing w:before="120" w:beforeLines="50" w:after="50"/>
        <w:jc w:val="left"/>
        <w:rPr>
          <w:rFonts w:hint="eastAsia" w:ascii="宋体" w:hAnsi="宋体" w:cs="宋体"/>
          <w:b/>
          <w:color w:val="auto"/>
          <w:sz w:val="24"/>
          <w:szCs w:val="20"/>
          <w:highlight w:val="none"/>
        </w:rPr>
      </w:pPr>
      <w:r>
        <w:rPr>
          <w:rFonts w:hint="eastAsia" w:ascii="宋体" w:hAnsi="宋体" w:cs="宋体"/>
          <w:color w:val="auto"/>
          <w:highlight w:val="none"/>
          <w:u w:val="single"/>
        </w:rPr>
        <w:br w:type="page"/>
      </w:r>
      <w:r>
        <w:rPr>
          <w:rFonts w:hint="eastAsia" w:ascii="宋体" w:hAnsi="宋体" w:cs="宋体"/>
          <w:b/>
          <w:color w:val="auto"/>
          <w:sz w:val="32"/>
          <w:szCs w:val="32"/>
          <w:highlight w:val="none"/>
        </w:rPr>
        <w:t>4.开标一览表（服务类格式）</w:t>
      </w:r>
    </w:p>
    <w:p w14:paraId="5735362C">
      <w:pPr>
        <w:snapToGrid w:val="0"/>
        <w:spacing w:before="50" w:after="50"/>
        <w:jc w:val="center"/>
        <w:rPr>
          <w:rFonts w:hint="eastAsia" w:ascii="宋体" w:hAnsi="宋体" w:cs="宋体"/>
          <w:b/>
          <w:color w:val="auto"/>
          <w:sz w:val="30"/>
          <w:highlight w:val="none"/>
        </w:rPr>
      </w:pPr>
    </w:p>
    <w:p w14:paraId="1D509FCF">
      <w:pPr>
        <w:snapToGrid w:val="0"/>
        <w:spacing w:before="50" w:after="50"/>
        <w:jc w:val="center"/>
        <w:rPr>
          <w:rFonts w:hint="eastAsia" w:ascii="宋体" w:hAnsi="宋体" w:cs="宋体"/>
          <w:b/>
          <w:color w:val="auto"/>
          <w:sz w:val="30"/>
          <w:highlight w:val="none"/>
        </w:rPr>
      </w:pPr>
      <w:r>
        <w:rPr>
          <w:rFonts w:hint="eastAsia" w:ascii="宋体" w:hAnsi="宋体" w:cs="宋体"/>
          <w:b/>
          <w:color w:val="auto"/>
          <w:sz w:val="30"/>
          <w:highlight w:val="none"/>
        </w:rPr>
        <w:t>开标一览表</w:t>
      </w:r>
    </w:p>
    <w:p w14:paraId="39421EB1">
      <w:pPr>
        <w:snapToGrid w:val="0"/>
        <w:spacing w:before="50" w:after="50"/>
        <w:jc w:val="center"/>
        <w:rPr>
          <w:rFonts w:hint="eastAsia" w:ascii="宋体" w:hAnsi="宋体" w:cs="宋体"/>
          <w:b/>
          <w:color w:val="auto"/>
          <w:sz w:val="30"/>
          <w:szCs w:val="20"/>
          <w:highlight w:val="none"/>
        </w:rPr>
      </w:pPr>
    </w:p>
    <w:p w14:paraId="7C2C55BF">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E681DC3">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556181A">
      <w:pPr>
        <w:snapToGrid w:val="0"/>
        <w:spacing w:before="50" w:after="50"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分标：</w:t>
      </w:r>
      <w:r>
        <w:rPr>
          <w:rFonts w:hint="eastAsia" w:ascii="宋体" w:hAnsi="宋体" w:cs="宋体"/>
          <w:color w:val="auto"/>
          <w:szCs w:val="21"/>
          <w:highlight w:val="none"/>
          <w:u w:val="single"/>
        </w:rPr>
        <w:t xml:space="preserve">                       </w:t>
      </w:r>
    </w:p>
    <w:p w14:paraId="7ECBB048">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D59057E">
      <w:pPr>
        <w:snapToGrid w:val="0"/>
        <w:spacing w:before="50" w:after="50"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单位：元</w:t>
      </w:r>
    </w:p>
    <w:tbl>
      <w:tblPr>
        <w:tblStyle w:val="46"/>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332"/>
        <w:gridCol w:w="1553"/>
        <w:gridCol w:w="2320"/>
        <w:gridCol w:w="2573"/>
      </w:tblGrid>
      <w:tr w14:paraId="53EA04E2">
        <w:tblPrEx>
          <w:tblCellMar>
            <w:top w:w="0" w:type="dxa"/>
            <w:left w:w="108" w:type="dxa"/>
            <w:bottom w:w="0" w:type="dxa"/>
            <w:right w:w="108" w:type="dxa"/>
          </w:tblCellMar>
        </w:tblPrEx>
        <w:trPr>
          <w:cantSplit/>
          <w:trHeight w:val="797"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6D37FF79">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2332" w:type="dxa"/>
            <w:tcBorders>
              <w:top w:val="single" w:color="auto" w:sz="4" w:space="0"/>
              <w:left w:val="single" w:color="auto" w:sz="4" w:space="0"/>
              <w:bottom w:val="single" w:color="auto" w:sz="4" w:space="0"/>
              <w:right w:val="single" w:color="auto" w:sz="4" w:space="0"/>
            </w:tcBorders>
            <w:noWrap w:val="0"/>
            <w:vAlign w:val="center"/>
          </w:tcPr>
          <w:p w14:paraId="6164FFBD">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1553" w:type="dxa"/>
            <w:tcBorders>
              <w:top w:val="single" w:color="auto" w:sz="4" w:space="0"/>
              <w:left w:val="single" w:color="auto" w:sz="4" w:space="0"/>
              <w:bottom w:val="single" w:color="auto" w:sz="4" w:space="0"/>
              <w:right w:val="single" w:color="auto" w:sz="4" w:space="0"/>
            </w:tcBorders>
            <w:noWrap w:val="0"/>
            <w:vAlign w:val="center"/>
          </w:tcPr>
          <w:p w14:paraId="7466FFC9">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2320" w:type="dxa"/>
            <w:tcBorders>
              <w:top w:val="single" w:color="auto" w:sz="4" w:space="0"/>
              <w:left w:val="single" w:color="auto" w:sz="4" w:space="0"/>
              <w:bottom w:val="single" w:color="auto" w:sz="4" w:space="0"/>
              <w:right w:val="single" w:color="auto" w:sz="4" w:space="0"/>
            </w:tcBorders>
            <w:noWrap w:val="0"/>
            <w:vAlign w:val="center"/>
          </w:tcPr>
          <w:p w14:paraId="1A3AA4BE">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投标总报价（元）</w:t>
            </w:r>
          </w:p>
        </w:tc>
        <w:tc>
          <w:tcPr>
            <w:tcW w:w="2573" w:type="dxa"/>
            <w:tcBorders>
              <w:top w:val="single" w:color="auto" w:sz="4" w:space="0"/>
              <w:left w:val="single" w:color="auto" w:sz="4" w:space="0"/>
              <w:bottom w:val="single" w:color="auto" w:sz="4" w:space="0"/>
              <w:right w:val="single" w:color="auto" w:sz="4" w:space="0"/>
            </w:tcBorders>
            <w:noWrap w:val="0"/>
            <w:vAlign w:val="center"/>
          </w:tcPr>
          <w:p w14:paraId="0E4481EA">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7A52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66B7066E">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2332" w:type="dxa"/>
            <w:tcBorders>
              <w:top w:val="single" w:color="auto" w:sz="4" w:space="0"/>
              <w:left w:val="single" w:color="auto" w:sz="4" w:space="0"/>
              <w:bottom w:val="single" w:color="auto" w:sz="4" w:space="0"/>
              <w:right w:val="single" w:color="auto" w:sz="4" w:space="0"/>
            </w:tcBorders>
            <w:noWrap w:val="0"/>
            <w:vAlign w:val="center"/>
          </w:tcPr>
          <w:p w14:paraId="618D4A8A">
            <w:pPr>
              <w:spacing w:line="500" w:lineRule="exact"/>
              <w:jc w:val="center"/>
              <w:rPr>
                <w:rFonts w:hint="eastAsia" w:ascii="宋体" w:hAnsi="宋体" w:cs="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14:paraId="034820A8">
            <w:pPr>
              <w:tabs>
                <w:tab w:val="left" w:pos="180"/>
                <w:tab w:val="left" w:pos="1620"/>
              </w:tabs>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2320" w:type="dxa"/>
            <w:tcBorders>
              <w:top w:val="single" w:color="auto" w:sz="4" w:space="0"/>
              <w:left w:val="single" w:color="auto" w:sz="4" w:space="0"/>
              <w:bottom w:val="single" w:color="auto" w:sz="4" w:space="0"/>
              <w:right w:val="single" w:color="auto" w:sz="4" w:space="0"/>
            </w:tcBorders>
            <w:noWrap w:val="0"/>
            <w:vAlign w:val="top"/>
          </w:tcPr>
          <w:p w14:paraId="11AF1723">
            <w:pPr>
              <w:spacing w:line="500" w:lineRule="exact"/>
              <w:jc w:val="center"/>
              <w:rPr>
                <w:rFonts w:hint="eastAsia" w:ascii="宋体" w:hAnsi="宋体" w:cs="宋体"/>
                <w:color w:val="auto"/>
                <w:szCs w:val="21"/>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5F645D55">
            <w:pPr>
              <w:tabs>
                <w:tab w:val="left" w:pos="180"/>
                <w:tab w:val="left" w:pos="1620"/>
              </w:tabs>
              <w:spacing w:line="500" w:lineRule="exact"/>
              <w:jc w:val="center"/>
              <w:rPr>
                <w:rFonts w:hint="eastAsia" w:ascii="宋体" w:hAnsi="宋体" w:cs="宋体"/>
                <w:color w:val="auto"/>
                <w:szCs w:val="21"/>
                <w:highlight w:val="none"/>
              </w:rPr>
            </w:pPr>
          </w:p>
        </w:tc>
      </w:tr>
      <w:tr w14:paraId="7EF8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9423" w:type="dxa"/>
            <w:gridSpan w:val="5"/>
            <w:tcBorders>
              <w:top w:val="single" w:color="auto" w:sz="4" w:space="0"/>
              <w:left w:val="single" w:color="auto" w:sz="4" w:space="0"/>
              <w:bottom w:val="single" w:color="auto" w:sz="4" w:space="0"/>
              <w:right w:val="single" w:color="auto" w:sz="4" w:space="0"/>
            </w:tcBorders>
            <w:noWrap w:val="0"/>
            <w:vAlign w:val="center"/>
          </w:tcPr>
          <w:p w14:paraId="7F80B7B9">
            <w:pPr>
              <w:snapToGrid w:val="0"/>
              <w:spacing w:before="50" w:after="50" w:line="500" w:lineRule="exact"/>
              <w:jc w:val="left"/>
              <w:rPr>
                <w:rFonts w:hint="eastAsia" w:ascii="宋体" w:hAnsi="宋体" w:cs="宋体"/>
                <w:bCs/>
                <w:color w:val="auto"/>
                <w:szCs w:val="21"/>
                <w:highlight w:val="none"/>
              </w:rPr>
            </w:pPr>
            <w:r>
              <w:rPr>
                <w:rFonts w:hint="eastAsia" w:ascii="宋体" w:hAnsi="宋体" w:cs="宋体"/>
                <w:color w:val="auto"/>
                <w:szCs w:val="21"/>
                <w:highlight w:val="none"/>
              </w:rPr>
              <w:t>投标总报价：</w:t>
            </w:r>
            <w:r>
              <w:rPr>
                <w:rFonts w:hint="eastAsia" w:ascii="宋体" w:hAnsi="宋体" w:cs="宋体"/>
                <w:bCs/>
                <w:color w:val="auto"/>
                <w:szCs w:val="21"/>
                <w:highlight w:val="none"/>
              </w:rPr>
              <w:t xml:space="preserve">（大写）人民币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（小写）¥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w:t>
            </w:r>
          </w:p>
          <w:p w14:paraId="425B36E0">
            <w:pPr>
              <w:pStyle w:val="43"/>
              <w:spacing w:line="500" w:lineRule="exact"/>
              <w:ind w:firstLine="0" w:firstLineChars="0"/>
              <w:rPr>
                <w:rFonts w:hint="eastAsia" w:hAnsi="宋体" w:cs="宋体"/>
                <w:color w:val="auto"/>
                <w:szCs w:val="21"/>
                <w:highlight w:val="none"/>
              </w:rPr>
            </w:pPr>
            <w:r>
              <w:rPr>
                <w:rFonts w:hint="eastAsia" w:hAnsi="宋体" w:cs="宋体"/>
                <w:b w:val="0"/>
                <w:color w:val="auto"/>
                <w:szCs w:val="21"/>
                <w:highlight w:val="none"/>
              </w:rPr>
              <w:t>合同履行期限：</w:t>
            </w:r>
          </w:p>
        </w:tc>
      </w:tr>
    </w:tbl>
    <w:p w14:paraId="17B2B8FC">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注：1.投标人的开标一览表必须加盖投标人电子签章并由法定代表人或者委托代理人签字或者电子签名，</w:t>
      </w:r>
      <w:r>
        <w:rPr>
          <w:rFonts w:hint="eastAsia" w:ascii="宋体" w:hAnsi="宋体" w:cs="宋体"/>
          <w:b/>
          <w:color w:val="auto"/>
          <w:szCs w:val="21"/>
          <w:highlight w:val="none"/>
        </w:rPr>
        <w:t>否则其投标作无效标处理</w:t>
      </w:r>
      <w:r>
        <w:rPr>
          <w:rFonts w:hint="eastAsia" w:ascii="宋体" w:hAnsi="宋体" w:cs="宋体"/>
          <w:color w:val="auto"/>
          <w:szCs w:val="21"/>
          <w:highlight w:val="none"/>
        </w:rPr>
        <w:t>。</w:t>
      </w:r>
    </w:p>
    <w:p w14:paraId="595A5964">
      <w:pPr>
        <w:snapToGrid w:val="0"/>
        <w:spacing w:line="500" w:lineRule="exact"/>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2.</w:t>
      </w:r>
      <w:r>
        <w:rPr>
          <w:rFonts w:hint="eastAsia" w:ascii="宋体" w:hAnsi="宋体" w:cs="宋体"/>
          <w:color w:val="auto"/>
          <w:szCs w:val="21"/>
          <w:highlight w:val="none"/>
        </w:rPr>
        <w:t>报价一经涂改，应在涂改处加盖投标人公章或者加盖电子签章或者由法定代表人或者委托代理人签字（或者电子签名）</w:t>
      </w:r>
      <w:r>
        <w:rPr>
          <w:rFonts w:hint="eastAsia" w:ascii="宋体" w:hAnsi="宋体" w:cs="宋体"/>
          <w:b/>
          <w:color w:val="auto"/>
          <w:szCs w:val="21"/>
          <w:highlight w:val="none"/>
        </w:rPr>
        <w:t>，否则其投标作无效标处理。</w:t>
      </w:r>
    </w:p>
    <w:p w14:paraId="5257117E">
      <w:pPr>
        <w:snapToGrid w:val="0"/>
        <w:spacing w:line="5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.如有多分标，按分标分别提供开标一览表，</w:t>
      </w:r>
      <w:r>
        <w:rPr>
          <w:rFonts w:hint="eastAsia" w:ascii="宋体" w:hAnsi="宋体" w:cs="宋体"/>
          <w:b/>
          <w:color w:val="auto"/>
          <w:szCs w:val="21"/>
          <w:highlight w:val="none"/>
        </w:rPr>
        <w:t>否则投标无效。</w:t>
      </w:r>
    </w:p>
    <w:p w14:paraId="54DFED9E">
      <w:pPr>
        <w:snapToGrid w:val="0"/>
        <w:spacing w:line="500" w:lineRule="exact"/>
        <w:ind w:right="-817" w:rightChars="-389" w:firstLine="3580" w:firstLineChars="1705"/>
        <w:rPr>
          <w:rFonts w:hint="eastAsia" w:ascii="宋体" w:hAnsi="宋体" w:cs="宋体"/>
          <w:color w:val="auto"/>
          <w:szCs w:val="21"/>
          <w:highlight w:val="none"/>
        </w:rPr>
      </w:pPr>
    </w:p>
    <w:p w14:paraId="68AAF96A">
      <w:pPr>
        <w:snapToGrid w:val="0"/>
        <w:spacing w:line="500" w:lineRule="exact"/>
        <w:ind w:right="-817" w:rightChars="-389" w:firstLine="3580" w:firstLineChars="1705"/>
        <w:rPr>
          <w:rFonts w:hint="eastAsia" w:ascii="宋体" w:hAnsi="宋体" w:cs="宋体"/>
          <w:color w:val="auto"/>
          <w:szCs w:val="21"/>
          <w:highlight w:val="none"/>
        </w:rPr>
      </w:pPr>
      <w:r>
        <w:rPr>
          <w:rFonts w:hint="eastAsia" w:ascii="宋体" w:hAnsi="宋体" w:cs="宋体"/>
          <w:color w:val="auto"/>
          <w:szCs w:val="21"/>
          <w:highlight w:val="none"/>
        </w:rPr>
        <w:t xml:space="preserve">法定代表人或者委托代理人（签字或者电子签名）： </w:t>
      </w:r>
    </w:p>
    <w:p w14:paraId="413E1D52">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394A2136">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3DFD2440">
      <w:pPr>
        <w:snapToGrid w:val="0"/>
        <w:spacing w:before="50" w:after="50" w:line="360" w:lineRule="auto"/>
        <w:ind w:left="-6" w:leftChars="-15" w:right="-817" w:rightChars="-389" w:hanging="25" w:hangingChars="12"/>
        <w:jc w:val="left"/>
        <w:rPr>
          <w:rFonts w:hint="eastAsia" w:ascii="宋体" w:hAnsi="宋体" w:cs="宋体"/>
          <w:b/>
          <w:color w:val="auto"/>
          <w:sz w:val="32"/>
          <w:szCs w:val="32"/>
          <w:highlight w:val="none"/>
        </w:rPr>
      </w:pPr>
      <w:r>
        <w:rPr>
          <w:rFonts w:hint="eastAsia" w:ascii="宋体" w:hAnsi="宋体" w:cs="宋体"/>
          <w:color w:val="auto"/>
          <w:szCs w:val="21"/>
          <w:highlight w:val="none"/>
        </w:rPr>
        <w:br w:type="page"/>
      </w:r>
      <w:r>
        <w:rPr>
          <w:rFonts w:hint="eastAsia" w:ascii="宋体" w:hAnsi="宋体" w:cs="宋体"/>
          <w:b/>
          <w:bCs/>
          <w:color w:val="auto"/>
          <w:sz w:val="32"/>
          <w:szCs w:val="32"/>
          <w:highlight w:val="none"/>
        </w:rPr>
        <w:t>5.投标报价明细</w:t>
      </w:r>
      <w:r>
        <w:rPr>
          <w:rFonts w:hint="eastAsia" w:ascii="宋体" w:hAnsi="宋体" w:cs="宋体"/>
          <w:b/>
          <w:color w:val="auto"/>
          <w:sz w:val="32"/>
          <w:szCs w:val="32"/>
          <w:highlight w:val="none"/>
        </w:rPr>
        <w:t>表</w:t>
      </w:r>
    </w:p>
    <w:p w14:paraId="2A37BCCB">
      <w:pPr>
        <w:snapToGrid w:val="0"/>
        <w:spacing w:before="50" w:after="50" w:line="360" w:lineRule="auto"/>
        <w:ind w:left="8" w:leftChars="-15" w:right="-817" w:rightChars="-389" w:hanging="39" w:hangingChars="1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投标报价明细表</w:t>
      </w:r>
    </w:p>
    <w:p w14:paraId="304F66AE">
      <w:pPr>
        <w:rPr>
          <w:rFonts w:hint="eastAsia" w:ascii="宋体" w:hAnsi="宋体" w:cs="宋体"/>
          <w:color w:val="auto"/>
          <w:kern w:val="0"/>
          <w:sz w:val="24"/>
          <w:highlight w:val="none"/>
        </w:rPr>
      </w:pPr>
    </w:p>
    <w:p w14:paraId="72686ED7">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63B6292">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29363D1">
      <w:pPr>
        <w:snapToGrid w:val="0"/>
        <w:spacing w:before="50" w:after="50"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分标：</w:t>
      </w:r>
      <w:r>
        <w:rPr>
          <w:rFonts w:hint="eastAsia" w:ascii="宋体" w:hAnsi="宋体" w:cs="宋体"/>
          <w:color w:val="auto"/>
          <w:szCs w:val="21"/>
          <w:highlight w:val="none"/>
          <w:u w:val="single"/>
        </w:rPr>
        <w:t xml:space="preserve">                       </w:t>
      </w:r>
    </w:p>
    <w:p w14:paraId="1F5DBFBC">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A283B19">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单位：元                                           </w:t>
      </w:r>
    </w:p>
    <w:tbl>
      <w:tblPr>
        <w:tblStyle w:val="46"/>
        <w:tblW w:w="942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145"/>
        <w:gridCol w:w="1740"/>
        <w:gridCol w:w="1230"/>
        <w:gridCol w:w="2312"/>
        <w:gridCol w:w="1351"/>
      </w:tblGrid>
      <w:tr w14:paraId="591E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645" w:type="dxa"/>
            <w:tcBorders>
              <w:top w:val="single" w:color="auto" w:sz="4" w:space="0"/>
              <w:left w:val="single" w:color="auto" w:sz="4" w:space="0"/>
              <w:bottom w:val="single" w:color="auto" w:sz="4" w:space="0"/>
              <w:right w:val="single" w:color="auto" w:sz="4" w:space="0"/>
            </w:tcBorders>
            <w:noWrap w:val="0"/>
            <w:vAlign w:val="center"/>
          </w:tcPr>
          <w:p w14:paraId="68F3224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5B8717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19A3B7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812632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6F71E60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投标总报价（元）</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3FD7E97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152E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645" w:type="dxa"/>
            <w:tcBorders>
              <w:top w:val="single" w:color="auto" w:sz="4" w:space="0"/>
              <w:left w:val="single" w:color="auto" w:sz="4" w:space="0"/>
              <w:bottom w:val="single" w:color="auto" w:sz="4" w:space="0"/>
              <w:right w:val="single" w:color="auto" w:sz="4" w:space="0"/>
            </w:tcBorders>
            <w:noWrap w:val="0"/>
            <w:vAlign w:val="center"/>
          </w:tcPr>
          <w:p w14:paraId="7420815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4179B61">
            <w:pPr>
              <w:spacing w:line="360" w:lineRule="auto"/>
              <w:jc w:val="center"/>
              <w:rPr>
                <w:rFonts w:hint="eastAsia" w:ascii="宋体" w:hAnsi="宋体" w:cs="宋体"/>
                <w:color w:val="auto"/>
                <w:szCs w:val="21"/>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745F78FF">
            <w:pPr>
              <w:tabs>
                <w:tab w:val="left" w:pos="180"/>
                <w:tab w:val="left" w:pos="1620"/>
              </w:tabs>
              <w:spacing w:line="360" w:lineRule="auto"/>
              <w:jc w:val="center"/>
              <w:rPr>
                <w:rFonts w:hint="eastAsia" w:ascii="宋体" w:hAnsi="宋体" w:cs="宋体"/>
                <w:color w:val="auto"/>
                <w:szCs w:val="21"/>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14:paraId="41876A05">
            <w:pPr>
              <w:spacing w:line="360" w:lineRule="auto"/>
              <w:jc w:val="center"/>
              <w:rPr>
                <w:rFonts w:hint="eastAsia" w:ascii="宋体" w:hAnsi="宋体" w:cs="宋体"/>
                <w:color w:val="auto"/>
                <w:szCs w:val="21"/>
                <w:highlight w:val="none"/>
              </w:rPr>
            </w:pPr>
          </w:p>
        </w:tc>
        <w:tc>
          <w:tcPr>
            <w:tcW w:w="2312" w:type="dxa"/>
            <w:tcBorders>
              <w:top w:val="single" w:color="auto" w:sz="4" w:space="0"/>
              <w:left w:val="single" w:color="auto" w:sz="4" w:space="0"/>
              <w:bottom w:val="single" w:color="auto" w:sz="4" w:space="0"/>
              <w:right w:val="single" w:color="auto" w:sz="4" w:space="0"/>
            </w:tcBorders>
            <w:noWrap w:val="0"/>
            <w:vAlign w:val="top"/>
          </w:tcPr>
          <w:p w14:paraId="13D6C1D9">
            <w:pPr>
              <w:spacing w:line="360" w:lineRule="auto"/>
              <w:jc w:val="center"/>
              <w:rPr>
                <w:rFonts w:hint="eastAsia" w:ascii="宋体" w:hAnsi="宋体" w:cs="宋体"/>
                <w:color w:val="auto"/>
                <w:szCs w:val="21"/>
                <w:highlight w:val="none"/>
              </w:rPr>
            </w:pPr>
          </w:p>
        </w:tc>
        <w:tc>
          <w:tcPr>
            <w:tcW w:w="1351" w:type="dxa"/>
            <w:tcBorders>
              <w:top w:val="single" w:color="auto" w:sz="4" w:space="0"/>
              <w:left w:val="single" w:color="auto" w:sz="4" w:space="0"/>
              <w:bottom w:val="single" w:color="auto" w:sz="4" w:space="0"/>
              <w:right w:val="single" w:color="auto" w:sz="4" w:space="0"/>
            </w:tcBorders>
            <w:noWrap w:val="0"/>
            <w:vAlign w:val="center"/>
          </w:tcPr>
          <w:p w14:paraId="652BBBEF">
            <w:pPr>
              <w:tabs>
                <w:tab w:val="left" w:pos="180"/>
                <w:tab w:val="left" w:pos="1620"/>
              </w:tabs>
              <w:spacing w:line="360" w:lineRule="auto"/>
              <w:jc w:val="center"/>
              <w:rPr>
                <w:rFonts w:hint="eastAsia" w:ascii="宋体" w:hAnsi="宋体" w:cs="宋体"/>
                <w:color w:val="auto"/>
                <w:szCs w:val="21"/>
                <w:highlight w:val="none"/>
              </w:rPr>
            </w:pPr>
          </w:p>
        </w:tc>
      </w:tr>
      <w:tr w14:paraId="1392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645" w:type="dxa"/>
            <w:tcBorders>
              <w:top w:val="single" w:color="auto" w:sz="4" w:space="0"/>
              <w:left w:val="single" w:color="auto" w:sz="4" w:space="0"/>
              <w:bottom w:val="single" w:color="auto" w:sz="4" w:space="0"/>
              <w:right w:val="single" w:color="auto" w:sz="4" w:space="0"/>
            </w:tcBorders>
            <w:noWrap w:val="0"/>
            <w:vAlign w:val="center"/>
          </w:tcPr>
          <w:p w14:paraId="1EDD34DE">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3D37F469">
            <w:pPr>
              <w:spacing w:line="360" w:lineRule="auto"/>
              <w:jc w:val="center"/>
              <w:rPr>
                <w:rFonts w:hint="eastAsia" w:ascii="宋体" w:hAnsi="宋体" w:cs="宋体"/>
                <w:color w:val="auto"/>
                <w:szCs w:val="21"/>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7BDB09EF">
            <w:pPr>
              <w:tabs>
                <w:tab w:val="left" w:pos="180"/>
                <w:tab w:val="left" w:pos="1620"/>
              </w:tabs>
              <w:spacing w:line="360" w:lineRule="auto"/>
              <w:jc w:val="center"/>
              <w:rPr>
                <w:rFonts w:hint="eastAsia" w:ascii="宋体" w:hAnsi="宋体" w:cs="宋体"/>
                <w:color w:val="auto"/>
                <w:szCs w:val="21"/>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14:paraId="4D4157D4">
            <w:pPr>
              <w:spacing w:line="360" w:lineRule="auto"/>
              <w:jc w:val="center"/>
              <w:rPr>
                <w:rFonts w:hint="eastAsia" w:ascii="宋体" w:hAnsi="宋体" w:cs="宋体"/>
                <w:color w:val="auto"/>
                <w:szCs w:val="21"/>
                <w:highlight w:val="none"/>
              </w:rPr>
            </w:pPr>
          </w:p>
        </w:tc>
        <w:tc>
          <w:tcPr>
            <w:tcW w:w="2312" w:type="dxa"/>
            <w:tcBorders>
              <w:top w:val="single" w:color="auto" w:sz="4" w:space="0"/>
              <w:left w:val="single" w:color="auto" w:sz="4" w:space="0"/>
              <w:bottom w:val="single" w:color="auto" w:sz="4" w:space="0"/>
              <w:right w:val="single" w:color="auto" w:sz="4" w:space="0"/>
            </w:tcBorders>
            <w:noWrap w:val="0"/>
            <w:vAlign w:val="top"/>
          </w:tcPr>
          <w:p w14:paraId="392DC38F">
            <w:pPr>
              <w:spacing w:line="360" w:lineRule="auto"/>
              <w:jc w:val="center"/>
              <w:rPr>
                <w:rFonts w:hint="eastAsia" w:ascii="宋体" w:hAnsi="宋体" w:cs="宋体"/>
                <w:color w:val="auto"/>
                <w:szCs w:val="21"/>
                <w:highlight w:val="none"/>
              </w:rPr>
            </w:pPr>
          </w:p>
        </w:tc>
        <w:tc>
          <w:tcPr>
            <w:tcW w:w="1351" w:type="dxa"/>
            <w:tcBorders>
              <w:top w:val="single" w:color="auto" w:sz="4" w:space="0"/>
              <w:left w:val="single" w:color="auto" w:sz="4" w:space="0"/>
              <w:bottom w:val="single" w:color="auto" w:sz="4" w:space="0"/>
              <w:right w:val="single" w:color="auto" w:sz="4" w:space="0"/>
            </w:tcBorders>
            <w:noWrap w:val="0"/>
            <w:vAlign w:val="center"/>
          </w:tcPr>
          <w:p w14:paraId="01322DE2">
            <w:pPr>
              <w:tabs>
                <w:tab w:val="left" w:pos="180"/>
                <w:tab w:val="left" w:pos="1620"/>
              </w:tabs>
              <w:spacing w:line="360" w:lineRule="auto"/>
              <w:jc w:val="center"/>
              <w:rPr>
                <w:rFonts w:hint="eastAsia" w:ascii="宋体" w:hAnsi="宋体" w:cs="宋体"/>
                <w:color w:val="auto"/>
                <w:szCs w:val="21"/>
                <w:highlight w:val="none"/>
              </w:rPr>
            </w:pPr>
          </w:p>
        </w:tc>
      </w:tr>
      <w:tr w14:paraId="01F9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9423" w:type="dxa"/>
            <w:gridSpan w:val="6"/>
            <w:tcBorders>
              <w:top w:val="single" w:color="auto" w:sz="4" w:space="0"/>
              <w:left w:val="single" w:color="auto" w:sz="4" w:space="0"/>
              <w:bottom w:val="single" w:color="auto" w:sz="4" w:space="0"/>
              <w:right w:val="single" w:color="auto" w:sz="4" w:space="0"/>
            </w:tcBorders>
            <w:noWrap w:val="0"/>
            <w:vAlign w:val="center"/>
          </w:tcPr>
          <w:p w14:paraId="0B785B87">
            <w:pPr>
              <w:snapToGrid w:val="0"/>
              <w:spacing w:before="50" w:after="50"/>
              <w:jc w:val="left"/>
              <w:rPr>
                <w:rFonts w:hint="eastAsia" w:ascii="宋体" w:hAnsi="宋体" w:cs="宋体"/>
                <w:bCs/>
                <w:color w:val="auto"/>
                <w:szCs w:val="21"/>
                <w:highlight w:val="none"/>
              </w:rPr>
            </w:pPr>
            <w:r>
              <w:rPr>
                <w:rFonts w:hint="eastAsia" w:ascii="宋体" w:hAnsi="宋体" w:cs="宋体"/>
                <w:color w:val="auto"/>
                <w:szCs w:val="21"/>
                <w:highlight w:val="none"/>
              </w:rPr>
              <w:t>投标总报价：</w:t>
            </w:r>
            <w:r>
              <w:rPr>
                <w:rFonts w:hint="eastAsia" w:ascii="宋体" w:hAnsi="宋体" w:cs="宋体"/>
                <w:bCs/>
                <w:color w:val="auto"/>
                <w:szCs w:val="21"/>
                <w:highlight w:val="none"/>
              </w:rPr>
              <w:t xml:space="preserve">（大写）人民币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（小写）¥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w:t>
            </w:r>
          </w:p>
          <w:p w14:paraId="2C5C237D">
            <w:pPr>
              <w:pStyle w:val="43"/>
              <w:ind w:firstLine="0" w:firstLineChars="0"/>
              <w:rPr>
                <w:rFonts w:hint="eastAsia" w:hAnsi="宋体" w:cs="宋体"/>
                <w:color w:val="auto"/>
                <w:szCs w:val="21"/>
                <w:highlight w:val="none"/>
              </w:rPr>
            </w:pPr>
            <w:r>
              <w:rPr>
                <w:rFonts w:hint="eastAsia" w:hAnsi="宋体" w:cs="宋体"/>
                <w:b w:val="0"/>
                <w:color w:val="auto"/>
                <w:szCs w:val="21"/>
                <w:highlight w:val="none"/>
              </w:rPr>
              <w:t>合同履行期限：</w:t>
            </w:r>
          </w:p>
        </w:tc>
      </w:tr>
    </w:tbl>
    <w:p w14:paraId="5E924E98">
      <w:pPr>
        <w:snapToGrid w:val="0"/>
        <w:spacing w:before="50" w:after="50"/>
        <w:rPr>
          <w:rFonts w:hint="eastAsia" w:ascii="宋体" w:hAnsi="宋体" w:cs="宋体"/>
          <w:color w:val="auto"/>
          <w:szCs w:val="21"/>
          <w:highlight w:val="none"/>
        </w:rPr>
      </w:pPr>
      <w:r>
        <w:rPr>
          <w:rFonts w:hint="eastAsia" w:ascii="宋体" w:hAnsi="宋体" w:cs="宋体"/>
          <w:color w:val="auto"/>
          <w:szCs w:val="21"/>
          <w:highlight w:val="none"/>
        </w:rPr>
        <w:t>注：</w:t>
      </w:r>
    </w:p>
    <w:p w14:paraId="0D35E8CE">
      <w:pPr>
        <w:snapToGrid w:val="0"/>
        <w:spacing w:before="50" w:after="50"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1.表中内容必须如实填写完整，如没有相关内容则填无，填写有缺漏的，作无效投标处理。</w:t>
      </w:r>
    </w:p>
    <w:p w14:paraId="1764DD95">
      <w:pPr>
        <w:snapToGrid w:val="0"/>
        <w:spacing w:before="50" w:after="50"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2.该表必须加盖投标人公章并由法定代表人或者其委托代理人签字，</w:t>
      </w:r>
      <w:r>
        <w:rPr>
          <w:rFonts w:hint="eastAsia" w:ascii="宋体" w:hAnsi="宋体" w:cs="宋体"/>
          <w:b/>
          <w:color w:val="auto"/>
          <w:szCs w:val="21"/>
          <w:highlight w:val="none"/>
        </w:rPr>
        <w:t>否则其投标作无效标处理</w:t>
      </w:r>
      <w:r>
        <w:rPr>
          <w:rFonts w:hint="eastAsia" w:ascii="宋体" w:hAnsi="宋体" w:cs="宋体"/>
          <w:color w:val="auto"/>
          <w:szCs w:val="21"/>
          <w:highlight w:val="none"/>
        </w:rPr>
        <w:t>。</w:t>
      </w:r>
    </w:p>
    <w:p w14:paraId="5B267D1D">
      <w:pPr>
        <w:snapToGrid w:val="0"/>
        <w:spacing w:before="50" w:after="50"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3.</w:t>
      </w:r>
      <w:r>
        <w:rPr>
          <w:rFonts w:hint="eastAsia" w:ascii="宋体" w:hAnsi="宋体" w:cs="宋体"/>
          <w:color w:val="auto"/>
          <w:szCs w:val="21"/>
          <w:highlight w:val="none"/>
        </w:rPr>
        <w:t>报价一经涂改，应在涂改处加盖投标人公章或者由法定代表人或者授权委托人签字或者盖章</w:t>
      </w:r>
      <w:r>
        <w:rPr>
          <w:rFonts w:hint="eastAsia" w:ascii="宋体" w:hAnsi="宋体" w:cs="宋体"/>
          <w:b/>
          <w:color w:val="auto"/>
          <w:szCs w:val="21"/>
          <w:highlight w:val="none"/>
        </w:rPr>
        <w:t>，否则其投标作无效标处理。</w:t>
      </w:r>
    </w:p>
    <w:p w14:paraId="02C80967">
      <w:pPr>
        <w:snapToGrid w:val="0"/>
        <w:spacing w:before="50" w:after="50" w:line="360" w:lineRule="auto"/>
        <w:ind w:firstLine="420" w:firstLineChars="200"/>
        <w:jc w:val="left"/>
        <w:rPr>
          <w:rFonts w:hint="eastAsia" w:ascii="宋体" w:hAnsi="宋体" w:cs="宋体"/>
          <w:b/>
          <w:color w:val="auto"/>
          <w:spacing w:val="-6"/>
          <w:szCs w:val="21"/>
          <w:highlight w:val="none"/>
        </w:rPr>
      </w:pPr>
      <w:r>
        <w:rPr>
          <w:rFonts w:hint="eastAsia" w:ascii="宋体" w:hAnsi="宋体" w:cs="宋体"/>
          <w:color w:val="auto"/>
          <w:szCs w:val="21"/>
          <w:highlight w:val="none"/>
        </w:rPr>
        <w:t>4.</w:t>
      </w:r>
      <w:r>
        <w:rPr>
          <w:rFonts w:hint="eastAsia" w:ascii="宋体" w:hAnsi="宋体" w:cs="宋体"/>
          <w:color w:val="auto"/>
          <w:spacing w:val="-6"/>
          <w:szCs w:val="21"/>
          <w:highlight w:val="none"/>
        </w:rPr>
        <w:t>如有多分标，分别列明各分标的投标报价明细表，</w:t>
      </w:r>
      <w:r>
        <w:rPr>
          <w:rFonts w:hint="eastAsia" w:ascii="宋体" w:hAnsi="宋体" w:cs="宋体"/>
          <w:b/>
          <w:color w:val="auto"/>
          <w:spacing w:val="-6"/>
          <w:szCs w:val="21"/>
          <w:highlight w:val="none"/>
        </w:rPr>
        <w:t>否则其投标文件作无效处理。</w:t>
      </w:r>
    </w:p>
    <w:p w14:paraId="3C2C3553">
      <w:pPr>
        <w:snapToGrid w:val="0"/>
        <w:spacing w:line="500" w:lineRule="exact"/>
        <w:ind w:right="-817" w:rightChars="-389" w:firstLine="3580" w:firstLineChars="1705"/>
        <w:rPr>
          <w:rFonts w:hint="eastAsia" w:ascii="宋体" w:hAnsi="宋体" w:cs="宋体"/>
          <w:color w:val="auto"/>
          <w:szCs w:val="21"/>
          <w:highlight w:val="none"/>
        </w:rPr>
      </w:pPr>
      <w:r>
        <w:rPr>
          <w:rFonts w:hint="eastAsia" w:ascii="宋体" w:hAnsi="宋体" w:cs="宋体"/>
          <w:color w:val="auto"/>
          <w:szCs w:val="21"/>
          <w:highlight w:val="none"/>
        </w:rPr>
        <w:t xml:space="preserve">法定代表人或者委托代理人（签字或者电子签名）： </w:t>
      </w:r>
    </w:p>
    <w:p w14:paraId="6B806A8F">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0614A188">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1EF16EEA">
      <w:pPr>
        <w:snapToGrid w:val="0"/>
        <w:spacing w:before="120" w:beforeLines="50" w:after="50"/>
        <w:jc w:val="left"/>
        <w:rPr>
          <w:rFonts w:hint="eastAsia" w:ascii="宋体" w:hAnsi="宋体" w:cs="宋体"/>
          <w:b/>
          <w:bCs/>
          <w:color w:val="auto"/>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6.中小企业声明函格式</w:t>
      </w:r>
    </w:p>
    <w:p w14:paraId="10CD74C6">
      <w:pPr>
        <w:rPr>
          <w:rFonts w:hint="eastAsia" w:ascii="宋体" w:hAnsi="宋体" w:cs="宋体"/>
          <w:color w:val="auto"/>
          <w:highlight w:val="none"/>
        </w:rPr>
      </w:pPr>
    </w:p>
    <w:p w14:paraId="637CF402">
      <w:pPr>
        <w:jc w:val="center"/>
        <w:rPr>
          <w:rFonts w:hint="eastAsia" w:ascii="宋体" w:hAnsi="宋体" w:eastAsia="宋体" w:cs="宋体"/>
          <w:color w:val="auto"/>
          <w:sz w:val="44"/>
          <w:szCs w:val="44"/>
          <w:highlight w:val="none"/>
          <w:lang w:eastAsia="zh-CN"/>
        </w:rPr>
      </w:pPr>
      <w:r>
        <w:rPr>
          <w:rFonts w:hint="eastAsia" w:ascii="宋体" w:hAnsi="宋体" w:cs="宋体"/>
          <w:b/>
          <w:bCs/>
          <w:color w:val="auto"/>
          <w:sz w:val="32"/>
          <w:szCs w:val="32"/>
          <w:highlight w:val="none"/>
        </w:rPr>
        <w:t>中小企业声明函（服务</w:t>
      </w:r>
      <w:r>
        <w:rPr>
          <w:rFonts w:hint="eastAsia" w:ascii="宋体" w:hAnsi="宋体" w:cs="宋体"/>
          <w:b/>
          <w:bCs/>
          <w:color w:val="auto"/>
          <w:sz w:val="32"/>
          <w:szCs w:val="32"/>
          <w:highlight w:val="none"/>
          <w:lang w:eastAsia="zh-CN"/>
        </w:rPr>
        <w:t>）</w:t>
      </w:r>
    </w:p>
    <w:p w14:paraId="4F642555">
      <w:pPr>
        <w:pStyle w:val="18"/>
        <w:spacing w:line="500" w:lineRule="exact"/>
        <w:ind w:right="142"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本公司郑重声明，根据《政府采购促进中小企业发展管理办法》（财库﹝2020﹞46号）的规定，本公司参加</w:t>
      </w:r>
      <w:r>
        <w:rPr>
          <w:rFonts w:hint="eastAsia" w:ascii="宋体" w:hAnsi="宋体" w:cs="宋体"/>
          <w:color w:val="auto"/>
          <w:sz w:val="21"/>
          <w:szCs w:val="21"/>
          <w:highlight w:val="none"/>
          <w:u w:val="single"/>
        </w:rPr>
        <w:t>（单位名称）</w:t>
      </w:r>
      <w:r>
        <w:rPr>
          <w:rFonts w:hint="eastAsia" w:ascii="宋体" w:hAnsi="宋体" w:cs="宋体"/>
          <w:color w:val="auto"/>
          <w:sz w:val="21"/>
          <w:szCs w:val="21"/>
          <w:highlight w:val="none"/>
        </w:rPr>
        <w:t>的</w:t>
      </w:r>
      <w:r>
        <w:rPr>
          <w:rFonts w:hint="eastAsia" w:ascii="宋体" w:hAnsi="宋体" w:cs="宋体"/>
          <w:color w:val="auto"/>
          <w:sz w:val="21"/>
          <w:szCs w:val="21"/>
          <w:highlight w:val="none"/>
          <w:u w:val="single"/>
        </w:rPr>
        <w:t>（项目名称）</w:t>
      </w:r>
      <w:r>
        <w:rPr>
          <w:rFonts w:hint="eastAsia" w:ascii="宋体" w:hAnsi="宋体" w:cs="宋体"/>
          <w:color w:val="auto"/>
          <w:sz w:val="21"/>
          <w:szCs w:val="21"/>
          <w:highlight w:val="none"/>
        </w:rPr>
        <w:t>采购活动，服务全部由符合政策要求的中小企业承接。相关企业的具体情况如下：</w:t>
      </w:r>
    </w:p>
    <w:p w14:paraId="47A0727A">
      <w:pPr>
        <w:tabs>
          <w:tab w:val="left" w:pos="1384"/>
          <w:tab w:val="left" w:pos="4562"/>
          <w:tab w:val="left" w:pos="6803"/>
        </w:tabs>
        <w:spacing w:before="13" w:line="500" w:lineRule="exact"/>
        <w:ind w:right="142" w:firstLine="600" w:firstLineChars="286"/>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6D8FDDCC">
      <w:pPr>
        <w:pStyle w:val="18"/>
        <w:spacing w:before="34" w:line="500" w:lineRule="exact"/>
        <w:ind w:left="765" w:right="142" w:hanging="5"/>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p>
    <w:p w14:paraId="1E326A3E">
      <w:pPr>
        <w:pStyle w:val="18"/>
        <w:spacing w:before="34" w:line="500" w:lineRule="exact"/>
        <w:ind w:right="142"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以上企业，不属于大企业的分支机构，不存在控股股东为大企业的情形，也不存在与大企业的负责人为同一人的情形。</w:t>
      </w:r>
    </w:p>
    <w:p w14:paraId="704E574D">
      <w:pPr>
        <w:pStyle w:val="18"/>
        <w:spacing w:before="34" w:line="500" w:lineRule="exact"/>
        <w:ind w:right="142"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本企业对上述声明内容的真实性负责。如有虚假，将依法承担相应责任。</w:t>
      </w:r>
    </w:p>
    <w:p w14:paraId="7EC48ED6">
      <w:pPr>
        <w:pStyle w:val="18"/>
        <w:spacing w:before="56" w:line="500" w:lineRule="exact"/>
        <w:ind w:left="3960" w:right="1808"/>
        <w:rPr>
          <w:rFonts w:hint="eastAsia" w:ascii="宋体" w:hAnsi="宋体" w:cs="宋体"/>
          <w:color w:val="auto"/>
          <w:kern w:val="24"/>
          <w:sz w:val="21"/>
          <w:szCs w:val="21"/>
          <w:highlight w:val="none"/>
        </w:rPr>
      </w:pPr>
    </w:p>
    <w:p w14:paraId="71E798F1">
      <w:pPr>
        <w:pStyle w:val="18"/>
        <w:spacing w:before="56" w:line="500" w:lineRule="exact"/>
        <w:ind w:left="3960" w:right="1808"/>
        <w:rPr>
          <w:rFonts w:hint="eastAsia" w:ascii="宋体" w:hAnsi="宋体" w:cs="宋体"/>
          <w:color w:val="auto"/>
          <w:sz w:val="21"/>
          <w:szCs w:val="21"/>
          <w:highlight w:val="none"/>
        </w:rPr>
      </w:pPr>
      <w:r>
        <w:rPr>
          <w:rFonts w:hint="eastAsia" w:ascii="宋体" w:hAnsi="宋体" w:cs="宋体"/>
          <w:color w:val="auto"/>
          <w:kern w:val="24"/>
          <w:sz w:val="21"/>
          <w:szCs w:val="21"/>
          <w:highlight w:val="none"/>
        </w:rPr>
        <w:t>企业名称（电子签章）：</w:t>
      </w:r>
      <w:r>
        <w:rPr>
          <w:rFonts w:hint="eastAsia" w:ascii="宋体" w:hAnsi="宋体" w:cs="宋体"/>
          <w:color w:val="auto"/>
          <w:sz w:val="21"/>
          <w:szCs w:val="21"/>
          <w:highlight w:val="none"/>
        </w:rPr>
        <w:t xml:space="preserve"> </w:t>
      </w:r>
    </w:p>
    <w:p w14:paraId="26639DF4">
      <w:pPr>
        <w:pStyle w:val="18"/>
        <w:spacing w:before="56" w:line="500" w:lineRule="exact"/>
        <w:ind w:left="3960" w:right="1808"/>
        <w:rPr>
          <w:rFonts w:hint="eastAsia" w:ascii="宋体" w:hAnsi="宋体" w:cs="宋体"/>
          <w:color w:val="auto"/>
          <w:sz w:val="21"/>
          <w:szCs w:val="21"/>
          <w:highlight w:val="none"/>
        </w:rPr>
      </w:pPr>
      <w:r>
        <w:rPr>
          <w:rFonts w:hint="eastAsia" w:ascii="宋体" w:hAnsi="宋体" w:cs="宋体"/>
          <w:color w:val="auto"/>
          <w:sz w:val="21"/>
          <w:szCs w:val="21"/>
          <w:highlight w:val="none"/>
        </w:rPr>
        <w:t>日 期：</w:t>
      </w:r>
    </w:p>
    <w:p w14:paraId="5C2DEE2F">
      <w:pPr>
        <w:spacing w:line="500" w:lineRule="exact"/>
        <w:rPr>
          <w:rFonts w:hint="eastAsia" w:ascii="宋体" w:hAnsi="宋体" w:cs="宋体"/>
          <w:b/>
          <w:color w:val="auto"/>
          <w:sz w:val="24"/>
          <w:highlight w:val="none"/>
        </w:rPr>
      </w:pPr>
      <w:r>
        <w:rPr>
          <w:rFonts w:hint="eastAsia" w:ascii="宋体" w:hAnsi="宋体" w:cs="宋体"/>
          <w:color w:val="auto"/>
          <w:szCs w:val="21"/>
          <w:highlight w:val="none"/>
        </w:rPr>
        <w:t>注：享受《政府采购促进中小企业发展管理办法》（财库〔2020〕46号）规定的中小企业扶持政策的，采购人、采购代理机构应当随中标结果公开供应商的《中小企业声明函》。从业人员、营业收入、资产总额填报上一年度数据，无上一年度数据的新成立企业可不填报。</w:t>
      </w:r>
      <w:r>
        <w:rPr>
          <w:rFonts w:hint="eastAsia" w:ascii="宋体" w:hAnsi="宋体" w:cs="宋体"/>
          <w:color w:val="auto"/>
          <w:szCs w:val="21"/>
          <w:highlight w:val="none"/>
        </w:rPr>
        <w:br w:type="page"/>
      </w:r>
      <w:r>
        <w:rPr>
          <w:rFonts w:hint="eastAsia" w:ascii="宋体" w:hAnsi="宋体" w:cs="宋体"/>
          <w:b/>
          <w:bCs/>
          <w:color w:val="auto"/>
          <w:sz w:val="32"/>
          <w:szCs w:val="32"/>
          <w:highlight w:val="none"/>
        </w:rPr>
        <w:t>7.残疾人福利性单位声明函格式</w:t>
      </w:r>
    </w:p>
    <w:p w14:paraId="474144F9">
      <w:pPr>
        <w:spacing w:line="588" w:lineRule="exact"/>
        <w:jc w:val="center"/>
        <w:rPr>
          <w:rFonts w:hint="eastAsia" w:ascii="宋体" w:hAnsi="宋体" w:cs="宋体"/>
          <w:b/>
          <w:color w:val="auto"/>
          <w:spacing w:val="6"/>
          <w:sz w:val="32"/>
          <w:szCs w:val="32"/>
          <w:highlight w:val="none"/>
        </w:rPr>
      </w:pPr>
    </w:p>
    <w:p w14:paraId="3E2F755F">
      <w:pPr>
        <w:spacing w:line="588" w:lineRule="exact"/>
        <w:jc w:val="center"/>
        <w:rPr>
          <w:rFonts w:hint="eastAsia" w:ascii="宋体" w:hAnsi="宋体" w:cs="宋体"/>
          <w:bCs/>
          <w:color w:val="auto"/>
          <w:spacing w:val="6"/>
          <w:sz w:val="44"/>
          <w:szCs w:val="44"/>
          <w:highlight w:val="none"/>
        </w:rPr>
      </w:pPr>
      <w:r>
        <w:rPr>
          <w:rFonts w:hint="eastAsia" w:ascii="宋体" w:hAnsi="宋体" w:cs="宋体"/>
          <w:b/>
          <w:color w:val="auto"/>
          <w:spacing w:val="6"/>
          <w:sz w:val="32"/>
          <w:szCs w:val="32"/>
          <w:highlight w:val="none"/>
        </w:rPr>
        <w:t>残疾人福利性单位声明函</w:t>
      </w:r>
    </w:p>
    <w:p w14:paraId="6655E0ED">
      <w:pPr>
        <w:spacing w:line="588" w:lineRule="exact"/>
        <w:rPr>
          <w:rFonts w:hint="eastAsia" w:ascii="宋体" w:hAnsi="宋体" w:cs="宋体"/>
          <w:b/>
          <w:color w:val="auto"/>
          <w:spacing w:val="6"/>
          <w:sz w:val="30"/>
          <w:szCs w:val="30"/>
          <w:highlight w:val="none"/>
        </w:rPr>
      </w:pPr>
    </w:p>
    <w:p w14:paraId="1E0D8BB1">
      <w:pPr>
        <w:spacing w:line="360" w:lineRule="auto"/>
        <w:ind w:firstLine="444" w:firstLineChars="200"/>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cs="宋体"/>
          <w:color w:val="auto"/>
          <w:spacing w:val="6"/>
          <w:szCs w:val="21"/>
          <w:highlight w:val="none"/>
          <w:lang w:eastAsia="zh-CN"/>
        </w:rPr>
        <w:t>〔2017〕141号</w:t>
      </w:r>
      <w:r>
        <w:rPr>
          <w:rFonts w:hint="eastAsia" w:ascii="宋体" w:hAnsi="宋体" w:cs="宋体"/>
          <w:color w:val="auto"/>
          <w:spacing w:val="6"/>
          <w:szCs w:val="21"/>
          <w:highlight w:val="none"/>
        </w:rPr>
        <w:t>）的规定，本单位为符合条件的残疾人福利性单位，且本单位参加______单位的______项目采购活动提供本单位制造的货物（由本单位承担工程/提供服务），或者提供其他残</w:t>
      </w:r>
      <w:r>
        <w:rPr>
          <w:rFonts w:hint="eastAsia" w:ascii="宋体" w:hAnsi="宋体" w:cs="宋体"/>
          <w:color w:val="auto"/>
          <w:spacing w:val="-6"/>
          <w:szCs w:val="21"/>
          <w:highlight w:val="none"/>
        </w:rPr>
        <w:t>疾人福利性单位制造的货物（不包括使用非残疾人福利性单位注册商标的货物）。</w:t>
      </w:r>
    </w:p>
    <w:p w14:paraId="55AD2C1D">
      <w:pPr>
        <w:spacing w:line="360" w:lineRule="auto"/>
        <w:ind w:firstLine="444" w:firstLineChars="200"/>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3129C556">
      <w:pPr>
        <w:spacing w:line="360" w:lineRule="auto"/>
        <w:ind w:firstLine="444" w:firstLineChars="200"/>
        <w:rPr>
          <w:rFonts w:hint="eastAsia" w:ascii="宋体" w:hAnsi="宋体" w:cs="宋体"/>
          <w:color w:val="auto"/>
          <w:spacing w:val="6"/>
          <w:szCs w:val="21"/>
          <w:highlight w:val="none"/>
        </w:rPr>
      </w:pPr>
    </w:p>
    <w:p w14:paraId="4AA9351D">
      <w:pPr>
        <w:spacing w:line="360" w:lineRule="auto"/>
        <w:ind w:firstLine="444" w:firstLineChars="200"/>
        <w:rPr>
          <w:rFonts w:hint="eastAsia" w:ascii="宋体" w:hAnsi="宋体" w:cs="宋体"/>
          <w:color w:val="auto"/>
          <w:spacing w:val="6"/>
          <w:szCs w:val="21"/>
          <w:highlight w:val="none"/>
        </w:rPr>
      </w:pPr>
    </w:p>
    <w:p w14:paraId="09F813CE">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 xml:space="preserve">             单位名称（电子签章）：</w:t>
      </w:r>
    </w:p>
    <w:p w14:paraId="33DF1D87">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日  期：</w:t>
      </w:r>
    </w:p>
    <w:p w14:paraId="55CB74CE">
      <w:pPr>
        <w:spacing w:line="360" w:lineRule="auto"/>
        <w:rPr>
          <w:rFonts w:hint="eastAsia" w:ascii="宋体" w:hAnsi="宋体" w:cs="宋体"/>
          <w:color w:val="auto"/>
          <w:szCs w:val="21"/>
          <w:highlight w:val="none"/>
        </w:rPr>
      </w:pPr>
    </w:p>
    <w:p w14:paraId="6D29379D">
      <w:pPr>
        <w:spacing w:line="360" w:lineRule="auto"/>
        <w:rPr>
          <w:rFonts w:hint="eastAsia" w:ascii="宋体" w:hAnsi="宋体" w:cs="宋体"/>
          <w:color w:val="auto"/>
          <w:sz w:val="24"/>
          <w:highlight w:val="none"/>
        </w:rPr>
      </w:pPr>
    </w:p>
    <w:p w14:paraId="5C185ACE">
      <w:pPr>
        <w:spacing w:line="360" w:lineRule="auto"/>
        <w:rPr>
          <w:rFonts w:hint="eastAsia" w:ascii="宋体" w:hAnsi="宋体" w:cs="宋体"/>
          <w:color w:val="auto"/>
          <w:sz w:val="24"/>
          <w:highlight w:val="none"/>
        </w:rPr>
      </w:pPr>
    </w:p>
    <w:p w14:paraId="7087906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8CAF2DF">
      <w:pPr>
        <w:spacing w:line="360" w:lineRule="auto"/>
        <w:contextualSpacing/>
        <w:jc w:val="left"/>
        <w:rPr>
          <w:rFonts w:hint="eastAsia" w:ascii="宋体" w:hAnsi="宋体" w:cs="宋体"/>
          <w:color w:val="auto"/>
          <w:sz w:val="24"/>
          <w:szCs w:val="20"/>
          <w:highlight w:val="none"/>
        </w:rPr>
      </w:pPr>
    </w:p>
    <w:p w14:paraId="346AE11C">
      <w:pPr>
        <w:snapToGrid w:val="0"/>
        <w:spacing w:before="50" w:after="120" w:afterLines="50"/>
        <w:jc w:val="left"/>
        <w:rPr>
          <w:rFonts w:hint="eastAsia" w:ascii="宋体" w:hAnsi="宋体" w:cs="宋体"/>
          <w:color w:val="auto"/>
          <w:sz w:val="24"/>
          <w:szCs w:val="20"/>
          <w:highlight w:val="none"/>
        </w:rPr>
      </w:pPr>
    </w:p>
    <w:p w14:paraId="5CE85F7C">
      <w:pPr>
        <w:snapToGrid w:val="0"/>
        <w:spacing w:before="120" w:beforeLines="50" w:after="50"/>
        <w:jc w:val="left"/>
        <w:rPr>
          <w:rFonts w:hint="eastAsia" w:ascii="宋体" w:hAnsi="宋体" w:cs="宋体"/>
          <w:color w:val="auto"/>
          <w:sz w:val="24"/>
          <w:szCs w:val="20"/>
          <w:highlight w:val="none"/>
        </w:rPr>
      </w:pPr>
    </w:p>
    <w:p w14:paraId="66C5BCA9">
      <w:pPr>
        <w:snapToGrid w:val="0"/>
        <w:spacing w:before="50" w:after="120" w:afterLines="50"/>
        <w:jc w:val="left"/>
        <w:rPr>
          <w:rFonts w:hint="eastAsia" w:ascii="宋体" w:hAnsi="宋体" w:cs="宋体"/>
          <w:color w:val="auto"/>
          <w:sz w:val="24"/>
          <w:szCs w:val="20"/>
          <w:highlight w:val="none"/>
        </w:rPr>
      </w:pPr>
    </w:p>
    <w:p w14:paraId="48248D8E">
      <w:pPr>
        <w:numPr>
          <w:ilvl w:val="0"/>
          <w:numId w:val="9"/>
        </w:numPr>
        <w:rPr>
          <w:rFonts w:hint="eastAsia" w:ascii="宋体" w:hAnsi="宋体" w:cs="宋体"/>
          <w:b/>
          <w:color w:val="auto"/>
          <w:sz w:val="32"/>
          <w:szCs w:val="32"/>
          <w:highlight w:val="none"/>
        </w:rPr>
      </w:pPr>
      <w:r>
        <w:rPr>
          <w:rFonts w:hint="eastAsia" w:ascii="宋体" w:hAnsi="宋体" w:cs="宋体"/>
          <w:b/>
          <w:bCs/>
          <w:color w:val="auto"/>
          <w:sz w:val="24"/>
          <w:highlight w:val="none"/>
        </w:rPr>
        <w:br w:type="page"/>
      </w:r>
      <w:bookmarkStart w:id="242" w:name="_Toc19686840"/>
      <w:r>
        <w:rPr>
          <w:rFonts w:hint="eastAsia" w:ascii="宋体" w:hAnsi="宋体" w:cs="宋体"/>
          <w:b/>
          <w:color w:val="auto"/>
          <w:sz w:val="32"/>
          <w:szCs w:val="32"/>
          <w:highlight w:val="none"/>
        </w:rPr>
        <w:t>其他文书、文件格式</w:t>
      </w:r>
      <w:bookmarkEnd w:id="242"/>
    </w:p>
    <w:p w14:paraId="5867747E">
      <w:pPr>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联合体协议书</w:t>
      </w:r>
      <w:r>
        <w:rPr>
          <w:rFonts w:hint="eastAsia" w:ascii="宋体" w:hAnsi="宋体" w:eastAsia="宋体" w:cs="宋体"/>
          <w:b/>
          <w:color w:val="auto"/>
          <w:sz w:val="24"/>
          <w:highlight w:val="none"/>
        </w:rPr>
        <w:t>（格式）</w:t>
      </w:r>
    </w:p>
    <w:p w14:paraId="6731F75B">
      <w:pPr>
        <w:rPr>
          <w:rFonts w:hint="eastAsia"/>
          <w:color w:val="auto"/>
          <w:highlight w:val="none"/>
        </w:rPr>
      </w:pPr>
    </w:p>
    <w:p w14:paraId="70FCC3AD">
      <w:pPr>
        <w:spacing w:line="588" w:lineRule="exact"/>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lang w:val="en-US" w:eastAsia="zh-CN"/>
        </w:rPr>
        <w:t>1.</w:t>
      </w:r>
      <w:r>
        <w:rPr>
          <w:rFonts w:hint="eastAsia" w:ascii="宋体" w:hAnsi="宋体" w:eastAsia="宋体" w:cs="宋体"/>
          <w:b/>
          <w:color w:val="auto"/>
          <w:spacing w:val="6"/>
          <w:sz w:val="32"/>
          <w:szCs w:val="32"/>
          <w:highlight w:val="none"/>
        </w:rPr>
        <w:t>联合体协议书</w:t>
      </w:r>
    </w:p>
    <w:p w14:paraId="12AE8B7A">
      <w:pPr>
        <w:pStyle w:val="7"/>
        <w:overflowPunct w:val="0"/>
        <w:spacing w:line="360" w:lineRule="auto"/>
        <w:ind w:firstLine="0"/>
        <w:contextualSpacing/>
        <w:rPr>
          <w:rFonts w:ascii="宋体" w:hAnsi="宋体"/>
          <w:color w:val="auto"/>
          <w:sz w:val="24"/>
          <w:highlight w:val="none"/>
        </w:rPr>
      </w:pPr>
    </w:p>
    <w:p w14:paraId="65C0CF8B">
      <w:pPr>
        <w:pStyle w:val="7"/>
        <w:overflowPunct w:val="0"/>
        <w:spacing w:line="360" w:lineRule="auto"/>
        <w:contextualSpacing/>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（所有成员单位名称）自愿组成</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（联合体名称）联合体，共同参加</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u w:val="single"/>
        </w:rPr>
        <w:t>（项</w:t>
      </w:r>
      <w:r>
        <w:rPr>
          <w:rFonts w:hint="eastAsia" w:ascii="宋体" w:hAnsi="宋体"/>
          <w:color w:val="auto"/>
          <w:sz w:val="24"/>
          <w:highlight w:val="none"/>
        </w:rPr>
        <w:t>目名称）采购招标项目投标。现就联合体投标事宜订立如下协议。</w:t>
      </w:r>
    </w:p>
    <w:p w14:paraId="7ED601AD">
      <w:pPr>
        <w:pStyle w:val="7"/>
        <w:overflowPunct w:val="0"/>
        <w:spacing w:line="360" w:lineRule="auto"/>
        <w:contextualSpacing/>
        <w:rPr>
          <w:rFonts w:ascii="宋体" w:hAnsi="宋体"/>
          <w:color w:val="auto"/>
          <w:sz w:val="24"/>
          <w:highlight w:val="none"/>
        </w:rPr>
      </w:pPr>
    </w:p>
    <w:p w14:paraId="282228A5">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 xml:space="preserve">1.  </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（某成员单位名称）为</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（联合体名称）牵头人。</w:t>
      </w:r>
    </w:p>
    <w:p w14:paraId="4FBEB8AF">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联合体各成员授权牵头人代表联合体参加投标活动，签署文件及对文件的盖章，提交和接收相关的资料、</w:t>
      </w:r>
      <w:r>
        <w:rPr>
          <w:rFonts w:ascii="宋体" w:hAnsi="宋体"/>
          <w:color w:val="auto"/>
          <w:sz w:val="24"/>
          <w:highlight w:val="none"/>
        </w:rPr>
        <w:t xml:space="preserve"> </w:t>
      </w:r>
      <w:r>
        <w:rPr>
          <w:rFonts w:hint="eastAsia" w:ascii="宋体" w:hAnsi="宋体"/>
          <w:color w:val="auto"/>
          <w:sz w:val="24"/>
          <w:highlight w:val="none"/>
        </w:rPr>
        <w:t>信息及指示，进行合同谈判活动，负责合同实施阶段的组织和协调工作，以及处理与本招标项</w:t>
      </w:r>
      <w:r>
        <w:rPr>
          <w:rFonts w:ascii="宋体" w:hAnsi="宋体"/>
          <w:color w:val="auto"/>
          <w:sz w:val="24"/>
          <w:highlight w:val="none"/>
        </w:rPr>
        <w:t xml:space="preserve"> </w:t>
      </w:r>
      <w:r>
        <w:rPr>
          <w:rFonts w:hint="eastAsia" w:ascii="宋体" w:hAnsi="宋体"/>
          <w:color w:val="auto"/>
          <w:sz w:val="24"/>
          <w:highlight w:val="none"/>
        </w:rPr>
        <w:t>目有关的一切事宜。</w:t>
      </w:r>
    </w:p>
    <w:p w14:paraId="12AE946B">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联合体牵头人在本项目中签署和盖章的一切文件和处理的一切事宜，联合体各成员均予以承认。</w:t>
      </w:r>
      <w:r>
        <w:rPr>
          <w:rFonts w:ascii="宋体" w:hAnsi="宋体"/>
          <w:color w:val="auto"/>
          <w:sz w:val="24"/>
          <w:highlight w:val="none"/>
        </w:rPr>
        <w:t xml:space="preserve"> </w:t>
      </w:r>
      <w:r>
        <w:rPr>
          <w:rFonts w:hint="eastAsia" w:ascii="宋体" w:hAnsi="宋体"/>
          <w:color w:val="auto"/>
          <w:sz w:val="24"/>
          <w:highlight w:val="none"/>
        </w:rPr>
        <w:t>联合体各成员将严格按照招标文件、投标文件和合同的要求全面履行义务，并向招标人承担连带责任。</w:t>
      </w:r>
    </w:p>
    <w:p w14:paraId="5F7F9D93">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联合体各成员单位内部的职责分工如下：</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w:t>
      </w:r>
    </w:p>
    <w:p w14:paraId="347F0574">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本协议书自所有成员单位法定代表人或者其委托代理人签字或者盖公章之日起生效，合同履行完毕后自动失效。</w:t>
      </w:r>
    </w:p>
    <w:p w14:paraId="64B77AF6">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本协议书一式</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份，联合体成员和招标人各执一份。</w:t>
      </w:r>
    </w:p>
    <w:p w14:paraId="193E6AD5">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注：本协议书由法定代表人签字的，应附法定代表人身份证明；由委托代理人签字的，应附授权委托书。</w:t>
      </w:r>
    </w:p>
    <w:p w14:paraId="4E93AA6E">
      <w:pPr>
        <w:pStyle w:val="7"/>
        <w:overflowPunct w:val="0"/>
        <w:spacing w:line="360" w:lineRule="auto"/>
        <w:ind w:firstLineChars="175"/>
        <w:contextualSpacing/>
        <w:rPr>
          <w:rFonts w:ascii="宋体" w:hAnsi="宋体"/>
          <w:color w:val="auto"/>
          <w:sz w:val="24"/>
          <w:highlight w:val="none"/>
        </w:rPr>
      </w:pPr>
    </w:p>
    <w:p w14:paraId="649A9086">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联合体牵头人名称（盖公章）：</w:t>
      </w:r>
    </w:p>
    <w:p w14:paraId="5BEA8740">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2766FAC6">
      <w:pPr>
        <w:pStyle w:val="7"/>
        <w:overflowPunct w:val="0"/>
        <w:spacing w:line="360" w:lineRule="auto"/>
        <w:ind w:firstLine="0"/>
        <w:contextualSpacing/>
        <w:rPr>
          <w:rFonts w:ascii="宋体" w:hAnsi="宋体"/>
          <w:color w:val="auto"/>
          <w:sz w:val="24"/>
          <w:highlight w:val="none"/>
        </w:rPr>
      </w:pPr>
    </w:p>
    <w:p w14:paraId="4DFB82AC">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联合体成员名称（盖公章）：</w:t>
      </w:r>
    </w:p>
    <w:p w14:paraId="7E8261CB">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6B96911F">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w:t>
      </w:r>
    </w:p>
    <w:p w14:paraId="2A1D61CC">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单位名称（电子签章）：</w:t>
      </w:r>
    </w:p>
    <w:p w14:paraId="580887F0">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日  期：</w:t>
      </w:r>
    </w:p>
    <w:p w14:paraId="0482DDA8">
      <w:pPr>
        <w:pStyle w:val="7"/>
        <w:overflowPunct w:val="0"/>
        <w:spacing w:line="360" w:lineRule="auto"/>
        <w:ind w:firstLine="0"/>
        <w:contextualSpacing/>
        <w:rPr>
          <w:rFonts w:hint="eastAsia" w:ascii="宋体" w:hAnsi="宋体"/>
          <w:color w:val="auto"/>
          <w:sz w:val="24"/>
          <w:highlight w:val="none"/>
        </w:rPr>
        <w:sectPr>
          <w:footerReference r:id="rId20" w:type="first"/>
          <w:headerReference r:id="rId17" w:type="default"/>
          <w:footerReference r:id="rId18" w:type="default"/>
          <w:footerReference r:id="rId19" w:type="even"/>
          <w:pgSz w:w="11906" w:h="16838"/>
          <w:pgMar w:top="1134" w:right="1188" w:bottom="1559" w:left="1678" w:header="851" w:footer="992" w:gutter="0"/>
          <w:pgNumType w:fmt="decimal"/>
          <w:cols w:space="720" w:num="1"/>
          <w:titlePg/>
          <w:docGrid w:linePitch="312" w:charSpace="0"/>
        </w:sectPr>
      </w:pPr>
    </w:p>
    <w:p w14:paraId="32B7088A">
      <w:pPr>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.质疑函（格式）</w:t>
      </w:r>
    </w:p>
    <w:p w14:paraId="285A517D">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质疑函（格式）</w:t>
      </w:r>
    </w:p>
    <w:p w14:paraId="719621C3">
      <w:pPr>
        <w:pStyle w:val="24"/>
        <w:snapToGrid w:val="0"/>
        <w:spacing w:line="500" w:lineRule="exact"/>
        <w:ind w:firstLine="422" w:firstLineChars="200"/>
        <w:rPr>
          <w:rFonts w:hint="eastAsia" w:hAnsi="宋体" w:cs="宋体"/>
          <w:b/>
          <w:bCs/>
          <w:color w:val="auto"/>
          <w:sz w:val="21"/>
          <w:highlight w:val="none"/>
        </w:rPr>
      </w:pPr>
      <w:r>
        <w:rPr>
          <w:rFonts w:hint="eastAsia" w:hAnsi="宋体" w:cs="宋体"/>
          <w:b/>
          <w:bCs/>
          <w:color w:val="auto"/>
          <w:sz w:val="21"/>
          <w:highlight w:val="none"/>
        </w:rPr>
        <w:t>一、质疑供应商基本信息：</w:t>
      </w:r>
    </w:p>
    <w:p w14:paraId="25779316">
      <w:pPr>
        <w:pStyle w:val="24"/>
        <w:snapToGrid w:val="0"/>
        <w:spacing w:line="500" w:lineRule="exact"/>
        <w:ind w:firstLine="420" w:firstLineChars="200"/>
        <w:rPr>
          <w:rFonts w:hint="eastAsia" w:hAnsi="宋体" w:cs="宋体"/>
          <w:bCs/>
          <w:color w:val="auto"/>
          <w:sz w:val="21"/>
          <w:highlight w:val="none"/>
          <w:u w:val="single"/>
        </w:rPr>
      </w:pPr>
      <w:r>
        <w:rPr>
          <w:rFonts w:hint="eastAsia" w:hAnsi="宋体" w:cs="宋体"/>
          <w:bCs/>
          <w:color w:val="auto"/>
          <w:sz w:val="21"/>
          <w:highlight w:val="none"/>
        </w:rPr>
        <w:t>质疑供应商：</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53C6886C">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29D6B72D">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25DEAEBA">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授权代表：</w:t>
      </w:r>
      <w:r>
        <w:rPr>
          <w:rFonts w:hint="eastAsia" w:hAnsi="宋体" w:cs="宋体"/>
          <w:bCs/>
          <w:color w:val="auto"/>
          <w:sz w:val="21"/>
          <w:highlight w:val="none"/>
          <w:u w:val="single"/>
        </w:rPr>
        <w:t xml:space="preserve">                      </w:t>
      </w:r>
    </w:p>
    <w:p w14:paraId="2EF0B30D">
      <w:pPr>
        <w:pStyle w:val="24"/>
        <w:snapToGrid w:val="0"/>
        <w:spacing w:line="500" w:lineRule="exact"/>
        <w:ind w:firstLine="420" w:firstLineChars="200"/>
        <w:rPr>
          <w:rFonts w:hint="eastAsia" w:hAnsi="宋体" w:cs="宋体"/>
          <w:bCs/>
          <w:color w:val="auto"/>
          <w:sz w:val="21"/>
          <w:highlight w:val="none"/>
          <w:u w:val="single"/>
        </w:rPr>
      </w:pP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1D765BC1">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7960FF23">
      <w:pPr>
        <w:pStyle w:val="24"/>
        <w:snapToGrid w:val="0"/>
        <w:spacing w:line="500" w:lineRule="exact"/>
        <w:ind w:firstLine="422" w:firstLineChars="200"/>
        <w:rPr>
          <w:rFonts w:hint="eastAsia" w:hAnsi="宋体" w:cs="宋体"/>
          <w:b/>
          <w:bCs/>
          <w:color w:val="auto"/>
          <w:sz w:val="21"/>
          <w:highlight w:val="none"/>
        </w:rPr>
      </w:pPr>
      <w:r>
        <w:rPr>
          <w:rFonts w:hint="eastAsia" w:hAnsi="宋体" w:cs="宋体"/>
          <w:b/>
          <w:bCs/>
          <w:color w:val="auto"/>
          <w:sz w:val="21"/>
          <w:highlight w:val="none"/>
        </w:rPr>
        <w:t>二、质疑项目基本情况：</w:t>
      </w:r>
    </w:p>
    <w:p w14:paraId="0E339F02">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rPr>
        <w:t>质疑</w:t>
      </w:r>
      <w:r>
        <w:rPr>
          <w:rFonts w:hint="eastAsia" w:hAnsi="宋体" w:cs="宋体"/>
          <w:color w:val="auto"/>
          <w:sz w:val="21"/>
          <w:highlight w:val="none"/>
        </w:rPr>
        <w:t>项目的名称：</w:t>
      </w:r>
      <w:r>
        <w:rPr>
          <w:rFonts w:hint="eastAsia" w:hAnsi="宋体" w:cs="宋体"/>
          <w:bCs/>
          <w:color w:val="auto"/>
          <w:sz w:val="21"/>
          <w:highlight w:val="none"/>
          <w:u w:val="single"/>
        </w:rPr>
        <w:t xml:space="preserve">                                     </w:t>
      </w:r>
    </w:p>
    <w:p w14:paraId="0FE72203">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rPr>
        <w:t>质疑</w:t>
      </w:r>
      <w:r>
        <w:rPr>
          <w:rFonts w:hint="eastAsia" w:hAnsi="宋体" w:cs="宋体"/>
          <w:color w:val="auto"/>
          <w:sz w:val="21"/>
          <w:highlight w:val="none"/>
        </w:rPr>
        <w:t>项目的编号：</w:t>
      </w:r>
      <w:r>
        <w:rPr>
          <w:rFonts w:hint="eastAsia" w:hAnsi="宋体" w:cs="宋体"/>
          <w:bCs/>
          <w:color w:val="auto"/>
          <w:sz w:val="21"/>
          <w:highlight w:val="none"/>
          <w:u w:val="single"/>
        </w:rPr>
        <w:t xml:space="preserve">                                     </w:t>
      </w:r>
    </w:p>
    <w:p w14:paraId="671729FD">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采购人名称：</w:t>
      </w:r>
      <w:r>
        <w:rPr>
          <w:rFonts w:hint="eastAsia" w:hAnsi="宋体" w:cs="宋体"/>
          <w:bCs/>
          <w:color w:val="auto"/>
          <w:sz w:val="21"/>
          <w:highlight w:val="none"/>
          <w:u w:val="single"/>
        </w:rPr>
        <w:t xml:space="preserve">                                         </w:t>
      </w:r>
    </w:p>
    <w:p w14:paraId="260735AB">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质疑事项：</w:t>
      </w:r>
    </w:p>
    <w:p w14:paraId="5CA77577">
      <w:pPr>
        <w:pStyle w:val="24"/>
        <w:spacing w:line="500" w:lineRule="exact"/>
        <w:ind w:left="25" w:leftChars="12" w:firstLine="308" w:firstLineChars="147"/>
        <w:rPr>
          <w:rFonts w:hint="eastAsia" w:hAnsi="宋体" w:cs="宋体"/>
          <w:color w:val="auto"/>
          <w:sz w:val="21"/>
          <w:highlight w:val="none"/>
        </w:rPr>
      </w:pPr>
      <w:r>
        <w:rPr>
          <w:rFonts w:hint="eastAsia" w:hAnsi="宋体" w:cs="宋体"/>
          <w:color w:val="auto"/>
          <w:sz w:val="21"/>
          <w:highlight w:val="none"/>
        </w:rPr>
        <w:t>□采购文件   采购文件获取日期：</w:t>
      </w:r>
      <w:r>
        <w:rPr>
          <w:rFonts w:hint="eastAsia" w:hAnsi="宋体" w:cs="宋体"/>
          <w:bCs/>
          <w:color w:val="auto"/>
          <w:sz w:val="21"/>
          <w:highlight w:val="none"/>
          <w:u w:val="single"/>
        </w:rPr>
        <w:t xml:space="preserve">                                   </w:t>
      </w:r>
    </w:p>
    <w:p w14:paraId="07018D50">
      <w:pPr>
        <w:pStyle w:val="24"/>
        <w:spacing w:line="500" w:lineRule="exact"/>
        <w:ind w:left="25" w:leftChars="12" w:firstLine="308" w:firstLineChars="147"/>
        <w:rPr>
          <w:rFonts w:hint="eastAsia" w:hAnsi="宋体" w:cs="宋体"/>
          <w:color w:val="auto"/>
          <w:sz w:val="21"/>
          <w:highlight w:val="none"/>
        </w:rPr>
      </w:pPr>
      <w:r>
        <w:rPr>
          <w:rFonts w:hint="eastAsia" w:hAnsi="宋体" w:cs="宋体"/>
          <w:color w:val="auto"/>
          <w:sz w:val="21"/>
          <w:highlight w:val="none"/>
        </w:rPr>
        <w:t xml:space="preserve">□采购过程   </w:t>
      </w:r>
    </w:p>
    <w:p w14:paraId="4F1EFA18">
      <w:pPr>
        <w:pStyle w:val="24"/>
        <w:spacing w:line="500" w:lineRule="exact"/>
        <w:ind w:left="25" w:leftChars="12" w:firstLine="308" w:firstLineChars="147"/>
        <w:rPr>
          <w:rFonts w:hint="eastAsia" w:hAnsi="宋体" w:cs="宋体"/>
          <w:bCs/>
          <w:color w:val="auto"/>
          <w:sz w:val="21"/>
          <w:highlight w:val="none"/>
          <w:u w:val="single"/>
        </w:rPr>
      </w:pPr>
      <w:r>
        <w:rPr>
          <w:rFonts w:hint="eastAsia" w:hAnsi="宋体" w:cs="宋体"/>
          <w:color w:val="auto"/>
          <w:sz w:val="21"/>
          <w:highlight w:val="none"/>
        </w:rPr>
        <w:t xml:space="preserve">□采购结果   </w:t>
      </w:r>
    </w:p>
    <w:p w14:paraId="7D9CCC57">
      <w:pPr>
        <w:pStyle w:val="24"/>
        <w:spacing w:line="500" w:lineRule="exact"/>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三、质疑事项具体内容</w:t>
      </w:r>
    </w:p>
    <w:p w14:paraId="6769BF4E">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质疑事项1：</w:t>
      </w:r>
      <w:r>
        <w:rPr>
          <w:rFonts w:hint="eastAsia" w:hAnsi="宋体" w:cs="宋体"/>
          <w:bCs/>
          <w:color w:val="auto"/>
          <w:sz w:val="21"/>
          <w:highlight w:val="none"/>
          <w:u w:val="single"/>
        </w:rPr>
        <w:t xml:space="preserve">                                                                    </w:t>
      </w:r>
    </w:p>
    <w:p w14:paraId="0D0C2D84">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事实依据：</w:t>
      </w:r>
      <w:r>
        <w:rPr>
          <w:rFonts w:hint="eastAsia" w:hAnsi="宋体" w:cs="宋体"/>
          <w:bCs/>
          <w:color w:val="auto"/>
          <w:sz w:val="21"/>
          <w:highlight w:val="none"/>
          <w:u w:val="single"/>
        </w:rPr>
        <w:t xml:space="preserve">                                                                      </w:t>
      </w:r>
    </w:p>
    <w:p w14:paraId="1F4C6B23">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法律依据：</w:t>
      </w:r>
      <w:r>
        <w:rPr>
          <w:rFonts w:hint="eastAsia" w:hAnsi="宋体" w:cs="宋体"/>
          <w:color w:val="auto"/>
          <w:sz w:val="21"/>
          <w:highlight w:val="none"/>
          <w:u w:val="single"/>
        </w:rPr>
        <w:t xml:space="preserve">                                                        </w:t>
      </w:r>
      <w:r>
        <w:rPr>
          <w:rFonts w:hint="eastAsia" w:hAnsi="宋体" w:cs="宋体"/>
          <w:bCs/>
          <w:color w:val="auto"/>
          <w:sz w:val="21"/>
          <w:highlight w:val="none"/>
          <w:u w:val="single"/>
        </w:rPr>
        <w:t xml:space="preserve">               </w:t>
      </w:r>
    </w:p>
    <w:p w14:paraId="5A5E080C">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质疑事项2</w:t>
      </w:r>
    </w:p>
    <w:p w14:paraId="57A1A11C">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w:t>
      </w:r>
    </w:p>
    <w:p w14:paraId="2B2A7E6D">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四、与质疑事项相关的质疑请求：</w:t>
      </w:r>
    </w:p>
    <w:p w14:paraId="593F34E4">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请求：</w:t>
      </w:r>
      <w:r>
        <w:rPr>
          <w:rFonts w:hint="eastAsia" w:hAnsi="宋体" w:cs="宋体"/>
          <w:bCs/>
          <w:color w:val="auto"/>
          <w:sz w:val="21"/>
          <w:highlight w:val="none"/>
          <w:u w:val="single"/>
        </w:rPr>
        <w:t xml:space="preserve">                                                                </w:t>
      </w:r>
    </w:p>
    <w:p w14:paraId="324D9BFE">
      <w:pPr>
        <w:pStyle w:val="24"/>
        <w:spacing w:line="500" w:lineRule="exact"/>
        <w:ind w:left="25" w:leftChars="12" w:firstLine="308" w:firstLineChars="147"/>
        <w:rPr>
          <w:rFonts w:hint="eastAsia" w:hAnsi="宋体" w:cs="宋体"/>
          <w:color w:val="auto"/>
          <w:sz w:val="21"/>
          <w:highlight w:val="none"/>
        </w:rPr>
      </w:pPr>
    </w:p>
    <w:p w14:paraId="166AD078">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签字（签章）：                                       公章：</w:t>
      </w:r>
    </w:p>
    <w:p w14:paraId="0BFE5072">
      <w:pPr>
        <w:pStyle w:val="24"/>
        <w:spacing w:line="500" w:lineRule="exact"/>
        <w:ind w:left="25" w:leftChars="12" w:firstLine="308" w:firstLineChars="147"/>
        <w:rPr>
          <w:rFonts w:hint="eastAsia" w:hAnsi="宋体" w:cs="宋体"/>
          <w:color w:val="auto"/>
          <w:sz w:val="21"/>
          <w:highlight w:val="none"/>
        </w:rPr>
      </w:pPr>
    </w:p>
    <w:p w14:paraId="11E81EBA">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日期：</w:t>
      </w:r>
    </w:p>
    <w:p w14:paraId="2A0192DE">
      <w:pPr>
        <w:pStyle w:val="24"/>
        <w:snapToGrid w:val="0"/>
        <w:spacing w:line="500" w:lineRule="exact"/>
        <w:rPr>
          <w:rFonts w:hint="eastAsia" w:hAnsi="宋体" w:cs="宋体"/>
          <w:b/>
          <w:color w:val="auto"/>
          <w:sz w:val="21"/>
          <w:highlight w:val="none"/>
        </w:rPr>
      </w:pPr>
    </w:p>
    <w:p w14:paraId="6FA454A1">
      <w:pPr>
        <w:pStyle w:val="24"/>
        <w:snapToGrid w:val="0"/>
        <w:spacing w:line="500" w:lineRule="exact"/>
        <w:rPr>
          <w:rFonts w:hint="eastAsia" w:hAnsi="宋体" w:cs="宋体"/>
          <w:b/>
          <w:color w:val="auto"/>
          <w:sz w:val="21"/>
          <w:highlight w:val="none"/>
        </w:rPr>
      </w:pPr>
      <w:r>
        <w:rPr>
          <w:rFonts w:hint="eastAsia" w:hAnsi="宋体" w:cs="宋体"/>
          <w:b/>
          <w:color w:val="auto"/>
          <w:sz w:val="21"/>
          <w:highlight w:val="none"/>
        </w:rPr>
        <w:t>说明：</w:t>
      </w:r>
    </w:p>
    <w:p w14:paraId="3D49D902">
      <w:pPr>
        <w:pStyle w:val="24"/>
        <w:spacing w:line="500" w:lineRule="exact"/>
        <w:ind w:left="25" w:leftChars="12" w:firstLine="310" w:firstLineChars="147"/>
        <w:rPr>
          <w:rFonts w:hint="eastAsia" w:hAnsi="宋体" w:cs="宋体"/>
          <w:b/>
          <w:bCs/>
          <w:color w:val="auto"/>
          <w:sz w:val="21"/>
          <w:highlight w:val="none"/>
        </w:rPr>
      </w:pPr>
      <w:r>
        <w:rPr>
          <w:rFonts w:hint="eastAsia" w:hAnsi="宋体" w:cs="宋体"/>
          <w:b/>
          <w:color w:val="auto"/>
          <w:sz w:val="21"/>
          <w:highlight w:val="none"/>
        </w:rPr>
        <w:t>1.供应商提出质疑时，应提交质疑函和必要的证明材料</w:t>
      </w:r>
      <w:r>
        <w:rPr>
          <w:rFonts w:hint="eastAsia" w:hAnsi="宋体" w:cs="宋体"/>
          <w:b/>
          <w:bCs/>
          <w:color w:val="auto"/>
          <w:sz w:val="21"/>
          <w:highlight w:val="none"/>
        </w:rPr>
        <w:t>。</w:t>
      </w:r>
    </w:p>
    <w:p w14:paraId="1E73123D">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8A6082B">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3.质疑函的质疑事项应具体、明确，并有必要的事实依据和法律依据。</w:t>
      </w:r>
    </w:p>
    <w:p w14:paraId="1B8C9CD7">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4.质疑函的质疑请求应与质疑事项相关。</w:t>
      </w:r>
    </w:p>
    <w:p w14:paraId="194B8939">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5.质疑供应商为法人或者其他组织的，质疑函应由法定代表人、主要负责人，或者其授权代表签字或者盖章，并加盖公章。</w:t>
      </w:r>
    </w:p>
    <w:p w14:paraId="1381A3C2">
      <w:pPr>
        <w:spacing w:line="460" w:lineRule="exact"/>
        <w:rPr>
          <w:rFonts w:hint="eastAsia" w:ascii="宋体" w:hAnsi="宋体" w:cs="宋体"/>
          <w:color w:val="auto"/>
          <w:szCs w:val="21"/>
          <w:highlight w:val="none"/>
        </w:rPr>
      </w:pPr>
    </w:p>
    <w:p w14:paraId="3D34BFEB">
      <w:pPr>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.投诉书（格式）</w:t>
      </w:r>
    </w:p>
    <w:p w14:paraId="7A949132">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7596EE17">
      <w:pPr>
        <w:pStyle w:val="24"/>
        <w:snapToGrid w:val="0"/>
        <w:spacing w:line="500" w:lineRule="exact"/>
        <w:ind w:firstLine="422" w:firstLineChars="200"/>
        <w:rPr>
          <w:rFonts w:hint="eastAsia" w:hAnsi="宋体" w:cs="宋体"/>
          <w:b/>
          <w:bCs/>
          <w:color w:val="auto"/>
          <w:sz w:val="21"/>
          <w:highlight w:val="none"/>
        </w:rPr>
      </w:pPr>
      <w:r>
        <w:rPr>
          <w:rFonts w:hint="eastAsia" w:hAnsi="宋体" w:cs="宋体"/>
          <w:b/>
          <w:bCs/>
          <w:color w:val="auto"/>
          <w:sz w:val="21"/>
          <w:highlight w:val="none"/>
        </w:rPr>
        <w:t>一、投诉相关主体基本情况：</w:t>
      </w:r>
    </w:p>
    <w:p w14:paraId="3F657A3B">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投标人：</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0D577E95">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18CD7A7A">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法定代表人/主要负责人：</w:t>
      </w:r>
      <w:r>
        <w:rPr>
          <w:rFonts w:hint="eastAsia" w:hAnsi="宋体" w:cs="宋体"/>
          <w:bCs/>
          <w:color w:val="auto"/>
          <w:sz w:val="21"/>
          <w:highlight w:val="none"/>
          <w:u w:val="single"/>
        </w:rPr>
        <w:t xml:space="preserve">                                                         </w:t>
      </w:r>
    </w:p>
    <w:p w14:paraId="39F8270B">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0BC9F4FB">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授权代表：</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0B7D0F01">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p>
    <w:p w14:paraId="48CB27B4">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1E3DC52B">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被投诉人1：</w:t>
      </w:r>
    </w:p>
    <w:p w14:paraId="1ED97689">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p>
    <w:p w14:paraId="732051AE">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0BA4C5B4">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1B7561F1">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被投诉人2：</w:t>
      </w:r>
    </w:p>
    <w:p w14:paraId="34E98DBC">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w:t>
      </w:r>
    </w:p>
    <w:p w14:paraId="70AECF88">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相关供应商：</w:t>
      </w:r>
      <w:r>
        <w:rPr>
          <w:rFonts w:hint="eastAsia" w:hAnsi="宋体" w:cs="宋体"/>
          <w:bCs/>
          <w:color w:val="auto"/>
          <w:sz w:val="21"/>
          <w:highlight w:val="none"/>
          <w:u w:val="single"/>
        </w:rPr>
        <w:t xml:space="preserve">                                                                       </w:t>
      </w:r>
    </w:p>
    <w:p w14:paraId="5ECC038C">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p>
    <w:p w14:paraId="6F8A5719">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3C3F9715">
      <w:pPr>
        <w:pStyle w:val="24"/>
        <w:snapToGrid w:val="0"/>
        <w:spacing w:line="500" w:lineRule="exact"/>
        <w:ind w:firstLine="422" w:firstLineChars="200"/>
        <w:rPr>
          <w:rFonts w:hint="eastAsia" w:hAnsi="宋体" w:cs="宋体"/>
          <w:b/>
          <w:bCs/>
          <w:color w:val="auto"/>
          <w:sz w:val="21"/>
          <w:highlight w:val="none"/>
        </w:rPr>
      </w:pPr>
      <w:r>
        <w:rPr>
          <w:rFonts w:hint="eastAsia" w:hAnsi="宋体" w:cs="宋体"/>
          <w:b/>
          <w:bCs/>
          <w:color w:val="auto"/>
          <w:sz w:val="21"/>
          <w:highlight w:val="none"/>
        </w:rPr>
        <w:t>二、投诉项目基本情况：</w:t>
      </w:r>
    </w:p>
    <w:p w14:paraId="20292937">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rPr>
        <w:t>采购</w:t>
      </w:r>
      <w:r>
        <w:rPr>
          <w:rFonts w:hint="eastAsia" w:hAnsi="宋体" w:cs="宋体"/>
          <w:color w:val="auto"/>
          <w:sz w:val="21"/>
          <w:highlight w:val="none"/>
        </w:rPr>
        <w:t>项目的名称：</w:t>
      </w:r>
      <w:r>
        <w:rPr>
          <w:rFonts w:hint="eastAsia" w:hAnsi="宋体" w:cs="宋体"/>
          <w:bCs/>
          <w:color w:val="auto"/>
          <w:sz w:val="21"/>
          <w:highlight w:val="none"/>
          <w:u w:val="single"/>
        </w:rPr>
        <w:t xml:space="preserve">                                                                   </w:t>
      </w:r>
    </w:p>
    <w:p w14:paraId="46E32714">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rPr>
        <w:t>采购</w:t>
      </w:r>
      <w:r>
        <w:rPr>
          <w:rFonts w:hint="eastAsia" w:hAnsi="宋体" w:cs="宋体"/>
          <w:color w:val="auto"/>
          <w:sz w:val="21"/>
          <w:highlight w:val="none"/>
        </w:rPr>
        <w:t>项目的编号：</w:t>
      </w:r>
      <w:r>
        <w:rPr>
          <w:rFonts w:hint="eastAsia" w:hAnsi="宋体" w:cs="宋体"/>
          <w:bCs/>
          <w:color w:val="auto"/>
          <w:sz w:val="21"/>
          <w:highlight w:val="none"/>
          <w:u w:val="single"/>
        </w:rPr>
        <w:t xml:space="preserve">                                          </w:t>
      </w:r>
    </w:p>
    <w:p w14:paraId="5ACB2340">
      <w:pPr>
        <w:pStyle w:val="24"/>
        <w:spacing w:line="500" w:lineRule="exact"/>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采购人名称：</w:t>
      </w:r>
      <w:r>
        <w:rPr>
          <w:rFonts w:hint="eastAsia" w:hAnsi="宋体" w:cs="宋体"/>
          <w:bCs/>
          <w:color w:val="auto"/>
          <w:sz w:val="21"/>
          <w:highlight w:val="none"/>
          <w:u w:val="single"/>
        </w:rPr>
        <w:t xml:space="preserve">                                                                        </w:t>
      </w:r>
    </w:p>
    <w:p w14:paraId="23392902">
      <w:pPr>
        <w:pStyle w:val="24"/>
        <w:spacing w:line="500" w:lineRule="exact"/>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代理机构名称：</w:t>
      </w:r>
      <w:r>
        <w:rPr>
          <w:rFonts w:hint="eastAsia" w:hAnsi="宋体" w:cs="宋体"/>
          <w:bCs/>
          <w:color w:val="auto"/>
          <w:sz w:val="21"/>
          <w:highlight w:val="none"/>
          <w:u w:val="single"/>
        </w:rPr>
        <w:t xml:space="preserve">                                                                      </w:t>
      </w:r>
    </w:p>
    <w:p w14:paraId="53077CD9">
      <w:pPr>
        <w:pStyle w:val="24"/>
        <w:spacing w:line="500" w:lineRule="exact"/>
        <w:ind w:left="25" w:leftChars="12" w:firstLine="413" w:firstLineChars="197"/>
        <w:rPr>
          <w:rFonts w:hint="eastAsia" w:hAnsi="宋体" w:cs="宋体"/>
          <w:bCs/>
          <w:color w:val="auto"/>
          <w:sz w:val="21"/>
          <w:highlight w:val="none"/>
          <w:u w:val="single"/>
        </w:rPr>
      </w:pPr>
      <w:r>
        <w:rPr>
          <w:rFonts w:hint="eastAsia" w:hAnsi="宋体" w:cs="宋体"/>
          <w:bCs/>
          <w:color w:val="auto"/>
          <w:sz w:val="21"/>
          <w:highlight w:val="none"/>
        </w:rPr>
        <w:t>采购文件公告：</w:t>
      </w:r>
      <w:r>
        <w:rPr>
          <w:rFonts w:hint="eastAsia" w:hAnsi="宋体" w:cs="宋体"/>
          <w:bCs/>
          <w:color w:val="auto"/>
          <w:sz w:val="21"/>
          <w:highlight w:val="none"/>
          <w:u w:val="single"/>
        </w:rPr>
        <w:t>是/否</w:t>
      </w:r>
      <w:r>
        <w:rPr>
          <w:rFonts w:hint="eastAsia" w:hAnsi="宋体" w:cs="宋体"/>
          <w:bCs/>
          <w:color w:val="auto"/>
          <w:sz w:val="21"/>
          <w:highlight w:val="none"/>
        </w:rPr>
        <w:t>公告期限：</w:t>
      </w:r>
      <w:r>
        <w:rPr>
          <w:rFonts w:hint="eastAsia" w:hAnsi="宋体" w:cs="宋体"/>
          <w:bCs/>
          <w:color w:val="auto"/>
          <w:sz w:val="21"/>
          <w:highlight w:val="none"/>
          <w:u w:val="single"/>
        </w:rPr>
        <w:t xml:space="preserve">                                                       </w:t>
      </w:r>
    </w:p>
    <w:p w14:paraId="051FC6A6">
      <w:pPr>
        <w:pStyle w:val="24"/>
        <w:spacing w:line="500" w:lineRule="exact"/>
        <w:ind w:left="25" w:leftChars="12" w:firstLine="413" w:firstLineChars="197"/>
        <w:rPr>
          <w:rFonts w:hint="eastAsia" w:hAnsi="宋体" w:cs="宋体"/>
          <w:b/>
          <w:color w:val="auto"/>
          <w:sz w:val="21"/>
          <w:highlight w:val="none"/>
        </w:rPr>
      </w:pPr>
      <w:r>
        <w:rPr>
          <w:rFonts w:hint="eastAsia" w:hAnsi="宋体" w:cs="宋体"/>
          <w:bCs/>
          <w:color w:val="auto"/>
          <w:sz w:val="21"/>
          <w:highlight w:val="none"/>
        </w:rPr>
        <w:t>采购结果公告：</w:t>
      </w:r>
      <w:r>
        <w:rPr>
          <w:rFonts w:hint="eastAsia" w:hAnsi="宋体" w:cs="宋体"/>
          <w:bCs/>
          <w:color w:val="auto"/>
          <w:sz w:val="21"/>
          <w:highlight w:val="none"/>
          <w:u w:val="single"/>
        </w:rPr>
        <w:t>是/否</w:t>
      </w:r>
      <w:r>
        <w:rPr>
          <w:rFonts w:hint="eastAsia" w:hAnsi="宋体" w:cs="宋体"/>
          <w:bCs/>
          <w:color w:val="auto"/>
          <w:sz w:val="21"/>
          <w:highlight w:val="none"/>
        </w:rPr>
        <w:t>公告期限：</w:t>
      </w:r>
      <w:r>
        <w:rPr>
          <w:rFonts w:hint="eastAsia" w:hAnsi="宋体" w:cs="宋体"/>
          <w:bCs/>
          <w:color w:val="auto"/>
          <w:sz w:val="21"/>
          <w:highlight w:val="none"/>
          <w:u w:val="single"/>
        </w:rPr>
        <w:t xml:space="preserve">                                                       </w:t>
      </w:r>
    </w:p>
    <w:p w14:paraId="78D6622A">
      <w:pPr>
        <w:pStyle w:val="24"/>
        <w:spacing w:line="500" w:lineRule="exact"/>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三、质疑基本情况</w:t>
      </w:r>
    </w:p>
    <w:p w14:paraId="12C94FED">
      <w:pPr>
        <w:pStyle w:val="24"/>
        <w:spacing w:line="500" w:lineRule="exact"/>
        <w:ind w:left="25" w:leftChars="12" w:firstLine="420" w:firstLineChars="200"/>
        <w:rPr>
          <w:rFonts w:hint="eastAsia" w:hAnsi="宋体" w:cs="宋体"/>
          <w:color w:val="auto"/>
          <w:sz w:val="21"/>
          <w:highlight w:val="none"/>
        </w:rPr>
      </w:pPr>
      <w:r>
        <w:rPr>
          <w:rFonts w:hint="eastAsia" w:hAnsi="宋体" w:cs="宋体"/>
          <w:color w:val="auto"/>
          <w:sz w:val="21"/>
          <w:highlight w:val="none"/>
        </w:rPr>
        <w:t>投诉人于</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日，向</w:t>
      </w:r>
      <w:r>
        <w:rPr>
          <w:rFonts w:hint="eastAsia" w:hAnsi="宋体" w:cs="宋体"/>
          <w:color w:val="auto"/>
          <w:sz w:val="21"/>
          <w:highlight w:val="none"/>
          <w:u w:val="single"/>
        </w:rPr>
        <w:t xml:space="preserve">                                </w:t>
      </w:r>
      <w:r>
        <w:rPr>
          <w:rFonts w:hint="eastAsia" w:hAnsi="宋体" w:cs="宋体"/>
          <w:color w:val="auto"/>
          <w:sz w:val="21"/>
          <w:highlight w:val="none"/>
        </w:rPr>
        <w:t>提出质疑，质疑事项为：</w:t>
      </w:r>
    </w:p>
    <w:p w14:paraId="39286FA1">
      <w:pPr>
        <w:pStyle w:val="24"/>
        <w:spacing w:line="500" w:lineRule="exact"/>
        <w:ind w:firstLine="241"/>
        <w:rPr>
          <w:rFonts w:hint="eastAsia" w:hAnsi="宋体" w:cs="宋体"/>
          <w:bCs/>
          <w:color w:val="auto"/>
          <w:sz w:val="21"/>
          <w:highlight w:val="none"/>
          <w:u w:val="single"/>
        </w:rPr>
      </w:pP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1B06930B">
      <w:pPr>
        <w:pStyle w:val="24"/>
        <w:spacing w:line="500" w:lineRule="exact"/>
        <w:ind w:firstLine="241"/>
        <w:rPr>
          <w:rFonts w:hint="eastAsia" w:hAnsi="宋体" w:cs="宋体"/>
          <w:bCs/>
          <w:color w:val="auto"/>
          <w:sz w:val="21"/>
          <w:highlight w:val="none"/>
          <w:u w:val="single"/>
        </w:rPr>
      </w:pPr>
      <w:r>
        <w:rPr>
          <w:rFonts w:hint="eastAsia" w:hAnsi="宋体" w:cs="宋体"/>
          <w:bCs/>
          <w:color w:val="auto"/>
          <w:sz w:val="21"/>
          <w:highlight w:val="none"/>
        </w:rPr>
        <w:t xml:space="preserve">    </w:t>
      </w:r>
      <w:r>
        <w:rPr>
          <w:rFonts w:hint="eastAsia" w:hAnsi="宋体" w:cs="宋体"/>
          <w:bCs/>
          <w:color w:val="auto"/>
          <w:sz w:val="21"/>
          <w:highlight w:val="none"/>
          <w:u w:val="single"/>
        </w:rPr>
        <w:t xml:space="preserve">                                                                                      </w:t>
      </w:r>
    </w:p>
    <w:p w14:paraId="74DA0033">
      <w:pPr>
        <w:pStyle w:val="24"/>
        <w:spacing w:line="500" w:lineRule="exact"/>
        <w:ind w:firstLine="420" w:firstLineChars="200"/>
        <w:rPr>
          <w:rFonts w:hint="eastAsia" w:hAnsi="宋体" w:cs="宋体"/>
          <w:color w:val="auto"/>
          <w:sz w:val="21"/>
          <w:highlight w:val="none"/>
        </w:rPr>
      </w:pPr>
      <w:r>
        <w:rPr>
          <w:rFonts w:hint="eastAsia" w:hAnsi="宋体" w:cs="宋体"/>
          <w:bCs/>
          <w:color w:val="auto"/>
          <w:sz w:val="21"/>
          <w:highlight w:val="none"/>
          <w:u w:val="single"/>
        </w:rPr>
        <w:t>采购人/代理机构</w:t>
      </w:r>
      <w:r>
        <w:rPr>
          <w:rFonts w:hint="eastAsia" w:hAnsi="宋体" w:cs="宋体"/>
          <w:bCs/>
          <w:color w:val="auto"/>
          <w:sz w:val="21"/>
          <w:highlight w:val="none"/>
        </w:rPr>
        <w:t>于</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w:t>
      </w:r>
      <w:r>
        <w:rPr>
          <w:rFonts w:hint="eastAsia" w:hAnsi="宋体" w:cs="宋体"/>
          <w:bCs/>
          <w:color w:val="auto"/>
          <w:sz w:val="21"/>
          <w:highlight w:val="none"/>
        </w:rPr>
        <w:t xml:space="preserve">就质疑事项作出了答复/没有在法定期限内作出答复。                                                                                             </w:t>
      </w:r>
    </w:p>
    <w:p w14:paraId="79EC8628">
      <w:pPr>
        <w:pStyle w:val="24"/>
        <w:spacing w:line="500" w:lineRule="exact"/>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四、投诉事项具体内容</w:t>
      </w:r>
    </w:p>
    <w:p w14:paraId="7C8F5138">
      <w:pPr>
        <w:pStyle w:val="24"/>
        <w:spacing w:line="500" w:lineRule="exact"/>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投诉事项1：</w:t>
      </w:r>
      <w:r>
        <w:rPr>
          <w:rFonts w:hint="eastAsia" w:hAnsi="宋体" w:cs="宋体"/>
          <w:bCs/>
          <w:color w:val="auto"/>
          <w:sz w:val="21"/>
          <w:highlight w:val="none"/>
          <w:u w:val="single"/>
        </w:rPr>
        <w:t xml:space="preserve">                                                                           </w:t>
      </w:r>
    </w:p>
    <w:p w14:paraId="37AC4F10">
      <w:pPr>
        <w:pStyle w:val="24"/>
        <w:spacing w:line="500" w:lineRule="exact"/>
        <w:ind w:firstLine="420" w:firstLineChars="200"/>
        <w:rPr>
          <w:rFonts w:hint="eastAsia" w:hAnsi="宋体" w:cs="宋体"/>
          <w:bCs/>
          <w:color w:val="auto"/>
          <w:sz w:val="21"/>
          <w:highlight w:val="none"/>
          <w:u w:val="single"/>
        </w:rPr>
      </w:pPr>
      <w:r>
        <w:rPr>
          <w:rFonts w:hint="eastAsia" w:hAnsi="宋体" w:cs="宋体"/>
          <w:bCs/>
          <w:color w:val="auto"/>
          <w:sz w:val="21"/>
          <w:highlight w:val="none"/>
        </w:rPr>
        <w:t>事实依据：</w:t>
      </w: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16B2E261">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u w:val="single"/>
        </w:rPr>
        <w:t xml:space="preserve">                                                                                        </w:t>
      </w:r>
    </w:p>
    <w:p w14:paraId="70AAFBC2">
      <w:pPr>
        <w:pStyle w:val="24"/>
        <w:spacing w:line="500" w:lineRule="exact"/>
        <w:ind w:firstLine="420" w:firstLineChars="200"/>
        <w:rPr>
          <w:rFonts w:hint="eastAsia" w:hAnsi="宋体" w:cs="宋体"/>
          <w:bCs/>
          <w:color w:val="auto"/>
          <w:sz w:val="21"/>
          <w:highlight w:val="none"/>
          <w:u w:val="single"/>
        </w:rPr>
      </w:pPr>
      <w:r>
        <w:rPr>
          <w:rFonts w:hint="eastAsia" w:hAnsi="宋体" w:cs="宋体"/>
          <w:bCs/>
          <w:color w:val="auto"/>
          <w:sz w:val="21"/>
          <w:highlight w:val="none"/>
        </w:rPr>
        <w:t>法律依据：</w:t>
      </w: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2D72A762">
      <w:pPr>
        <w:pStyle w:val="24"/>
        <w:spacing w:line="500" w:lineRule="exact"/>
        <w:ind w:left="25" w:leftChars="12" w:firstLine="308" w:firstLineChars="147"/>
        <w:rPr>
          <w:rFonts w:hint="eastAsia" w:hAnsi="宋体" w:cs="宋体"/>
          <w:bCs/>
          <w:color w:val="auto"/>
          <w:sz w:val="21"/>
          <w:highlight w:val="none"/>
          <w:u w:val="single"/>
        </w:rPr>
      </w:pPr>
      <w:r>
        <w:rPr>
          <w:rFonts w:hint="eastAsia" w:hAnsi="宋体" w:cs="宋体"/>
          <w:bCs/>
          <w:color w:val="auto"/>
          <w:sz w:val="21"/>
          <w:highlight w:val="none"/>
        </w:rPr>
        <w:t xml:space="preserve"> </w:t>
      </w:r>
      <w:r>
        <w:rPr>
          <w:rFonts w:hint="eastAsia" w:hAnsi="宋体" w:cs="宋体"/>
          <w:bCs/>
          <w:color w:val="auto"/>
          <w:sz w:val="21"/>
          <w:highlight w:val="none"/>
          <w:u w:val="single"/>
        </w:rPr>
        <w:t xml:space="preserve">                                                                                        </w:t>
      </w:r>
    </w:p>
    <w:p w14:paraId="67DFBAC3">
      <w:pPr>
        <w:pStyle w:val="24"/>
        <w:spacing w:line="500" w:lineRule="exact"/>
        <w:ind w:left="25" w:leftChars="12" w:firstLine="413" w:firstLineChars="197"/>
        <w:rPr>
          <w:rFonts w:hint="eastAsia" w:hAnsi="宋体" w:cs="宋体"/>
          <w:bCs/>
          <w:color w:val="auto"/>
          <w:sz w:val="21"/>
          <w:highlight w:val="none"/>
        </w:rPr>
      </w:pPr>
      <w:r>
        <w:rPr>
          <w:rFonts w:hint="eastAsia" w:hAnsi="宋体" w:cs="宋体"/>
          <w:color w:val="auto"/>
          <w:sz w:val="21"/>
          <w:highlight w:val="none"/>
        </w:rPr>
        <w:t xml:space="preserve">投诉事项2  </w:t>
      </w:r>
      <w:r>
        <w:rPr>
          <w:rFonts w:hint="eastAsia" w:hAnsi="宋体" w:cs="宋体"/>
          <w:bCs/>
          <w:color w:val="auto"/>
          <w:sz w:val="21"/>
          <w:highlight w:val="none"/>
        </w:rPr>
        <w:t xml:space="preserve">   </w:t>
      </w:r>
    </w:p>
    <w:p w14:paraId="144337DE">
      <w:pPr>
        <w:pStyle w:val="24"/>
        <w:spacing w:line="500" w:lineRule="exact"/>
        <w:ind w:left="25" w:leftChars="12" w:firstLine="413" w:firstLineChars="197"/>
        <w:rPr>
          <w:rFonts w:hint="eastAsia" w:hAnsi="宋体" w:cs="宋体"/>
          <w:bCs/>
          <w:color w:val="auto"/>
          <w:sz w:val="21"/>
          <w:highlight w:val="none"/>
        </w:rPr>
      </w:pPr>
      <w:r>
        <w:rPr>
          <w:rFonts w:hint="eastAsia" w:hAnsi="宋体" w:cs="宋体"/>
          <w:bCs/>
          <w:color w:val="auto"/>
          <w:sz w:val="21"/>
          <w:highlight w:val="none"/>
        </w:rPr>
        <w:t>……</w:t>
      </w:r>
    </w:p>
    <w:p w14:paraId="793743FE">
      <w:pPr>
        <w:pStyle w:val="24"/>
        <w:spacing w:line="500" w:lineRule="exact"/>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五、与投诉事项相关的投诉请求：</w:t>
      </w:r>
    </w:p>
    <w:p w14:paraId="1AD57853">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请求：</w:t>
      </w:r>
      <w:r>
        <w:rPr>
          <w:rFonts w:hint="eastAsia" w:hAnsi="宋体" w:cs="宋体"/>
          <w:bCs/>
          <w:color w:val="auto"/>
          <w:sz w:val="21"/>
          <w:highlight w:val="none"/>
          <w:u w:val="single"/>
        </w:rPr>
        <w:t xml:space="preserve">                                                                                 </w:t>
      </w:r>
    </w:p>
    <w:p w14:paraId="73A6FCAD">
      <w:pPr>
        <w:pStyle w:val="24"/>
        <w:spacing w:line="500" w:lineRule="exact"/>
        <w:ind w:left="25" w:leftChars="12" w:firstLine="308" w:firstLineChars="147"/>
        <w:rPr>
          <w:rFonts w:hint="eastAsia" w:hAnsi="宋体" w:cs="宋体"/>
          <w:color w:val="auto"/>
          <w:sz w:val="21"/>
          <w:highlight w:val="none"/>
        </w:rPr>
      </w:pPr>
    </w:p>
    <w:p w14:paraId="7E4ABEA6">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签字（签章）：                                       公章：</w:t>
      </w:r>
    </w:p>
    <w:p w14:paraId="16FB97B5">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日期：</w:t>
      </w:r>
    </w:p>
    <w:p w14:paraId="1BE2834D">
      <w:pPr>
        <w:pStyle w:val="24"/>
        <w:spacing w:line="500" w:lineRule="exact"/>
        <w:ind w:left="25" w:leftChars="12" w:firstLine="413" w:firstLineChars="197"/>
        <w:rPr>
          <w:rFonts w:hint="eastAsia" w:hAnsi="宋体" w:cs="宋体"/>
          <w:b/>
          <w:color w:val="auto"/>
          <w:sz w:val="21"/>
          <w:highlight w:val="none"/>
        </w:rPr>
      </w:pPr>
      <w:r>
        <w:rPr>
          <w:rFonts w:hint="eastAsia" w:hAnsi="宋体" w:cs="宋体"/>
          <w:bCs/>
          <w:color w:val="auto"/>
          <w:sz w:val="21"/>
          <w:highlight w:val="none"/>
        </w:rPr>
        <w:t xml:space="preserve">                                                                                </w:t>
      </w:r>
      <w:r>
        <w:rPr>
          <w:rFonts w:hint="eastAsia" w:hAnsi="宋体" w:cs="宋体"/>
          <w:b/>
          <w:color w:val="auto"/>
          <w:sz w:val="21"/>
          <w:highlight w:val="none"/>
        </w:rPr>
        <w:t>说明：</w:t>
      </w:r>
    </w:p>
    <w:p w14:paraId="3CFD0C4B">
      <w:pPr>
        <w:pStyle w:val="24"/>
        <w:spacing w:line="500" w:lineRule="exact"/>
        <w:ind w:left="25" w:leftChars="12" w:firstLine="310" w:firstLineChars="147"/>
        <w:rPr>
          <w:rFonts w:hint="eastAsia" w:hAnsi="宋体" w:cs="宋体"/>
          <w:b/>
          <w:bCs/>
          <w:color w:val="auto"/>
          <w:sz w:val="21"/>
          <w:highlight w:val="none"/>
        </w:rPr>
      </w:pPr>
      <w:r>
        <w:rPr>
          <w:rFonts w:hint="eastAsia" w:hAnsi="宋体" w:cs="宋体"/>
          <w:b/>
          <w:color w:val="auto"/>
          <w:sz w:val="21"/>
          <w:highlight w:val="none"/>
        </w:rPr>
        <w:t>1.投诉人提起投诉时，应当提交投诉书和必要的证明材料，并按照被投诉人和与投诉事项有关的供应商数量提供投诉书副本</w:t>
      </w:r>
      <w:r>
        <w:rPr>
          <w:rFonts w:hint="eastAsia" w:hAnsi="宋体" w:cs="宋体"/>
          <w:b/>
          <w:bCs/>
          <w:color w:val="auto"/>
          <w:sz w:val="21"/>
          <w:highlight w:val="none"/>
        </w:rPr>
        <w:t>。</w:t>
      </w:r>
    </w:p>
    <w:p w14:paraId="4DF5B95A">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E255360">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3.投诉书应简要列明质疑事项，质疑函、质疑答复等</w:t>
      </w:r>
      <w:r>
        <w:rPr>
          <w:rFonts w:hint="eastAsia" w:hAnsi="宋体" w:cs="宋体"/>
          <w:b/>
          <w:color w:val="auto"/>
          <w:sz w:val="21"/>
          <w:highlight w:val="none"/>
          <w:lang w:eastAsia="zh-CN"/>
        </w:rPr>
        <w:t>做为</w:t>
      </w:r>
      <w:r>
        <w:rPr>
          <w:rFonts w:hint="eastAsia" w:hAnsi="宋体" w:cs="宋体"/>
          <w:b/>
          <w:color w:val="auto"/>
          <w:sz w:val="21"/>
          <w:highlight w:val="none"/>
        </w:rPr>
        <w:t>附件材料提供。</w:t>
      </w:r>
    </w:p>
    <w:p w14:paraId="2A942B0A">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4.投诉书的投诉事项应具体、明确，并有必要的事实依据和法律依据。</w:t>
      </w:r>
    </w:p>
    <w:p w14:paraId="1A711CB9">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5.投诉书的投诉请求应与投诉事项相关。</w:t>
      </w:r>
    </w:p>
    <w:p w14:paraId="5275B413">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6.投诉人为法人或者其他组织的，投诉书应由法定代表人、主要负责人，或者其授权代表签字或者盖章，并加盖公章。</w:t>
      </w:r>
    </w:p>
    <w:p w14:paraId="6F1E3369">
      <w:pPr>
        <w:rPr>
          <w:rFonts w:hint="eastAsia" w:ascii="宋体" w:hAnsi="宋体" w:cs="宋体"/>
          <w:color w:val="auto"/>
          <w:highlight w:val="none"/>
        </w:rPr>
      </w:pPr>
      <w:r>
        <w:rPr>
          <w:rFonts w:hint="eastAsia" w:hAnsi="宋体" w:cs="宋体"/>
          <w:b/>
          <w:color w:val="auto"/>
          <w:sz w:val="21"/>
          <w:highlight w:val="none"/>
        </w:rPr>
        <w:br w:type="page"/>
      </w:r>
      <w:r>
        <w:rPr>
          <w:rFonts w:hint="eastAsia" w:ascii="宋体" w:hAnsi="宋体" w:cs="宋体"/>
          <w:b/>
          <w:bCs/>
          <w:color w:val="auto"/>
          <w:sz w:val="28"/>
          <w:szCs w:val="28"/>
          <w:highlight w:val="none"/>
        </w:rPr>
        <w:t>保证金退还申请（格式）</w:t>
      </w:r>
      <w:r>
        <w:rPr>
          <w:rFonts w:hint="eastAsia" w:ascii="宋体" w:hAnsi="宋体" w:cs="宋体"/>
          <w:b/>
          <w:bCs/>
          <w:color w:val="auto"/>
          <w:highlight w:val="none"/>
        </w:rPr>
        <w:t>：</w:t>
      </w:r>
      <w:r>
        <w:rPr>
          <w:rFonts w:hint="eastAsia" w:ascii="宋体" w:hAnsi="宋体" w:cs="宋体"/>
          <w:color w:val="auto"/>
          <w:sz w:val="28"/>
          <w:szCs w:val="28"/>
          <w:highlight w:val="none"/>
        </w:rPr>
        <w:t>供参考</w:t>
      </w:r>
    </w:p>
    <w:p w14:paraId="7EC4F618">
      <w:pPr>
        <w:jc w:val="center"/>
        <w:rPr>
          <w:rFonts w:hint="eastAsia" w:ascii="宋体" w:hAnsi="宋体" w:cs="宋体"/>
          <w:color w:val="auto"/>
          <w:sz w:val="32"/>
          <w:szCs w:val="32"/>
          <w:highlight w:val="none"/>
        </w:rPr>
      </w:pPr>
    </w:p>
    <w:p w14:paraId="2301061A">
      <w:pPr>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退</w:t>
      </w:r>
      <w:r>
        <w:rPr>
          <w:rFonts w:hint="eastAsia" w:ascii="宋体" w:hAnsi="宋体" w:cs="宋体"/>
          <w:color w:val="auto"/>
          <w:sz w:val="32"/>
          <w:szCs w:val="32"/>
          <w:highlight w:val="none"/>
          <w:lang w:eastAsia="zh-CN"/>
        </w:rPr>
        <w:t>还</w:t>
      </w:r>
      <w:r>
        <w:rPr>
          <w:rFonts w:hint="eastAsia" w:ascii="宋体" w:hAnsi="宋体" w:cs="宋体"/>
          <w:color w:val="auto"/>
          <w:sz w:val="32"/>
          <w:szCs w:val="32"/>
          <w:highlight w:val="none"/>
        </w:rPr>
        <w:t>保证金申请函</w:t>
      </w:r>
    </w:p>
    <w:p w14:paraId="5E4F7EF2">
      <w:pPr>
        <w:rPr>
          <w:rFonts w:hint="eastAsia" w:ascii="宋体" w:hAnsi="宋体" w:cs="宋体"/>
          <w:color w:val="auto"/>
          <w:highlight w:val="none"/>
        </w:rPr>
      </w:pPr>
    </w:p>
    <w:p w14:paraId="50E168D3">
      <w:pPr>
        <w:spacing w:line="360" w:lineRule="auto"/>
        <w:rPr>
          <w:rFonts w:hint="eastAsia" w:ascii="宋体" w:hAnsi="宋体" w:cs="宋体"/>
          <w:color w:val="auto"/>
          <w:sz w:val="24"/>
          <w:highlight w:val="none"/>
        </w:rPr>
      </w:pPr>
      <w:r>
        <w:rPr>
          <w:rFonts w:hint="eastAsia" w:ascii="宋体" w:hAnsi="宋体" w:cs="宋体"/>
          <w:color w:val="auto"/>
          <w:sz w:val="24"/>
          <w:highlight w:val="none"/>
        </w:rPr>
        <w:t>广西中信恒泰工程顾问有限公司：</w:t>
      </w:r>
    </w:p>
    <w:p w14:paraId="0A0AE4A4">
      <w:pPr>
        <w:spacing w:line="360" w:lineRule="auto"/>
        <w:ind w:firstLine="660"/>
        <w:rPr>
          <w:rFonts w:hint="eastAsia" w:ascii="宋体" w:hAnsi="宋体" w:cs="宋体"/>
          <w:color w:val="auto"/>
          <w:sz w:val="24"/>
          <w:highlight w:val="none"/>
        </w:rPr>
      </w:pPr>
      <w:r>
        <w:rPr>
          <w:rFonts w:hint="eastAsia" w:ascii="宋体" w:hAnsi="宋体" w:cs="宋体"/>
          <w:color w:val="auto"/>
          <w:sz w:val="24"/>
          <w:highlight w:val="none"/>
        </w:rPr>
        <w:t>兹有我单位参加贵公司组织采购的</w:t>
      </w:r>
      <w:r>
        <w:rPr>
          <w:rFonts w:hint="eastAsia" w:ascii="宋体" w:hAnsi="宋体" w:cs="宋体"/>
          <w:color w:val="auto"/>
          <w:sz w:val="24"/>
          <w:highlight w:val="none"/>
          <w:u w:val="single"/>
        </w:rPr>
        <w:t xml:space="preserve">      项目（项目编号：    ）</w:t>
      </w:r>
      <w:r>
        <w:rPr>
          <w:rFonts w:hint="eastAsia" w:ascii="宋体" w:hAnsi="宋体" w:cs="宋体"/>
          <w:color w:val="auto"/>
          <w:sz w:val="24"/>
          <w:highlight w:val="none"/>
        </w:rPr>
        <w:t>的</w:t>
      </w:r>
      <w:r>
        <w:rPr>
          <w:rFonts w:hint="eastAsia" w:ascii="宋体" w:hAnsi="宋体" w:cs="宋体"/>
          <w:color w:val="auto"/>
          <w:sz w:val="24"/>
          <w:highlight w:val="none"/>
          <w:lang w:eastAsia="zh-CN"/>
        </w:rPr>
        <w:t>投标</w:t>
      </w:r>
      <w:r>
        <w:rPr>
          <w:rFonts w:hint="eastAsia" w:ascii="宋体" w:hAnsi="宋体" w:cs="宋体"/>
          <w:color w:val="auto"/>
          <w:sz w:val="24"/>
          <w:highlight w:val="none"/>
        </w:rPr>
        <w:t>，于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日以</w:t>
      </w:r>
      <w:r>
        <w:rPr>
          <w:rFonts w:hint="eastAsia" w:ascii="宋体" w:hAnsi="宋体" w:cs="宋体"/>
          <w:color w:val="auto"/>
          <w:sz w:val="24"/>
          <w:highlight w:val="none"/>
          <w:u w:val="single"/>
        </w:rPr>
        <w:t xml:space="preserve"> 转账 </w:t>
      </w:r>
      <w:r>
        <w:rPr>
          <w:rFonts w:hint="eastAsia" w:ascii="宋体" w:hAnsi="宋体" w:cs="宋体"/>
          <w:color w:val="auto"/>
          <w:sz w:val="24"/>
          <w:highlight w:val="none"/>
        </w:rPr>
        <w:t>形式缴纳</w:t>
      </w:r>
      <w:r>
        <w:rPr>
          <w:rFonts w:hint="eastAsia" w:ascii="宋体" w:hAnsi="宋体" w:cs="宋体"/>
          <w:color w:val="auto"/>
          <w:sz w:val="24"/>
          <w:highlight w:val="none"/>
          <w:lang w:eastAsia="zh-CN"/>
        </w:rPr>
        <w:t>投标</w:t>
      </w:r>
      <w:r>
        <w:rPr>
          <w:rFonts w:hint="eastAsia" w:ascii="宋体" w:hAnsi="宋体" w:cs="宋体"/>
          <w:color w:val="auto"/>
          <w:sz w:val="24"/>
          <w:highlight w:val="none"/>
        </w:rPr>
        <w:t>保证金</w:t>
      </w:r>
      <w:r>
        <w:rPr>
          <w:rFonts w:hint="eastAsia" w:ascii="宋体" w:hAnsi="宋体" w:cs="宋体"/>
          <w:color w:val="auto"/>
          <w:sz w:val="24"/>
          <w:highlight w:val="none"/>
          <w:u w:val="single"/>
        </w:rPr>
        <w:t xml:space="preserve">       元整（¥     ）</w:t>
      </w:r>
      <w:r>
        <w:rPr>
          <w:rFonts w:hint="eastAsia" w:ascii="宋体" w:hAnsi="宋体" w:cs="宋体"/>
          <w:color w:val="auto"/>
          <w:sz w:val="24"/>
          <w:highlight w:val="none"/>
        </w:rPr>
        <w:t>，该项目于</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日开标，本单位</w:t>
      </w:r>
      <w:r>
        <w:rPr>
          <w:rFonts w:hint="eastAsia" w:ascii="宋体" w:hAnsi="宋体" w:cs="宋体"/>
          <w:color w:val="auto"/>
          <w:sz w:val="24"/>
          <w:highlight w:val="none"/>
          <w:u w:val="single"/>
        </w:rPr>
        <w:t>中标/不中标</w:t>
      </w:r>
      <w:r>
        <w:rPr>
          <w:rFonts w:hint="eastAsia" w:ascii="宋体" w:hAnsi="宋体" w:cs="宋体"/>
          <w:color w:val="auto"/>
          <w:sz w:val="24"/>
          <w:highlight w:val="none"/>
        </w:rPr>
        <w:t>，请贵公司将该项</w:t>
      </w:r>
      <w:r>
        <w:rPr>
          <w:rFonts w:hint="eastAsia" w:ascii="宋体" w:hAnsi="宋体" w:cs="宋体"/>
          <w:color w:val="auto"/>
          <w:sz w:val="24"/>
          <w:highlight w:val="none"/>
          <w:lang w:eastAsia="zh-CN"/>
        </w:rPr>
        <w:t>投标</w:t>
      </w:r>
      <w:r>
        <w:rPr>
          <w:rFonts w:hint="eastAsia" w:ascii="宋体" w:hAnsi="宋体" w:cs="宋体"/>
          <w:color w:val="auto"/>
          <w:sz w:val="24"/>
          <w:highlight w:val="none"/>
        </w:rPr>
        <w:t>保证金给予办理退还，并退还到我单位以下账户中：</w:t>
      </w:r>
    </w:p>
    <w:p w14:paraId="16C0CE2B">
      <w:pPr>
        <w:spacing w:line="360" w:lineRule="auto"/>
        <w:ind w:firstLine="660"/>
        <w:rPr>
          <w:rFonts w:hint="eastAsia" w:ascii="宋体" w:hAnsi="宋体" w:cs="宋体"/>
          <w:color w:val="auto"/>
          <w:sz w:val="24"/>
          <w:highlight w:val="none"/>
        </w:rPr>
      </w:pPr>
      <w:r>
        <w:rPr>
          <w:rFonts w:hint="eastAsia" w:ascii="宋体" w:hAnsi="宋体" w:cs="宋体"/>
          <w:b/>
          <w:color w:val="auto"/>
          <w:sz w:val="24"/>
          <w:highlight w:val="none"/>
        </w:rPr>
        <w:t>单位名称：</w:t>
      </w:r>
      <w:r>
        <w:rPr>
          <w:rFonts w:hint="eastAsia" w:ascii="宋体" w:hAnsi="宋体" w:cs="宋体"/>
          <w:bCs/>
          <w:color w:val="auto"/>
          <w:sz w:val="24"/>
          <w:highlight w:val="none"/>
        </w:rPr>
        <w:t xml:space="preserve"> </w:t>
      </w:r>
    </w:p>
    <w:p w14:paraId="2EEA7A90">
      <w:pPr>
        <w:spacing w:line="360" w:lineRule="auto"/>
        <w:ind w:firstLine="660"/>
        <w:rPr>
          <w:rFonts w:hint="eastAsia" w:ascii="宋体" w:hAnsi="宋体" w:cs="宋体"/>
          <w:color w:val="auto"/>
          <w:sz w:val="24"/>
          <w:highlight w:val="none"/>
        </w:rPr>
      </w:pPr>
      <w:r>
        <w:rPr>
          <w:rFonts w:hint="eastAsia" w:ascii="宋体" w:hAnsi="宋体" w:cs="宋体"/>
          <w:b/>
          <w:color w:val="auto"/>
          <w:sz w:val="24"/>
          <w:highlight w:val="none"/>
        </w:rPr>
        <w:t>开户银行：</w:t>
      </w:r>
      <w:r>
        <w:rPr>
          <w:rFonts w:hint="eastAsia" w:ascii="宋体" w:hAnsi="宋体" w:cs="宋体"/>
          <w:color w:val="auto"/>
          <w:sz w:val="24"/>
          <w:highlight w:val="none"/>
        </w:rPr>
        <w:t xml:space="preserve">  </w:t>
      </w:r>
    </w:p>
    <w:p w14:paraId="06245E36">
      <w:pPr>
        <w:spacing w:line="360" w:lineRule="auto"/>
        <w:ind w:firstLine="660"/>
        <w:rPr>
          <w:rFonts w:hint="eastAsia" w:ascii="宋体" w:hAnsi="宋体" w:cs="宋体"/>
          <w:color w:val="auto"/>
          <w:sz w:val="24"/>
          <w:highlight w:val="none"/>
        </w:rPr>
      </w:pPr>
      <w:r>
        <w:rPr>
          <w:rFonts w:hint="eastAsia" w:ascii="宋体" w:hAnsi="宋体" w:cs="宋体"/>
          <w:b/>
          <w:color w:val="auto"/>
          <w:sz w:val="24"/>
          <w:highlight w:val="none"/>
        </w:rPr>
        <w:t xml:space="preserve">银行账号： </w:t>
      </w:r>
    </w:p>
    <w:p w14:paraId="5D84C18A">
      <w:pPr>
        <w:spacing w:line="360" w:lineRule="auto"/>
        <w:ind w:firstLine="660"/>
        <w:rPr>
          <w:rFonts w:hint="eastAsia" w:ascii="宋体" w:hAnsi="宋体" w:cs="宋体"/>
          <w:color w:val="auto"/>
          <w:sz w:val="24"/>
          <w:highlight w:val="none"/>
        </w:rPr>
      </w:pPr>
      <w:r>
        <w:rPr>
          <w:rFonts w:hint="eastAsia" w:ascii="宋体" w:hAnsi="宋体" w:cs="宋体"/>
          <w:b/>
          <w:color w:val="auto"/>
          <w:sz w:val="24"/>
          <w:highlight w:val="none"/>
        </w:rPr>
        <w:t>开户地所属省份、市县</w:t>
      </w:r>
      <w:r>
        <w:rPr>
          <w:rFonts w:hint="eastAsia" w:ascii="宋体" w:hAnsi="宋体" w:cs="宋体"/>
          <w:color w:val="auto"/>
          <w:sz w:val="24"/>
          <w:highlight w:val="none"/>
        </w:rPr>
        <w:t>：</w:t>
      </w:r>
    </w:p>
    <w:p w14:paraId="6041AC7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77F6F41E">
      <w:pPr>
        <w:spacing w:line="360" w:lineRule="auto"/>
        <w:jc w:val="right"/>
        <w:rPr>
          <w:rFonts w:hint="eastAsia" w:ascii="宋体" w:hAnsi="宋体" w:cs="宋体"/>
          <w:color w:val="auto"/>
          <w:sz w:val="24"/>
          <w:highlight w:val="none"/>
        </w:rPr>
      </w:pPr>
      <w:r>
        <w:rPr>
          <w:rFonts w:hint="eastAsia" w:ascii="宋体" w:hAnsi="宋体" w:cs="宋体"/>
          <w:color w:val="auto"/>
          <w:sz w:val="24"/>
          <w:highlight w:val="none"/>
        </w:rPr>
        <w:t>供应商全称：</w:t>
      </w:r>
      <w:r>
        <w:rPr>
          <w:rFonts w:hint="eastAsia" w:ascii="宋体" w:hAnsi="宋体" w:cs="宋体"/>
          <w:bCs/>
          <w:color w:val="auto"/>
          <w:sz w:val="24"/>
          <w:highlight w:val="none"/>
        </w:rPr>
        <w:t xml:space="preserve">         </w:t>
      </w:r>
      <w:r>
        <w:rPr>
          <w:rFonts w:hint="eastAsia" w:ascii="宋体" w:hAnsi="宋体" w:cs="宋体"/>
          <w:color w:val="auto"/>
          <w:sz w:val="24"/>
          <w:highlight w:val="none"/>
        </w:rPr>
        <w:t>（加盖公章）</w:t>
      </w:r>
    </w:p>
    <w:p w14:paraId="0878C36F">
      <w:pPr>
        <w:spacing w:line="360" w:lineRule="auto"/>
        <w:jc w:val="right"/>
        <w:rPr>
          <w:rFonts w:hint="eastAsia" w:ascii="宋体" w:hAnsi="宋体" w:cs="宋体"/>
          <w:color w:val="auto"/>
          <w:sz w:val="24"/>
          <w:highlight w:val="none"/>
        </w:rPr>
      </w:pPr>
      <w:r>
        <w:rPr>
          <w:rFonts w:hint="eastAsia" w:ascii="宋体" w:hAnsi="宋体" w:cs="宋体"/>
          <w:color w:val="auto"/>
          <w:sz w:val="24"/>
          <w:highlight w:val="none"/>
        </w:rPr>
        <w:t>时间：    年   月   日</w:t>
      </w:r>
    </w:p>
    <w:p w14:paraId="3FC66ABC">
      <w:pPr>
        <w:spacing w:line="360" w:lineRule="auto"/>
        <w:rPr>
          <w:rFonts w:hint="eastAsia" w:ascii="宋体" w:hAnsi="宋体" w:cs="宋体"/>
          <w:color w:val="auto"/>
          <w:sz w:val="24"/>
          <w:highlight w:val="none"/>
        </w:rPr>
      </w:pPr>
    </w:p>
    <w:p w14:paraId="211ADCD0">
      <w:pPr>
        <w:pStyle w:val="24"/>
        <w:spacing w:line="500" w:lineRule="exact"/>
        <w:ind w:left="25" w:leftChars="12" w:firstLine="354" w:firstLineChars="147"/>
        <w:rPr>
          <w:rFonts w:hint="eastAsia" w:hAnsi="宋体" w:cs="宋体"/>
          <w:b/>
          <w:color w:val="auto"/>
          <w:sz w:val="21"/>
          <w:highlight w:val="none"/>
        </w:rPr>
      </w:pPr>
      <w:r>
        <w:rPr>
          <w:rFonts w:hint="eastAsia" w:ascii="宋体" w:hAnsi="宋体" w:cs="宋体"/>
          <w:b/>
          <w:bCs/>
          <w:color w:val="auto"/>
          <w:sz w:val="24"/>
          <w:highlight w:val="none"/>
        </w:rPr>
        <w:t>说明</w:t>
      </w:r>
      <w:r>
        <w:rPr>
          <w:rFonts w:hint="eastAsia" w:ascii="宋体" w:hAnsi="宋体" w:cs="宋体"/>
          <w:color w:val="auto"/>
          <w:sz w:val="24"/>
          <w:highlight w:val="none"/>
        </w:rPr>
        <w:t>：未</w:t>
      </w:r>
      <w:r>
        <w:rPr>
          <w:rFonts w:hint="eastAsia" w:ascii="宋体" w:hAnsi="宋体" w:cs="宋体"/>
          <w:color w:val="auto"/>
          <w:sz w:val="24"/>
          <w:highlight w:val="none"/>
          <w:lang w:eastAsia="zh-CN"/>
        </w:rPr>
        <w:t>中标</w:t>
      </w:r>
      <w:r>
        <w:rPr>
          <w:rFonts w:hint="eastAsia" w:ascii="宋体" w:hAnsi="宋体" w:cs="宋体"/>
          <w:color w:val="auto"/>
          <w:sz w:val="24"/>
          <w:highlight w:val="none"/>
        </w:rPr>
        <w:t>的供应商的</w:t>
      </w:r>
      <w:r>
        <w:rPr>
          <w:rFonts w:hint="eastAsia" w:ascii="宋体" w:hAnsi="宋体" w:cs="宋体"/>
          <w:color w:val="auto"/>
          <w:sz w:val="24"/>
          <w:highlight w:val="none"/>
          <w:lang w:eastAsia="zh-CN"/>
        </w:rPr>
        <w:t>投标</w:t>
      </w:r>
      <w:r>
        <w:rPr>
          <w:rFonts w:hint="eastAsia" w:ascii="宋体" w:hAnsi="宋体" w:cs="宋体"/>
          <w:color w:val="auto"/>
          <w:sz w:val="24"/>
          <w:highlight w:val="none"/>
        </w:rPr>
        <w:t>保证金于</w:t>
      </w:r>
      <w:r>
        <w:rPr>
          <w:rFonts w:hint="eastAsia" w:ascii="宋体" w:hAnsi="宋体" w:cs="宋体"/>
          <w:color w:val="auto"/>
          <w:sz w:val="24"/>
          <w:highlight w:val="none"/>
          <w:lang w:eastAsia="zh-CN"/>
        </w:rPr>
        <w:t>中标</w:t>
      </w:r>
      <w:r>
        <w:rPr>
          <w:rFonts w:hint="eastAsia" w:ascii="宋体" w:hAnsi="宋体" w:cs="宋体"/>
          <w:color w:val="auto"/>
          <w:sz w:val="24"/>
          <w:highlight w:val="none"/>
        </w:rPr>
        <w:t>通知书发出后退回；</w:t>
      </w:r>
      <w:r>
        <w:rPr>
          <w:rFonts w:hint="eastAsia" w:ascii="宋体" w:hAnsi="宋体" w:cs="宋体"/>
          <w:color w:val="auto"/>
          <w:sz w:val="24"/>
          <w:highlight w:val="none"/>
          <w:lang w:eastAsia="zh-CN"/>
        </w:rPr>
        <w:t>中标人</w:t>
      </w:r>
      <w:r>
        <w:rPr>
          <w:rFonts w:hint="eastAsia" w:ascii="宋体" w:hAnsi="宋体" w:cs="宋体"/>
          <w:color w:val="auto"/>
          <w:sz w:val="24"/>
          <w:highlight w:val="none"/>
        </w:rPr>
        <w:t>按要求与采购人签署合同并将合同交采购代理机构后可申请退回其</w:t>
      </w:r>
      <w:r>
        <w:rPr>
          <w:rFonts w:hint="eastAsia" w:ascii="宋体" w:hAnsi="宋体" w:cs="宋体"/>
          <w:color w:val="auto"/>
          <w:sz w:val="24"/>
          <w:highlight w:val="none"/>
          <w:lang w:eastAsia="zh-CN"/>
        </w:rPr>
        <w:t>投标</w:t>
      </w:r>
      <w:r>
        <w:rPr>
          <w:rFonts w:hint="eastAsia" w:ascii="宋体" w:hAnsi="宋体" w:cs="宋体"/>
          <w:color w:val="auto"/>
          <w:sz w:val="24"/>
          <w:highlight w:val="none"/>
        </w:rPr>
        <w:t>保证金；</w:t>
      </w:r>
      <w:r>
        <w:rPr>
          <w:rFonts w:hint="eastAsia" w:ascii="宋体" w:hAnsi="宋体" w:cs="宋体"/>
          <w:color w:val="auto"/>
          <w:sz w:val="24"/>
          <w:highlight w:val="none"/>
          <w:lang w:eastAsia="zh-CN"/>
        </w:rPr>
        <w:t>中标人</w:t>
      </w:r>
      <w:r>
        <w:rPr>
          <w:rFonts w:hint="eastAsia" w:ascii="宋体" w:hAnsi="宋体" w:cs="宋体"/>
          <w:color w:val="auto"/>
          <w:sz w:val="24"/>
          <w:highlight w:val="none"/>
        </w:rPr>
        <w:t>需提交</w:t>
      </w:r>
      <w:r>
        <w:rPr>
          <w:rFonts w:hint="eastAsia" w:ascii="宋体" w:hAnsi="宋体" w:cs="宋体"/>
          <w:color w:val="auto"/>
          <w:sz w:val="24"/>
          <w:highlight w:val="none"/>
          <w:lang w:eastAsia="zh-CN"/>
        </w:rPr>
        <w:t>采购</w:t>
      </w:r>
      <w:r>
        <w:rPr>
          <w:rFonts w:hint="eastAsia" w:ascii="宋体" w:hAnsi="宋体" w:cs="宋体"/>
          <w:color w:val="auto"/>
          <w:sz w:val="24"/>
          <w:highlight w:val="none"/>
        </w:rPr>
        <w:t>合同原件或复印件（复印件须加盖公章）。</w:t>
      </w:r>
    </w:p>
    <w:sectPr>
      <w:pgSz w:w="11906" w:h="16838"/>
      <w:pgMar w:top="1134" w:right="1188" w:bottom="1559" w:left="167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81E963F-475B-4D7E-B9E3-276659B60D2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2FE97150-431E-4717-BAA1-C74FBEDE484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53633585-C15D-4768-A449-88ECB7EF7BFC}"/>
  </w:font>
  <w:font w:name="Cambria">
    <w:panose1 w:val="02040503050406030204"/>
    <w:charset w:val="00"/>
    <w:family w:val="roman"/>
    <w:pitch w:val="default"/>
    <w:sig w:usb0="E00006FF" w:usb1="420024FF" w:usb2="02000000" w:usb3="00000000" w:csb0="2000019F" w:csb1="0000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4" w:fontKey="{1E83C39A-59E5-4933-9A6F-44B065DF5292}"/>
  </w:font>
  <w:font w:name="Tahoma">
    <w:panose1 w:val="020B0604030504040204"/>
    <w:charset w:val="00"/>
    <w:family w:val="swiss"/>
    <w:pitch w:val="default"/>
    <w:sig w:usb0="E1002EFF" w:usb1="C000605B" w:usb2="00000029" w:usb3="00000000" w:csb0="200101FF" w:csb1="20280000"/>
    <w:embedRegular r:id="rId5" w:fontKey="{45375703-702B-4F4B-A54A-2CA5E9E325A8}"/>
  </w:font>
  <w:font w:name="Arial Unicode MS">
    <w:altName w:val="宋体"/>
    <w:panose1 w:val="020B0604020202020204"/>
    <w:charset w:val="86"/>
    <w:family w:val="swiss"/>
    <w:pitch w:val="default"/>
    <w:sig w:usb0="00000000" w:usb1="00000000" w:usb2="0000003F" w:usb3="00000000" w:csb0="603F01FF" w:csb1="FFFF0000"/>
  </w:font>
  <w:font w:name="Century">
    <w:altName w:val="Times New Roman"/>
    <w:panose1 w:val="02040604050505020304"/>
    <w:charset w:val="00"/>
    <w:family w:val="roman"/>
    <w:pitch w:val="default"/>
    <w:sig w:usb0="00000000" w:usb1="000000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embedRegular r:id="rId6" w:fontKey="{FED0F6AD-02CB-4785-BCFC-FC5A43FF4BF1}"/>
  </w:font>
  <w:font w:name="Wingdings 2">
    <w:panose1 w:val="05020102010507070707"/>
    <w:charset w:val="02"/>
    <w:family w:val="auto"/>
    <w:pitch w:val="default"/>
    <w:sig w:usb0="00000000" w:usb1="00000000" w:usb2="00000000" w:usb3="00000000" w:csb0="80000000" w:csb1="00000000"/>
    <w:embedRegular r:id="rId7" w:fontKey="{91AED5BD-1C10-47F1-B5F3-5A61AEADF0BD}"/>
  </w:font>
  <w:font w:name="MS Mincho">
    <w:panose1 w:val="02020609040205080304"/>
    <w:charset w:val="80"/>
    <w:family w:val="modern"/>
    <w:pitch w:val="default"/>
    <w:sig w:usb0="E00002FF" w:usb1="6AC7FDFB" w:usb2="00000012" w:usb3="00000000" w:csb0="4002009F" w:csb1="DFD70000"/>
    <w:embedRegular r:id="rId8" w:fontKey="{7B6452CD-FE16-40C2-9C30-13432013A984}"/>
  </w:font>
  <w:font w:name="WPSEMBED3">
    <w:panose1 w:val="05020102010507070707"/>
    <w:charset w:val="00"/>
    <w:family w:val="auto"/>
    <w:pitch w:val="default"/>
    <w:sig w:usb0="00000000" w:usb1="00000000" w:usb2="00000000" w:usb3="00000000" w:csb0="80000000" w:csb1="00000000"/>
  </w:font>
  <w:font w:name="WPSEMBED4">
    <w:panose1 w:val="02020609040205080304"/>
    <w:charset w:val="80"/>
    <w:family w:val="auto"/>
    <w:pitch w:val="default"/>
    <w:sig w:usb0="E00002FF" w:usb1="6AC7FDFB" w:usb2="00000012" w:usb3="00000000" w:csb0="4002009F" w:csb1="DFD70000"/>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208FA">
    <w:pPr>
      <w:pStyle w:val="30"/>
      <w:jc w:val="center"/>
    </w:pPr>
  </w:p>
  <w:p w14:paraId="0AE3E780">
    <w:pPr>
      <w:pStyle w:val="3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E873B">
    <w:pPr>
      <w:pStyle w:val="30"/>
      <w:framePr w:wrap="around" w:vAnchor="text" w:hAnchor="margin" w:xAlign="center" w:y="1"/>
      <w:rPr>
        <w:rStyle w:val="50"/>
      </w:rPr>
    </w:pPr>
    <w:r>
      <w:fldChar w:fldCharType="begin"/>
    </w:r>
    <w:r>
      <w:rPr>
        <w:rStyle w:val="50"/>
      </w:rPr>
      <w:instrText xml:space="preserve">PAGE  </w:instrText>
    </w:r>
    <w:r>
      <w:fldChar w:fldCharType="end"/>
    </w:r>
  </w:p>
  <w:p w14:paraId="08B8D33F">
    <w:pPr>
      <w:pStyle w:val="3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1BC1E">
    <w:pPr>
      <w:pStyle w:val="30"/>
      <w:framePr w:wrap="around" w:vAnchor="text" w:hAnchor="margin" w:xAlign="right" w:y="1"/>
      <w:rPr>
        <w:rStyle w:val="50"/>
      </w:rPr>
    </w:pPr>
    <w:r>
      <w:fldChar w:fldCharType="begin"/>
    </w:r>
    <w:r>
      <w:rPr>
        <w:rStyle w:val="50"/>
      </w:rPr>
      <w:instrText xml:space="preserve">PAGE  </w:instrText>
    </w:r>
    <w:r>
      <w:fldChar w:fldCharType="separate"/>
    </w:r>
    <w:r>
      <w:rPr>
        <w:rStyle w:val="50"/>
      </w:rPr>
      <w:t>122</w:t>
    </w:r>
    <w:r>
      <w:fldChar w:fldCharType="end"/>
    </w:r>
  </w:p>
  <w:p w14:paraId="0FE7A3F2">
    <w:pPr>
      <w:pStyle w:val="30"/>
      <w:ind w:right="360"/>
      <w:jc w:val="both"/>
      <w:rPr>
        <w:rFonts w:hint="eastAsia"/>
      </w:rPr>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16203">
    <w:pPr>
      <w:pStyle w:val="3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0F0D37">
                          <w:pPr>
                            <w:pStyle w:val="3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14:paraId="3C0F0D37">
                    <w:pPr>
                      <w:pStyle w:val="30"/>
                    </w:pPr>
                    <w:r>
                      <w:fldChar w:fldCharType="begin"/>
                    </w:r>
                    <w:r>
                      <w:instrText xml:space="preserve"> PAGE  \* MERGEFORMAT </w:instrText>
                    </w:r>
                    <w:r>
                      <w:fldChar w:fldCharType="separate"/>
                    </w:r>
                    <w:r>
                      <w:t>90</w:t>
                    </w:r>
                    <w:r>
                      <w:fldChar w:fldCharType="end"/>
                    </w:r>
                  </w:p>
                </w:txbxContent>
              </v:textbox>
            </v:shape>
          </w:pict>
        </mc:Fallback>
      </mc:AlternateContent>
    </w:r>
  </w:p>
  <w:p w14:paraId="78CEBE9D">
    <w:pPr>
      <w:pStyle w:val="3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D2C73">
    <w:pPr>
      <w:pStyle w:val="30"/>
      <w:framePr w:wrap="around" w:vAnchor="text" w:hAnchor="margin" w:xAlign="center" w:y="1"/>
      <w:rPr>
        <w:rStyle w:val="50"/>
      </w:rPr>
    </w:pPr>
    <w:r>
      <w:fldChar w:fldCharType="begin"/>
    </w:r>
    <w:r>
      <w:rPr>
        <w:rStyle w:val="50"/>
      </w:rPr>
      <w:instrText xml:space="preserve">PAGE  </w:instrText>
    </w:r>
    <w:r>
      <w:fldChar w:fldCharType="end"/>
    </w:r>
  </w:p>
  <w:p w14:paraId="67CD9840">
    <w:pPr>
      <w:pStyle w:val="3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90A9C">
    <w:pPr>
      <w:pStyle w:val="30"/>
      <w:ind w:right="360"/>
      <w:jc w:val="both"/>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4CD997">
                          <w:pPr>
                            <w:pStyle w:val="30"/>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6B4CD997">
                    <w:pPr>
                      <w:pStyle w:val="30"/>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EACC">
    <w:pPr>
      <w:pStyle w:val="30"/>
      <w:jc w:val="center"/>
    </w:pPr>
  </w:p>
  <w:p w14:paraId="4309B5F3">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29B9">
    <w:pPr>
      <w:pStyle w:val="3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9096A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14:paraId="2F9096AB">
                    <w:pPr>
                      <w:pStyle w:val="30"/>
                    </w:pPr>
                    <w:r>
                      <w:fldChar w:fldCharType="begin"/>
                    </w:r>
                    <w:r>
                      <w:instrText xml:space="preserve"> PAGE  \* MERGEFORMAT </w:instrText>
                    </w:r>
                    <w:r>
                      <w:fldChar w:fldCharType="separate"/>
                    </w:r>
                    <w:r>
                      <w:t>1</w:t>
                    </w:r>
                    <w:r>
                      <w:fldChar w:fldCharType="end"/>
                    </w:r>
                  </w:p>
                </w:txbxContent>
              </v:textbox>
            </v:shape>
          </w:pict>
        </mc:Fallback>
      </mc:AlternateContent>
    </w:r>
  </w:p>
  <w:p w14:paraId="7961FA66">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A9994">
    <w:pPr>
      <w:pStyle w:val="3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7C2381">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737C2381">
                    <w:pPr>
                      <w:pStyle w:val="30"/>
                    </w:pPr>
                    <w:r>
                      <w:fldChar w:fldCharType="begin"/>
                    </w:r>
                    <w:r>
                      <w:instrText xml:space="preserve"> PAGE  \* MERGEFORMAT </w:instrText>
                    </w:r>
                    <w:r>
                      <w:fldChar w:fldCharType="separate"/>
                    </w:r>
                    <w:r>
                      <w:t>1</w:t>
                    </w:r>
                    <w:r>
                      <w:fldChar w:fldCharType="end"/>
                    </w:r>
                  </w:p>
                </w:txbxContent>
              </v:textbox>
            </v:shape>
          </w:pict>
        </mc:Fallback>
      </mc:AlternateContent>
    </w:r>
  </w:p>
  <w:p w14:paraId="111C92E8">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09F29">
    <w:pPr>
      <w:pStyle w:val="3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95AF6A">
                          <w:pPr>
                            <w:pStyle w:val="30"/>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0995AF6A">
                    <w:pPr>
                      <w:pStyle w:val="30"/>
                    </w:pPr>
                    <w:r>
                      <w:fldChar w:fldCharType="begin"/>
                    </w:r>
                    <w:r>
                      <w:instrText xml:space="preserve"> PAGE  \* MERGEFORMAT </w:instrText>
                    </w:r>
                    <w:r>
                      <w:fldChar w:fldCharType="separate"/>
                    </w:r>
                    <w:r>
                      <w:t>24</w:t>
                    </w:r>
                    <w:r>
                      <w:fldChar w:fldCharType="end"/>
                    </w:r>
                  </w:p>
                </w:txbxContent>
              </v:textbox>
            </v:shape>
          </w:pict>
        </mc:Fallback>
      </mc:AlternateContent>
    </w:r>
  </w:p>
  <w:p w14:paraId="42EDFD4E">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35292">
    <w:pPr>
      <w:pStyle w:val="30"/>
      <w:framePr w:wrap="around" w:vAnchor="text" w:hAnchor="margin" w:xAlign="center" w:y="1"/>
      <w:rPr>
        <w:rStyle w:val="50"/>
      </w:rPr>
    </w:pPr>
    <w:r>
      <w:fldChar w:fldCharType="begin"/>
    </w:r>
    <w:r>
      <w:rPr>
        <w:rStyle w:val="50"/>
      </w:rPr>
      <w:instrText xml:space="preserve">PAGE  </w:instrText>
    </w:r>
    <w:r>
      <w:fldChar w:fldCharType="end"/>
    </w:r>
  </w:p>
  <w:p w14:paraId="4F52D8A8">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95C97">
    <w:pPr>
      <w:pStyle w:val="30"/>
      <w:ind w:right="360"/>
      <w:jc w:val="both"/>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A6D789">
                          <w:pPr>
                            <w:pStyle w:val="3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14:paraId="30A6D789">
                    <w:pPr>
                      <w:pStyle w:val="3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824F2">
    <w:pPr>
      <w:spacing w:line="176" w:lineRule="auto"/>
      <w:ind w:left="47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874F1A">
                          <w:pPr>
                            <w:pStyle w:val="3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14:paraId="17874F1A">
                    <w:pPr>
                      <w:pStyle w:val="3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287E1">
    <w:pPr>
      <w:pStyle w:val="3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24FA62">
                          <w:pPr>
                            <w:pStyle w:val="30"/>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5624FA62">
                    <w:pPr>
                      <w:pStyle w:val="30"/>
                    </w:pPr>
                    <w:r>
                      <w:fldChar w:fldCharType="begin"/>
                    </w:r>
                    <w:r>
                      <w:instrText xml:space="preserve"> PAGE  \* MERGEFORMAT </w:instrText>
                    </w:r>
                    <w:r>
                      <w:fldChar w:fldCharType="separate"/>
                    </w:r>
                    <w:r>
                      <w:t>87</w:t>
                    </w:r>
                    <w:r>
                      <w:fldChar w:fldCharType="end"/>
                    </w:r>
                  </w:p>
                </w:txbxContent>
              </v:textbox>
            </v:shape>
          </w:pict>
        </mc:Fallback>
      </mc:AlternateContent>
    </w:r>
  </w:p>
  <w:p w14:paraId="2D52EB22">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B5552">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94957">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F2B2C">
    <w:pPr>
      <w:pStyle w:val="3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8872">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E5B82"/>
    <w:multiLevelType w:val="singleLevel"/>
    <w:tmpl w:val="808E5B82"/>
    <w:lvl w:ilvl="0" w:tentative="0">
      <w:start w:val="1"/>
      <w:numFmt w:val="chineseCounting"/>
      <w:suff w:val="space"/>
      <w:lvlText w:val="第%1条"/>
      <w:lvlJc w:val="left"/>
      <w:rPr>
        <w:rFonts w:hint="eastAsia"/>
      </w:rPr>
    </w:lvl>
  </w:abstractNum>
  <w:abstractNum w:abstractNumId="1">
    <w:nsid w:val="BED81F5B"/>
    <w:multiLevelType w:val="singleLevel"/>
    <w:tmpl w:val="BED81F5B"/>
    <w:lvl w:ilvl="0" w:tentative="0">
      <w:start w:val="11"/>
      <w:numFmt w:val="chineseCounting"/>
      <w:suff w:val="space"/>
      <w:lvlText w:val="第%1条"/>
      <w:lvlJc w:val="left"/>
      <w:pPr>
        <w:ind w:left="510" w:leftChars="0" w:firstLine="0" w:firstLineChars="0"/>
      </w:pPr>
      <w:rPr>
        <w:rFonts w:hint="eastAsia"/>
      </w:rPr>
    </w:lvl>
  </w:abstractNum>
  <w:abstractNum w:abstractNumId="2">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3">
    <w:nsid w:val="20A179A4"/>
    <w:multiLevelType w:val="singleLevel"/>
    <w:tmpl w:val="20A179A4"/>
    <w:lvl w:ilvl="0" w:tentative="0">
      <w:start w:val="1"/>
      <w:numFmt w:val="chineseCounting"/>
      <w:suff w:val="space"/>
      <w:lvlText w:val="第%1章"/>
      <w:lvlJc w:val="left"/>
      <w:rPr>
        <w:rFonts w:hint="eastAsia"/>
      </w:rPr>
    </w:lvl>
  </w:abstractNum>
  <w:abstractNum w:abstractNumId="4">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5">
    <w:nsid w:val="4C601917"/>
    <w:multiLevelType w:val="singleLevel"/>
    <w:tmpl w:val="4C601917"/>
    <w:lvl w:ilvl="0" w:tentative="0">
      <w:start w:val="1"/>
      <w:numFmt w:val="decimal"/>
      <w:suff w:val="nothing"/>
      <w:lvlText w:val="（%1）"/>
      <w:lvlJc w:val="left"/>
    </w:lvl>
  </w:abstractNum>
  <w:abstractNum w:abstractNumId="6">
    <w:nsid w:val="4E8EC754"/>
    <w:multiLevelType w:val="singleLevel"/>
    <w:tmpl w:val="4E8EC754"/>
    <w:lvl w:ilvl="0" w:tentative="0">
      <w:start w:val="4"/>
      <w:numFmt w:val="chineseCounting"/>
      <w:suff w:val="nothing"/>
      <w:lvlText w:val="%1、"/>
      <w:lvlJc w:val="left"/>
      <w:rPr>
        <w:rFonts w:hint="eastAsia"/>
      </w:rPr>
    </w:lvl>
  </w:abstractNum>
  <w:abstractNum w:abstractNumId="7">
    <w:nsid w:val="5FABD14B"/>
    <w:multiLevelType w:val="singleLevel"/>
    <w:tmpl w:val="5FABD14B"/>
    <w:lvl w:ilvl="0" w:tentative="0">
      <w:start w:val="1"/>
      <w:numFmt w:val="decimal"/>
      <w:suff w:val="nothing"/>
      <w:lvlText w:val="（%1）"/>
      <w:lvlJc w:val="left"/>
    </w:lvl>
  </w:abstractNum>
  <w:abstractNum w:abstractNumId="8">
    <w:nsid w:val="6D6D1712"/>
    <w:multiLevelType w:val="singleLevel"/>
    <w:tmpl w:val="6D6D1712"/>
    <w:lvl w:ilvl="0" w:tentative="0">
      <w:start w:val="1"/>
      <w:numFmt w:val="chineseCounting"/>
      <w:suff w:val="nothing"/>
      <w:lvlText w:val="%1、"/>
      <w:lvlJc w:val="left"/>
      <w:rPr>
        <w:rFonts w:hint="eastAsia"/>
      </w:rPr>
    </w:lvl>
  </w:abstractNum>
  <w:num w:numId="1">
    <w:abstractNumId w:val="4"/>
  </w:num>
  <w:num w:numId="2">
    <w:abstractNumId w:val="2"/>
  </w:num>
  <w:num w:numId="3">
    <w:abstractNumId w:val="3"/>
  </w:num>
  <w:num w:numId="4">
    <w:abstractNumId w:val="8"/>
  </w:num>
  <w:num w:numId="5">
    <w:abstractNumId w:val="5"/>
  </w:num>
  <w:num w:numId="6">
    <w:abstractNumId w:val="7"/>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4MjAyYTFiMTIxNzNlNDZmYjRjYWVlNzljOTNiYTgifQ=="/>
  </w:docVars>
  <w:rsids>
    <w:rsidRoot w:val="00172A27"/>
    <w:rsid w:val="0000010C"/>
    <w:rsid w:val="00000404"/>
    <w:rsid w:val="00000557"/>
    <w:rsid w:val="00000D21"/>
    <w:rsid w:val="00000FE0"/>
    <w:rsid w:val="00001068"/>
    <w:rsid w:val="0000114A"/>
    <w:rsid w:val="00001731"/>
    <w:rsid w:val="00001C2D"/>
    <w:rsid w:val="00001C55"/>
    <w:rsid w:val="00001CA8"/>
    <w:rsid w:val="00001FAE"/>
    <w:rsid w:val="00002291"/>
    <w:rsid w:val="00002644"/>
    <w:rsid w:val="000026FD"/>
    <w:rsid w:val="00002DBF"/>
    <w:rsid w:val="00002EC0"/>
    <w:rsid w:val="00003224"/>
    <w:rsid w:val="000033F5"/>
    <w:rsid w:val="000034EA"/>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0E02"/>
    <w:rsid w:val="00011842"/>
    <w:rsid w:val="00012137"/>
    <w:rsid w:val="000121EE"/>
    <w:rsid w:val="000121FF"/>
    <w:rsid w:val="000125B8"/>
    <w:rsid w:val="00012692"/>
    <w:rsid w:val="00012A35"/>
    <w:rsid w:val="00012EC8"/>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607"/>
    <w:rsid w:val="0002103A"/>
    <w:rsid w:val="000217E4"/>
    <w:rsid w:val="00021852"/>
    <w:rsid w:val="00021A12"/>
    <w:rsid w:val="00022622"/>
    <w:rsid w:val="00023363"/>
    <w:rsid w:val="000235F3"/>
    <w:rsid w:val="00023644"/>
    <w:rsid w:val="00023712"/>
    <w:rsid w:val="0002476C"/>
    <w:rsid w:val="00024E3C"/>
    <w:rsid w:val="00024EB0"/>
    <w:rsid w:val="0002529E"/>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304A"/>
    <w:rsid w:val="0003317E"/>
    <w:rsid w:val="00033413"/>
    <w:rsid w:val="000337F3"/>
    <w:rsid w:val="00034C27"/>
    <w:rsid w:val="00034E2A"/>
    <w:rsid w:val="0003577F"/>
    <w:rsid w:val="00035822"/>
    <w:rsid w:val="000361E7"/>
    <w:rsid w:val="00036466"/>
    <w:rsid w:val="0003675E"/>
    <w:rsid w:val="00036A0D"/>
    <w:rsid w:val="00037633"/>
    <w:rsid w:val="00037E9E"/>
    <w:rsid w:val="00037F87"/>
    <w:rsid w:val="00037FA2"/>
    <w:rsid w:val="000400D0"/>
    <w:rsid w:val="0004044E"/>
    <w:rsid w:val="000425AC"/>
    <w:rsid w:val="00042CA7"/>
    <w:rsid w:val="00042F4A"/>
    <w:rsid w:val="00043BE5"/>
    <w:rsid w:val="00043E93"/>
    <w:rsid w:val="00044003"/>
    <w:rsid w:val="00044527"/>
    <w:rsid w:val="0004469E"/>
    <w:rsid w:val="00044897"/>
    <w:rsid w:val="00044ACF"/>
    <w:rsid w:val="00044D83"/>
    <w:rsid w:val="00044E06"/>
    <w:rsid w:val="000454F4"/>
    <w:rsid w:val="00045670"/>
    <w:rsid w:val="00045D1E"/>
    <w:rsid w:val="00045E69"/>
    <w:rsid w:val="00045EF4"/>
    <w:rsid w:val="00046547"/>
    <w:rsid w:val="000466D7"/>
    <w:rsid w:val="00046753"/>
    <w:rsid w:val="00046D4C"/>
    <w:rsid w:val="00047254"/>
    <w:rsid w:val="000472FD"/>
    <w:rsid w:val="0005022B"/>
    <w:rsid w:val="00050771"/>
    <w:rsid w:val="000513F3"/>
    <w:rsid w:val="000517EE"/>
    <w:rsid w:val="00052287"/>
    <w:rsid w:val="000522E0"/>
    <w:rsid w:val="00052609"/>
    <w:rsid w:val="000532F4"/>
    <w:rsid w:val="000536AE"/>
    <w:rsid w:val="00054CD5"/>
    <w:rsid w:val="00054D03"/>
    <w:rsid w:val="000550AC"/>
    <w:rsid w:val="00055302"/>
    <w:rsid w:val="0005580E"/>
    <w:rsid w:val="0005584D"/>
    <w:rsid w:val="00055CC3"/>
    <w:rsid w:val="00055CEE"/>
    <w:rsid w:val="000566FA"/>
    <w:rsid w:val="00056A2B"/>
    <w:rsid w:val="00056E37"/>
    <w:rsid w:val="00056EE2"/>
    <w:rsid w:val="00056FE2"/>
    <w:rsid w:val="000570FB"/>
    <w:rsid w:val="000575B8"/>
    <w:rsid w:val="00057AB2"/>
    <w:rsid w:val="00060131"/>
    <w:rsid w:val="0006026B"/>
    <w:rsid w:val="00060293"/>
    <w:rsid w:val="00061BDA"/>
    <w:rsid w:val="000621FE"/>
    <w:rsid w:val="00062B90"/>
    <w:rsid w:val="00062C70"/>
    <w:rsid w:val="00062DD0"/>
    <w:rsid w:val="00062E6F"/>
    <w:rsid w:val="000630C7"/>
    <w:rsid w:val="0006400F"/>
    <w:rsid w:val="000643DA"/>
    <w:rsid w:val="000645DD"/>
    <w:rsid w:val="00064D7E"/>
    <w:rsid w:val="00064F65"/>
    <w:rsid w:val="00064FD0"/>
    <w:rsid w:val="0006533C"/>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C3F"/>
    <w:rsid w:val="0007102C"/>
    <w:rsid w:val="00071D68"/>
    <w:rsid w:val="00071FCE"/>
    <w:rsid w:val="00072661"/>
    <w:rsid w:val="00072CCC"/>
    <w:rsid w:val="00073549"/>
    <w:rsid w:val="00073A58"/>
    <w:rsid w:val="0007483E"/>
    <w:rsid w:val="000751DB"/>
    <w:rsid w:val="0007578F"/>
    <w:rsid w:val="000759A3"/>
    <w:rsid w:val="00075E43"/>
    <w:rsid w:val="00077706"/>
    <w:rsid w:val="00077878"/>
    <w:rsid w:val="0007792A"/>
    <w:rsid w:val="00077D13"/>
    <w:rsid w:val="00077DE2"/>
    <w:rsid w:val="000804EF"/>
    <w:rsid w:val="00080558"/>
    <w:rsid w:val="00081230"/>
    <w:rsid w:val="000814E2"/>
    <w:rsid w:val="000818C9"/>
    <w:rsid w:val="00081CBB"/>
    <w:rsid w:val="00081D42"/>
    <w:rsid w:val="000822EF"/>
    <w:rsid w:val="0008241E"/>
    <w:rsid w:val="000826F5"/>
    <w:rsid w:val="000829B1"/>
    <w:rsid w:val="00082AAB"/>
    <w:rsid w:val="00082AE5"/>
    <w:rsid w:val="0008307D"/>
    <w:rsid w:val="000831E9"/>
    <w:rsid w:val="00083288"/>
    <w:rsid w:val="000833BB"/>
    <w:rsid w:val="00083CA1"/>
    <w:rsid w:val="0008452D"/>
    <w:rsid w:val="0008467B"/>
    <w:rsid w:val="000846E2"/>
    <w:rsid w:val="000850FA"/>
    <w:rsid w:val="00085C12"/>
    <w:rsid w:val="00085DA0"/>
    <w:rsid w:val="00085F82"/>
    <w:rsid w:val="00086506"/>
    <w:rsid w:val="00086B6E"/>
    <w:rsid w:val="00086C64"/>
    <w:rsid w:val="0008781A"/>
    <w:rsid w:val="00090951"/>
    <w:rsid w:val="00090A61"/>
    <w:rsid w:val="00090DE6"/>
    <w:rsid w:val="000918F5"/>
    <w:rsid w:val="000919B5"/>
    <w:rsid w:val="00091C1D"/>
    <w:rsid w:val="00091E08"/>
    <w:rsid w:val="00091E29"/>
    <w:rsid w:val="000922D8"/>
    <w:rsid w:val="000926A3"/>
    <w:rsid w:val="000932E7"/>
    <w:rsid w:val="0009333A"/>
    <w:rsid w:val="00093459"/>
    <w:rsid w:val="00093B8B"/>
    <w:rsid w:val="0009424E"/>
    <w:rsid w:val="000951E7"/>
    <w:rsid w:val="00095B82"/>
    <w:rsid w:val="00096098"/>
    <w:rsid w:val="000961C5"/>
    <w:rsid w:val="000968AF"/>
    <w:rsid w:val="000969D9"/>
    <w:rsid w:val="00096F37"/>
    <w:rsid w:val="00097FE5"/>
    <w:rsid w:val="000A0354"/>
    <w:rsid w:val="000A091F"/>
    <w:rsid w:val="000A0958"/>
    <w:rsid w:val="000A0FCC"/>
    <w:rsid w:val="000A1033"/>
    <w:rsid w:val="000A2712"/>
    <w:rsid w:val="000A2877"/>
    <w:rsid w:val="000A2D31"/>
    <w:rsid w:val="000A2FDE"/>
    <w:rsid w:val="000A355D"/>
    <w:rsid w:val="000A35DA"/>
    <w:rsid w:val="000A3604"/>
    <w:rsid w:val="000A371E"/>
    <w:rsid w:val="000A3DE5"/>
    <w:rsid w:val="000A4011"/>
    <w:rsid w:val="000A4397"/>
    <w:rsid w:val="000A45D5"/>
    <w:rsid w:val="000A490E"/>
    <w:rsid w:val="000A50D7"/>
    <w:rsid w:val="000A53D1"/>
    <w:rsid w:val="000A5B49"/>
    <w:rsid w:val="000A5FE5"/>
    <w:rsid w:val="000A6236"/>
    <w:rsid w:val="000A688F"/>
    <w:rsid w:val="000A7218"/>
    <w:rsid w:val="000A740A"/>
    <w:rsid w:val="000A7446"/>
    <w:rsid w:val="000A7A56"/>
    <w:rsid w:val="000A7E7F"/>
    <w:rsid w:val="000A7ECD"/>
    <w:rsid w:val="000B04DD"/>
    <w:rsid w:val="000B0F01"/>
    <w:rsid w:val="000B1346"/>
    <w:rsid w:val="000B1795"/>
    <w:rsid w:val="000B1914"/>
    <w:rsid w:val="000B19DC"/>
    <w:rsid w:val="000B1CA2"/>
    <w:rsid w:val="000B202E"/>
    <w:rsid w:val="000B2293"/>
    <w:rsid w:val="000B24A4"/>
    <w:rsid w:val="000B255A"/>
    <w:rsid w:val="000B255C"/>
    <w:rsid w:val="000B290B"/>
    <w:rsid w:val="000B292B"/>
    <w:rsid w:val="000B3431"/>
    <w:rsid w:val="000B395E"/>
    <w:rsid w:val="000B39C3"/>
    <w:rsid w:val="000B3A00"/>
    <w:rsid w:val="000B3BFD"/>
    <w:rsid w:val="000B4840"/>
    <w:rsid w:val="000B4D79"/>
    <w:rsid w:val="000B5627"/>
    <w:rsid w:val="000B5671"/>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E24"/>
    <w:rsid w:val="000C4F7B"/>
    <w:rsid w:val="000C5C4A"/>
    <w:rsid w:val="000C5F01"/>
    <w:rsid w:val="000C63C4"/>
    <w:rsid w:val="000C66C1"/>
    <w:rsid w:val="000C6F0B"/>
    <w:rsid w:val="000C6F32"/>
    <w:rsid w:val="000C708E"/>
    <w:rsid w:val="000C778C"/>
    <w:rsid w:val="000C7833"/>
    <w:rsid w:val="000C7DFB"/>
    <w:rsid w:val="000C7E1B"/>
    <w:rsid w:val="000C7E73"/>
    <w:rsid w:val="000D001B"/>
    <w:rsid w:val="000D0A45"/>
    <w:rsid w:val="000D136E"/>
    <w:rsid w:val="000D14AC"/>
    <w:rsid w:val="000D15BA"/>
    <w:rsid w:val="000D28A4"/>
    <w:rsid w:val="000D2C9B"/>
    <w:rsid w:val="000D34A2"/>
    <w:rsid w:val="000D35FD"/>
    <w:rsid w:val="000D3D2D"/>
    <w:rsid w:val="000D3D99"/>
    <w:rsid w:val="000D45C9"/>
    <w:rsid w:val="000D4653"/>
    <w:rsid w:val="000D4696"/>
    <w:rsid w:val="000D4817"/>
    <w:rsid w:val="000D4FB9"/>
    <w:rsid w:val="000D54B4"/>
    <w:rsid w:val="000D54F8"/>
    <w:rsid w:val="000D584B"/>
    <w:rsid w:val="000D5F55"/>
    <w:rsid w:val="000D6372"/>
    <w:rsid w:val="000D6979"/>
    <w:rsid w:val="000D6CE7"/>
    <w:rsid w:val="000D6E38"/>
    <w:rsid w:val="000D6E63"/>
    <w:rsid w:val="000D711C"/>
    <w:rsid w:val="000D7B6E"/>
    <w:rsid w:val="000E042A"/>
    <w:rsid w:val="000E0644"/>
    <w:rsid w:val="000E076D"/>
    <w:rsid w:val="000E0CD2"/>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65D2"/>
    <w:rsid w:val="000E6919"/>
    <w:rsid w:val="000E6B1B"/>
    <w:rsid w:val="000E6F0C"/>
    <w:rsid w:val="000E732D"/>
    <w:rsid w:val="000E7AC1"/>
    <w:rsid w:val="000F07ED"/>
    <w:rsid w:val="000F0CF2"/>
    <w:rsid w:val="000F14F6"/>
    <w:rsid w:val="000F1A32"/>
    <w:rsid w:val="000F1CC2"/>
    <w:rsid w:val="000F1D15"/>
    <w:rsid w:val="000F270A"/>
    <w:rsid w:val="000F34C8"/>
    <w:rsid w:val="000F38BC"/>
    <w:rsid w:val="000F3E2A"/>
    <w:rsid w:val="000F4D26"/>
    <w:rsid w:val="000F5639"/>
    <w:rsid w:val="000F58A4"/>
    <w:rsid w:val="000F6833"/>
    <w:rsid w:val="000F6A24"/>
    <w:rsid w:val="000F7616"/>
    <w:rsid w:val="000F7DE9"/>
    <w:rsid w:val="000F7F7A"/>
    <w:rsid w:val="0010004B"/>
    <w:rsid w:val="001002F4"/>
    <w:rsid w:val="001005B4"/>
    <w:rsid w:val="001011FC"/>
    <w:rsid w:val="0010165F"/>
    <w:rsid w:val="001018C1"/>
    <w:rsid w:val="00101E7C"/>
    <w:rsid w:val="00102260"/>
    <w:rsid w:val="001023DC"/>
    <w:rsid w:val="0010256D"/>
    <w:rsid w:val="00102572"/>
    <w:rsid w:val="00102946"/>
    <w:rsid w:val="00102FBF"/>
    <w:rsid w:val="0010333D"/>
    <w:rsid w:val="0010372A"/>
    <w:rsid w:val="00103F41"/>
    <w:rsid w:val="00104E77"/>
    <w:rsid w:val="00104F34"/>
    <w:rsid w:val="00104F3E"/>
    <w:rsid w:val="001053C5"/>
    <w:rsid w:val="001055AD"/>
    <w:rsid w:val="00105C14"/>
    <w:rsid w:val="001065A3"/>
    <w:rsid w:val="0010691D"/>
    <w:rsid w:val="00106B33"/>
    <w:rsid w:val="00106B9C"/>
    <w:rsid w:val="00106E69"/>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3EF"/>
    <w:rsid w:val="00115D55"/>
    <w:rsid w:val="00115E45"/>
    <w:rsid w:val="00115F85"/>
    <w:rsid w:val="00115FD1"/>
    <w:rsid w:val="001165CC"/>
    <w:rsid w:val="0011688E"/>
    <w:rsid w:val="00116ACD"/>
    <w:rsid w:val="00117B7D"/>
    <w:rsid w:val="001205A8"/>
    <w:rsid w:val="00120948"/>
    <w:rsid w:val="0012180B"/>
    <w:rsid w:val="00122074"/>
    <w:rsid w:val="00122A64"/>
    <w:rsid w:val="00123641"/>
    <w:rsid w:val="0012388A"/>
    <w:rsid w:val="0012388C"/>
    <w:rsid w:val="00123AFA"/>
    <w:rsid w:val="00123C8C"/>
    <w:rsid w:val="00123D68"/>
    <w:rsid w:val="00123DAE"/>
    <w:rsid w:val="00123E8B"/>
    <w:rsid w:val="00124B43"/>
    <w:rsid w:val="00124DF8"/>
    <w:rsid w:val="001253EA"/>
    <w:rsid w:val="00125434"/>
    <w:rsid w:val="00125B99"/>
    <w:rsid w:val="00126160"/>
    <w:rsid w:val="00126DB5"/>
    <w:rsid w:val="00127178"/>
    <w:rsid w:val="00127D2B"/>
    <w:rsid w:val="00127F09"/>
    <w:rsid w:val="0013002A"/>
    <w:rsid w:val="001304F1"/>
    <w:rsid w:val="0013085D"/>
    <w:rsid w:val="0013089C"/>
    <w:rsid w:val="001308E5"/>
    <w:rsid w:val="00130A2D"/>
    <w:rsid w:val="00130F54"/>
    <w:rsid w:val="00131888"/>
    <w:rsid w:val="00131E0E"/>
    <w:rsid w:val="00131F17"/>
    <w:rsid w:val="001323F9"/>
    <w:rsid w:val="0013251F"/>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A0A"/>
    <w:rsid w:val="00135BB9"/>
    <w:rsid w:val="0013621D"/>
    <w:rsid w:val="00136354"/>
    <w:rsid w:val="00136674"/>
    <w:rsid w:val="00136B0E"/>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D0C"/>
    <w:rsid w:val="00142E3C"/>
    <w:rsid w:val="00144013"/>
    <w:rsid w:val="001454B8"/>
    <w:rsid w:val="00145A17"/>
    <w:rsid w:val="00145BBE"/>
    <w:rsid w:val="00145D7F"/>
    <w:rsid w:val="001460B5"/>
    <w:rsid w:val="0014641F"/>
    <w:rsid w:val="001464A8"/>
    <w:rsid w:val="00146618"/>
    <w:rsid w:val="001467BB"/>
    <w:rsid w:val="00146AB3"/>
    <w:rsid w:val="00146CA8"/>
    <w:rsid w:val="001472A5"/>
    <w:rsid w:val="00147884"/>
    <w:rsid w:val="00150669"/>
    <w:rsid w:val="00150827"/>
    <w:rsid w:val="00150B0D"/>
    <w:rsid w:val="00151CE3"/>
    <w:rsid w:val="00151E31"/>
    <w:rsid w:val="00151F9B"/>
    <w:rsid w:val="00152095"/>
    <w:rsid w:val="00152184"/>
    <w:rsid w:val="00152289"/>
    <w:rsid w:val="00152425"/>
    <w:rsid w:val="001527C8"/>
    <w:rsid w:val="00152BAD"/>
    <w:rsid w:val="00152CE3"/>
    <w:rsid w:val="0015346C"/>
    <w:rsid w:val="00153652"/>
    <w:rsid w:val="00153697"/>
    <w:rsid w:val="00153956"/>
    <w:rsid w:val="00153B95"/>
    <w:rsid w:val="00154146"/>
    <w:rsid w:val="00154190"/>
    <w:rsid w:val="001545EA"/>
    <w:rsid w:val="001549BA"/>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26D1"/>
    <w:rsid w:val="001630A8"/>
    <w:rsid w:val="001634C7"/>
    <w:rsid w:val="00163826"/>
    <w:rsid w:val="00163943"/>
    <w:rsid w:val="00163BA1"/>
    <w:rsid w:val="00163F22"/>
    <w:rsid w:val="0016417B"/>
    <w:rsid w:val="0016470E"/>
    <w:rsid w:val="00164E0A"/>
    <w:rsid w:val="0016520F"/>
    <w:rsid w:val="001652D7"/>
    <w:rsid w:val="00165300"/>
    <w:rsid w:val="0016596E"/>
    <w:rsid w:val="00165A5F"/>
    <w:rsid w:val="00166223"/>
    <w:rsid w:val="00166492"/>
    <w:rsid w:val="001670D8"/>
    <w:rsid w:val="0016793E"/>
    <w:rsid w:val="00167D4D"/>
    <w:rsid w:val="00170635"/>
    <w:rsid w:val="0017070D"/>
    <w:rsid w:val="00170837"/>
    <w:rsid w:val="00171035"/>
    <w:rsid w:val="001713B7"/>
    <w:rsid w:val="00171ADB"/>
    <w:rsid w:val="00172029"/>
    <w:rsid w:val="001733A4"/>
    <w:rsid w:val="00173AB9"/>
    <w:rsid w:val="00173EED"/>
    <w:rsid w:val="00174368"/>
    <w:rsid w:val="001744EA"/>
    <w:rsid w:val="00174D82"/>
    <w:rsid w:val="00174E44"/>
    <w:rsid w:val="00175053"/>
    <w:rsid w:val="001753B7"/>
    <w:rsid w:val="001757E7"/>
    <w:rsid w:val="00175873"/>
    <w:rsid w:val="0017592E"/>
    <w:rsid w:val="00175C59"/>
    <w:rsid w:val="001760BC"/>
    <w:rsid w:val="00176674"/>
    <w:rsid w:val="00176818"/>
    <w:rsid w:val="00176B82"/>
    <w:rsid w:val="00176E3B"/>
    <w:rsid w:val="00176ECB"/>
    <w:rsid w:val="0017716E"/>
    <w:rsid w:val="0017752D"/>
    <w:rsid w:val="0017759F"/>
    <w:rsid w:val="00177832"/>
    <w:rsid w:val="00177D48"/>
    <w:rsid w:val="00181178"/>
    <w:rsid w:val="0018119E"/>
    <w:rsid w:val="00181EEF"/>
    <w:rsid w:val="00181F3E"/>
    <w:rsid w:val="00182FE0"/>
    <w:rsid w:val="00183911"/>
    <w:rsid w:val="001845FB"/>
    <w:rsid w:val="0018466F"/>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0F99"/>
    <w:rsid w:val="0019159A"/>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FFE"/>
    <w:rsid w:val="001A0D25"/>
    <w:rsid w:val="001A1570"/>
    <w:rsid w:val="001A1917"/>
    <w:rsid w:val="001A1C64"/>
    <w:rsid w:val="001A1E7F"/>
    <w:rsid w:val="001A228D"/>
    <w:rsid w:val="001A2918"/>
    <w:rsid w:val="001A2D02"/>
    <w:rsid w:val="001A2DFE"/>
    <w:rsid w:val="001A3076"/>
    <w:rsid w:val="001A3120"/>
    <w:rsid w:val="001A31A5"/>
    <w:rsid w:val="001A389C"/>
    <w:rsid w:val="001A3B75"/>
    <w:rsid w:val="001A46FB"/>
    <w:rsid w:val="001A5944"/>
    <w:rsid w:val="001A5FB1"/>
    <w:rsid w:val="001A698A"/>
    <w:rsid w:val="001A6CCC"/>
    <w:rsid w:val="001A70C8"/>
    <w:rsid w:val="001A71C9"/>
    <w:rsid w:val="001A7429"/>
    <w:rsid w:val="001A760C"/>
    <w:rsid w:val="001A78AD"/>
    <w:rsid w:val="001A799B"/>
    <w:rsid w:val="001A7AC7"/>
    <w:rsid w:val="001A7C38"/>
    <w:rsid w:val="001B02F8"/>
    <w:rsid w:val="001B2104"/>
    <w:rsid w:val="001B2279"/>
    <w:rsid w:val="001B2729"/>
    <w:rsid w:val="001B2866"/>
    <w:rsid w:val="001B2881"/>
    <w:rsid w:val="001B34A3"/>
    <w:rsid w:val="001B3675"/>
    <w:rsid w:val="001B37C8"/>
    <w:rsid w:val="001B4B2C"/>
    <w:rsid w:val="001B4F10"/>
    <w:rsid w:val="001B5026"/>
    <w:rsid w:val="001B5154"/>
    <w:rsid w:val="001B5B75"/>
    <w:rsid w:val="001B62DD"/>
    <w:rsid w:val="001B6E30"/>
    <w:rsid w:val="001B7ADF"/>
    <w:rsid w:val="001B7C83"/>
    <w:rsid w:val="001B7F9E"/>
    <w:rsid w:val="001C0206"/>
    <w:rsid w:val="001C0246"/>
    <w:rsid w:val="001C049E"/>
    <w:rsid w:val="001C04D4"/>
    <w:rsid w:val="001C0B34"/>
    <w:rsid w:val="001C12A3"/>
    <w:rsid w:val="001C17BB"/>
    <w:rsid w:val="001C187E"/>
    <w:rsid w:val="001C1A37"/>
    <w:rsid w:val="001C1C49"/>
    <w:rsid w:val="001C286F"/>
    <w:rsid w:val="001C2B86"/>
    <w:rsid w:val="001C2F54"/>
    <w:rsid w:val="001C2FBE"/>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6FBC"/>
    <w:rsid w:val="001C7155"/>
    <w:rsid w:val="001C71D9"/>
    <w:rsid w:val="001C7597"/>
    <w:rsid w:val="001C7E48"/>
    <w:rsid w:val="001D039B"/>
    <w:rsid w:val="001D1258"/>
    <w:rsid w:val="001D14AB"/>
    <w:rsid w:val="001D1AB8"/>
    <w:rsid w:val="001D286F"/>
    <w:rsid w:val="001D2C94"/>
    <w:rsid w:val="001D33D9"/>
    <w:rsid w:val="001D36F6"/>
    <w:rsid w:val="001D3D5F"/>
    <w:rsid w:val="001D4303"/>
    <w:rsid w:val="001D4571"/>
    <w:rsid w:val="001D45E5"/>
    <w:rsid w:val="001D461A"/>
    <w:rsid w:val="001D4A9D"/>
    <w:rsid w:val="001D4AAD"/>
    <w:rsid w:val="001D5AFA"/>
    <w:rsid w:val="001D7177"/>
    <w:rsid w:val="001D756E"/>
    <w:rsid w:val="001D784A"/>
    <w:rsid w:val="001E04A4"/>
    <w:rsid w:val="001E04EE"/>
    <w:rsid w:val="001E07C5"/>
    <w:rsid w:val="001E176D"/>
    <w:rsid w:val="001E1BCE"/>
    <w:rsid w:val="001E1E05"/>
    <w:rsid w:val="001E2086"/>
    <w:rsid w:val="001E259C"/>
    <w:rsid w:val="001E339F"/>
    <w:rsid w:val="001E3629"/>
    <w:rsid w:val="001E3B2C"/>
    <w:rsid w:val="001E40F0"/>
    <w:rsid w:val="001E4172"/>
    <w:rsid w:val="001E4AC7"/>
    <w:rsid w:val="001E5490"/>
    <w:rsid w:val="001E5513"/>
    <w:rsid w:val="001E5730"/>
    <w:rsid w:val="001E5E2E"/>
    <w:rsid w:val="001E6352"/>
    <w:rsid w:val="001E70AD"/>
    <w:rsid w:val="001E7237"/>
    <w:rsid w:val="001E7AF6"/>
    <w:rsid w:val="001E7FBF"/>
    <w:rsid w:val="001F01B8"/>
    <w:rsid w:val="001F0FC3"/>
    <w:rsid w:val="001F1188"/>
    <w:rsid w:val="001F1B8D"/>
    <w:rsid w:val="001F274F"/>
    <w:rsid w:val="001F289C"/>
    <w:rsid w:val="001F2BF9"/>
    <w:rsid w:val="001F2F86"/>
    <w:rsid w:val="001F317D"/>
    <w:rsid w:val="001F32B0"/>
    <w:rsid w:val="001F32B3"/>
    <w:rsid w:val="001F3AF2"/>
    <w:rsid w:val="001F6008"/>
    <w:rsid w:val="001F641B"/>
    <w:rsid w:val="001F6C19"/>
    <w:rsid w:val="001F6D4D"/>
    <w:rsid w:val="001F7C00"/>
    <w:rsid w:val="0020042C"/>
    <w:rsid w:val="002009A3"/>
    <w:rsid w:val="00200F1A"/>
    <w:rsid w:val="0020130D"/>
    <w:rsid w:val="00201D06"/>
    <w:rsid w:val="00201E9F"/>
    <w:rsid w:val="002026B9"/>
    <w:rsid w:val="00202790"/>
    <w:rsid w:val="00202F25"/>
    <w:rsid w:val="002035B3"/>
    <w:rsid w:val="00203929"/>
    <w:rsid w:val="00203CD6"/>
    <w:rsid w:val="00203F0A"/>
    <w:rsid w:val="00204460"/>
    <w:rsid w:val="002047E7"/>
    <w:rsid w:val="002051EA"/>
    <w:rsid w:val="00205CBC"/>
    <w:rsid w:val="00205E9E"/>
    <w:rsid w:val="00206259"/>
    <w:rsid w:val="00206CE5"/>
    <w:rsid w:val="002074B7"/>
    <w:rsid w:val="0020758D"/>
    <w:rsid w:val="00207C7B"/>
    <w:rsid w:val="00211470"/>
    <w:rsid w:val="00211922"/>
    <w:rsid w:val="0021213A"/>
    <w:rsid w:val="0021265F"/>
    <w:rsid w:val="00213817"/>
    <w:rsid w:val="00214428"/>
    <w:rsid w:val="002145EB"/>
    <w:rsid w:val="00215834"/>
    <w:rsid w:val="00215CC2"/>
    <w:rsid w:val="00215ED8"/>
    <w:rsid w:val="00217700"/>
    <w:rsid w:val="002177E2"/>
    <w:rsid w:val="002205F3"/>
    <w:rsid w:val="0022085B"/>
    <w:rsid w:val="00220D1C"/>
    <w:rsid w:val="00220E53"/>
    <w:rsid w:val="0022176C"/>
    <w:rsid w:val="002217F3"/>
    <w:rsid w:val="002225D1"/>
    <w:rsid w:val="002230FA"/>
    <w:rsid w:val="002235D9"/>
    <w:rsid w:val="00223AB9"/>
    <w:rsid w:val="00223DF2"/>
    <w:rsid w:val="00224737"/>
    <w:rsid w:val="00224C0C"/>
    <w:rsid w:val="00225132"/>
    <w:rsid w:val="00225323"/>
    <w:rsid w:val="002256C2"/>
    <w:rsid w:val="002256D0"/>
    <w:rsid w:val="00225C8E"/>
    <w:rsid w:val="00226428"/>
    <w:rsid w:val="002265A9"/>
    <w:rsid w:val="002266CB"/>
    <w:rsid w:val="00226777"/>
    <w:rsid w:val="0022701E"/>
    <w:rsid w:val="00227052"/>
    <w:rsid w:val="002272D5"/>
    <w:rsid w:val="0022738E"/>
    <w:rsid w:val="00227906"/>
    <w:rsid w:val="00227934"/>
    <w:rsid w:val="00227E21"/>
    <w:rsid w:val="00230178"/>
    <w:rsid w:val="00231D05"/>
    <w:rsid w:val="002336E2"/>
    <w:rsid w:val="00233AC2"/>
    <w:rsid w:val="00233BAF"/>
    <w:rsid w:val="00233BE1"/>
    <w:rsid w:val="002340E1"/>
    <w:rsid w:val="00235420"/>
    <w:rsid w:val="002356A5"/>
    <w:rsid w:val="00235DAA"/>
    <w:rsid w:val="0024065B"/>
    <w:rsid w:val="002409A6"/>
    <w:rsid w:val="00240EA5"/>
    <w:rsid w:val="00241132"/>
    <w:rsid w:val="00241205"/>
    <w:rsid w:val="002418C5"/>
    <w:rsid w:val="002419ED"/>
    <w:rsid w:val="0024261D"/>
    <w:rsid w:val="00242DFB"/>
    <w:rsid w:val="00243807"/>
    <w:rsid w:val="002440AC"/>
    <w:rsid w:val="00244365"/>
    <w:rsid w:val="0024459A"/>
    <w:rsid w:val="00244771"/>
    <w:rsid w:val="00244903"/>
    <w:rsid w:val="00244AFB"/>
    <w:rsid w:val="002453DF"/>
    <w:rsid w:val="00245A81"/>
    <w:rsid w:val="00246B86"/>
    <w:rsid w:val="00247335"/>
    <w:rsid w:val="002473EF"/>
    <w:rsid w:val="002477B9"/>
    <w:rsid w:val="00247CBE"/>
    <w:rsid w:val="00250100"/>
    <w:rsid w:val="00250A1F"/>
    <w:rsid w:val="00250ADA"/>
    <w:rsid w:val="00250F1D"/>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615C"/>
    <w:rsid w:val="00257059"/>
    <w:rsid w:val="0025712F"/>
    <w:rsid w:val="00257395"/>
    <w:rsid w:val="00257857"/>
    <w:rsid w:val="002578DA"/>
    <w:rsid w:val="00257CBC"/>
    <w:rsid w:val="002602C2"/>
    <w:rsid w:val="002602DA"/>
    <w:rsid w:val="0026040B"/>
    <w:rsid w:val="002607CC"/>
    <w:rsid w:val="00260802"/>
    <w:rsid w:val="002609E3"/>
    <w:rsid w:val="00261223"/>
    <w:rsid w:val="002617AB"/>
    <w:rsid w:val="00261D08"/>
    <w:rsid w:val="00261DCC"/>
    <w:rsid w:val="002624D0"/>
    <w:rsid w:val="00263AE7"/>
    <w:rsid w:val="00263EC7"/>
    <w:rsid w:val="00264441"/>
    <w:rsid w:val="0026491B"/>
    <w:rsid w:val="00264A36"/>
    <w:rsid w:val="00264B06"/>
    <w:rsid w:val="00264C1B"/>
    <w:rsid w:val="00265DDC"/>
    <w:rsid w:val="00265E2E"/>
    <w:rsid w:val="002661AB"/>
    <w:rsid w:val="002668DB"/>
    <w:rsid w:val="00266E4B"/>
    <w:rsid w:val="00266F4B"/>
    <w:rsid w:val="0026742B"/>
    <w:rsid w:val="002674FE"/>
    <w:rsid w:val="00270748"/>
    <w:rsid w:val="00270FC0"/>
    <w:rsid w:val="0027105A"/>
    <w:rsid w:val="0027117F"/>
    <w:rsid w:val="00271283"/>
    <w:rsid w:val="002712DC"/>
    <w:rsid w:val="00271875"/>
    <w:rsid w:val="002718FF"/>
    <w:rsid w:val="00271955"/>
    <w:rsid w:val="00271AE5"/>
    <w:rsid w:val="00272278"/>
    <w:rsid w:val="00272432"/>
    <w:rsid w:val="00272633"/>
    <w:rsid w:val="00272CAB"/>
    <w:rsid w:val="00272FBF"/>
    <w:rsid w:val="0027394E"/>
    <w:rsid w:val="00273A10"/>
    <w:rsid w:val="00273A58"/>
    <w:rsid w:val="00273FBB"/>
    <w:rsid w:val="00274CAB"/>
    <w:rsid w:val="00274E8A"/>
    <w:rsid w:val="0027507D"/>
    <w:rsid w:val="00275FCE"/>
    <w:rsid w:val="002766B8"/>
    <w:rsid w:val="0027680F"/>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8AD"/>
    <w:rsid w:val="00284A5E"/>
    <w:rsid w:val="00285154"/>
    <w:rsid w:val="00285BF2"/>
    <w:rsid w:val="00285C78"/>
    <w:rsid w:val="002863CE"/>
    <w:rsid w:val="002868CF"/>
    <w:rsid w:val="0028702A"/>
    <w:rsid w:val="0028732A"/>
    <w:rsid w:val="00290F01"/>
    <w:rsid w:val="00291035"/>
    <w:rsid w:val="00291492"/>
    <w:rsid w:val="00291527"/>
    <w:rsid w:val="0029199A"/>
    <w:rsid w:val="00291BBE"/>
    <w:rsid w:val="00291FEB"/>
    <w:rsid w:val="002920B3"/>
    <w:rsid w:val="00293146"/>
    <w:rsid w:val="0029361E"/>
    <w:rsid w:val="00293D68"/>
    <w:rsid w:val="0029431E"/>
    <w:rsid w:val="00294352"/>
    <w:rsid w:val="002944A0"/>
    <w:rsid w:val="002946E4"/>
    <w:rsid w:val="0029495C"/>
    <w:rsid w:val="00294CEE"/>
    <w:rsid w:val="002957D9"/>
    <w:rsid w:val="00295B52"/>
    <w:rsid w:val="00296024"/>
    <w:rsid w:val="00296293"/>
    <w:rsid w:val="0029686F"/>
    <w:rsid w:val="00296AF7"/>
    <w:rsid w:val="00296D3A"/>
    <w:rsid w:val="002972F9"/>
    <w:rsid w:val="002977CA"/>
    <w:rsid w:val="0029787F"/>
    <w:rsid w:val="00297DC9"/>
    <w:rsid w:val="00297ED7"/>
    <w:rsid w:val="002A0007"/>
    <w:rsid w:val="002A0320"/>
    <w:rsid w:val="002A03AA"/>
    <w:rsid w:val="002A056D"/>
    <w:rsid w:val="002A0649"/>
    <w:rsid w:val="002A07FE"/>
    <w:rsid w:val="002A094D"/>
    <w:rsid w:val="002A0AF6"/>
    <w:rsid w:val="002A0CAF"/>
    <w:rsid w:val="002A1565"/>
    <w:rsid w:val="002A16A9"/>
    <w:rsid w:val="002A2941"/>
    <w:rsid w:val="002A2DC4"/>
    <w:rsid w:val="002A32DA"/>
    <w:rsid w:val="002A3E69"/>
    <w:rsid w:val="002A41F7"/>
    <w:rsid w:val="002A44F9"/>
    <w:rsid w:val="002A46D1"/>
    <w:rsid w:val="002A49EF"/>
    <w:rsid w:val="002A4B8B"/>
    <w:rsid w:val="002A4C3D"/>
    <w:rsid w:val="002A5107"/>
    <w:rsid w:val="002A535E"/>
    <w:rsid w:val="002A54F4"/>
    <w:rsid w:val="002A5D2E"/>
    <w:rsid w:val="002A6406"/>
    <w:rsid w:val="002A6AD0"/>
    <w:rsid w:val="002A6CF0"/>
    <w:rsid w:val="002A6FFC"/>
    <w:rsid w:val="002A7010"/>
    <w:rsid w:val="002A70BA"/>
    <w:rsid w:val="002A7A57"/>
    <w:rsid w:val="002A7BB2"/>
    <w:rsid w:val="002A7DCB"/>
    <w:rsid w:val="002B0B53"/>
    <w:rsid w:val="002B0E40"/>
    <w:rsid w:val="002B1617"/>
    <w:rsid w:val="002B194B"/>
    <w:rsid w:val="002B1D11"/>
    <w:rsid w:val="002B226B"/>
    <w:rsid w:val="002B273B"/>
    <w:rsid w:val="002B29AA"/>
    <w:rsid w:val="002B2A7E"/>
    <w:rsid w:val="002B2F1B"/>
    <w:rsid w:val="002B3268"/>
    <w:rsid w:val="002B4A32"/>
    <w:rsid w:val="002B4C6B"/>
    <w:rsid w:val="002B5AFB"/>
    <w:rsid w:val="002B6320"/>
    <w:rsid w:val="002B66AC"/>
    <w:rsid w:val="002B6852"/>
    <w:rsid w:val="002B77E1"/>
    <w:rsid w:val="002C0714"/>
    <w:rsid w:val="002C0A96"/>
    <w:rsid w:val="002C10A8"/>
    <w:rsid w:val="002C1A81"/>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693A"/>
    <w:rsid w:val="002C7193"/>
    <w:rsid w:val="002C7699"/>
    <w:rsid w:val="002C7A49"/>
    <w:rsid w:val="002C7B1A"/>
    <w:rsid w:val="002D0128"/>
    <w:rsid w:val="002D0E85"/>
    <w:rsid w:val="002D0FA7"/>
    <w:rsid w:val="002D12FB"/>
    <w:rsid w:val="002D1306"/>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488"/>
    <w:rsid w:val="002D7961"/>
    <w:rsid w:val="002D7B6A"/>
    <w:rsid w:val="002D7E36"/>
    <w:rsid w:val="002E0026"/>
    <w:rsid w:val="002E08E8"/>
    <w:rsid w:val="002E0918"/>
    <w:rsid w:val="002E0BAA"/>
    <w:rsid w:val="002E0D96"/>
    <w:rsid w:val="002E0EA5"/>
    <w:rsid w:val="002E1E19"/>
    <w:rsid w:val="002E283F"/>
    <w:rsid w:val="002E2854"/>
    <w:rsid w:val="002E2E74"/>
    <w:rsid w:val="002E3193"/>
    <w:rsid w:val="002E32D2"/>
    <w:rsid w:val="002E361B"/>
    <w:rsid w:val="002E37AB"/>
    <w:rsid w:val="002E3A80"/>
    <w:rsid w:val="002E41C7"/>
    <w:rsid w:val="002E51DF"/>
    <w:rsid w:val="002E555B"/>
    <w:rsid w:val="002E57B9"/>
    <w:rsid w:val="002E608E"/>
    <w:rsid w:val="002E6127"/>
    <w:rsid w:val="002E6885"/>
    <w:rsid w:val="002E6E81"/>
    <w:rsid w:val="002E72E4"/>
    <w:rsid w:val="002E739D"/>
    <w:rsid w:val="002F0F36"/>
    <w:rsid w:val="002F1276"/>
    <w:rsid w:val="002F1986"/>
    <w:rsid w:val="002F1E5F"/>
    <w:rsid w:val="002F2A49"/>
    <w:rsid w:val="002F3438"/>
    <w:rsid w:val="002F3550"/>
    <w:rsid w:val="002F3B63"/>
    <w:rsid w:val="002F3C56"/>
    <w:rsid w:val="002F46B0"/>
    <w:rsid w:val="002F4B17"/>
    <w:rsid w:val="002F5150"/>
    <w:rsid w:val="002F5463"/>
    <w:rsid w:val="002F57FF"/>
    <w:rsid w:val="002F58C2"/>
    <w:rsid w:val="002F5932"/>
    <w:rsid w:val="002F5C85"/>
    <w:rsid w:val="002F603B"/>
    <w:rsid w:val="002F6201"/>
    <w:rsid w:val="002F6884"/>
    <w:rsid w:val="002F6A2B"/>
    <w:rsid w:val="002F6CB1"/>
    <w:rsid w:val="002F724B"/>
    <w:rsid w:val="002F72BA"/>
    <w:rsid w:val="00300267"/>
    <w:rsid w:val="003004D2"/>
    <w:rsid w:val="00300674"/>
    <w:rsid w:val="00300C88"/>
    <w:rsid w:val="00300D6B"/>
    <w:rsid w:val="00301380"/>
    <w:rsid w:val="00301E89"/>
    <w:rsid w:val="00302052"/>
    <w:rsid w:val="00302142"/>
    <w:rsid w:val="00302169"/>
    <w:rsid w:val="00302612"/>
    <w:rsid w:val="00303254"/>
    <w:rsid w:val="00303B08"/>
    <w:rsid w:val="0030408D"/>
    <w:rsid w:val="003042A4"/>
    <w:rsid w:val="003044D9"/>
    <w:rsid w:val="00304D8A"/>
    <w:rsid w:val="00305216"/>
    <w:rsid w:val="0030555B"/>
    <w:rsid w:val="00305BFD"/>
    <w:rsid w:val="003061F5"/>
    <w:rsid w:val="00306D27"/>
    <w:rsid w:val="0030739C"/>
    <w:rsid w:val="00310D51"/>
    <w:rsid w:val="00311B36"/>
    <w:rsid w:val="00311C92"/>
    <w:rsid w:val="00312FF9"/>
    <w:rsid w:val="003130E6"/>
    <w:rsid w:val="003133AE"/>
    <w:rsid w:val="00313414"/>
    <w:rsid w:val="0031371B"/>
    <w:rsid w:val="00313F2D"/>
    <w:rsid w:val="00314156"/>
    <w:rsid w:val="00315081"/>
    <w:rsid w:val="0031535B"/>
    <w:rsid w:val="003170F4"/>
    <w:rsid w:val="0031750F"/>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AA0"/>
    <w:rsid w:val="00324B25"/>
    <w:rsid w:val="0032522F"/>
    <w:rsid w:val="003253C4"/>
    <w:rsid w:val="0032550F"/>
    <w:rsid w:val="00325992"/>
    <w:rsid w:val="00325B74"/>
    <w:rsid w:val="0032638F"/>
    <w:rsid w:val="00326B59"/>
    <w:rsid w:val="003272C6"/>
    <w:rsid w:val="0032746C"/>
    <w:rsid w:val="00327752"/>
    <w:rsid w:val="00327963"/>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50E9"/>
    <w:rsid w:val="003351BA"/>
    <w:rsid w:val="0033520F"/>
    <w:rsid w:val="00335519"/>
    <w:rsid w:val="0033596B"/>
    <w:rsid w:val="00335A93"/>
    <w:rsid w:val="003364FF"/>
    <w:rsid w:val="0033650E"/>
    <w:rsid w:val="003366EF"/>
    <w:rsid w:val="00336907"/>
    <w:rsid w:val="003369DF"/>
    <w:rsid w:val="00336C71"/>
    <w:rsid w:val="00336D96"/>
    <w:rsid w:val="00336DFC"/>
    <w:rsid w:val="00337230"/>
    <w:rsid w:val="00337588"/>
    <w:rsid w:val="003377D0"/>
    <w:rsid w:val="00337ABB"/>
    <w:rsid w:val="00337D75"/>
    <w:rsid w:val="00340020"/>
    <w:rsid w:val="003400F2"/>
    <w:rsid w:val="0034081A"/>
    <w:rsid w:val="00341162"/>
    <w:rsid w:val="00341866"/>
    <w:rsid w:val="00341DAF"/>
    <w:rsid w:val="00342181"/>
    <w:rsid w:val="00342C02"/>
    <w:rsid w:val="0034339B"/>
    <w:rsid w:val="00343560"/>
    <w:rsid w:val="00343A20"/>
    <w:rsid w:val="0034402B"/>
    <w:rsid w:val="0034449E"/>
    <w:rsid w:val="00344D46"/>
    <w:rsid w:val="0034621B"/>
    <w:rsid w:val="003465A5"/>
    <w:rsid w:val="00346817"/>
    <w:rsid w:val="00347440"/>
    <w:rsid w:val="003475EA"/>
    <w:rsid w:val="0034792D"/>
    <w:rsid w:val="00347A27"/>
    <w:rsid w:val="00347B0C"/>
    <w:rsid w:val="00347CD4"/>
    <w:rsid w:val="00350A55"/>
    <w:rsid w:val="00350DF8"/>
    <w:rsid w:val="00351A8A"/>
    <w:rsid w:val="0035244F"/>
    <w:rsid w:val="00352541"/>
    <w:rsid w:val="0035266A"/>
    <w:rsid w:val="0035279C"/>
    <w:rsid w:val="00352B23"/>
    <w:rsid w:val="00352C49"/>
    <w:rsid w:val="003534D3"/>
    <w:rsid w:val="003535D2"/>
    <w:rsid w:val="0035384D"/>
    <w:rsid w:val="00353BF0"/>
    <w:rsid w:val="00353C0B"/>
    <w:rsid w:val="00354AE4"/>
    <w:rsid w:val="00354B0A"/>
    <w:rsid w:val="00354D9F"/>
    <w:rsid w:val="0035551B"/>
    <w:rsid w:val="003555ED"/>
    <w:rsid w:val="00355911"/>
    <w:rsid w:val="0035636B"/>
    <w:rsid w:val="00356714"/>
    <w:rsid w:val="00357424"/>
    <w:rsid w:val="0036069A"/>
    <w:rsid w:val="00361789"/>
    <w:rsid w:val="0036196D"/>
    <w:rsid w:val="00361EEC"/>
    <w:rsid w:val="0036208F"/>
    <w:rsid w:val="003627BD"/>
    <w:rsid w:val="00362997"/>
    <w:rsid w:val="003629B5"/>
    <w:rsid w:val="00362C59"/>
    <w:rsid w:val="00363040"/>
    <w:rsid w:val="003630B7"/>
    <w:rsid w:val="00363275"/>
    <w:rsid w:val="00363786"/>
    <w:rsid w:val="003638A4"/>
    <w:rsid w:val="003639BF"/>
    <w:rsid w:val="00363B1A"/>
    <w:rsid w:val="00363DDC"/>
    <w:rsid w:val="00363E41"/>
    <w:rsid w:val="00363ED8"/>
    <w:rsid w:val="00363FD2"/>
    <w:rsid w:val="003644D0"/>
    <w:rsid w:val="00364601"/>
    <w:rsid w:val="003651F5"/>
    <w:rsid w:val="0036572E"/>
    <w:rsid w:val="003663D9"/>
    <w:rsid w:val="003666BF"/>
    <w:rsid w:val="00366707"/>
    <w:rsid w:val="00366FA9"/>
    <w:rsid w:val="00367E49"/>
    <w:rsid w:val="003700E6"/>
    <w:rsid w:val="00371C86"/>
    <w:rsid w:val="0037236C"/>
    <w:rsid w:val="003729DE"/>
    <w:rsid w:val="003735D3"/>
    <w:rsid w:val="0037386D"/>
    <w:rsid w:val="00373956"/>
    <w:rsid w:val="00374153"/>
    <w:rsid w:val="003750E0"/>
    <w:rsid w:val="00375AF1"/>
    <w:rsid w:val="00375C2F"/>
    <w:rsid w:val="00375C74"/>
    <w:rsid w:val="00375FC5"/>
    <w:rsid w:val="003769BA"/>
    <w:rsid w:val="00377871"/>
    <w:rsid w:val="003778B2"/>
    <w:rsid w:val="00377E58"/>
    <w:rsid w:val="003805E3"/>
    <w:rsid w:val="00380618"/>
    <w:rsid w:val="0038062E"/>
    <w:rsid w:val="003807F7"/>
    <w:rsid w:val="00381610"/>
    <w:rsid w:val="00382106"/>
    <w:rsid w:val="00382657"/>
    <w:rsid w:val="00382B82"/>
    <w:rsid w:val="00383E73"/>
    <w:rsid w:val="003844BF"/>
    <w:rsid w:val="003852BA"/>
    <w:rsid w:val="0038534E"/>
    <w:rsid w:val="003854D5"/>
    <w:rsid w:val="0038552A"/>
    <w:rsid w:val="003859EA"/>
    <w:rsid w:val="003864DE"/>
    <w:rsid w:val="0038709E"/>
    <w:rsid w:val="00387D30"/>
    <w:rsid w:val="00390258"/>
    <w:rsid w:val="00390A4D"/>
    <w:rsid w:val="00391753"/>
    <w:rsid w:val="00391C7F"/>
    <w:rsid w:val="00392454"/>
    <w:rsid w:val="00392A6C"/>
    <w:rsid w:val="00392C85"/>
    <w:rsid w:val="00392FD8"/>
    <w:rsid w:val="00393E11"/>
    <w:rsid w:val="00394475"/>
    <w:rsid w:val="00394C48"/>
    <w:rsid w:val="0039517A"/>
    <w:rsid w:val="00395B51"/>
    <w:rsid w:val="00396796"/>
    <w:rsid w:val="00396EC6"/>
    <w:rsid w:val="00396F3C"/>
    <w:rsid w:val="003970BA"/>
    <w:rsid w:val="0039746C"/>
    <w:rsid w:val="00397DC6"/>
    <w:rsid w:val="003A02CC"/>
    <w:rsid w:val="003A0E82"/>
    <w:rsid w:val="003A0FAC"/>
    <w:rsid w:val="003A184D"/>
    <w:rsid w:val="003A1C35"/>
    <w:rsid w:val="003A1C85"/>
    <w:rsid w:val="003A1FB7"/>
    <w:rsid w:val="003A2962"/>
    <w:rsid w:val="003A302A"/>
    <w:rsid w:val="003A3152"/>
    <w:rsid w:val="003A371E"/>
    <w:rsid w:val="003A396F"/>
    <w:rsid w:val="003A3E8D"/>
    <w:rsid w:val="003A462A"/>
    <w:rsid w:val="003A4CE8"/>
    <w:rsid w:val="003A4FB3"/>
    <w:rsid w:val="003A595F"/>
    <w:rsid w:val="003A5EEC"/>
    <w:rsid w:val="003A79AE"/>
    <w:rsid w:val="003A7CA3"/>
    <w:rsid w:val="003B00B6"/>
    <w:rsid w:val="003B01C4"/>
    <w:rsid w:val="003B0BB0"/>
    <w:rsid w:val="003B11EE"/>
    <w:rsid w:val="003B1332"/>
    <w:rsid w:val="003B15F8"/>
    <w:rsid w:val="003B18EB"/>
    <w:rsid w:val="003B230B"/>
    <w:rsid w:val="003B23BC"/>
    <w:rsid w:val="003B2771"/>
    <w:rsid w:val="003B2DB5"/>
    <w:rsid w:val="003B2F05"/>
    <w:rsid w:val="003B3966"/>
    <w:rsid w:val="003B39B7"/>
    <w:rsid w:val="003B4EB0"/>
    <w:rsid w:val="003B5F6A"/>
    <w:rsid w:val="003B6B7F"/>
    <w:rsid w:val="003B7820"/>
    <w:rsid w:val="003C01A4"/>
    <w:rsid w:val="003C0219"/>
    <w:rsid w:val="003C07FE"/>
    <w:rsid w:val="003C0A6E"/>
    <w:rsid w:val="003C0C12"/>
    <w:rsid w:val="003C0CCE"/>
    <w:rsid w:val="003C120C"/>
    <w:rsid w:val="003C16EE"/>
    <w:rsid w:val="003C1C87"/>
    <w:rsid w:val="003C2C85"/>
    <w:rsid w:val="003C2F61"/>
    <w:rsid w:val="003C345E"/>
    <w:rsid w:val="003C4409"/>
    <w:rsid w:val="003C44A7"/>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91E"/>
    <w:rsid w:val="003D22A5"/>
    <w:rsid w:val="003D22C7"/>
    <w:rsid w:val="003D23A4"/>
    <w:rsid w:val="003D3414"/>
    <w:rsid w:val="003D3426"/>
    <w:rsid w:val="003D3721"/>
    <w:rsid w:val="003D46BA"/>
    <w:rsid w:val="003D590A"/>
    <w:rsid w:val="003D5A8C"/>
    <w:rsid w:val="003D6722"/>
    <w:rsid w:val="003D7428"/>
    <w:rsid w:val="003D77F2"/>
    <w:rsid w:val="003D78CC"/>
    <w:rsid w:val="003D7901"/>
    <w:rsid w:val="003D7D01"/>
    <w:rsid w:val="003D7ED8"/>
    <w:rsid w:val="003E0003"/>
    <w:rsid w:val="003E0099"/>
    <w:rsid w:val="003E08C7"/>
    <w:rsid w:val="003E0992"/>
    <w:rsid w:val="003E1A72"/>
    <w:rsid w:val="003E2138"/>
    <w:rsid w:val="003E2880"/>
    <w:rsid w:val="003E28FB"/>
    <w:rsid w:val="003E2A00"/>
    <w:rsid w:val="003E382C"/>
    <w:rsid w:val="003E3D00"/>
    <w:rsid w:val="003E3FD6"/>
    <w:rsid w:val="003E4531"/>
    <w:rsid w:val="003E4771"/>
    <w:rsid w:val="003E54A8"/>
    <w:rsid w:val="003E54AA"/>
    <w:rsid w:val="003E5833"/>
    <w:rsid w:val="003E5DA8"/>
    <w:rsid w:val="003E7109"/>
    <w:rsid w:val="003E77DC"/>
    <w:rsid w:val="003E7BC1"/>
    <w:rsid w:val="003F0355"/>
    <w:rsid w:val="003F0453"/>
    <w:rsid w:val="003F05D9"/>
    <w:rsid w:val="003F097D"/>
    <w:rsid w:val="003F0C9F"/>
    <w:rsid w:val="003F1113"/>
    <w:rsid w:val="003F144A"/>
    <w:rsid w:val="003F1B02"/>
    <w:rsid w:val="003F1EFE"/>
    <w:rsid w:val="003F2212"/>
    <w:rsid w:val="003F2240"/>
    <w:rsid w:val="003F2460"/>
    <w:rsid w:val="003F2BD1"/>
    <w:rsid w:val="003F2E7B"/>
    <w:rsid w:val="003F3932"/>
    <w:rsid w:val="003F39C7"/>
    <w:rsid w:val="003F3CD5"/>
    <w:rsid w:val="003F4473"/>
    <w:rsid w:val="003F4CF5"/>
    <w:rsid w:val="003F4E31"/>
    <w:rsid w:val="003F51EE"/>
    <w:rsid w:val="003F574E"/>
    <w:rsid w:val="003F60D6"/>
    <w:rsid w:val="003F68E9"/>
    <w:rsid w:val="003F6A91"/>
    <w:rsid w:val="003F73EA"/>
    <w:rsid w:val="003F7E15"/>
    <w:rsid w:val="003F7FDA"/>
    <w:rsid w:val="00400DE4"/>
    <w:rsid w:val="004013AD"/>
    <w:rsid w:val="004021C0"/>
    <w:rsid w:val="004028CE"/>
    <w:rsid w:val="0040313D"/>
    <w:rsid w:val="004043FA"/>
    <w:rsid w:val="00404970"/>
    <w:rsid w:val="00405181"/>
    <w:rsid w:val="0040567F"/>
    <w:rsid w:val="00405873"/>
    <w:rsid w:val="00405F09"/>
    <w:rsid w:val="004066F4"/>
    <w:rsid w:val="00406A32"/>
    <w:rsid w:val="0040760B"/>
    <w:rsid w:val="00410117"/>
    <w:rsid w:val="00410C32"/>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018"/>
    <w:rsid w:val="004133A5"/>
    <w:rsid w:val="00413B02"/>
    <w:rsid w:val="00413D45"/>
    <w:rsid w:val="00414197"/>
    <w:rsid w:val="004141E6"/>
    <w:rsid w:val="00414D68"/>
    <w:rsid w:val="00414FD9"/>
    <w:rsid w:val="00415773"/>
    <w:rsid w:val="00415CAE"/>
    <w:rsid w:val="00415EE7"/>
    <w:rsid w:val="004160FA"/>
    <w:rsid w:val="004164AE"/>
    <w:rsid w:val="0041669E"/>
    <w:rsid w:val="00416ACA"/>
    <w:rsid w:val="00416C56"/>
    <w:rsid w:val="00417294"/>
    <w:rsid w:val="004176B8"/>
    <w:rsid w:val="00417B99"/>
    <w:rsid w:val="00417CE0"/>
    <w:rsid w:val="004209D5"/>
    <w:rsid w:val="00420FAF"/>
    <w:rsid w:val="00421184"/>
    <w:rsid w:val="004212C1"/>
    <w:rsid w:val="004214B7"/>
    <w:rsid w:val="00421800"/>
    <w:rsid w:val="00421988"/>
    <w:rsid w:val="00421FB5"/>
    <w:rsid w:val="0042219F"/>
    <w:rsid w:val="004226ED"/>
    <w:rsid w:val="00422AF4"/>
    <w:rsid w:val="004235F4"/>
    <w:rsid w:val="004236C9"/>
    <w:rsid w:val="00423CF3"/>
    <w:rsid w:val="00423E18"/>
    <w:rsid w:val="00424B7C"/>
    <w:rsid w:val="0042500C"/>
    <w:rsid w:val="00425514"/>
    <w:rsid w:val="004256BD"/>
    <w:rsid w:val="00425863"/>
    <w:rsid w:val="00425D02"/>
    <w:rsid w:val="00425EDC"/>
    <w:rsid w:val="00426C3E"/>
    <w:rsid w:val="004275CD"/>
    <w:rsid w:val="00427FEB"/>
    <w:rsid w:val="00427FF2"/>
    <w:rsid w:val="004305C0"/>
    <w:rsid w:val="00430B20"/>
    <w:rsid w:val="00430B6C"/>
    <w:rsid w:val="0043135D"/>
    <w:rsid w:val="0043227C"/>
    <w:rsid w:val="004335C0"/>
    <w:rsid w:val="00433AFC"/>
    <w:rsid w:val="00433CCD"/>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1DC3"/>
    <w:rsid w:val="004425C6"/>
    <w:rsid w:val="00443512"/>
    <w:rsid w:val="00443A55"/>
    <w:rsid w:val="00443CA6"/>
    <w:rsid w:val="00443D5D"/>
    <w:rsid w:val="00445CBA"/>
    <w:rsid w:val="004463CB"/>
    <w:rsid w:val="004466F7"/>
    <w:rsid w:val="00446858"/>
    <w:rsid w:val="00447037"/>
    <w:rsid w:val="00447304"/>
    <w:rsid w:val="00450127"/>
    <w:rsid w:val="0045075F"/>
    <w:rsid w:val="004516AD"/>
    <w:rsid w:val="00451E84"/>
    <w:rsid w:val="00451EA3"/>
    <w:rsid w:val="00451F01"/>
    <w:rsid w:val="00453349"/>
    <w:rsid w:val="004546A7"/>
    <w:rsid w:val="00454831"/>
    <w:rsid w:val="004548DF"/>
    <w:rsid w:val="00454AA7"/>
    <w:rsid w:val="00455A98"/>
    <w:rsid w:val="00455B98"/>
    <w:rsid w:val="00455E25"/>
    <w:rsid w:val="00456CC0"/>
    <w:rsid w:val="0045755C"/>
    <w:rsid w:val="00457933"/>
    <w:rsid w:val="00457C78"/>
    <w:rsid w:val="00460136"/>
    <w:rsid w:val="00460735"/>
    <w:rsid w:val="00460AD5"/>
    <w:rsid w:val="00460EB8"/>
    <w:rsid w:val="00461090"/>
    <w:rsid w:val="004611D5"/>
    <w:rsid w:val="004617D8"/>
    <w:rsid w:val="004618E5"/>
    <w:rsid w:val="00461991"/>
    <w:rsid w:val="00461A6B"/>
    <w:rsid w:val="00461C43"/>
    <w:rsid w:val="00462125"/>
    <w:rsid w:val="00463216"/>
    <w:rsid w:val="0046334D"/>
    <w:rsid w:val="00463848"/>
    <w:rsid w:val="00463BBF"/>
    <w:rsid w:val="00463C95"/>
    <w:rsid w:val="00463E1C"/>
    <w:rsid w:val="00464052"/>
    <w:rsid w:val="00464C9C"/>
    <w:rsid w:val="00465153"/>
    <w:rsid w:val="00465602"/>
    <w:rsid w:val="004669A6"/>
    <w:rsid w:val="00466AFD"/>
    <w:rsid w:val="00466E99"/>
    <w:rsid w:val="00470563"/>
    <w:rsid w:val="00470696"/>
    <w:rsid w:val="004724C9"/>
    <w:rsid w:val="00472585"/>
    <w:rsid w:val="00473045"/>
    <w:rsid w:val="00474130"/>
    <w:rsid w:val="004754E5"/>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1F39"/>
    <w:rsid w:val="004820C5"/>
    <w:rsid w:val="00482198"/>
    <w:rsid w:val="004823D8"/>
    <w:rsid w:val="0048285B"/>
    <w:rsid w:val="00482F20"/>
    <w:rsid w:val="00483196"/>
    <w:rsid w:val="0048340F"/>
    <w:rsid w:val="0048384A"/>
    <w:rsid w:val="00483C25"/>
    <w:rsid w:val="0048423C"/>
    <w:rsid w:val="00484449"/>
    <w:rsid w:val="004845A6"/>
    <w:rsid w:val="00484A75"/>
    <w:rsid w:val="00484C71"/>
    <w:rsid w:val="004852CE"/>
    <w:rsid w:val="0048540C"/>
    <w:rsid w:val="0048561D"/>
    <w:rsid w:val="00485EDD"/>
    <w:rsid w:val="00485F92"/>
    <w:rsid w:val="004860BD"/>
    <w:rsid w:val="004865EC"/>
    <w:rsid w:val="004866E1"/>
    <w:rsid w:val="00486C72"/>
    <w:rsid w:val="004873A1"/>
    <w:rsid w:val="0049030D"/>
    <w:rsid w:val="00490954"/>
    <w:rsid w:val="00491282"/>
    <w:rsid w:val="004921DC"/>
    <w:rsid w:val="0049277A"/>
    <w:rsid w:val="00492B38"/>
    <w:rsid w:val="00492FE4"/>
    <w:rsid w:val="00493035"/>
    <w:rsid w:val="00493321"/>
    <w:rsid w:val="004936DE"/>
    <w:rsid w:val="0049544E"/>
    <w:rsid w:val="00495670"/>
    <w:rsid w:val="0049604B"/>
    <w:rsid w:val="00496AC9"/>
    <w:rsid w:val="004A040E"/>
    <w:rsid w:val="004A042D"/>
    <w:rsid w:val="004A11E0"/>
    <w:rsid w:val="004A1FC5"/>
    <w:rsid w:val="004A2158"/>
    <w:rsid w:val="004A29A5"/>
    <w:rsid w:val="004A29D6"/>
    <w:rsid w:val="004A3225"/>
    <w:rsid w:val="004A374A"/>
    <w:rsid w:val="004A395B"/>
    <w:rsid w:val="004A39D9"/>
    <w:rsid w:val="004A3C59"/>
    <w:rsid w:val="004A3FE2"/>
    <w:rsid w:val="004A480D"/>
    <w:rsid w:val="004A4B08"/>
    <w:rsid w:val="004A4D76"/>
    <w:rsid w:val="004A522F"/>
    <w:rsid w:val="004A5851"/>
    <w:rsid w:val="004A5A91"/>
    <w:rsid w:val="004A5B0F"/>
    <w:rsid w:val="004A5CF1"/>
    <w:rsid w:val="004A66E0"/>
    <w:rsid w:val="004A7225"/>
    <w:rsid w:val="004A7AAE"/>
    <w:rsid w:val="004A7D49"/>
    <w:rsid w:val="004A7F21"/>
    <w:rsid w:val="004B08DB"/>
    <w:rsid w:val="004B1422"/>
    <w:rsid w:val="004B2195"/>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1194"/>
    <w:rsid w:val="004C222E"/>
    <w:rsid w:val="004C2561"/>
    <w:rsid w:val="004C2806"/>
    <w:rsid w:val="004C3ADD"/>
    <w:rsid w:val="004C4122"/>
    <w:rsid w:val="004C428E"/>
    <w:rsid w:val="004C4775"/>
    <w:rsid w:val="004C483D"/>
    <w:rsid w:val="004C48A9"/>
    <w:rsid w:val="004C590B"/>
    <w:rsid w:val="004C6326"/>
    <w:rsid w:val="004C63C7"/>
    <w:rsid w:val="004C6D39"/>
    <w:rsid w:val="004C6D98"/>
    <w:rsid w:val="004C7217"/>
    <w:rsid w:val="004C75B5"/>
    <w:rsid w:val="004C7743"/>
    <w:rsid w:val="004C77A7"/>
    <w:rsid w:val="004C7DBE"/>
    <w:rsid w:val="004C7F57"/>
    <w:rsid w:val="004D032B"/>
    <w:rsid w:val="004D039E"/>
    <w:rsid w:val="004D04A3"/>
    <w:rsid w:val="004D0C9F"/>
    <w:rsid w:val="004D15FD"/>
    <w:rsid w:val="004D1F80"/>
    <w:rsid w:val="004D2369"/>
    <w:rsid w:val="004D2485"/>
    <w:rsid w:val="004D2998"/>
    <w:rsid w:val="004D3A57"/>
    <w:rsid w:val="004D3B2A"/>
    <w:rsid w:val="004D47FF"/>
    <w:rsid w:val="004D4D35"/>
    <w:rsid w:val="004D518F"/>
    <w:rsid w:val="004D54D7"/>
    <w:rsid w:val="004D5BB7"/>
    <w:rsid w:val="004D6053"/>
    <w:rsid w:val="004D61EF"/>
    <w:rsid w:val="004D6FA4"/>
    <w:rsid w:val="004D7C23"/>
    <w:rsid w:val="004D7EB1"/>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7F3"/>
    <w:rsid w:val="004E4A78"/>
    <w:rsid w:val="004E551E"/>
    <w:rsid w:val="004E58F6"/>
    <w:rsid w:val="004E5E37"/>
    <w:rsid w:val="004E5E4C"/>
    <w:rsid w:val="004E623E"/>
    <w:rsid w:val="004E6CF9"/>
    <w:rsid w:val="004E734E"/>
    <w:rsid w:val="004E7EC0"/>
    <w:rsid w:val="004E7F48"/>
    <w:rsid w:val="004F014E"/>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4B2"/>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E9A"/>
    <w:rsid w:val="00504F83"/>
    <w:rsid w:val="005059B9"/>
    <w:rsid w:val="00505F64"/>
    <w:rsid w:val="00506DCD"/>
    <w:rsid w:val="00507325"/>
    <w:rsid w:val="00507C56"/>
    <w:rsid w:val="00507F13"/>
    <w:rsid w:val="00510809"/>
    <w:rsid w:val="005109D4"/>
    <w:rsid w:val="00510CF4"/>
    <w:rsid w:val="0051160A"/>
    <w:rsid w:val="005118BA"/>
    <w:rsid w:val="00512D87"/>
    <w:rsid w:val="005130DA"/>
    <w:rsid w:val="00513998"/>
    <w:rsid w:val="00513B07"/>
    <w:rsid w:val="00513DDA"/>
    <w:rsid w:val="00513E19"/>
    <w:rsid w:val="005148B4"/>
    <w:rsid w:val="00514B29"/>
    <w:rsid w:val="00514C19"/>
    <w:rsid w:val="005152B1"/>
    <w:rsid w:val="005152F0"/>
    <w:rsid w:val="00515856"/>
    <w:rsid w:val="005163E6"/>
    <w:rsid w:val="005167B6"/>
    <w:rsid w:val="00516AAB"/>
    <w:rsid w:val="005172EC"/>
    <w:rsid w:val="0051740D"/>
    <w:rsid w:val="00517888"/>
    <w:rsid w:val="005178CE"/>
    <w:rsid w:val="00520575"/>
    <w:rsid w:val="00521CAB"/>
    <w:rsid w:val="005224EF"/>
    <w:rsid w:val="00522654"/>
    <w:rsid w:val="00522835"/>
    <w:rsid w:val="0052293D"/>
    <w:rsid w:val="00522AF4"/>
    <w:rsid w:val="00522B93"/>
    <w:rsid w:val="00523499"/>
    <w:rsid w:val="00523BC7"/>
    <w:rsid w:val="00523C08"/>
    <w:rsid w:val="00523C10"/>
    <w:rsid w:val="005245D5"/>
    <w:rsid w:val="00524889"/>
    <w:rsid w:val="0052575D"/>
    <w:rsid w:val="00525A53"/>
    <w:rsid w:val="00525C1F"/>
    <w:rsid w:val="00526569"/>
    <w:rsid w:val="00526726"/>
    <w:rsid w:val="00527256"/>
    <w:rsid w:val="00527B57"/>
    <w:rsid w:val="00527C8D"/>
    <w:rsid w:val="0053021B"/>
    <w:rsid w:val="00530AC4"/>
    <w:rsid w:val="00532115"/>
    <w:rsid w:val="0053265B"/>
    <w:rsid w:val="00533169"/>
    <w:rsid w:val="00533194"/>
    <w:rsid w:val="005332C8"/>
    <w:rsid w:val="0053464E"/>
    <w:rsid w:val="005346C8"/>
    <w:rsid w:val="005352C8"/>
    <w:rsid w:val="005354C1"/>
    <w:rsid w:val="00535ED7"/>
    <w:rsid w:val="00535F99"/>
    <w:rsid w:val="00536356"/>
    <w:rsid w:val="00536A45"/>
    <w:rsid w:val="00536CBB"/>
    <w:rsid w:val="00536DDD"/>
    <w:rsid w:val="00537033"/>
    <w:rsid w:val="00537085"/>
    <w:rsid w:val="00540A37"/>
    <w:rsid w:val="00540B49"/>
    <w:rsid w:val="005418DB"/>
    <w:rsid w:val="005434EA"/>
    <w:rsid w:val="005435FD"/>
    <w:rsid w:val="00545D55"/>
    <w:rsid w:val="005461AB"/>
    <w:rsid w:val="00546C6A"/>
    <w:rsid w:val="00546FBA"/>
    <w:rsid w:val="0054782D"/>
    <w:rsid w:val="00547F04"/>
    <w:rsid w:val="00550924"/>
    <w:rsid w:val="00550D63"/>
    <w:rsid w:val="00550DF2"/>
    <w:rsid w:val="00550EF1"/>
    <w:rsid w:val="00551075"/>
    <w:rsid w:val="005513C8"/>
    <w:rsid w:val="0055248E"/>
    <w:rsid w:val="0055352C"/>
    <w:rsid w:val="00553672"/>
    <w:rsid w:val="005538A6"/>
    <w:rsid w:val="00554F94"/>
    <w:rsid w:val="00555161"/>
    <w:rsid w:val="00555DE6"/>
    <w:rsid w:val="00555EB3"/>
    <w:rsid w:val="005567F6"/>
    <w:rsid w:val="00556E29"/>
    <w:rsid w:val="00556F3E"/>
    <w:rsid w:val="00557474"/>
    <w:rsid w:val="005575C9"/>
    <w:rsid w:val="00557DAA"/>
    <w:rsid w:val="00557DAD"/>
    <w:rsid w:val="00557E9B"/>
    <w:rsid w:val="00560078"/>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755"/>
    <w:rsid w:val="005659B1"/>
    <w:rsid w:val="0056601E"/>
    <w:rsid w:val="00566406"/>
    <w:rsid w:val="00566538"/>
    <w:rsid w:val="0056725A"/>
    <w:rsid w:val="0056741F"/>
    <w:rsid w:val="00567647"/>
    <w:rsid w:val="0056781B"/>
    <w:rsid w:val="00567BE2"/>
    <w:rsid w:val="00570102"/>
    <w:rsid w:val="00570505"/>
    <w:rsid w:val="005712E6"/>
    <w:rsid w:val="00572942"/>
    <w:rsid w:val="005730DB"/>
    <w:rsid w:val="00573251"/>
    <w:rsid w:val="00573390"/>
    <w:rsid w:val="005733A8"/>
    <w:rsid w:val="00573B5B"/>
    <w:rsid w:val="00573F55"/>
    <w:rsid w:val="0057540E"/>
    <w:rsid w:val="005757B6"/>
    <w:rsid w:val="00576EB8"/>
    <w:rsid w:val="0058000F"/>
    <w:rsid w:val="00580557"/>
    <w:rsid w:val="0058074F"/>
    <w:rsid w:val="005808F3"/>
    <w:rsid w:val="00580A76"/>
    <w:rsid w:val="00581042"/>
    <w:rsid w:val="00581517"/>
    <w:rsid w:val="00581703"/>
    <w:rsid w:val="00581715"/>
    <w:rsid w:val="00581B15"/>
    <w:rsid w:val="005821DD"/>
    <w:rsid w:val="00582E42"/>
    <w:rsid w:val="00583908"/>
    <w:rsid w:val="005842FB"/>
    <w:rsid w:val="00584757"/>
    <w:rsid w:val="00584E21"/>
    <w:rsid w:val="005856D5"/>
    <w:rsid w:val="0058608B"/>
    <w:rsid w:val="005863C1"/>
    <w:rsid w:val="0058654D"/>
    <w:rsid w:val="00586786"/>
    <w:rsid w:val="00587051"/>
    <w:rsid w:val="00587729"/>
    <w:rsid w:val="00587886"/>
    <w:rsid w:val="00587A66"/>
    <w:rsid w:val="00590147"/>
    <w:rsid w:val="00590BD1"/>
    <w:rsid w:val="00590D26"/>
    <w:rsid w:val="00590F69"/>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337"/>
    <w:rsid w:val="005A0532"/>
    <w:rsid w:val="005A07E7"/>
    <w:rsid w:val="005A0A57"/>
    <w:rsid w:val="005A0B9F"/>
    <w:rsid w:val="005A0DBB"/>
    <w:rsid w:val="005A0EBD"/>
    <w:rsid w:val="005A1270"/>
    <w:rsid w:val="005A1295"/>
    <w:rsid w:val="005A1FBF"/>
    <w:rsid w:val="005A2081"/>
    <w:rsid w:val="005A29B1"/>
    <w:rsid w:val="005A2EBF"/>
    <w:rsid w:val="005A380B"/>
    <w:rsid w:val="005A3C8B"/>
    <w:rsid w:val="005A4890"/>
    <w:rsid w:val="005A49D4"/>
    <w:rsid w:val="005A4D7C"/>
    <w:rsid w:val="005A51C9"/>
    <w:rsid w:val="005A5DC0"/>
    <w:rsid w:val="005A6857"/>
    <w:rsid w:val="005A6B6D"/>
    <w:rsid w:val="005A6F0E"/>
    <w:rsid w:val="005A6F57"/>
    <w:rsid w:val="005A7079"/>
    <w:rsid w:val="005A7235"/>
    <w:rsid w:val="005A795B"/>
    <w:rsid w:val="005A7A1A"/>
    <w:rsid w:val="005A7BAF"/>
    <w:rsid w:val="005B0652"/>
    <w:rsid w:val="005B1213"/>
    <w:rsid w:val="005B1329"/>
    <w:rsid w:val="005B1512"/>
    <w:rsid w:val="005B1B55"/>
    <w:rsid w:val="005B1DBD"/>
    <w:rsid w:val="005B2769"/>
    <w:rsid w:val="005B2828"/>
    <w:rsid w:val="005B3EBD"/>
    <w:rsid w:val="005B48E8"/>
    <w:rsid w:val="005B54F6"/>
    <w:rsid w:val="005B56D9"/>
    <w:rsid w:val="005B5BA3"/>
    <w:rsid w:val="005B5E62"/>
    <w:rsid w:val="005B6B5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DA9"/>
    <w:rsid w:val="005C2F60"/>
    <w:rsid w:val="005C323D"/>
    <w:rsid w:val="005C3772"/>
    <w:rsid w:val="005C39C3"/>
    <w:rsid w:val="005C4229"/>
    <w:rsid w:val="005C4580"/>
    <w:rsid w:val="005C5065"/>
    <w:rsid w:val="005C52F3"/>
    <w:rsid w:val="005C564C"/>
    <w:rsid w:val="005C6234"/>
    <w:rsid w:val="005C6605"/>
    <w:rsid w:val="005C71A0"/>
    <w:rsid w:val="005C751C"/>
    <w:rsid w:val="005C7802"/>
    <w:rsid w:val="005C7B50"/>
    <w:rsid w:val="005C7E73"/>
    <w:rsid w:val="005D029E"/>
    <w:rsid w:val="005D0427"/>
    <w:rsid w:val="005D0776"/>
    <w:rsid w:val="005D07AE"/>
    <w:rsid w:val="005D0B55"/>
    <w:rsid w:val="005D0C83"/>
    <w:rsid w:val="005D113B"/>
    <w:rsid w:val="005D1732"/>
    <w:rsid w:val="005D1BAC"/>
    <w:rsid w:val="005D2D9A"/>
    <w:rsid w:val="005D3A6E"/>
    <w:rsid w:val="005D3A7B"/>
    <w:rsid w:val="005D3B21"/>
    <w:rsid w:val="005D3BCB"/>
    <w:rsid w:val="005D4019"/>
    <w:rsid w:val="005D4194"/>
    <w:rsid w:val="005D41DC"/>
    <w:rsid w:val="005D43C3"/>
    <w:rsid w:val="005D460F"/>
    <w:rsid w:val="005D4638"/>
    <w:rsid w:val="005D4D7D"/>
    <w:rsid w:val="005D4DC5"/>
    <w:rsid w:val="005D5C22"/>
    <w:rsid w:val="005D5E6C"/>
    <w:rsid w:val="005D63A9"/>
    <w:rsid w:val="005D65D5"/>
    <w:rsid w:val="005D6AE2"/>
    <w:rsid w:val="005D6BF3"/>
    <w:rsid w:val="005D6C56"/>
    <w:rsid w:val="005D6F49"/>
    <w:rsid w:val="005D7E8A"/>
    <w:rsid w:val="005E06FA"/>
    <w:rsid w:val="005E11A5"/>
    <w:rsid w:val="005E13D4"/>
    <w:rsid w:val="005E1435"/>
    <w:rsid w:val="005E15A9"/>
    <w:rsid w:val="005E21F3"/>
    <w:rsid w:val="005E235C"/>
    <w:rsid w:val="005E3078"/>
    <w:rsid w:val="005E34C0"/>
    <w:rsid w:val="005E3D71"/>
    <w:rsid w:val="005E44F1"/>
    <w:rsid w:val="005E4612"/>
    <w:rsid w:val="005E49CA"/>
    <w:rsid w:val="005E5427"/>
    <w:rsid w:val="005E5428"/>
    <w:rsid w:val="005E5A7C"/>
    <w:rsid w:val="005E5C33"/>
    <w:rsid w:val="005E5F53"/>
    <w:rsid w:val="005E6976"/>
    <w:rsid w:val="005E69D9"/>
    <w:rsid w:val="005E6DB5"/>
    <w:rsid w:val="005E6E12"/>
    <w:rsid w:val="005E70CD"/>
    <w:rsid w:val="005E74B3"/>
    <w:rsid w:val="005E74EC"/>
    <w:rsid w:val="005E74F5"/>
    <w:rsid w:val="005E7AB6"/>
    <w:rsid w:val="005E7B1E"/>
    <w:rsid w:val="005E7CBC"/>
    <w:rsid w:val="005F0A62"/>
    <w:rsid w:val="005F0FA8"/>
    <w:rsid w:val="005F1C5D"/>
    <w:rsid w:val="005F222B"/>
    <w:rsid w:val="005F2317"/>
    <w:rsid w:val="005F2346"/>
    <w:rsid w:val="005F2550"/>
    <w:rsid w:val="005F297E"/>
    <w:rsid w:val="005F2B2D"/>
    <w:rsid w:val="005F2D9C"/>
    <w:rsid w:val="005F2FD5"/>
    <w:rsid w:val="005F340A"/>
    <w:rsid w:val="005F3AE8"/>
    <w:rsid w:val="005F3B09"/>
    <w:rsid w:val="005F3B47"/>
    <w:rsid w:val="005F3C78"/>
    <w:rsid w:val="005F47C1"/>
    <w:rsid w:val="005F4926"/>
    <w:rsid w:val="005F4B6F"/>
    <w:rsid w:val="005F5009"/>
    <w:rsid w:val="005F5054"/>
    <w:rsid w:val="005F530F"/>
    <w:rsid w:val="005F65D9"/>
    <w:rsid w:val="005F6704"/>
    <w:rsid w:val="005F6768"/>
    <w:rsid w:val="005F693C"/>
    <w:rsid w:val="005F69CF"/>
    <w:rsid w:val="005F6E39"/>
    <w:rsid w:val="005F6E58"/>
    <w:rsid w:val="005F704C"/>
    <w:rsid w:val="005F7A22"/>
    <w:rsid w:val="005F7B9D"/>
    <w:rsid w:val="00600501"/>
    <w:rsid w:val="006006CD"/>
    <w:rsid w:val="00600B0C"/>
    <w:rsid w:val="00600CC3"/>
    <w:rsid w:val="00601078"/>
    <w:rsid w:val="00601F8E"/>
    <w:rsid w:val="00602543"/>
    <w:rsid w:val="0060254C"/>
    <w:rsid w:val="00602DFA"/>
    <w:rsid w:val="006031D1"/>
    <w:rsid w:val="006033BF"/>
    <w:rsid w:val="00603702"/>
    <w:rsid w:val="006037F1"/>
    <w:rsid w:val="00603B4B"/>
    <w:rsid w:val="00603F20"/>
    <w:rsid w:val="006042BD"/>
    <w:rsid w:val="00604A11"/>
    <w:rsid w:val="00604F37"/>
    <w:rsid w:val="0060508A"/>
    <w:rsid w:val="006055AF"/>
    <w:rsid w:val="00605942"/>
    <w:rsid w:val="00605C9F"/>
    <w:rsid w:val="0060603F"/>
    <w:rsid w:val="00606814"/>
    <w:rsid w:val="006068E8"/>
    <w:rsid w:val="00606ADB"/>
    <w:rsid w:val="00606B74"/>
    <w:rsid w:val="00606B98"/>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3009"/>
    <w:rsid w:val="006132EA"/>
    <w:rsid w:val="0061401C"/>
    <w:rsid w:val="0061420B"/>
    <w:rsid w:val="00614931"/>
    <w:rsid w:val="00614D33"/>
    <w:rsid w:val="0061537D"/>
    <w:rsid w:val="0061537F"/>
    <w:rsid w:val="00615DEA"/>
    <w:rsid w:val="006160BB"/>
    <w:rsid w:val="00616A60"/>
    <w:rsid w:val="00616EE6"/>
    <w:rsid w:val="006171FB"/>
    <w:rsid w:val="00617A2A"/>
    <w:rsid w:val="006207F4"/>
    <w:rsid w:val="00620C67"/>
    <w:rsid w:val="00621646"/>
    <w:rsid w:val="00621803"/>
    <w:rsid w:val="006220F1"/>
    <w:rsid w:val="00623C68"/>
    <w:rsid w:val="00623E46"/>
    <w:rsid w:val="00624604"/>
    <w:rsid w:val="00624D2C"/>
    <w:rsid w:val="00624EAD"/>
    <w:rsid w:val="00624EF1"/>
    <w:rsid w:val="00625145"/>
    <w:rsid w:val="0062538D"/>
    <w:rsid w:val="00625E17"/>
    <w:rsid w:val="00627402"/>
    <w:rsid w:val="00630480"/>
    <w:rsid w:val="0063058E"/>
    <w:rsid w:val="006305F8"/>
    <w:rsid w:val="00631DA7"/>
    <w:rsid w:val="006327CB"/>
    <w:rsid w:val="00632B9C"/>
    <w:rsid w:val="00632F18"/>
    <w:rsid w:val="006332D7"/>
    <w:rsid w:val="0063333D"/>
    <w:rsid w:val="006336EF"/>
    <w:rsid w:val="00634225"/>
    <w:rsid w:val="00635003"/>
    <w:rsid w:val="006351CE"/>
    <w:rsid w:val="006352FD"/>
    <w:rsid w:val="00635B15"/>
    <w:rsid w:val="006362E1"/>
    <w:rsid w:val="006367DA"/>
    <w:rsid w:val="00636FAD"/>
    <w:rsid w:val="006370E1"/>
    <w:rsid w:val="006375B2"/>
    <w:rsid w:val="006375BB"/>
    <w:rsid w:val="006379DE"/>
    <w:rsid w:val="006407FE"/>
    <w:rsid w:val="006409EE"/>
    <w:rsid w:val="00640BF7"/>
    <w:rsid w:val="00640C7D"/>
    <w:rsid w:val="00640E7E"/>
    <w:rsid w:val="00640FFF"/>
    <w:rsid w:val="00641557"/>
    <w:rsid w:val="00641761"/>
    <w:rsid w:val="006421D9"/>
    <w:rsid w:val="006424FE"/>
    <w:rsid w:val="006425FC"/>
    <w:rsid w:val="00642631"/>
    <w:rsid w:val="00642C3C"/>
    <w:rsid w:val="00642DF5"/>
    <w:rsid w:val="0064304A"/>
    <w:rsid w:val="0064329C"/>
    <w:rsid w:val="0064380B"/>
    <w:rsid w:val="00643A4F"/>
    <w:rsid w:val="00643FF5"/>
    <w:rsid w:val="0064415D"/>
    <w:rsid w:val="006441FD"/>
    <w:rsid w:val="00644E5A"/>
    <w:rsid w:val="00644F2C"/>
    <w:rsid w:val="00645141"/>
    <w:rsid w:val="00645AEE"/>
    <w:rsid w:val="006462BA"/>
    <w:rsid w:val="00646428"/>
    <w:rsid w:val="0064707F"/>
    <w:rsid w:val="006471E8"/>
    <w:rsid w:val="00647E90"/>
    <w:rsid w:val="00647FA3"/>
    <w:rsid w:val="006500F7"/>
    <w:rsid w:val="00650769"/>
    <w:rsid w:val="00650DF8"/>
    <w:rsid w:val="006516B7"/>
    <w:rsid w:val="006518E4"/>
    <w:rsid w:val="00651FB8"/>
    <w:rsid w:val="00651FFB"/>
    <w:rsid w:val="00652BA0"/>
    <w:rsid w:val="00652DF6"/>
    <w:rsid w:val="00652FCA"/>
    <w:rsid w:val="00653045"/>
    <w:rsid w:val="00653A25"/>
    <w:rsid w:val="00653D93"/>
    <w:rsid w:val="00653FDA"/>
    <w:rsid w:val="006541A0"/>
    <w:rsid w:val="00654E99"/>
    <w:rsid w:val="00655104"/>
    <w:rsid w:val="0065548F"/>
    <w:rsid w:val="0065558B"/>
    <w:rsid w:val="00655633"/>
    <w:rsid w:val="006559BB"/>
    <w:rsid w:val="00655A93"/>
    <w:rsid w:val="00655D93"/>
    <w:rsid w:val="00655E86"/>
    <w:rsid w:val="00656614"/>
    <w:rsid w:val="00656C4D"/>
    <w:rsid w:val="006577CD"/>
    <w:rsid w:val="006578A6"/>
    <w:rsid w:val="00657CCC"/>
    <w:rsid w:val="00660162"/>
    <w:rsid w:val="0066036D"/>
    <w:rsid w:val="006604FA"/>
    <w:rsid w:val="00660879"/>
    <w:rsid w:val="00661639"/>
    <w:rsid w:val="0066174D"/>
    <w:rsid w:val="00661E36"/>
    <w:rsid w:val="00661F03"/>
    <w:rsid w:val="006631D3"/>
    <w:rsid w:val="00663D0F"/>
    <w:rsid w:val="00664525"/>
    <w:rsid w:val="0066465B"/>
    <w:rsid w:val="00664C81"/>
    <w:rsid w:val="0066521A"/>
    <w:rsid w:val="0066540C"/>
    <w:rsid w:val="00665EAE"/>
    <w:rsid w:val="006661EA"/>
    <w:rsid w:val="00666909"/>
    <w:rsid w:val="00666EBC"/>
    <w:rsid w:val="00667034"/>
    <w:rsid w:val="00667189"/>
    <w:rsid w:val="0066749E"/>
    <w:rsid w:val="00667681"/>
    <w:rsid w:val="00667CCB"/>
    <w:rsid w:val="00667EFD"/>
    <w:rsid w:val="00670475"/>
    <w:rsid w:val="00670A4F"/>
    <w:rsid w:val="00670B8C"/>
    <w:rsid w:val="00670C4A"/>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4A8"/>
    <w:rsid w:val="00677572"/>
    <w:rsid w:val="00681229"/>
    <w:rsid w:val="0068185E"/>
    <w:rsid w:val="00681BE5"/>
    <w:rsid w:val="00681E30"/>
    <w:rsid w:val="00682955"/>
    <w:rsid w:val="0068379B"/>
    <w:rsid w:val="00683D98"/>
    <w:rsid w:val="00683D99"/>
    <w:rsid w:val="00684079"/>
    <w:rsid w:val="006840C9"/>
    <w:rsid w:val="00685F24"/>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974FD"/>
    <w:rsid w:val="006A066A"/>
    <w:rsid w:val="006A06CA"/>
    <w:rsid w:val="006A083E"/>
    <w:rsid w:val="006A0FFD"/>
    <w:rsid w:val="006A1170"/>
    <w:rsid w:val="006A14A3"/>
    <w:rsid w:val="006A159D"/>
    <w:rsid w:val="006A18BF"/>
    <w:rsid w:val="006A1F58"/>
    <w:rsid w:val="006A242E"/>
    <w:rsid w:val="006A26AB"/>
    <w:rsid w:val="006A298D"/>
    <w:rsid w:val="006A2F80"/>
    <w:rsid w:val="006A3FD6"/>
    <w:rsid w:val="006A4076"/>
    <w:rsid w:val="006A436F"/>
    <w:rsid w:val="006A4E5B"/>
    <w:rsid w:val="006A59D8"/>
    <w:rsid w:val="006A5A45"/>
    <w:rsid w:val="006A5C13"/>
    <w:rsid w:val="006A608E"/>
    <w:rsid w:val="006A6B7B"/>
    <w:rsid w:val="006A73D2"/>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0DA"/>
    <w:rsid w:val="006B53DC"/>
    <w:rsid w:val="006B5423"/>
    <w:rsid w:val="006B5855"/>
    <w:rsid w:val="006B5AB2"/>
    <w:rsid w:val="006B5C67"/>
    <w:rsid w:val="006B6B5D"/>
    <w:rsid w:val="006B6C0D"/>
    <w:rsid w:val="006B7825"/>
    <w:rsid w:val="006B7D68"/>
    <w:rsid w:val="006C033F"/>
    <w:rsid w:val="006C1818"/>
    <w:rsid w:val="006C1F8B"/>
    <w:rsid w:val="006C2721"/>
    <w:rsid w:val="006C323A"/>
    <w:rsid w:val="006C3868"/>
    <w:rsid w:val="006C38FF"/>
    <w:rsid w:val="006C39EC"/>
    <w:rsid w:val="006C3E6E"/>
    <w:rsid w:val="006C3EEA"/>
    <w:rsid w:val="006C43A6"/>
    <w:rsid w:val="006C44EC"/>
    <w:rsid w:val="006C4A4A"/>
    <w:rsid w:val="006C53EB"/>
    <w:rsid w:val="006C5D29"/>
    <w:rsid w:val="006C650D"/>
    <w:rsid w:val="006C69A5"/>
    <w:rsid w:val="006C6A4D"/>
    <w:rsid w:val="006C6CF3"/>
    <w:rsid w:val="006C701D"/>
    <w:rsid w:val="006C7740"/>
    <w:rsid w:val="006D0389"/>
    <w:rsid w:val="006D0848"/>
    <w:rsid w:val="006D0BA5"/>
    <w:rsid w:val="006D0C15"/>
    <w:rsid w:val="006D0D8B"/>
    <w:rsid w:val="006D0FBF"/>
    <w:rsid w:val="006D10DC"/>
    <w:rsid w:val="006D1586"/>
    <w:rsid w:val="006D19C1"/>
    <w:rsid w:val="006D23AC"/>
    <w:rsid w:val="006D2827"/>
    <w:rsid w:val="006D2848"/>
    <w:rsid w:val="006D2B19"/>
    <w:rsid w:val="006D2EC9"/>
    <w:rsid w:val="006D3A05"/>
    <w:rsid w:val="006D3B62"/>
    <w:rsid w:val="006D3FDF"/>
    <w:rsid w:val="006D4527"/>
    <w:rsid w:val="006D4B05"/>
    <w:rsid w:val="006D4EE5"/>
    <w:rsid w:val="006D4F86"/>
    <w:rsid w:val="006D4F91"/>
    <w:rsid w:val="006D51A2"/>
    <w:rsid w:val="006D5F98"/>
    <w:rsid w:val="006D6665"/>
    <w:rsid w:val="006D7098"/>
    <w:rsid w:val="006D740E"/>
    <w:rsid w:val="006D7C8A"/>
    <w:rsid w:val="006D7F72"/>
    <w:rsid w:val="006E00B7"/>
    <w:rsid w:val="006E0735"/>
    <w:rsid w:val="006E0CB5"/>
    <w:rsid w:val="006E0E5B"/>
    <w:rsid w:val="006E132F"/>
    <w:rsid w:val="006E2701"/>
    <w:rsid w:val="006E28D7"/>
    <w:rsid w:val="006E3023"/>
    <w:rsid w:val="006E3369"/>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E96"/>
    <w:rsid w:val="006F2D24"/>
    <w:rsid w:val="006F37F7"/>
    <w:rsid w:val="006F38C3"/>
    <w:rsid w:val="006F3909"/>
    <w:rsid w:val="006F4036"/>
    <w:rsid w:val="006F428E"/>
    <w:rsid w:val="006F48E1"/>
    <w:rsid w:val="006F5160"/>
    <w:rsid w:val="006F5374"/>
    <w:rsid w:val="006F60DF"/>
    <w:rsid w:val="006F68C1"/>
    <w:rsid w:val="006F6B60"/>
    <w:rsid w:val="006F6CE2"/>
    <w:rsid w:val="006F6E10"/>
    <w:rsid w:val="006F7800"/>
    <w:rsid w:val="007014F8"/>
    <w:rsid w:val="0070150D"/>
    <w:rsid w:val="007016D2"/>
    <w:rsid w:val="007018D8"/>
    <w:rsid w:val="00702282"/>
    <w:rsid w:val="007026BC"/>
    <w:rsid w:val="007029E8"/>
    <w:rsid w:val="007030C7"/>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7E0F"/>
    <w:rsid w:val="007100F9"/>
    <w:rsid w:val="0071068A"/>
    <w:rsid w:val="00710E19"/>
    <w:rsid w:val="00710E52"/>
    <w:rsid w:val="0071154B"/>
    <w:rsid w:val="007116B6"/>
    <w:rsid w:val="0071174F"/>
    <w:rsid w:val="0071196A"/>
    <w:rsid w:val="00711C03"/>
    <w:rsid w:val="0071227C"/>
    <w:rsid w:val="007131CF"/>
    <w:rsid w:val="007132CD"/>
    <w:rsid w:val="007133C0"/>
    <w:rsid w:val="00713613"/>
    <w:rsid w:val="007137C6"/>
    <w:rsid w:val="007138FC"/>
    <w:rsid w:val="0071393D"/>
    <w:rsid w:val="00713E79"/>
    <w:rsid w:val="00714245"/>
    <w:rsid w:val="00714C20"/>
    <w:rsid w:val="00715441"/>
    <w:rsid w:val="00715739"/>
    <w:rsid w:val="0071576C"/>
    <w:rsid w:val="00715C94"/>
    <w:rsid w:val="00715EA7"/>
    <w:rsid w:val="00716A09"/>
    <w:rsid w:val="007170DB"/>
    <w:rsid w:val="00717880"/>
    <w:rsid w:val="00717CA8"/>
    <w:rsid w:val="007205E7"/>
    <w:rsid w:val="007209C4"/>
    <w:rsid w:val="00721ACB"/>
    <w:rsid w:val="00721E9E"/>
    <w:rsid w:val="007227FE"/>
    <w:rsid w:val="0072290A"/>
    <w:rsid w:val="007233C3"/>
    <w:rsid w:val="00723C95"/>
    <w:rsid w:val="007244E7"/>
    <w:rsid w:val="0072505F"/>
    <w:rsid w:val="00725B00"/>
    <w:rsid w:val="00725E54"/>
    <w:rsid w:val="0072680C"/>
    <w:rsid w:val="0072698B"/>
    <w:rsid w:val="00726A25"/>
    <w:rsid w:val="00726B3D"/>
    <w:rsid w:val="00726C64"/>
    <w:rsid w:val="00727A8E"/>
    <w:rsid w:val="007310B7"/>
    <w:rsid w:val="00731237"/>
    <w:rsid w:val="00731A52"/>
    <w:rsid w:val="0073207E"/>
    <w:rsid w:val="00732664"/>
    <w:rsid w:val="00732BA7"/>
    <w:rsid w:val="007333EA"/>
    <w:rsid w:val="00733535"/>
    <w:rsid w:val="00733601"/>
    <w:rsid w:val="00733A57"/>
    <w:rsid w:val="00733F36"/>
    <w:rsid w:val="007340CE"/>
    <w:rsid w:val="00734781"/>
    <w:rsid w:val="007349FC"/>
    <w:rsid w:val="00734B6F"/>
    <w:rsid w:val="00735293"/>
    <w:rsid w:val="00735376"/>
    <w:rsid w:val="0073555D"/>
    <w:rsid w:val="007363EA"/>
    <w:rsid w:val="00736E06"/>
    <w:rsid w:val="00736E37"/>
    <w:rsid w:val="00737286"/>
    <w:rsid w:val="007373DB"/>
    <w:rsid w:val="00737A72"/>
    <w:rsid w:val="00737F27"/>
    <w:rsid w:val="00737FD3"/>
    <w:rsid w:val="007407DB"/>
    <w:rsid w:val="0074085F"/>
    <w:rsid w:val="00740BFC"/>
    <w:rsid w:val="00740F76"/>
    <w:rsid w:val="00740FAE"/>
    <w:rsid w:val="00741037"/>
    <w:rsid w:val="0074198F"/>
    <w:rsid w:val="007422B3"/>
    <w:rsid w:val="007424BF"/>
    <w:rsid w:val="00742657"/>
    <w:rsid w:val="007434BD"/>
    <w:rsid w:val="007435F1"/>
    <w:rsid w:val="00743DDD"/>
    <w:rsid w:val="00744625"/>
    <w:rsid w:val="007446BB"/>
    <w:rsid w:val="00745882"/>
    <w:rsid w:val="00745A04"/>
    <w:rsid w:val="00745A0F"/>
    <w:rsid w:val="00745DFD"/>
    <w:rsid w:val="0074600A"/>
    <w:rsid w:val="00746197"/>
    <w:rsid w:val="0074689C"/>
    <w:rsid w:val="00746B3F"/>
    <w:rsid w:val="00747117"/>
    <w:rsid w:val="007479C2"/>
    <w:rsid w:val="00747B0D"/>
    <w:rsid w:val="00750712"/>
    <w:rsid w:val="007511BA"/>
    <w:rsid w:val="00751452"/>
    <w:rsid w:val="00751D06"/>
    <w:rsid w:val="00751D74"/>
    <w:rsid w:val="007521A5"/>
    <w:rsid w:val="00752243"/>
    <w:rsid w:val="007531BA"/>
    <w:rsid w:val="00753959"/>
    <w:rsid w:val="00753BED"/>
    <w:rsid w:val="00753DD6"/>
    <w:rsid w:val="00754A4A"/>
    <w:rsid w:val="00756114"/>
    <w:rsid w:val="007567A8"/>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CB9"/>
    <w:rsid w:val="007643D5"/>
    <w:rsid w:val="00765366"/>
    <w:rsid w:val="00765614"/>
    <w:rsid w:val="00765914"/>
    <w:rsid w:val="0076614D"/>
    <w:rsid w:val="0076624C"/>
    <w:rsid w:val="0076627D"/>
    <w:rsid w:val="00766304"/>
    <w:rsid w:val="00767A28"/>
    <w:rsid w:val="00767DD2"/>
    <w:rsid w:val="0077082B"/>
    <w:rsid w:val="00770B12"/>
    <w:rsid w:val="00770C44"/>
    <w:rsid w:val="00770E60"/>
    <w:rsid w:val="00771C8F"/>
    <w:rsid w:val="00772019"/>
    <w:rsid w:val="00772193"/>
    <w:rsid w:val="0077266E"/>
    <w:rsid w:val="0077292E"/>
    <w:rsid w:val="007737D8"/>
    <w:rsid w:val="0077391C"/>
    <w:rsid w:val="00773D24"/>
    <w:rsid w:val="00774576"/>
    <w:rsid w:val="0077508A"/>
    <w:rsid w:val="00775567"/>
    <w:rsid w:val="00775E0D"/>
    <w:rsid w:val="00776343"/>
    <w:rsid w:val="00776416"/>
    <w:rsid w:val="0077657E"/>
    <w:rsid w:val="00776C7B"/>
    <w:rsid w:val="00776CEF"/>
    <w:rsid w:val="0077790B"/>
    <w:rsid w:val="00777E7E"/>
    <w:rsid w:val="007804DD"/>
    <w:rsid w:val="0078095A"/>
    <w:rsid w:val="00780F3B"/>
    <w:rsid w:val="007816EE"/>
    <w:rsid w:val="00782071"/>
    <w:rsid w:val="00782946"/>
    <w:rsid w:val="00782AB1"/>
    <w:rsid w:val="00782ECD"/>
    <w:rsid w:val="0078363B"/>
    <w:rsid w:val="00783CCF"/>
    <w:rsid w:val="00783F5B"/>
    <w:rsid w:val="00784609"/>
    <w:rsid w:val="00784720"/>
    <w:rsid w:val="0078481D"/>
    <w:rsid w:val="007859FC"/>
    <w:rsid w:val="00785F4C"/>
    <w:rsid w:val="0078609C"/>
    <w:rsid w:val="00786355"/>
    <w:rsid w:val="0078668F"/>
    <w:rsid w:val="00787370"/>
    <w:rsid w:val="007874AE"/>
    <w:rsid w:val="0078750B"/>
    <w:rsid w:val="00787F5E"/>
    <w:rsid w:val="0079024D"/>
    <w:rsid w:val="007911B8"/>
    <w:rsid w:val="00791DAE"/>
    <w:rsid w:val="007930E8"/>
    <w:rsid w:val="007935F5"/>
    <w:rsid w:val="00793D04"/>
    <w:rsid w:val="00793F28"/>
    <w:rsid w:val="00793FDB"/>
    <w:rsid w:val="00794252"/>
    <w:rsid w:val="007944D2"/>
    <w:rsid w:val="00794B19"/>
    <w:rsid w:val="00795B8D"/>
    <w:rsid w:val="00795EB9"/>
    <w:rsid w:val="00795F0E"/>
    <w:rsid w:val="007960A9"/>
    <w:rsid w:val="00797D8F"/>
    <w:rsid w:val="007A0C00"/>
    <w:rsid w:val="007A0E15"/>
    <w:rsid w:val="007A176E"/>
    <w:rsid w:val="007A19BF"/>
    <w:rsid w:val="007A2A69"/>
    <w:rsid w:val="007A2CF1"/>
    <w:rsid w:val="007A2F78"/>
    <w:rsid w:val="007A41B5"/>
    <w:rsid w:val="007A4486"/>
    <w:rsid w:val="007A4682"/>
    <w:rsid w:val="007A5879"/>
    <w:rsid w:val="007A58A8"/>
    <w:rsid w:val="007A5BDC"/>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21C"/>
    <w:rsid w:val="007B2319"/>
    <w:rsid w:val="007B2FBF"/>
    <w:rsid w:val="007B3E13"/>
    <w:rsid w:val="007B4046"/>
    <w:rsid w:val="007B4300"/>
    <w:rsid w:val="007B44CE"/>
    <w:rsid w:val="007B44F9"/>
    <w:rsid w:val="007B565C"/>
    <w:rsid w:val="007B595F"/>
    <w:rsid w:val="007B5D75"/>
    <w:rsid w:val="007B6388"/>
    <w:rsid w:val="007B6D5E"/>
    <w:rsid w:val="007B7115"/>
    <w:rsid w:val="007B736B"/>
    <w:rsid w:val="007B73B8"/>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3A9"/>
    <w:rsid w:val="007C5711"/>
    <w:rsid w:val="007C57B9"/>
    <w:rsid w:val="007C6325"/>
    <w:rsid w:val="007C6C53"/>
    <w:rsid w:val="007C71FB"/>
    <w:rsid w:val="007C73A3"/>
    <w:rsid w:val="007C78F6"/>
    <w:rsid w:val="007C7975"/>
    <w:rsid w:val="007C7EF5"/>
    <w:rsid w:val="007D06AC"/>
    <w:rsid w:val="007D0741"/>
    <w:rsid w:val="007D0A53"/>
    <w:rsid w:val="007D0C62"/>
    <w:rsid w:val="007D0FFC"/>
    <w:rsid w:val="007D1013"/>
    <w:rsid w:val="007D19EC"/>
    <w:rsid w:val="007D2180"/>
    <w:rsid w:val="007D2608"/>
    <w:rsid w:val="007D30C3"/>
    <w:rsid w:val="007D35AC"/>
    <w:rsid w:val="007D36B1"/>
    <w:rsid w:val="007D36D7"/>
    <w:rsid w:val="007D3BA1"/>
    <w:rsid w:val="007D3BDB"/>
    <w:rsid w:val="007D3EC8"/>
    <w:rsid w:val="007D40AC"/>
    <w:rsid w:val="007D4317"/>
    <w:rsid w:val="007D4C12"/>
    <w:rsid w:val="007D5137"/>
    <w:rsid w:val="007D57E0"/>
    <w:rsid w:val="007D5962"/>
    <w:rsid w:val="007D63B2"/>
    <w:rsid w:val="007D651D"/>
    <w:rsid w:val="007D71B7"/>
    <w:rsid w:val="007D7C66"/>
    <w:rsid w:val="007D7CF3"/>
    <w:rsid w:val="007E0274"/>
    <w:rsid w:val="007E02A7"/>
    <w:rsid w:val="007E0415"/>
    <w:rsid w:val="007E0991"/>
    <w:rsid w:val="007E0B2C"/>
    <w:rsid w:val="007E107F"/>
    <w:rsid w:val="007E1C84"/>
    <w:rsid w:val="007E25ED"/>
    <w:rsid w:val="007E25EF"/>
    <w:rsid w:val="007E2EBD"/>
    <w:rsid w:val="007E2FD7"/>
    <w:rsid w:val="007E310B"/>
    <w:rsid w:val="007E38DA"/>
    <w:rsid w:val="007E3D65"/>
    <w:rsid w:val="007E3EE2"/>
    <w:rsid w:val="007E47E7"/>
    <w:rsid w:val="007E4A98"/>
    <w:rsid w:val="007E4EB6"/>
    <w:rsid w:val="007E5DD7"/>
    <w:rsid w:val="007E7139"/>
    <w:rsid w:val="007E7366"/>
    <w:rsid w:val="007E799A"/>
    <w:rsid w:val="007E7EA1"/>
    <w:rsid w:val="007E7EA4"/>
    <w:rsid w:val="007F0043"/>
    <w:rsid w:val="007F03CE"/>
    <w:rsid w:val="007F04D3"/>
    <w:rsid w:val="007F0DB7"/>
    <w:rsid w:val="007F0E95"/>
    <w:rsid w:val="007F137D"/>
    <w:rsid w:val="007F2926"/>
    <w:rsid w:val="007F2D8D"/>
    <w:rsid w:val="007F2EBF"/>
    <w:rsid w:val="007F3044"/>
    <w:rsid w:val="007F3249"/>
    <w:rsid w:val="007F399E"/>
    <w:rsid w:val="007F3F87"/>
    <w:rsid w:val="007F4309"/>
    <w:rsid w:val="007F4657"/>
    <w:rsid w:val="007F49E6"/>
    <w:rsid w:val="007F4BAC"/>
    <w:rsid w:val="007F525B"/>
    <w:rsid w:val="007F5609"/>
    <w:rsid w:val="007F5625"/>
    <w:rsid w:val="007F568A"/>
    <w:rsid w:val="007F59F7"/>
    <w:rsid w:val="007F5D13"/>
    <w:rsid w:val="007F5E21"/>
    <w:rsid w:val="007F619D"/>
    <w:rsid w:val="007F6413"/>
    <w:rsid w:val="007F676E"/>
    <w:rsid w:val="007F6B11"/>
    <w:rsid w:val="007F6C91"/>
    <w:rsid w:val="007F6E2B"/>
    <w:rsid w:val="007F6F3C"/>
    <w:rsid w:val="007F7D12"/>
    <w:rsid w:val="007F7F02"/>
    <w:rsid w:val="00800258"/>
    <w:rsid w:val="00800562"/>
    <w:rsid w:val="00800C97"/>
    <w:rsid w:val="00800E69"/>
    <w:rsid w:val="008015BF"/>
    <w:rsid w:val="0080220F"/>
    <w:rsid w:val="00802735"/>
    <w:rsid w:val="008028C2"/>
    <w:rsid w:val="00802DDB"/>
    <w:rsid w:val="00803165"/>
    <w:rsid w:val="008037D8"/>
    <w:rsid w:val="00803B7E"/>
    <w:rsid w:val="00803DA6"/>
    <w:rsid w:val="00803EFB"/>
    <w:rsid w:val="008040D9"/>
    <w:rsid w:val="0080436E"/>
    <w:rsid w:val="00804937"/>
    <w:rsid w:val="00804E1E"/>
    <w:rsid w:val="00804E43"/>
    <w:rsid w:val="008050F5"/>
    <w:rsid w:val="00805112"/>
    <w:rsid w:val="0080512F"/>
    <w:rsid w:val="0080519C"/>
    <w:rsid w:val="008054C0"/>
    <w:rsid w:val="00810BC2"/>
    <w:rsid w:val="00811683"/>
    <w:rsid w:val="00811AFF"/>
    <w:rsid w:val="00812102"/>
    <w:rsid w:val="00812373"/>
    <w:rsid w:val="00813F3A"/>
    <w:rsid w:val="008140E8"/>
    <w:rsid w:val="00814271"/>
    <w:rsid w:val="00814941"/>
    <w:rsid w:val="00814955"/>
    <w:rsid w:val="00814A65"/>
    <w:rsid w:val="00814BD9"/>
    <w:rsid w:val="008158AC"/>
    <w:rsid w:val="00815CF4"/>
    <w:rsid w:val="00816805"/>
    <w:rsid w:val="00816AC4"/>
    <w:rsid w:val="00816BE8"/>
    <w:rsid w:val="00816CD5"/>
    <w:rsid w:val="00816DBD"/>
    <w:rsid w:val="00816FE2"/>
    <w:rsid w:val="00817062"/>
    <w:rsid w:val="00817991"/>
    <w:rsid w:val="00817F58"/>
    <w:rsid w:val="008203C5"/>
    <w:rsid w:val="00820B84"/>
    <w:rsid w:val="0082199B"/>
    <w:rsid w:val="00821C2A"/>
    <w:rsid w:val="008226A4"/>
    <w:rsid w:val="008227B7"/>
    <w:rsid w:val="008243A8"/>
    <w:rsid w:val="00824925"/>
    <w:rsid w:val="00824C8B"/>
    <w:rsid w:val="008252E8"/>
    <w:rsid w:val="00825BA8"/>
    <w:rsid w:val="00825C14"/>
    <w:rsid w:val="00825FD5"/>
    <w:rsid w:val="0082641D"/>
    <w:rsid w:val="008267CA"/>
    <w:rsid w:val="0082722B"/>
    <w:rsid w:val="00827C1B"/>
    <w:rsid w:val="0083016B"/>
    <w:rsid w:val="008301F1"/>
    <w:rsid w:val="00830C0E"/>
    <w:rsid w:val="00830D97"/>
    <w:rsid w:val="008313E0"/>
    <w:rsid w:val="00831742"/>
    <w:rsid w:val="008317EC"/>
    <w:rsid w:val="0083195D"/>
    <w:rsid w:val="00831B7B"/>
    <w:rsid w:val="00831D90"/>
    <w:rsid w:val="008324F3"/>
    <w:rsid w:val="00832691"/>
    <w:rsid w:val="0083296B"/>
    <w:rsid w:val="00833547"/>
    <w:rsid w:val="00833852"/>
    <w:rsid w:val="00833AB9"/>
    <w:rsid w:val="008344EC"/>
    <w:rsid w:val="00834820"/>
    <w:rsid w:val="00834C82"/>
    <w:rsid w:val="00834DB6"/>
    <w:rsid w:val="00834F93"/>
    <w:rsid w:val="008354DB"/>
    <w:rsid w:val="00840C4A"/>
    <w:rsid w:val="008411B9"/>
    <w:rsid w:val="0084122F"/>
    <w:rsid w:val="00841573"/>
    <w:rsid w:val="00841D08"/>
    <w:rsid w:val="00842D37"/>
    <w:rsid w:val="00842D43"/>
    <w:rsid w:val="0084323E"/>
    <w:rsid w:val="0084375D"/>
    <w:rsid w:val="00843D50"/>
    <w:rsid w:val="0084464E"/>
    <w:rsid w:val="008458BF"/>
    <w:rsid w:val="00846262"/>
    <w:rsid w:val="00846370"/>
    <w:rsid w:val="0084689E"/>
    <w:rsid w:val="008469F3"/>
    <w:rsid w:val="00846DCD"/>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34A"/>
    <w:rsid w:val="00857AF7"/>
    <w:rsid w:val="00860109"/>
    <w:rsid w:val="008601BD"/>
    <w:rsid w:val="00860359"/>
    <w:rsid w:val="00860700"/>
    <w:rsid w:val="00860E43"/>
    <w:rsid w:val="00860EE9"/>
    <w:rsid w:val="00861075"/>
    <w:rsid w:val="00861252"/>
    <w:rsid w:val="0086171A"/>
    <w:rsid w:val="00861B89"/>
    <w:rsid w:val="0086226C"/>
    <w:rsid w:val="00862C76"/>
    <w:rsid w:val="00863968"/>
    <w:rsid w:val="008644A4"/>
    <w:rsid w:val="00864A6C"/>
    <w:rsid w:val="00864BB1"/>
    <w:rsid w:val="00864DF7"/>
    <w:rsid w:val="00864FDB"/>
    <w:rsid w:val="00865278"/>
    <w:rsid w:val="008654F9"/>
    <w:rsid w:val="008657DA"/>
    <w:rsid w:val="008658C0"/>
    <w:rsid w:val="00866388"/>
    <w:rsid w:val="00866FE3"/>
    <w:rsid w:val="0086722D"/>
    <w:rsid w:val="00867D56"/>
    <w:rsid w:val="0087028A"/>
    <w:rsid w:val="00870BAA"/>
    <w:rsid w:val="00870D91"/>
    <w:rsid w:val="008716D1"/>
    <w:rsid w:val="008716ED"/>
    <w:rsid w:val="0087193F"/>
    <w:rsid w:val="008724E6"/>
    <w:rsid w:val="00872767"/>
    <w:rsid w:val="008728C8"/>
    <w:rsid w:val="00872A79"/>
    <w:rsid w:val="00873205"/>
    <w:rsid w:val="008735E8"/>
    <w:rsid w:val="0087377E"/>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8A8"/>
    <w:rsid w:val="00875AF3"/>
    <w:rsid w:val="00875C06"/>
    <w:rsid w:val="008765E9"/>
    <w:rsid w:val="00876605"/>
    <w:rsid w:val="00876B13"/>
    <w:rsid w:val="00880017"/>
    <w:rsid w:val="00880305"/>
    <w:rsid w:val="00880315"/>
    <w:rsid w:val="0088031C"/>
    <w:rsid w:val="0088088A"/>
    <w:rsid w:val="00880A3F"/>
    <w:rsid w:val="00880EE2"/>
    <w:rsid w:val="00881318"/>
    <w:rsid w:val="00881732"/>
    <w:rsid w:val="008818A2"/>
    <w:rsid w:val="008820FB"/>
    <w:rsid w:val="0088213D"/>
    <w:rsid w:val="008821C6"/>
    <w:rsid w:val="0088243C"/>
    <w:rsid w:val="0088243D"/>
    <w:rsid w:val="0088251A"/>
    <w:rsid w:val="00882862"/>
    <w:rsid w:val="00882D28"/>
    <w:rsid w:val="00883A67"/>
    <w:rsid w:val="0088400F"/>
    <w:rsid w:val="008848E9"/>
    <w:rsid w:val="00884FD8"/>
    <w:rsid w:val="00885244"/>
    <w:rsid w:val="008857C7"/>
    <w:rsid w:val="008858B3"/>
    <w:rsid w:val="008866CF"/>
    <w:rsid w:val="00886782"/>
    <w:rsid w:val="008869A1"/>
    <w:rsid w:val="00886B3F"/>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71"/>
    <w:rsid w:val="00894FE5"/>
    <w:rsid w:val="008954D2"/>
    <w:rsid w:val="00895658"/>
    <w:rsid w:val="008956DA"/>
    <w:rsid w:val="008959E5"/>
    <w:rsid w:val="00895BA9"/>
    <w:rsid w:val="00895D79"/>
    <w:rsid w:val="0089601B"/>
    <w:rsid w:val="0089655D"/>
    <w:rsid w:val="00896784"/>
    <w:rsid w:val="00897824"/>
    <w:rsid w:val="008979DB"/>
    <w:rsid w:val="00897BCB"/>
    <w:rsid w:val="00897C07"/>
    <w:rsid w:val="00897DBA"/>
    <w:rsid w:val="008A02FA"/>
    <w:rsid w:val="008A06A8"/>
    <w:rsid w:val="008A1AAC"/>
    <w:rsid w:val="008A1D3C"/>
    <w:rsid w:val="008A20CA"/>
    <w:rsid w:val="008A239B"/>
    <w:rsid w:val="008A27D1"/>
    <w:rsid w:val="008A2956"/>
    <w:rsid w:val="008A2EA1"/>
    <w:rsid w:val="008A2EF6"/>
    <w:rsid w:val="008A3480"/>
    <w:rsid w:val="008A425D"/>
    <w:rsid w:val="008A4B88"/>
    <w:rsid w:val="008A4F3C"/>
    <w:rsid w:val="008A51AD"/>
    <w:rsid w:val="008A53BA"/>
    <w:rsid w:val="008A551D"/>
    <w:rsid w:val="008A56BA"/>
    <w:rsid w:val="008A570A"/>
    <w:rsid w:val="008A58E4"/>
    <w:rsid w:val="008A58E7"/>
    <w:rsid w:val="008A5A64"/>
    <w:rsid w:val="008A5C1D"/>
    <w:rsid w:val="008A615A"/>
    <w:rsid w:val="008A650C"/>
    <w:rsid w:val="008A6A36"/>
    <w:rsid w:val="008A6CB9"/>
    <w:rsid w:val="008A6DC1"/>
    <w:rsid w:val="008A7100"/>
    <w:rsid w:val="008A7139"/>
    <w:rsid w:val="008A776D"/>
    <w:rsid w:val="008A7C74"/>
    <w:rsid w:val="008B0107"/>
    <w:rsid w:val="008B04C0"/>
    <w:rsid w:val="008B0A83"/>
    <w:rsid w:val="008B0B13"/>
    <w:rsid w:val="008B0E93"/>
    <w:rsid w:val="008B198D"/>
    <w:rsid w:val="008B2709"/>
    <w:rsid w:val="008B29A4"/>
    <w:rsid w:val="008B2BB4"/>
    <w:rsid w:val="008B2C30"/>
    <w:rsid w:val="008B2D73"/>
    <w:rsid w:val="008B3AB6"/>
    <w:rsid w:val="008B3C2B"/>
    <w:rsid w:val="008B4679"/>
    <w:rsid w:val="008B4D00"/>
    <w:rsid w:val="008B4D13"/>
    <w:rsid w:val="008B4E78"/>
    <w:rsid w:val="008B4FE2"/>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742A"/>
    <w:rsid w:val="008C74C7"/>
    <w:rsid w:val="008C7714"/>
    <w:rsid w:val="008C7E21"/>
    <w:rsid w:val="008C7F4F"/>
    <w:rsid w:val="008D00F3"/>
    <w:rsid w:val="008D0F27"/>
    <w:rsid w:val="008D15A2"/>
    <w:rsid w:val="008D18CD"/>
    <w:rsid w:val="008D1F86"/>
    <w:rsid w:val="008D20E0"/>
    <w:rsid w:val="008D2796"/>
    <w:rsid w:val="008D2B6E"/>
    <w:rsid w:val="008D30AA"/>
    <w:rsid w:val="008D335C"/>
    <w:rsid w:val="008D35B7"/>
    <w:rsid w:val="008D4007"/>
    <w:rsid w:val="008D436A"/>
    <w:rsid w:val="008D4C72"/>
    <w:rsid w:val="008D50BA"/>
    <w:rsid w:val="008D561B"/>
    <w:rsid w:val="008D582B"/>
    <w:rsid w:val="008D5CF9"/>
    <w:rsid w:val="008D5D0A"/>
    <w:rsid w:val="008D6794"/>
    <w:rsid w:val="008D6EE4"/>
    <w:rsid w:val="008D7F65"/>
    <w:rsid w:val="008E0178"/>
    <w:rsid w:val="008E02F8"/>
    <w:rsid w:val="008E1189"/>
    <w:rsid w:val="008E12AF"/>
    <w:rsid w:val="008E1592"/>
    <w:rsid w:val="008E211C"/>
    <w:rsid w:val="008E2BB3"/>
    <w:rsid w:val="008E2BC5"/>
    <w:rsid w:val="008E2C79"/>
    <w:rsid w:val="008E3176"/>
    <w:rsid w:val="008E3564"/>
    <w:rsid w:val="008E3A0B"/>
    <w:rsid w:val="008E3A90"/>
    <w:rsid w:val="008E3AAB"/>
    <w:rsid w:val="008E4043"/>
    <w:rsid w:val="008E4163"/>
    <w:rsid w:val="008E41E2"/>
    <w:rsid w:val="008E4520"/>
    <w:rsid w:val="008E54E8"/>
    <w:rsid w:val="008E5740"/>
    <w:rsid w:val="008E5868"/>
    <w:rsid w:val="008E5DC8"/>
    <w:rsid w:val="008E642C"/>
    <w:rsid w:val="008E6465"/>
    <w:rsid w:val="008E6C57"/>
    <w:rsid w:val="008E6E66"/>
    <w:rsid w:val="008E7082"/>
    <w:rsid w:val="008E72AF"/>
    <w:rsid w:val="008F047B"/>
    <w:rsid w:val="008F0952"/>
    <w:rsid w:val="008F1154"/>
    <w:rsid w:val="008F1B84"/>
    <w:rsid w:val="008F1B9D"/>
    <w:rsid w:val="008F1DB6"/>
    <w:rsid w:val="008F1DDC"/>
    <w:rsid w:val="008F39C0"/>
    <w:rsid w:val="008F3CC0"/>
    <w:rsid w:val="008F4A84"/>
    <w:rsid w:val="008F57CD"/>
    <w:rsid w:val="008F5960"/>
    <w:rsid w:val="008F5A0C"/>
    <w:rsid w:val="008F5CD0"/>
    <w:rsid w:val="008F6100"/>
    <w:rsid w:val="008F629A"/>
    <w:rsid w:val="008F6A9B"/>
    <w:rsid w:val="008F6F03"/>
    <w:rsid w:val="008F6F9D"/>
    <w:rsid w:val="008F7603"/>
    <w:rsid w:val="008F769D"/>
    <w:rsid w:val="008F76DC"/>
    <w:rsid w:val="008F771F"/>
    <w:rsid w:val="008F7A06"/>
    <w:rsid w:val="008F7D2F"/>
    <w:rsid w:val="008F7EFC"/>
    <w:rsid w:val="009013C5"/>
    <w:rsid w:val="0090147B"/>
    <w:rsid w:val="00901649"/>
    <w:rsid w:val="00901CBA"/>
    <w:rsid w:val="00901DC6"/>
    <w:rsid w:val="009021DC"/>
    <w:rsid w:val="00902297"/>
    <w:rsid w:val="00903026"/>
    <w:rsid w:val="0090357B"/>
    <w:rsid w:val="00903832"/>
    <w:rsid w:val="00904088"/>
    <w:rsid w:val="009044BE"/>
    <w:rsid w:val="009048EB"/>
    <w:rsid w:val="00904913"/>
    <w:rsid w:val="00904D4B"/>
    <w:rsid w:val="009050B3"/>
    <w:rsid w:val="00905945"/>
    <w:rsid w:val="00905FEB"/>
    <w:rsid w:val="00906252"/>
    <w:rsid w:val="0090672E"/>
    <w:rsid w:val="00906A4F"/>
    <w:rsid w:val="00906BD6"/>
    <w:rsid w:val="00907074"/>
    <w:rsid w:val="00907240"/>
    <w:rsid w:val="009073C7"/>
    <w:rsid w:val="009078BA"/>
    <w:rsid w:val="009079C7"/>
    <w:rsid w:val="009079F7"/>
    <w:rsid w:val="00907B44"/>
    <w:rsid w:val="00907C33"/>
    <w:rsid w:val="009105EC"/>
    <w:rsid w:val="009108D2"/>
    <w:rsid w:val="00910C20"/>
    <w:rsid w:val="00910FE1"/>
    <w:rsid w:val="0091106A"/>
    <w:rsid w:val="009117D0"/>
    <w:rsid w:val="00911C77"/>
    <w:rsid w:val="00911D1C"/>
    <w:rsid w:val="00912F38"/>
    <w:rsid w:val="00913C58"/>
    <w:rsid w:val="00913FCD"/>
    <w:rsid w:val="009140B4"/>
    <w:rsid w:val="00914174"/>
    <w:rsid w:val="0091425A"/>
    <w:rsid w:val="0091428A"/>
    <w:rsid w:val="00914733"/>
    <w:rsid w:val="00914AA5"/>
    <w:rsid w:val="009162DD"/>
    <w:rsid w:val="009163E7"/>
    <w:rsid w:val="0091671A"/>
    <w:rsid w:val="009169F6"/>
    <w:rsid w:val="00916D5B"/>
    <w:rsid w:val="0091715C"/>
    <w:rsid w:val="0091719D"/>
    <w:rsid w:val="00917903"/>
    <w:rsid w:val="009200D3"/>
    <w:rsid w:val="00920997"/>
    <w:rsid w:val="00920B1E"/>
    <w:rsid w:val="00920DD5"/>
    <w:rsid w:val="00921161"/>
    <w:rsid w:val="0092158B"/>
    <w:rsid w:val="00921E0A"/>
    <w:rsid w:val="00922492"/>
    <w:rsid w:val="009224EB"/>
    <w:rsid w:val="0092272F"/>
    <w:rsid w:val="00922BE2"/>
    <w:rsid w:val="00922EDE"/>
    <w:rsid w:val="0092337C"/>
    <w:rsid w:val="009237D9"/>
    <w:rsid w:val="0092388C"/>
    <w:rsid w:val="009239D2"/>
    <w:rsid w:val="0092406C"/>
    <w:rsid w:val="00924096"/>
    <w:rsid w:val="009243BC"/>
    <w:rsid w:val="009244D5"/>
    <w:rsid w:val="009252F1"/>
    <w:rsid w:val="00925588"/>
    <w:rsid w:val="009258EA"/>
    <w:rsid w:val="00925AF5"/>
    <w:rsid w:val="00925C76"/>
    <w:rsid w:val="00926268"/>
    <w:rsid w:val="009264A2"/>
    <w:rsid w:val="00926F3D"/>
    <w:rsid w:val="0092715D"/>
    <w:rsid w:val="00927206"/>
    <w:rsid w:val="00930057"/>
    <w:rsid w:val="00930632"/>
    <w:rsid w:val="009310BC"/>
    <w:rsid w:val="00931D3F"/>
    <w:rsid w:val="009324C4"/>
    <w:rsid w:val="00932671"/>
    <w:rsid w:val="00932A7A"/>
    <w:rsid w:val="009330BF"/>
    <w:rsid w:val="00933817"/>
    <w:rsid w:val="00933C07"/>
    <w:rsid w:val="00934510"/>
    <w:rsid w:val="0093476C"/>
    <w:rsid w:val="009353F6"/>
    <w:rsid w:val="00935A1E"/>
    <w:rsid w:val="00935B7C"/>
    <w:rsid w:val="00935E3A"/>
    <w:rsid w:val="00936005"/>
    <w:rsid w:val="0093607C"/>
    <w:rsid w:val="00937A83"/>
    <w:rsid w:val="00937B51"/>
    <w:rsid w:val="00937D6C"/>
    <w:rsid w:val="00940008"/>
    <w:rsid w:val="00940FFA"/>
    <w:rsid w:val="00941503"/>
    <w:rsid w:val="00941543"/>
    <w:rsid w:val="0094187D"/>
    <w:rsid w:val="00942C90"/>
    <w:rsid w:val="00942F29"/>
    <w:rsid w:val="00942FB6"/>
    <w:rsid w:val="009434EB"/>
    <w:rsid w:val="00943EA6"/>
    <w:rsid w:val="00944400"/>
    <w:rsid w:val="009448F2"/>
    <w:rsid w:val="009448F3"/>
    <w:rsid w:val="0094524B"/>
    <w:rsid w:val="009456E3"/>
    <w:rsid w:val="00945759"/>
    <w:rsid w:val="009466E9"/>
    <w:rsid w:val="00946CB3"/>
    <w:rsid w:val="00946D20"/>
    <w:rsid w:val="00946E51"/>
    <w:rsid w:val="009473F4"/>
    <w:rsid w:val="0094767D"/>
    <w:rsid w:val="00950231"/>
    <w:rsid w:val="00950794"/>
    <w:rsid w:val="009507AA"/>
    <w:rsid w:val="0095088B"/>
    <w:rsid w:val="009509E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D04"/>
    <w:rsid w:val="00955FFA"/>
    <w:rsid w:val="00956170"/>
    <w:rsid w:val="00956332"/>
    <w:rsid w:val="00956BA1"/>
    <w:rsid w:val="00956D42"/>
    <w:rsid w:val="00956F0F"/>
    <w:rsid w:val="00957065"/>
    <w:rsid w:val="0095727F"/>
    <w:rsid w:val="009572AF"/>
    <w:rsid w:val="00957E41"/>
    <w:rsid w:val="0096023A"/>
    <w:rsid w:val="0096068A"/>
    <w:rsid w:val="009607AB"/>
    <w:rsid w:val="00960A9A"/>
    <w:rsid w:val="009615DB"/>
    <w:rsid w:val="00962683"/>
    <w:rsid w:val="00962E23"/>
    <w:rsid w:val="00963149"/>
    <w:rsid w:val="009643CA"/>
    <w:rsid w:val="0096456D"/>
    <w:rsid w:val="0096487C"/>
    <w:rsid w:val="00964BC2"/>
    <w:rsid w:val="00964D4A"/>
    <w:rsid w:val="00964EAE"/>
    <w:rsid w:val="00965023"/>
    <w:rsid w:val="009650B7"/>
    <w:rsid w:val="0096515D"/>
    <w:rsid w:val="00965841"/>
    <w:rsid w:val="00965EE1"/>
    <w:rsid w:val="00966623"/>
    <w:rsid w:val="009668D5"/>
    <w:rsid w:val="00966D23"/>
    <w:rsid w:val="009678DB"/>
    <w:rsid w:val="00970728"/>
    <w:rsid w:val="009707C9"/>
    <w:rsid w:val="0097082A"/>
    <w:rsid w:val="00971618"/>
    <w:rsid w:val="00971E0B"/>
    <w:rsid w:val="00972101"/>
    <w:rsid w:val="00972D22"/>
    <w:rsid w:val="00972FB5"/>
    <w:rsid w:val="00973510"/>
    <w:rsid w:val="009736FE"/>
    <w:rsid w:val="00973B96"/>
    <w:rsid w:val="00973BAA"/>
    <w:rsid w:val="00973E3C"/>
    <w:rsid w:val="00974763"/>
    <w:rsid w:val="009757CA"/>
    <w:rsid w:val="00975C9D"/>
    <w:rsid w:val="00976E76"/>
    <w:rsid w:val="00977065"/>
    <w:rsid w:val="00977A14"/>
    <w:rsid w:val="00977B3D"/>
    <w:rsid w:val="00977E9B"/>
    <w:rsid w:val="009807BF"/>
    <w:rsid w:val="009809CE"/>
    <w:rsid w:val="009809E3"/>
    <w:rsid w:val="00980D42"/>
    <w:rsid w:val="0098131F"/>
    <w:rsid w:val="00981479"/>
    <w:rsid w:val="00981CF9"/>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580E"/>
    <w:rsid w:val="00986326"/>
    <w:rsid w:val="00986849"/>
    <w:rsid w:val="009869A2"/>
    <w:rsid w:val="00986BB7"/>
    <w:rsid w:val="00986D4B"/>
    <w:rsid w:val="00986E1E"/>
    <w:rsid w:val="00986F6D"/>
    <w:rsid w:val="0098727C"/>
    <w:rsid w:val="00987708"/>
    <w:rsid w:val="00987DDD"/>
    <w:rsid w:val="00987DF0"/>
    <w:rsid w:val="00987DF4"/>
    <w:rsid w:val="00987E2E"/>
    <w:rsid w:val="0099008B"/>
    <w:rsid w:val="00991202"/>
    <w:rsid w:val="0099177B"/>
    <w:rsid w:val="009917E0"/>
    <w:rsid w:val="0099367E"/>
    <w:rsid w:val="00993FE4"/>
    <w:rsid w:val="0099425E"/>
    <w:rsid w:val="0099482F"/>
    <w:rsid w:val="00994CDC"/>
    <w:rsid w:val="0099650D"/>
    <w:rsid w:val="009969CD"/>
    <w:rsid w:val="00996CFC"/>
    <w:rsid w:val="0099770A"/>
    <w:rsid w:val="00997769"/>
    <w:rsid w:val="00997A2E"/>
    <w:rsid w:val="009A048E"/>
    <w:rsid w:val="009A119F"/>
    <w:rsid w:val="009A1609"/>
    <w:rsid w:val="009A1A7E"/>
    <w:rsid w:val="009A3480"/>
    <w:rsid w:val="009A3DB8"/>
    <w:rsid w:val="009A4356"/>
    <w:rsid w:val="009A43B3"/>
    <w:rsid w:val="009A464D"/>
    <w:rsid w:val="009A496F"/>
    <w:rsid w:val="009A4B78"/>
    <w:rsid w:val="009A4D73"/>
    <w:rsid w:val="009A4E41"/>
    <w:rsid w:val="009A5297"/>
    <w:rsid w:val="009A5326"/>
    <w:rsid w:val="009A5D40"/>
    <w:rsid w:val="009A5E10"/>
    <w:rsid w:val="009A5E9E"/>
    <w:rsid w:val="009A629D"/>
    <w:rsid w:val="009A6665"/>
    <w:rsid w:val="009A6785"/>
    <w:rsid w:val="009A743F"/>
    <w:rsid w:val="009A74F7"/>
    <w:rsid w:val="009A76B0"/>
    <w:rsid w:val="009A7FD7"/>
    <w:rsid w:val="009B00F2"/>
    <w:rsid w:val="009B0FB2"/>
    <w:rsid w:val="009B1113"/>
    <w:rsid w:val="009B13B4"/>
    <w:rsid w:val="009B1C34"/>
    <w:rsid w:val="009B1D22"/>
    <w:rsid w:val="009B1E86"/>
    <w:rsid w:val="009B27C4"/>
    <w:rsid w:val="009B2D92"/>
    <w:rsid w:val="009B3250"/>
    <w:rsid w:val="009B3344"/>
    <w:rsid w:val="009B42D2"/>
    <w:rsid w:val="009B4A06"/>
    <w:rsid w:val="009B5E9C"/>
    <w:rsid w:val="009B609E"/>
    <w:rsid w:val="009B70C8"/>
    <w:rsid w:val="009B722F"/>
    <w:rsid w:val="009B737C"/>
    <w:rsid w:val="009B742E"/>
    <w:rsid w:val="009C0AC6"/>
    <w:rsid w:val="009C0E66"/>
    <w:rsid w:val="009C0ED5"/>
    <w:rsid w:val="009C0F10"/>
    <w:rsid w:val="009C11B2"/>
    <w:rsid w:val="009C1456"/>
    <w:rsid w:val="009C164F"/>
    <w:rsid w:val="009C1C30"/>
    <w:rsid w:val="009C22DD"/>
    <w:rsid w:val="009C2640"/>
    <w:rsid w:val="009C29D5"/>
    <w:rsid w:val="009C30A0"/>
    <w:rsid w:val="009C3525"/>
    <w:rsid w:val="009C359E"/>
    <w:rsid w:val="009C35C5"/>
    <w:rsid w:val="009C37FE"/>
    <w:rsid w:val="009C4082"/>
    <w:rsid w:val="009C4806"/>
    <w:rsid w:val="009C4A38"/>
    <w:rsid w:val="009C4AD8"/>
    <w:rsid w:val="009C4C4C"/>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F71"/>
    <w:rsid w:val="009D111C"/>
    <w:rsid w:val="009D141A"/>
    <w:rsid w:val="009D17A0"/>
    <w:rsid w:val="009D1A08"/>
    <w:rsid w:val="009D1F7A"/>
    <w:rsid w:val="009D2165"/>
    <w:rsid w:val="009D2873"/>
    <w:rsid w:val="009D2942"/>
    <w:rsid w:val="009D2EAE"/>
    <w:rsid w:val="009D3175"/>
    <w:rsid w:val="009D3827"/>
    <w:rsid w:val="009D3A1A"/>
    <w:rsid w:val="009D426A"/>
    <w:rsid w:val="009D5BDB"/>
    <w:rsid w:val="009D5CCA"/>
    <w:rsid w:val="009D6B03"/>
    <w:rsid w:val="009D6B3D"/>
    <w:rsid w:val="009D7422"/>
    <w:rsid w:val="009D77A4"/>
    <w:rsid w:val="009D78E7"/>
    <w:rsid w:val="009E0505"/>
    <w:rsid w:val="009E0742"/>
    <w:rsid w:val="009E1291"/>
    <w:rsid w:val="009E12BC"/>
    <w:rsid w:val="009E224D"/>
    <w:rsid w:val="009E26D5"/>
    <w:rsid w:val="009E276C"/>
    <w:rsid w:val="009E2A07"/>
    <w:rsid w:val="009E3398"/>
    <w:rsid w:val="009E3577"/>
    <w:rsid w:val="009E3D2B"/>
    <w:rsid w:val="009E3E84"/>
    <w:rsid w:val="009E4097"/>
    <w:rsid w:val="009E4664"/>
    <w:rsid w:val="009E4D8E"/>
    <w:rsid w:val="009E4E90"/>
    <w:rsid w:val="009E4EB7"/>
    <w:rsid w:val="009E56C7"/>
    <w:rsid w:val="009E57C1"/>
    <w:rsid w:val="009E624A"/>
    <w:rsid w:val="009E6B32"/>
    <w:rsid w:val="009E70F3"/>
    <w:rsid w:val="009E7E98"/>
    <w:rsid w:val="009F00EE"/>
    <w:rsid w:val="009F0827"/>
    <w:rsid w:val="009F0BED"/>
    <w:rsid w:val="009F1673"/>
    <w:rsid w:val="009F1EA5"/>
    <w:rsid w:val="009F24E1"/>
    <w:rsid w:val="009F3160"/>
    <w:rsid w:val="009F3255"/>
    <w:rsid w:val="009F34AA"/>
    <w:rsid w:val="009F3DCE"/>
    <w:rsid w:val="009F44FF"/>
    <w:rsid w:val="009F46E8"/>
    <w:rsid w:val="009F472D"/>
    <w:rsid w:val="009F4CF0"/>
    <w:rsid w:val="009F4E88"/>
    <w:rsid w:val="009F50D1"/>
    <w:rsid w:val="009F568A"/>
    <w:rsid w:val="009F573B"/>
    <w:rsid w:val="009F5918"/>
    <w:rsid w:val="009F596D"/>
    <w:rsid w:val="009F6A91"/>
    <w:rsid w:val="009F6D3E"/>
    <w:rsid w:val="009F71A6"/>
    <w:rsid w:val="009F71AA"/>
    <w:rsid w:val="009F7326"/>
    <w:rsid w:val="009F754A"/>
    <w:rsid w:val="009F791F"/>
    <w:rsid w:val="009F7F86"/>
    <w:rsid w:val="00A0034D"/>
    <w:rsid w:val="00A00BFB"/>
    <w:rsid w:val="00A00DCF"/>
    <w:rsid w:val="00A01046"/>
    <w:rsid w:val="00A0126C"/>
    <w:rsid w:val="00A012DA"/>
    <w:rsid w:val="00A0187E"/>
    <w:rsid w:val="00A02450"/>
    <w:rsid w:val="00A026F0"/>
    <w:rsid w:val="00A02B4B"/>
    <w:rsid w:val="00A02F2D"/>
    <w:rsid w:val="00A02F61"/>
    <w:rsid w:val="00A03BF0"/>
    <w:rsid w:val="00A03E0E"/>
    <w:rsid w:val="00A040D1"/>
    <w:rsid w:val="00A04424"/>
    <w:rsid w:val="00A04A0A"/>
    <w:rsid w:val="00A050A8"/>
    <w:rsid w:val="00A056A3"/>
    <w:rsid w:val="00A056AA"/>
    <w:rsid w:val="00A05B51"/>
    <w:rsid w:val="00A06286"/>
    <w:rsid w:val="00A06318"/>
    <w:rsid w:val="00A063BC"/>
    <w:rsid w:val="00A068E1"/>
    <w:rsid w:val="00A06A80"/>
    <w:rsid w:val="00A06D8A"/>
    <w:rsid w:val="00A0711F"/>
    <w:rsid w:val="00A07B0B"/>
    <w:rsid w:val="00A07CC9"/>
    <w:rsid w:val="00A102A0"/>
    <w:rsid w:val="00A108C2"/>
    <w:rsid w:val="00A114FA"/>
    <w:rsid w:val="00A11AF3"/>
    <w:rsid w:val="00A12C09"/>
    <w:rsid w:val="00A13084"/>
    <w:rsid w:val="00A1327F"/>
    <w:rsid w:val="00A13285"/>
    <w:rsid w:val="00A13817"/>
    <w:rsid w:val="00A138D3"/>
    <w:rsid w:val="00A13E0F"/>
    <w:rsid w:val="00A144B7"/>
    <w:rsid w:val="00A14951"/>
    <w:rsid w:val="00A149B4"/>
    <w:rsid w:val="00A15F4F"/>
    <w:rsid w:val="00A160AB"/>
    <w:rsid w:val="00A160F0"/>
    <w:rsid w:val="00A16223"/>
    <w:rsid w:val="00A16745"/>
    <w:rsid w:val="00A16747"/>
    <w:rsid w:val="00A17C1D"/>
    <w:rsid w:val="00A20013"/>
    <w:rsid w:val="00A20582"/>
    <w:rsid w:val="00A20C65"/>
    <w:rsid w:val="00A214B2"/>
    <w:rsid w:val="00A21767"/>
    <w:rsid w:val="00A21FD5"/>
    <w:rsid w:val="00A22751"/>
    <w:rsid w:val="00A22940"/>
    <w:rsid w:val="00A23102"/>
    <w:rsid w:val="00A23284"/>
    <w:rsid w:val="00A2343F"/>
    <w:rsid w:val="00A23505"/>
    <w:rsid w:val="00A23598"/>
    <w:rsid w:val="00A2373B"/>
    <w:rsid w:val="00A23B4C"/>
    <w:rsid w:val="00A2428B"/>
    <w:rsid w:val="00A2476B"/>
    <w:rsid w:val="00A247E5"/>
    <w:rsid w:val="00A24D81"/>
    <w:rsid w:val="00A24EA5"/>
    <w:rsid w:val="00A25173"/>
    <w:rsid w:val="00A251AA"/>
    <w:rsid w:val="00A25287"/>
    <w:rsid w:val="00A252F0"/>
    <w:rsid w:val="00A259F2"/>
    <w:rsid w:val="00A25FDB"/>
    <w:rsid w:val="00A26463"/>
    <w:rsid w:val="00A26608"/>
    <w:rsid w:val="00A2660E"/>
    <w:rsid w:val="00A26916"/>
    <w:rsid w:val="00A26B47"/>
    <w:rsid w:val="00A26FF1"/>
    <w:rsid w:val="00A27806"/>
    <w:rsid w:val="00A3068C"/>
    <w:rsid w:val="00A3127F"/>
    <w:rsid w:val="00A31922"/>
    <w:rsid w:val="00A31BCC"/>
    <w:rsid w:val="00A31C70"/>
    <w:rsid w:val="00A32382"/>
    <w:rsid w:val="00A325BB"/>
    <w:rsid w:val="00A3297A"/>
    <w:rsid w:val="00A32A58"/>
    <w:rsid w:val="00A32EEC"/>
    <w:rsid w:val="00A336C5"/>
    <w:rsid w:val="00A3510A"/>
    <w:rsid w:val="00A3515F"/>
    <w:rsid w:val="00A35751"/>
    <w:rsid w:val="00A35762"/>
    <w:rsid w:val="00A3577F"/>
    <w:rsid w:val="00A35BBC"/>
    <w:rsid w:val="00A35DAB"/>
    <w:rsid w:val="00A36724"/>
    <w:rsid w:val="00A367AF"/>
    <w:rsid w:val="00A36AA0"/>
    <w:rsid w:val="00A36B2D"/>
    <w:rsid w:val="00A36C13"/>
    <w:rsid w:val="00A377C2"/>
    <w:rsid w:val="00A37A31"/>
    <w:rsid w:val="00A40B1F"/>
    <w:rsid w:val="00A40B4D"/>
    <w:rsid w:val="00A411E2"/>
    <w:rsid w:val="00A41319"/>
    <w:rsid w:val="00A41373"/>
    <w:rsid w:val="00A41638"/>
    <w:rsid w:val="00A41B15"/>
    <w:rsid w:val="00A4224E"/>
    <w:rsid w:val="00A4229F"/>
    <w:rsid w:val="00A428A9"/>
    <w:rsid w:val="00A42ACA"/>
    <w:rsid w:val="00A43AAB"/>
    <w:rsid w:val="00A43AFE"/>
    <w:rsid w:val="00A446CA"/>
    <w:rsid w:val="00A44AAD"/>
    <w:rsid w:val="00A44E8A"/>
    <w:rsid w:val="00A45280"/>
    <w:rsid w:val="00A45BF7"/>
    <w:rsid w:val="00A463B5"/>
    <w:rsid w:val="00A463BA"/>
    <w:rsid w:val="00A46675"/>
    <w:rsid w:val="00A471A3"/>
    <w:rsid w:val="00A47597"/>
    <w:rsid w:val="00A47E08"/>
    <w:rsid w:val="00A47E44"/>
    <w:rsid w:val="00A47F91"/>
    <w:rsid w:val="00A507D7"/>
    <w:rsid w:val="00A50A5C"/>
    <w:rsid w:val="00A50BE2"/>
    <w:rsid w:val="00A50CC6"/>
    <w:rsid w:val="00A50E40"/>
    <w:rsid w:val="00A51462"/>
    <w:rsid w:val="00A51946"/>
    <w:rsid w:val="00A51C1F"/>
    <w:rsid w:val="00A51FF7"/>
    <w:rsid w:val="00A52079"/>
    <w:rsid w:val="00A52143"/>
    <w:rsid w:val="00A521E9"/>
    <w:rsid w:val="00A52486"/>
    <w:rsid w:val="00A5298E"/>
    <w:rsid w:val="00A52B3E"/>
    <w:rsid w:val="00A5313B"/>
    <w:rsid w:val="00A5320E"/>
    <w:rsid w:val="00A53F7B"/>
    <w:rsid w:val="00A54090"/>
    <w:rsid w:val="00A54282"/>
    <w:rsid w:val="00A549D3"/>
    <w:rsid w:val="00A54DF0"/>
    <w:rsid w:val="00A56E99"/>
    <w:rsid w:val="00A57212"/>
    <w:rsid w:val="00A5775D"/>
    <w:rsid w:val="00A57E98"/>
    <w:rsid w:val="00A60849"/>
    <w:rsid w:val="00A6105B"/>
    <w:rsid w:val="00A61355"/>
    <w:rsid w:val="00A61668"/>
    <w:rsid w:val="00A621D3"/>
    <w:rsid w:val="00A628F8"/>
    <w:rsid w:val="00A62B7A"/>
    <w:rsid w:val="00A632EA"/>
    <w:rsid w:val="00A634BE"/>
    <w:rsid w:val="00A6376E"/>
    <w:rsid w:val="00A63AD7"/>
    <w:rsid w:val="00A63BFD"/>
    <w:rsid w:val="00A6444A"/>
    <w:rsid w:val="00A6491F"/>
    <w:rsid w:val="00A64C72"/>
    <w:rsid w:val="00A64D1A"/>
    <w:rsid w:val="00A65320"/>
    <w:rsid w:val="00A65BA5"/>
    <w:rsid w:val="00A66288"/>
    <w:rsid w:val="00A66354"/>
    <w:rsid w:val="00A66E37"/>
    <w:rsid w:val="00A66ECF"/>
    <w:rsid w:val="00A67E38"/>
    <w:rsid w:val="00A7018D"/>
    <w:rsid w:val="00A703E4"/>
    <w:rsid w:val="00A7098D"/>
    <w:rsid w:val="00A70DC6"/>
    <w:rsid w:val="00A71080"/>
    <w:rsid w:val="00A713B3"/>
    <w:rsid w:val="00A71986"/>
    <w:rsid w:val="00A71E73"/>
    <w:rsid w:val="00A72740"/>
    <w:rsid w:val="00A736AF"/>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C8"/>
    <w:rsid w:val="00A82742"/>
    <w:rsid w:val="00A82E81"/>
    <w:rsid w:val="00A835A0"/>
    <w:rsid w:val="00A83984"/>
    <w:rsid w:val="00A83A1E"/>
    <w:rsid w:val="00A84198"/>
    <w:rsid w:val="00A841AB"/>
    <w:rsid w:val="00A84C7D"/>
    <w:rsid w:val="00A84FFD"/>
    <w:rsid w:val="00A85EBF"/>
    <w:rsid w:val="00A86104"/>
    <w:rsid w:val="00A8655A"/>
    <w:rsid w:val="00A87203"/>
    <w:rsid w:val="00A87744"/>
    <w:rsid w:val="00A87AE6"/>
    <w:rsid w:val="00A87B09"/>
    <w:rsid w:val="00A87C22"/>
    <w:rsid w:val="00A90590"/>
    <w:rsid w:val="00A905C2"/>
    <w:rsid w:val="00A90A97"/>
    <w:rsid w:val="00A90CB4"/>
    <w:rsid w:val="00A910DA"/>
    <w:rsid w:val="00A91DC9"/>
    <w:rsid w:val="00A920E1"/>
    <w:rsid w:val="00A923D6"/>
    <w:rsid w:val="00A92A91"/>
    <w:rsid w:val="00A92B42"/>
    <w:rsid w:val="00A933AE"/>
    <w:rsid w:val="00A937C8"/>
    <w:rsid w:val="00A93863"/>
    <w:rsid w:val="00A9415E"/>
    <w:rsid w:val="00A9423F"/>
    <w:rsid w:val="00A94EBD"/>
    <w:rsid w:val="00A9510D"/>
    <w:rsid w:val="00A956AC"/>
    <w:rsid w:val="00A95D2A"/>
    <w:rsid w:val="00A96214"/>
    <w:rsid w:val="00A967E8"/>
    <w:rsid w:val="00A96C52"/>
    <w:rsid w:val="00A96F24"/>
    <w:rsid w:val="00A97AF8"/>
    <w:rsid w:val="00A97D38"/>
    <w:rsid w:val="00A97F4B"/>
    <w:rsid w:val="00AA04C5"/>
    <w:rsid w:val="00AA1044"/>
    <w:rsid w:val="00AA10B1"/>
    <w:rsid w:val="00AA190B"/>
    <w:rsid w:val="00AA239B"/>
    <w:rsid w:val="00AA2803"/>
    <w:rsid w:val="00AA2BF2"/>
    <w:rsid w:val="00AA2D65"/>
    <w:rsid w:val="00AA2D68"/>
    <w:rsid w:val="00AA2D6F"/>
    <w:rsid w:val="00AA3987"/>
    <w:rsid w:val="00AA3B68"/>
    <w:rsid w:val="00AA3E79"/>
    <w:rsid w:val="00AA447C"/>
    <w:rsid w:val="00AA4FB4"/>
    <w:rsid w:val="00AA5C0B"/>
    <w:rsid w:val="00AA5E3B"/>
    <w:rsid w:val="00AA63AD"/>
    <w:rsid w:val="00AA65B4"/>
    <w:rsid w:val="00AA745E"/>
    <w:rsid w:val="00AA7E43"/>
    <w:rsid w:val="00AB0352"/>
    <w:rsid w:val="00AB047A"/>
    <w:rsid w:val="00AB04AB"/>
    <w:rsid w:val="00AB0733"/>
    <w:rsid w:val="00AB09D2"/>
    <w:rsid w:val="00AB0B64"/>
    <w:rsid w:val="00AB0C30"/>
    <w:rsid w:val="00AB161B"/>
    <w:rsid w:val="00AB176B"/>
    <w:rsid w:val="00AB37E6"/>
    <w:rsid w:val="00AB3DBA"/>
    <w:rsid w:val="00AB431C"/>
    <w:rsid w:val="00AB470E"/>
    <w:rsid w:val="00AB4E38"/>
    <w:rsid w:val="00AB5A7E"/>
    <w:rsid w:val="00AB7538"/>
    <w:rsid w:val="00AB75A7"/>
    <w:rsid w:val="00AB77F3"/>
    <w:rsid w:val="00AB7BE7"/>
    <w:rsid w:val="00AC0AAD"/>
    <w:rsid w:val="00AC0C2A"/>
    <w:rsid w:val="00AC1231"/>
    <w:rsid w:val="00AC15D4"/>
    <w:rsid w:val="00AC1992"/>
    <w:rsid w:val="00AC1E14"/>
    <w:rsid w:val="00AC2CFA"/>
    <w:rsid w:val="00AC3263"/>
    <w:rsid w:val="00AC3E12"/>
    <w:rsid w:val="00AC406E"/>
    <w:rsid w:val="00AC430C"/>
    <w:rsid w:val="00AC4A6B"/>
    <w:rsid w:val="00AC5C19"/>
    <w:rsid w:val="00AC60F0"/>
    <w:rsid w:val="00AC6657"/>
    <w:rsid w:val="00AC6A24"/>
    <w:rsid w:val="00AC6D7A"/>
    <w:rsid w:val="00AC72B0"/>
    <w:rsid w:val="00AC7363"/>
    <w:rsid w:val="00AC7401"/>
    <w:rsid w:val="00AC7901"/>
    <w:rsid w:val="00AC79F3"/>
    <w:rsid w:val="00AC7F15"/>
    <w:rsid w:val="00AC7FDD"/>
    <w:rsid w:val="00AD0949"/>
    <w:rsid w:val="00AD0F1D"/>
    <w:rsid w:val="00AD1179"/>
    <w:rsid w:val="00AD1359"/>
    <w:rsid w:val="00AD194B"/>
    <w:rsid w:val="00AD19F0"/>
    <w:rsid w:val="00AD1FCE"/>
    <w:rsid w:val="00AD26E1"/>
    <w:rsid w:val="00AD29CC"/>
    <w:rsid w:val="00AD3268"/>
    <w:rsid w:val="00AD3DE2"/>
    <w:rsid w:val="00AD4261"/>
    <w:rsid w:val="00AD4473"/>
    <w:rsid w:val="00AD46F5"/>
    <w:rsid w:val="00AD4FA4"/>
    <w:rsid w:val="00AD51A3"/>
    <w:rsid w:val="00AD598B"/>
    <w:rsid w:val="00AD6023"/>
    <w:rsid w:val="00AD7154"/>
    <w:rsid w:val="00AD7844"/>
    <w:rsid w:val="00AD797D"/>
    <w:rsid w:val="00AD7C94"/>
    <w:rsid w:val="00AD7E02"/>
    <w:rsid w:val="00AE0483"/>
    <w:rsid w:val="00AE08DD"/>
    <w:rsid w:val="00AE13BD"/>
    <w:rsid w:val="00AE1681"/>
    <w:rsid w:val="00AE1AF9"/>
    <w:rsid w:val="00AE1E60"/>
    <w:rsid w:val="00AE2068"/>
    <w:rsid w:val="00AE2258"/>
    <w:rsid w:val="00AE277E"/>
    <w:rsid w:val="00AE2A36"/>
    <w:rsid w:val="00AE2BC6"/>
    <w:rsid w:val="00AE2D1B"/>
    <w:rsid w:val="00AE3251"/>
    <w:rsid w:val="00AE3FE0"/>
    <w:rsid w:val="00AE44A2"/>
    <w:rsid w:val="00AE4565"/>
    <w:rsid w:val="00AE4A71"/>
    <w:rsid w:val="00AE5058"/>
    <w:rsid w:val="00AE5170"/>
    <w:rsid w:val="00AE51CD"/>
    <w:rsid w:val="00AE5471"/>
    <w:rsid w:val="00AE54AA"/>
    <w:rsid w:val="00AE60E4"/>
    <w:rsid w:val="00AE6872"/>
    <w:rsid w:val="00AE6C58"/>
    <w:rsid w:val="00AE72C4"/>
    <w:rsid w:val="00AE7F05"/>
    <w:rsid w:val="00AE7F38"/>
    <w:rsid w:val="00AF054D"/>
    <w:rsid w:val="00AF0939"/>
    <w:rsid w:val="00AF0A7C"/>
    <w:rsid w:val="00AF1813"/>
    <w:rsid w:val="00AF24E7"/>
    <w:rsid w:val="00AF272B"/>
    <w:rsid w:val="00AF291B"/>
    <w:rsid w:val="00AF2DAA"/>
    <w:rsid w:val="00AF2EBD"/>
    <w:rsid w:val="00AF33AE"/>
    <w:rsid w:val="00AF409A"/>
    <w:rsid w:val="00AF44B1"/>
    <w:rsid w:val="00AF5800"/>
    <w:rsid w:val="00AF6986"/>
    <w:rsid w:val="00AF6D1B"/>
    <w:rsid w:val="00AF73ED"/>
    <w:rsid w:val="00AF7ACC"/>
    <w:rsid w:val="00AF7D69"/>
    <w:rsid w:val="00AF7ED2"/>
    <w:rsid w:val="00B004D8"/>
    <w:rsid w:val="00B00830"/>
    <w:rsid w:val="00B00CC5"/>
    <w:rsid w:val="00B00F8A"/>
    <w:rsid w:val="00B016D2"/>
    <w:rsid w:val="00B01E41"/>
    <w:rsid w:val="00B02091"/>
    <w:rsid w:val="00B02B3F"/>
    <w:rsid w:val="00B02B43"/>
    <w:rsid w:val="00B02BCB"/>
    <w:rsid w:val="00B03D36"/>
    <w:rsid w:val="00B03F3D"/>
    <w:rsid w:val="00B04384"/>
    <w:rsid w:val="00B04540"/>
    <w:rsid w:val="00B04FD9"/>
    <w:rsid w:val="00B05116"/>
    <w:rsid w:val="00B051A7"/>
    <w:rsid w:val="00B05574"/>
    <w:rsid w:val="00B05F1A"/>
    <w:rsid w:val="00B07B33"/>
    <w:rsid w:val="00B07FA2"/>
    <w:rsid w:val="00B100CF"/>
    <w:rsid w:val="00B105DD"/>
    <w:rsid w:val="00B10E82"/>
    <w:rsid w:val="00B111A6"/>
    <w:rsid w:val="00B115E5"/>
    <w:rsid w:val="00B118EE"/>
    <w:rsid w:val="00B11B03"/>
    <w:rsid w:val="00B11C5B"/>
    <w:rsid w:val="00B121CD"/>
    <w:rsid w:val="00B12343"/>
    <w:rsid w:val="00B12529"/>
    <w:rsid w:val="00B128C5"/>
    <w:rsid w:val="00B12B11"/>
    <w:rsid w:val="00B12C94"/>
    <w:rsid w:val="00B135AB"/>
    <w:rsid w:val="00B137BF"/>
    <w:rsid w:val="00B13A1B"/>
    <w:rsid w:val="00B13A59"/>
    <w:rsid w:val="00B142D9"/>
    <w:rsid w:val="00B14BC4"/>
    <w:rsid w:val="00B156C8"/>
    <w:rsid w:val="00B158A3"/>
    <w:rsid w:val="00B15B25"/>
    <w:rsid w:val="00B15EA0"/>
    <w:rsid w:val="00B17A4E"/>
    <w:rsid w:val="00B17B2A"/>
    <w:rsid w:val="00B17B30"/>
    <w:rsid w:val="00B17C2F"/>
    <w:rsid w:val="00B21175"/>
    <w:rsid w:val="00B2153E"/>
    <w:rsid w:val="00B21FA7"/>
    <w:rsid w:val="00B22022"/>
    <w:rsid w:val="00B225E4"/>
    <w:rsid w:val="00B234AE"/>
    <w:rsid w:val="00B23F7A"/>
    <w:rsid w:val="00B240B1"/>
    <w:rsid w:val="00B24208"/>
    <w:rsid w:val="00B24728"/>
    <w:rsid w:val="00B248A9"/>
    <w:rsid w:val="00B24D28"/>
    <w:rsid w:val="00B24F1C"/>
    <w:rsid w:val="00B25890"/>
    <w:rsid w:val="00B25D76"/>
    <w:rsid w:val="00B27032"/>
    <w:rsid w:val="00B30003"/>
    <w:rsid w:val="00B31201"/>
    <w:rsid w:val="00B3167E"/>
    <w:rsid w:val="00B319F7"/>
    <w:rsid w:val="00B31B4B"/>
    <w:rsid w:val="00B31CD5"/>
    <w:rsid w:val="00B31E36"/>
    <w:rsid w:val="00B32E26"/>
    <w:rsid w:val="00B338B7"/>
    <w:rsid w:val="00B34061"/>
    <w:rsid w:val="00B3440A"/>
    <w:rsid w:val="00B34441"/>
    <w:rsid w:val="00B34954"/>
    <w:rsid w:val="00B3506B"/>
    <w:rsid w:val="00B35534"/>
    <w:rsid w:val="00B35A87"/>
    <w:rsid w:val="00B35AB6"/>
    <w:rsid w:val="00B35AFD"/>
    <w:rsid w:val="00B35F9A"/>
    <w:rsid w:val="00B36236"/>
    <w:rsid w:val="00B3662E"/>
    <w:rsid w:val="00B366D2"/>
    <w:rsid w:val="00B366FA"/>
    <w:rsid w:val="00B36E86"/>
    <w:rsid w:val="00B37122"/>
    <w:rsid w:val="00B379BA"/>
    <w:rsid w:val="00B40139"/>
    <w:rsid w:val="00B410E1"/>
    <w:rsid w:val="00B412FD"/>
    <w:rsid w:val="00B422BE"/>
    <w:rsid w:val="00B4241D"/>
    <w:rsid w:val="00B426BB"/>
    <w:rsid w:val="00B429D4"/>
    <w:rsid w:val="00B42EB9"/>
    <w:rsid w:val="00B434E9"/>
    <w:rsid w:val="00B441FE"/>
    <w:rsid w:val="00B44821"/>
    <w:rsid w:val="00B44AD3"/>
    <w:rsid w:val="00B44BDC"/>
    <w:rsid w:val="00B45152"/>
    <w:rsid w:val="00B45E54"/>
    <w:rsid w:val="00B461E5"/>
    <w:rsid w:val="00B464E4"/>
    <w:rsid w:val="00B4689A"/>
    <w:rsid w:val="00B46D5F"/>
    <w:rsid w:val="00B46E7B"/>
    <w:rsid w:val="00B47DC5"/>
    <w:rsid w:val="00B505B3"/>
    <w:rsid w:val="00B50A74"/>
    <w:rsid w:val="00B520A0"/>
    <w:rsid w:val="00B5257E"/>
    <w:rsid w:val="00B525CE"/>
    <w:rsid w:val="00B52CFD"/>
    <w:rsid w:val="00B545A8"/>
    <w:rsid w:val="00B548E8"/>
    <w:rsid w:val="00B553AA"/>
    <w:rsid w:val="00B56527"/>
    <w:rsid w:val="00B56918"/>
    <w:rsid w:val="00B576DA"/>
    <w:rsid w:val="00B57710"/>
    <w:rsid w:val="00B601C9"/>
    <w:rsid w:val="00B60D04"/>
    <w:rsid w:val="00B61EE8"/>
    <w:rsid w:val="00B62D9B"/>
    <w:rsid w:val="00B633A3"/>
    <w:rsid w:val="00B63533"/>
    <w:rsid w:val="00B63BDB"/>
    <w:rsid w:val="00B64A0E"/>
    <w:rsid w:val="00B64CC6"/>
    <w:rsid w:val="00B64DDF"/>
    <w:rsid w:val="00B65728"/>
    <w:rsid w:val="00B6601E"/>
    <w:rsid w:val="00B663AA"/>
    <w:rsid w:val="00B66DD5"/>
    <w:rsid w:val="00B6715C"/>
    <w:rsid w:val="00B67582"/>
    <w:rsid w:val="00B67B97"/>
    <w:rsid w:val="00B67F01"/>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583B"/>
    <w:rsid w:val="00B76185"/>
    <w:rsid w:val="00B7676C"/>
    <w:rsid w:val="00B76BCD"/>
    <w:rsid w:val="00B76FBC"/>
    <w:rsid w:val="00B7782B"/>
    <w:rsid w:val="00B779E6"/>
    <w:rsid w:val="00B804E2"/>
    <w:rsid w:val="00B811B2"/>
    <w:rsid w:val="00B82024"/>
    <w:rsid w:val="00B8276E"/>
    <w:rsid w:val="00B83997"/>
    <w:rsid w:val="00B83A62"/>
    <w:rsid w:val="00B83B59"/>
    <w:rsid w:val="00B84252"/>
    <w:rsid w:val="00B84677"/>
    <w:rsid w:val="00B8468F"/>
    <w:rsid w:val="00B84FC6"/>
    <w:rsid w:val="00B857F5"/>
    <w:rsid w:val="00B85A56"/>
    <w:rsid w:val="00B85B2C"/>
    <w:rsid w:val="00B86D6C"/>
    <w:rsid w:val="00B86F47"/>
    <w:rsid w:val="00B874B4"/>
    <w:rsid w:val="00B875E9"/>
    <w:rsid w:val="00B8787A"/>
    <w:rsid w:val="00B87887"/>
    <w:rsid w:val="00B87DF6"/>
    <w:rsid w:val="00B90123"/>
    <w:rsid w:val="00B90196"/>
    <w:rsid w:val="00B90A56"/>
    <w:rsid w:val="00B90FBE"/>
    <w:rsid w:val="00B911C1"/>
    <w:rsid w:val="00B92008"/>
    <w:rsid w:val="00B922C3"/>
    <w:rsid w:val="00B9272E"/>
    <w:rsid w:val="00B927A7"/>
    <w:rsid w:val="00B92875"/>
    <w:rsid w:val="00B92B9E"/>
    <w:rsid w:val="00B92DAD"/>
    <w:rsid w:val="00B93315"/>
    <w:rsid w:val="00B93519"/>
    <w:rsid w:val="00B9372A"/>
    <w:rsid w:val="00B93FD0"/>
    <w:rsid w:val="00B9425C"/>
    <w:rsid w:val="00B94AAF"/>
    <w:rsid w:val="00B94DB1"/>
    <w:rsid w:val="00B953FF"/>
    <w:rsid w:val="00B9622D"/>
    <w:rsid w:val="00B96263"/>
    <w:rsid w:val="00B968A5"/>
    <w:rsid w:val="00B96C38"/>
    <w:rsid w:val="00B972CD"/>
    <w:rsid w:val="00B9769B"/>
    <w:rsid w:val="00B977E7"/>
    <w:rsid w:val="00B97D02"/>
    <w:rsid w:val="00BA0025"/>
    <w:rsid w:val="00BA0304"/>
    <w:rsid w:val="00BA0557"/>
    <w:rsid w:val="00BA2A34"/>
    <w:rsid w:val="00BA3038"/>
    <w:rsid w:val="00BA3319"/>
    <w:rsid w:val="00BA370A"/>
    <w:rsid w:val="00BA3826"/>
    <w:rsid w:val="00BA48BC"/>
    <w:rsid w:val="00BA4A29"/>
    <w:rsid w:val="00BA4BE7"/>
    <w:rsid w:val="00BA5F20"/>
    <w:rsid w:val="00BA68D9"/>
    <w:rsid w:val="00BA7172"/>
    <w:rsid w:val="00BA764B"/>
    <w:rsid w:val="00BA7B01"/>
    <w:rsid w:val="00BB02D7"/>
    <w:rsid w:val="00BB0B28"/>
    <w:rsid w:val="00BB0D9F"/>
    <w:rsid w:val="00BB0DEE"/>
    <w:rsid w:val="00BB1031"/>
    <w:rsid w:val="00BB1B33"/>
    <w:rsid w:val="00BB2480"/>
    <w:rsid w:val="00BB2C4E"/>
    <w:rsid w:val="00BB2E29"/>
    <w:rsid w:val="00BB2F74"/>
    <w:rsid w:val="00BB2F7A"/>
    <w:rsid w:val="00BB3206"/>
    <w:rsid w:val="00BB32C2"/>
    <w:rsid w:val="00BB3B0D"/>
    <w:rsid w:val="00BB524C"/>
    <w:rsid w:val="00BB5DAB"/>
    <w:rsid w:val="00BB6195"/>
    <w:rsid w:val="00BB61A3"/>
    <w:rsid w:val="00BB707E"/>
    <w:rsid w:val="00BB71D7"/>
    <w:rsid w:val="00BB73A7"/>
    <w:rsid w:val="00BB7568"/>
    <w:rsid w:val="00BB76F3"/>
    <w:rsid w:val="00BB7DD3"/>
    <w:rsid w:val="00BB7F82"/>
    <w:rsid w:val="00BC007C"/>
    <w:rsid w:val="00BC0AB2"/>
    <w:rsid w:val="00BC103C"/>
    <w:rsid w:val="00BC1308"/>
    <w:rsid w:val="00BC1BF4"/>
    <w:rsid w:val="00BC2600"/>
    <w:rsid w:val="00BC2F24"/>
    <w:rsid w:val="00BC33BE"/>
    <w:rsid w:val="00BC3A47"/>
    <w:rsid w:val="00BC3EEB"/>
    <w:rsid w:val="00BC4780"/>
    <w:rsid w:val="00BC4DD7"/>
    <w:rsid w:val="00BC4F46"/>
    <w:rsid w:val="00BC52C8"/>
    <w:rsid w:val="00BC5485"/>
    <w:rsid w:val="00BC549C"/>
    <w:rsid w:val="00BC570E"/>
    <w:rsid w:val="00BC5A6C"/>
    <w:rsid w:val="00BC5AF6"/>
    <w:rsid w:val="00BC5B4B"/>
    <w:rsid w:val="00BC5EDB"/>
    <w:rsid w:val="00BC69A2"/>
    <w:rsid w:val="00BC6ED6"/>
    <w:rsid w:val="00BC6F03"/>
    <w:rsid w:val="00BC6FA1"/>
    <w:rsid w:val="00BD024F"/>
    <w:rsid w:val="00BD0570"/>
    <w:rsid w:val="00BD0853"/>
    <w:rsid w:val="00BD112D"/>
    <w:rsid w:val="00BD214E"/>
    <w:rsid w:val="00BD22F7"/>
    <w:rsid w:val="00BD2395"/>
    <w:rsid w:val="00BD25B8"/>
    <w:rsid w:val="00BD2842"/>
    <w:rsid w:val="00BD2892"/>
    <w:rsid w:val="00BD3120"/>
    <w:rsid w:val="00BD3354"/>
    <w:rsid w:val="00BD368C"/>
    <w:rsid w:val="00BD384E"/>
    <w:rsid w:val="00BD3E76"/>
    <w:rsid w:val="00BD3EE2"/>
    <w:rsid w:val="00BD3FCF"/>
    <w:rsid w:val="00BD42D2"/>
    <w:rsid w:val="00BD47D7"/>
    <w:rsid w:val="00BD4EFB"/>
    <w:rsid w:val="00BD5076"/>
    <w:rsid w:val="00BD5551"/>
    <w:rsid w:val="00BD5AF1"/>
    <w:rsid w:val="00BD686A"/>
    <w:rsid w:val="00BD6D43"/>
    <w:rsid w:val="00BD7090"/>
    <w:rsid w:val="00BD7490"/>
    <w:rsid w:val="00BD767F"/>
    <w:rsid w:val="00BE0395"/>
    <w:rsid w:val="00BE0404"/>
    <w:rsid w:val="00BE09C3"/>
    <w:rsid w:val="00BE0C27"/>
    <w:rsid w:val="00BE15BB"/>
    <w:rsid w:val="00BE198F"/>
    <w:rsid w:val="00BE1A78"/>
    <w:rsid w:val="00BE473E"/>
    <w:rsid w:val="00BE5135"/>
    <w:rsid w:val="00BE5964"/>
    <w:rsid w:val="00BE5A4B"/>
    <w:rsid w:val="00BE5F2B"/>
    <w:rsid w:val="00BE660B"/>
    <w:rsid w:val="00BE6AFE"/>
    <w:rsid w:val="00BE6BBE"/>
    <w:rsid w:val="00BE6FDA"/>
    <w:rsid w:val="00BE7021"/>
    <w:rsid w:val="00BE7300"/>
    <w:rsid w:val="00BE784F"/>
    <w:rsid w:val="00BE78CE"/>
    <w:rsid w:val="00BF0238"/>
    <w:rsid w:val="00BF0717"/>
    <w:rsid w:val="00BF071D"/>
    <w:rsid w:val="00BF0E40"/>
    <w:rsid w:val="00BF1750"/>
    <w:rsid w:val="00BF178E"/>
    <w:rsid w:val="00BF189F"/>
    <w:rsid w:val="00BF1B44"/>
    <w:rsid w:val="00BF1F01"/>
    <w:rsid w:val="00BF21FF"/>
    <w:rsid w:val="00BF23CC"/>
    <w:rsid w:val="00BF243F"/>
    <w:rsid w:val="00BF284E"/>
    <w:rsid w:val="00BF2F93"/>
    <w:rsid w:val="00BF3ACF"/>
    <w:rsid w:val="00BF3C2A"/>
    <w:rsid w:val="00BF4C2B"/>
    <w:rsid w:val="00BF507A"/>
    <w:rsid w:val="00BF53F1"/>
    <w:rsid w:val="00BF5717"/>
    <w:rsid w:val="00BF5B9D"/>
    <w:rsid w:val="00BF5CD8"/>
    <w:rsid w:val="00BF5FA3"/>
    <w:rsid w:val="00BF62F2"/>
    <w:rsid w:val="00BF63A5"/>
    <w:rsid w:val="00BF72A7"/>
    <w:rsid w:val="00BF7558"/>
    <w:rsid w:val="00BF75DB"/>
    <w:rsid w:val="00C0111E"/>
    <w:rsid w:val="00C02676"/>
    <w:rsid w:val="00C029AB"/>
    <w:rsid w:val="00C02DF4"/>
    <w:rsid w:val="00C03BD5"/>
    <w:rsid w:val="00C03C8B"/>
    <w:rsid w:val="00C03F3C"/>
    <w:rsid w:val="00C049BE"/>
    <w:rsid w:val="00C04A71"/>
    <w:rsid w:val="00C04DF0"/>
    <w:rsid w:val="00C05A4C"/>
    <w:rsid w:val="00C05A67"/>
    <w:rsid w:val="00C06925"/>
    <w:rsid w:val="00C073E0"/>
    <w:rsid w:val="00C0770A"/>
    <w:rsid w:val="00C1001D"/>
    <w:rsid w:val="00C10519"/>
    <w:rsid w:val="00C10B5A"/>
    <w:rsid w:val="00C11113"/>
    <w:rsid w:val="00C11687"/>
    <w:rsid w:val="00C117BE"/>
    <w:rsid w:val="00C11E28"/>
    <w:rsid w:val="00C1225B"/>
    <w:rsid w:val="00C122F9"/>
    <w:rsid w:val="00C12459"/>
    <w:rsid w:val="00C1253A"/>
    <w:rsid w:val="00C128C9"/>
    <w:rsid w:val="00C12B36"/>
    <w:rsid w:val="00C12CF3"/>
    <w:rsid w:val="00C12F88"/>
    <w:rsid w:val="00C131A8"/>
    <w:rsid w:val="00C1322D"/>
    <w:rsid w:val="00C135A3"/>
    <w:rsid w:val="00C1477A"/>
    <w:rsid w:val="00C14A62"/>
    <w:rsid w:val="00C158EB"/>
    <w:rsid w:val="00C159B1"/>
    <w:rsid w:val="00C161F5"/>
    <w:rsid w:val="00C16C92"/>
    <w:rsid w:val="00C16DE9"/>
    <w:rsid w:val="00C1706B"/>
    <w:rsid w:val="00C17648"/>
    <w:rsid w:val="00C17DB7"/>
    <w:rsid w:val="00C17E48"/>
    <w:rsid w:val="00C17E81"/>
    <w:rsid w:val="00C17FF5"/>
    <w:rsid w:val="00C201E7"/>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609D"/>
    <w:rsid w:val="00C26170"/>
    <w:rsid w:val="00C26B5A"/>
    <w:rsid w:val="00C26D52"/>
    <w:rsid w:val="00C26F21"/>
    <w:rsid w:val="00C277DA"/>
    <w:rsid w:val="00C303E4"/>
    <w:rsid w:val="00C30775"/>
    <w:rsid w:val="00C30B8D"/>
    <w:rsid w:val="00C310BA"/>
    <w:rsid w:val="00C3134E"/>
    <w:rsid w:val="00C315D8"/>
    <w:rsid w:val="00C31C15"/>
    <w:rsid w:val="00C31C4A"/>
    <w:rsid w:val="00C31D2D"/>
    <w:rsid w:val="00C32639"/>
    <w:rsid w:val="00C32AD2"/>
    <w:rsid w:val="00C34193"/>
    <w:rsid w:val="00C347FD"/>
    <w:rsid w:val="00C34DAE"/>
    <w:rsid w:val="00C34E1E"/>
    <w:rsid w:val="00C34E5A"/>
    <w:rsid w:val="00C35A84"/>
    <w:rsid w:val="00C36219"/>
    <w:rsid w:val="00C3698E"/>
    <w:rsid w:val="00C36CCA"/>
    <w:rsid w:val="00C36E1C"/>
    <w:rsid w:val="00C36F42"/>
    <w:rsid w:val="00C3718A"/>
    <w:rsid w:val="00C377B1"/>
    <w:rsid w:val="00C379C5"/>
    <w:rsid w:val="00C37E84"/>
    <w:rsid w:val="00C37EEE"/>
    <w:rsid w:val="00C40453"/>
    <w:rsid w:val="00C40E71"/>
    <w:rsid w:val="00C41879"/>
    <w:rsid w:val="00C41A7C"/>
    <w:rsid w:val="00C424F5"/>
    <w:rsid w:val="00C42651"/>
    <w:rsid w:val="00C42CEF"/>
    <w:rsid w:val="00C42D55"/>
    <w:rsid w:val="00C43080"/>
    <w:rsid w:val="00C4370E"/>
    <w:rsid w:val="00C43823"/>
    <w:rsid w:val="00C4384B"/>
    <w:rsid w:val="00C4393C"/>
    <w:rsid w:val="00C44068"/>
    <w:rsid w:val="00C442AE"/>
    <w:rsid w:val="00C44813"/>
    <w:rsid w:val="00C4518B"/>
    <w:rsid w:val="00C45780"/>
    <w:rsid w:val="00C458D6"/>
    <w:rsid w:val="00C46268"/>
    <w:rsid w:val="00C4655A"/>
    <w:rsid w:val="00C466BF"/>
    <w:rsid w:val="00C47385"/>
    <w:rsid w:val="00C47555"/>
    <w:rsid w:val="00C476AC"/>
    <w:rsid w:val="00C47E67"/>
    <w:rsid w:val="00C47FD9"/>
    <w:rsid w:val="00C50387"/>
    <w:rsid w:val="00C50C1A"/>
    <w:rsid w:val="00C51508"/>
    <w:rsid w:val="00C51D73"/>
    <w:rsid w:val="00C51DEB"/>
    <w:rsid w:val="00C52A05"/>
    <w:rsid w:val="00C52AC3"/>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00F"/>
    <w:rsid w:val="00C56101"/>
    <w:rsid w:val="00C565F2"/>
    <w:rsid w:val="00C56C45"/>
    <w:rsid w:val="00C573CC"/>
    <w:rsid w:val="00C57B81"/>
    <w:rsid w:val="00C57FB9"/>
    <w:rsid w:val="00C60145"/>
    <w:rsid w:val="00C6077B"/>
    <w:rsid w:val="00C60950"/>
    <w:rsid w:val="00C609FD"/>
    <w:rsid w:val="00C60DD1"/>
    <w:rsid w:val="00C60EA8"/>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762C"/>
    <w:rsid w:val="00C67B49"/>
    <w:rsid w:val="00C67CAC"/>
    <w:rsid w:val="00C70942"/>
    <w:rsid w:val="00C70C5E"/>
    <w:rsid w:val="00C711F5"/>
    <w:rsid w:val="00C713A1"/>
    <w:rsid w:val="00C71828"/>
    <w:rsid w:val="00C72105"/>
    <w:rsid w:val="00C72137"/>
    <w:rsid w:val="00C72BCE"/>
    <w:rsid w:val="00C74954"/>
    <w:rsid w:val="00C76028"/>
    <w:rsid w:val="00C76184"/>
    <w:rsid w:val="00C7673D"/>
    <w:rsid w:val="00C76A80"/>
    <w:rsid w:val="00C76C27"/>
    <w:rsid w:val="00C76F07"/>
    <w:rsid w:val="00C77EF6"/>
    <w:rsid w:val="00C80B4B"/>
    <w:rsid w:val="00C80D63"/>
    <w:rsid w:val="00C812D5"/>
    <w:rsid w:val="00C818D0"/>
    <w:rsid w:val="00C81BEA"/>
    <w:rsid w:val="00C81DF5"/>
    <w:rsid w:val="00C8218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21C4"/>
    <w:rsid w:val="00C9235F"/>
    <w:rsid w:val="00C9257F"/>
    <w:rsid w:val="00C9272E"/>
    <w:rsid w:val="00C9319C"/>
    <w:rsid w:val="00C934F6"/>
    <w:rsid w:val="00C93874"/>
    <w:rsid w:val="00C93A4C"/>
    <w:rsid w:val="00C9448D"/>
    <w:rsid w:val="00C94B87"/>
    <w:rsid w:val="00C94FD2"/>
    <w:rsid w:val="00C9514C"/>
    <w:rsid w:val="00C95319"/>
    <w:rsid w:val="00C95341"/>
    <w:rsid w:val="00C95B76"/>
    <w:rsid w:val="00C964C3"/>
    <w:rsid w:val="00C96635"/>
    <w:rsid w:val="00C966B7"/>
    <w:rsid w:val="00C969DB"/>
    <w:rsid w:val="00C978E5"/>
    <w:rsid w:val="00C97A4A"/>
    <w:rsid w:val="00C97ADD"/>
    <w:rsid w:val="00C97DC9"/>
    <w:rsid w:val="00C97EE3"/>
    <w:rsid w:val="00CA12BA"/>
    <w:rsid w:val="00CA165C"/>
    <w:rsid w:val="00CA1C0D"/>
    <w:rsid w:val="00CA1DAE"/>
    <w:rsid w:val="00CA1E27"/>
    <w:rsid w:val="00CA2267"/>
    <w:rsid w:val="00CA38AD"/>
    <w:rsid w:val="00CA413F"/>
    <w:rsid w:val="00CA5098"/>
    <w:rsid w:val="00CA5503"/>
    <w:rsid w:val="00CA55C3"/>
    <w:rsid w:val="00CA5EF0"/>
    <w:rsid w:val="00CA6289"/>
    <w:rsid w:val="00CA65B3"/>
    <w:rsid w:val="00CA66C3"/>
    <w:rsid w:val="00CA6CAD"/>
    <w:rsid w:val="00CA70A8"/>
    <w:rsid w:val="00CA70D0"/>
    <w:rsid w:val="00CA74A4"/>
    <w:rsid w:val="00CA7683"/>
    <w:rsid w:val="00CA7EA1"/>
    <w:rsid w:val="00CA7EEB"/>
    <w:rsid w:val="00CB009B"/>
    <w:rsid w:val="00CB0231"/>
    <w:rsid w:val="00CB0838"/>
    <w:rsid w:val="00CB1AFD"/>
    <w:rsid w:val="00CB1E7F"/>
    <w:rsid w:val="00CB1EB3"/>
    <w:rsid w:val="00CB2126"/>
    <w:rsid w:val="00CB24AD"/>
    <w:rsid w:val="00CB2C59"/>
    <w:rsid w:val="00CB2D9C"/>
    <w:rsid w:val="00CB34AB"/>
    <w:rsid w:val="00CB3529"/>
    <w:rsid w:val="00CB3562"/>
    <w:rsid w:val="00CB38A9"/>
    <w:rsid w:val="00CB4728"/>
    <w:rsid w:val="00CB4994"/>
    <w:rsid w:val="00CB556C"/>
    <w:rsid w:val="00CB59E7"/>
    <w:rsid w:val="00CB5E4A"/>
    <w:rsid w:val="00CB668A"/>
    <w:rsid w:val="00CB6976"/>
    <w:rsid w:val="00CB6FCA"/>
    <w:rsid w:val="00CB724D"/>
    <w:rsid w:val="00CB73EA"/>
    <w:rsid w:val="00CB7D4E"/>
    <w:rsid w:val="00CC002B"/>
    <w:rsid w:val="00CC07E5"/>
    <w:rsid w:val="00CC09F0"/>
    <w:rsid w:val="00CC0C11"/>
    <w:rsid w:val="00CC1310"/>
    <w:rsid w:val="00CC15B5"/>
    <w:rsid w:val="00CC1671"/>
    <w:rsid w:val="00CC1F52"/>
    <w:rsid w:val="00CC233F"/>
    <w:rsid w:val="00CC27FD"/>
    <w:rsid w:val="00CC31E8"/>
    <w:rsid w:val="00CC33C6"/>
    <w:rsid w:val="00CC369C"/>
    <w:rsid w:val="00CC3AB9"/>
    <w:rsid w:val="00CC3C9E"/>
    <w:rsid w:val="00CC45E0"/>
    <w:rsid w:val="00CC4BBE"/>
    <w:rsid w:val="00CC4BC3"/>
    <w:rsid w:val="00CC4ED5"/>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1169"/>
    <w:rsid w:val="00CD16C7"/>
    <w:rsid w:val="00CD1A40"/>
    <w:rsid w:val="00CD1B33"/>
    <w:rsid w:val="00CD239C"/>
    <w:rsid w:val="00CD25F3"/>
    <w:rsid w:val="00CD27FF"/>
    <w:rsid w:val="00CD305C"/>
    <w:rsid w:val="00CD3A6D"/>
    <w:rsid w:val="00CD3E5A"/>
    <w:rsid w:val="00CD3E63"/>
    <w:rsid w:val="00CD40A3"/>
    <w:rsid w:val="00CD4CD3"/>
    <w:rsid w:val="00CD4DDD"/>
    <w:rsid w:val="00CD578C"/>
    <w:rsid w:val="00CD589F"/>
    <w:rsid w:val="00CD60C9"/>
    <w:rsid w:val="00CD6345"/>
    <w:rsid w:val="00CD6BBB"/>
    <w:rsid w:val="00CD6C19"/>
    <w:rsid w:val="00CD6E47"/>
    <w:rsid w:val="00CD7482"/>
    <w:rsid w:val="00CE07C1"/>
    <w:rsid w:val="00CE1567"/>
    <w:rsid w:val="00CE186F"/>
    <w:rsid w:val="00CE1BC4"/>
    <w:rsid w:val="00CE1C09"/>
    <w:rsid w:val="00CE206F"/>
    <w:rsid w:val="00CE20E3"/>
    <w:rsid w:val="00CE24B7"/>
    <w:rsid w:val="00CE273A"/>
    <w:rsid w:val="00CE321C"/>
    <w:rsid w:val="00CE32E8"/>
    <w:rsid w:val="00CE3700"/>
    <w:rsid w:val="00CE3B69"/>
    <w:rsid w:val="00CE3B77"/>
    <w:rsid w:val="00CE4559"/>
    <w:rsid w:val="00CE5118"/>
    <w:rsid w:val="00CE5487"/>
    <w:rsid w:val="00CE59B5"/>
    <w:rsid w:val="00CE59DB"/>
    <w:rsid w:val="00CE5D3A"/>
    <w:rsid w:val="00CE6D79"/>
    <w:rsid w:val="00CE7381"/>
    <w:rsid w:val="00CE7447"/>
    <w:rsid w:val="00CE74CE"/>
    <w:rsid w:val="00CE7F36"/>
    <w:rsid w:val="00CF0829"/>
    <w:rsid w:val="00CF0E74"/>
    <w:rsid w:val="00CF1833"/>
    <w:rsid w:val="00CF1AEA"/>
    <w:rsid w:val="00CF1B4F"/>
    <w:rsid w:val="00CF2091"/>
    <w:rsid w:val="00CF21F6"/>
    <w:rsid w:val="00CF2278"/>
    <w:rsid w:val="00CF2C62"/>
    <w:rsid w:val="00CF2F66"/>
    <w:rsid w:val="00CF337B"/>
    <w:rsid w:val="00CF3FE7"/>
    <w:rsid w:val="00CF4059"/>
    <w:rsid w:val="00CF4416"/>
    <w:rsid w:val="00CF5762"/>
    <w:rsid w:val="00CF615D"/>
    <w:rsid w:val="00CF65B4"/>
    <w:rsid w:val="00CF69B0"/>
    <w:rsid w:val="00CF6C05"/>
    <w:rsid w:val="00CF7485"/>
    <w:rsid w:val="00CF7E56"/>
    <w:rsid w:val="00D01113"/>
    <w:rsid w:val="00D0139C"/>
    <w:rsid w:val="00D01744"/>
    <w:rsid w:val="00D02461"/>
    <w:rsid w:val="00D025CE"/>
    <w:rsid w:val="00D02A0F"/>
    <w:rsid w:val="00D02DF3"/>
    <w:rsid w:val="00D02FB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10076"/>
    <w:rsid w:val="00D1033B"/>
    <w:rsid w:val="00D10477"/>
    <w:rsid w:val="00D107E2"/>
    <w:rsid w:val="00D11D76"/>
    <w:rsid w:val="00D11E73"/>
    <w:rsid w:val="00D121F5"/>
    <w:rsid w:val="00D126E4"/>
    <w:rsid w:val="00D131BF"/>
    <w:rsid w:val="00D140E6"/>
    <w:rsid w:val="00D15862"/>
    <w:rsid w:val="00D158EF"/>
    <w:rsid w:val="00D15C14"/>
    <w:rsid w:val="00D15E74"/>
    <w:rsid w:val="00D15FAA"/>
    <w:rsid w:val="00D16ECB"/>
    <w:rsid w:val="00D16EEE"/>
    <w:rsid w:val="00D17167"/>
    <w:rsid w:val="00D173B7"/>
    <w:rsid w:val="00D1794C"/>
    <w:rsid w:val="00D17BA5"/>
    <w:rsid w:val="00D17EC9"/>
    <w:rsid w:val="00D2058D"/>
    <w:rsid w:val="00D21342"/>
    <w:rsid w:val="00D2176E"/>
    <w:rsid w:val="00D2182A"/>
    <w:rsid w:val="00D22105"/>
    <w:rsid w:val="00D2211C"/>
    <w:rsid w:val="00D22945"/>
    <w:rsid w:val="00D22B55"/>
    <w:rsid w:val="00D23055"/>
    <w:rsid w:val="00D230AD"/>
    <w:rsid w:val="00D24B34"/>
    <w:rsid w:val="00D251AB"/>
    <w:rsid w:val="00D25AC6"/>
    <w:rsid w:val="00D261D3"/>
    <w:rsid w:val="00D31255"/>
    <w:rsid w:val="00D319DF"/>
    <w:rsid w:val="00D3225E"/>
    <w:rsid w:val="00D324BC"/>
    <w:rsid w:val="00D33565"/>
    <w:rsid w:val="00D33762"/>
    <w:rsid w:val="00D34025"/>
    <w:rsid w:val="00D3413A"/>
    <w:rsid w:val="00D34BD1"/>
    <w:rsid w:val="00D35177"/>
    <w:rsid w:val="00D356E1"/>
    <w:rsid w:val="00D359F0"/>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6D7E"/>
    <w:rsid w:val="00D47178"/>
    <w:rsid w:val="00D4752E"/>
    <w:rsid w:val="00D47842"/>
    <w:rsid w:val="00D478A8"/>
    <w:rsid w:val="00D47BEF"/>
    <w:rsid w:val="00D47E63"/>
    <w:rsid w:val="00D50826"/>
    <w:rsid w:val="00D51675"/>
    <w:rsid w:val="00D51A75"/>
    <w:rsid w:val="00D51F73"/>
    <w:rsid w:val="00D52827"/>
    <w:rsid w:val="00D529BE"/>
    <w:rsid w:val="00D52CF6"/>
    <w:rsid w:val="00D52DC6"/>
    <w:rsid w:val="00D53198"/>
    <w:rsid w:val="00D53D3E"/>
    <w:rsid w:val="00D546D6"/>
    <w:rsid w:val="00D547E0"/>
    <w:rsid w:val="00D54992"/>
    <w:rsid w:val="00D55291"/>
    <w:rsid w:val="00D55C48"/>
    <w:rsid w:val="00D55E47"/>
    <w:rsid w:val="00D56997"/>
    <w:rsid w:val="00D570E6"/>
    <w:rsid w:val="00D5730F"/>
    <w:rsid w:val="00D5774F"/>
    <w:rsid w:val="00D578B1"/>
    <w:rsid w:val="00D57A52"/>
    <w:rsid w:val="00D60809"/>
    <w:rsid w:val="00D60D7F"/>
    <w:rsid w:val="00D61C9C"/>
    <w:rsid w:val="00D62111"/>
    <w:rsid w:val="00D62229"/>
    <w:rsid w:val="00D625B8"/>
    <w:rsid w:val="00D626F8"/>
    <w:rsid w:val="00D634CD"/>
    <w:rsid w:val="00D636DC"/>
    <w:rsid w:val="00D63F4C"/>
    <w:rsid w:val="00D64265"/>
    <w:rsid w:val="00D64613"/>
    <w:rsid w:val="00D64702"/>
    <w:rsid w:val="00D66BD9"/>
    <w:rsid w:val="00D66BFD"/>
    <w:rsid w:val="00D66C91"/>
    <w:rsid w:val="00D674EE"/>
    <w:rsid w:val="00D67535"/>
    <w:rsid w:val="00D67B2A"/>
    <w:rsid w:val="00D67BC9"/>
    <w:rsid w:val="00D67DBC"/>
    <w:rsid w:val="00D704D9"/>
    <w:rsid w:val="00D70BD2"/>
    <w:rsid w:val="00D713F2"/>
    <w:rsid w:val="00D721AA"/>
    <w:rsid w:val="00D72705"/>
    <w:rsid w:val="00D738BF"/>
    <w:rsid w:val="00D73B93"/>
    <w:rsid w:val="00D73C6B"/>
    <w:rsid w:val="00D73C95"/>
    <w:rsid w:val="00D73F99"/>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2FA"/>
    <w:rsid w:val="00D82D02"/>
    <w:rsid w:val="00D82D0F"/>
    <w:rsid w:val="00D83A5A"/>
    <w:rsid w:val="00D84157"/>
    <w:rsid w:val="00D84BD7"/>
    <w:rsid w:val="00D84DCA"/>
    <w:rsid w:val="00D850FC"/>
    <w:rsid w:val="00D85114"/>
    <w:rsid w:val="00D857BC"/>
    <w:rsid w:val="00D86144"/>
    <w:rsid w:val="00D8622E"/>
    <w:rsid w:val="00D86F60"/>
    <w:rsid w:val="00D8718F"/>
    <w:rsid w:val="00D871B6"/>
    <w:rsid w:val="00D875E1"/>
    <w:rsid w:val="00D90275"/>
    <w:rsid w:val="00D902F5"/>
    <w:rsid w:val="00D9075D"/>
    <w:rsid w:val="00D90959"/>
    <w:rsid w:val="00D91410"/>
    <w:rsid w:val="00D91438"/>
    <w:rsid w:val="00D91594"/>
    <w:rsid w:val="00D91A8F"/>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203"/>
    <w:rsid w:val="00DA18DA"/>
    <w:rsid w:val="00DA1F0C"/>
    <w:rsid w:val="00DA1F38"/>
    <w:rsid w:val="00DA2F0F"/>
    <w:rsid w:val="00DA3565"/>
    <w:rsid w:val="00DA3A5B"/>
    <w:rsid w:val="00DA3D0B"/>
    <w:rsid w:val="00DA3F51"/>
    <w:rsid w:val="00DA45DB"/>
    <w:rsid w:val="00DA48D9"/>
    <w:rsid w:val="00DA49F8"/>
    <w:rsid w:val="00DA4AAE"/>
    <w:rsid w:val="00DA5572"/>
    <w:rsid w:val="00DA6704"/>
    <w:rsid w:val="00DA6A15"/>
    <w:rsid w:val="00DA6CC2"/>
    <w:rsid w:val="00DA7029"/>
    <w:rsid w:val="00DA77A0"/>
    <w:rsid w:val="00DB09A2"/>
    <w:rsid w:val="00DB0C79"/>
    <w:rsid w:val="00DB103D"/>
    <w:rsid w:val="00DB1448"/>
    <w:rsid w:val="00DB1998"/>
    <w:rsid w:val="00DB1FC4"/>
    <w:rsid w:val="00DB21F0"/>
    <w:rsid w:val="00DB24C0"/>
    <w:rsid w:val="00DB2C5F"/>
    <w:rsid w:val="00DB3A58"/>
    <w:rsid w:val="00DB3BDF"/>
    <w:rsid w:val="00DB3C58"/>
    <w:rsid w:val="00DB3D46"/>
    <w:rsid w:val="00DB401C"/>
    <w:rsid w:val="00DB46C8"/>
    <w:rsid w:val="00DB540E"/>
    <w:rsid w:val="00DB5A63"/>
    <w:rsid w:val="00DB6166"/>
    <w:rsid w:val="00DB656B"/>
    <w:rsid w:val="00DB691E"/>
    <w:rsid w:val="00DB75A3"/>
    <w:rsid w:val="00DB799D"/>
    <w:rsid w:val="00DB79C8"/>
    <w:rsid w:val="00DC0574"/>
    <w:rsid w:val="00DC0C65"/>
    <w:rsid w:val="00DC16BF"/>
    <w:rsid w:val="00DC16E1"/>
    <w:rsid w:val="00DC16FC"/>
    <w:rsid w:val="00DC1881"/>
    <w:rsid w:val="00DC1ED7"/>
    <w:rsid w:val="00DC3A6F"/>
    <w:rsid w:val="00DC3D1C"/>
    <w:rsid w:val="00DC43E1"/>
    <w:rsid w:val="00DC4EE7"/>
    <w:rsid w:val="00DC5199"/>
    <w:rsid w:val="00DC5A32"/>
    <w:rsid w:val="00DC5E4E"/>
    <w:rsid w:val="00DC651B"/>
    <w:rsid w:val="00DC662F"/>
    <w:rsid w:val="00DC6E78"/>
    <w:rsid w:val="00DC729A"/>
    <w:rsid w:val="00DC7328"/>
    <w:rsid w:val="00DC73B1"/>
    <w:rsid w:val="00DC7519"/>
    <w:rsid w:val="00DC75C6"/>
    <w:rsid w:val="00DC7630"/>
    <w:rsid w:val="00DC7EB5"/>
    <w:rsid w:val="00DD04AC"/>
    <w:rsid w:val="00DD04DD"/>
    <w:rsid w:val="00DD0891"/>
    <w:rsid w:val="00DD0B35"/>
    <w:rsid w:val="00DD0F9F"/>
    <w:rsid w:val="00DD11A7"/>
    <w:rsid w:val="00DD1298"/>
    <w:rsid w:val="00DD1ED1"/>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4F6"/>
    <w:rsid w:val="00DD6C53"/>
    <w:rsid w:val="00DD7198"/>
    <w:rsid w:val="00DD7199"/>
    <w:rsid w:val="00DD7C44"/>
    <w:rsid w:val="00DD7CB6"/>
    <w:rsid w:val="00DE0077"/>
    <w:rsid w:val="00DE0137"/>
    <w:rsid w:val="00DE01BA"/>
    <w:rsid w:val="00DE0DCF"/>
    <w:rsid w:val="00DE137B"/>
    <w:rsid w:val="00DE13D4"/>
    <w:rsid w:val="00DE13FD"/>
    <w:rsid w:val="00DE19D9"/>
    <w:rsid w:val="00DE1C18"/>
    <w:rsid w:val="00DE1DC6"/>
    <w:rsid w:val="00DE1F77"/>
    <w:rsid w:val="00DE21C6"/>
    <w:rsid w:val="00DE22AA"/>
    <w:rsid w:val="00DE288F"/>
    <w:rsid w:val="00DE2D49"/>
    <w:rsid w:val="00DE388A"/>
    <w:rsid w:val="00DE3E66"/>
    <w:rsid w:val="00DE3F75"/>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253D"/>
    <w:rsid w:val="00DF3222"/>
    <w:rsid w:val="00DF3577"/>
    <w:rsid w:val="00DF4063"/>
    <w:rsid w:val="00DF5F13"/>
    <w:rsid w:val="00DF63DD"/>
    <w:rsid w:val="00DF6B62"/>
    <w:rsid w:val="00DF7828"/>
    <w:rsid w:val="00DF7BD0"/>
    <w:rsid w:val="00DF7BDF"/>
    <w:rsid w:val="00DF7DFE"/>
    <w:rsid w:val="00E00303"/>
    <w:rsid w:val="00E00489"/>
    <w:rsid w:val="00E00A62"/>
    <w:rsid w:val="00E010A0"/>
    <w:rsid w:val="00E0125E"/>
    <w:rsid w:val="00E01668"/>
    <w:rsid w:val="00E0173A"/>
    <w:rsid w:val="00E01849"/>
    <w:rsid w:val="00E020D1"/>
    <w:rsid w:val="00E02B64"/>
    <w:rsid w:val="00E02EAD"/>
    <w:rsid w:val="00E03D3F"/>
    <w:rsid w:val="00E0437C"/>
    <w:rsid w:val="00E0452C"/>
    <w:rsid w:val="00E04D61"/>
    <w:rsid w:val="00E0504C"/>
    <w:rsid w:val="00E05074"/>
    <w:rsid w:val="00E0540D"/>
    <w:rsid w:val="00E05489"/>
    <w:rsid w:val="00E05741"/>
    <w:rsid w:val="00E05F7F"/>
    <w:rsid w:val="00E06930"/>
    <w:rsid w:val="00E06971"/>
    <w:rsid w:val="00E06B43"/>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2FF"/>
    <w:rsid w:val="00E13359"/>
    <w:rsid w:val="00E134B8"/>
    <w:rsid w:val="00E138BF"/>
    <w:rsid w:val="00E13A2D"/>
    <w:rsid w:val="00E140DF"/>
    <w:rsid w:val="00E14EFA"/>
    <w:rsid w:val="00E1518A"/>
    <w:rsid w:val="00E151B9"/>
    <w:rsid w:val="00E1566E"/>
    <w:rsid w:val="00E158C4"/>
    <w:rsid w:val="00E161E6"/>
    <w:rsid w:val="00E167C9"/>
    <w:rsid w:val="00E1698C"/>
    <w:rsid w:val="00E16D50"/>
    <w:rsid w:val="00E172BE"/>
    <w:rsid w:val="00E17CF7"/>
    <w:rsid w:val="00E205D6"/>
    <w:rsid w:val="00E216EC"/>
    <w:rsid w:val="00E2189A"/>
    <w:rsid w:val="00E22B5A"/>
    <w:rsid w:val="00E22B68"/>
    <w:rsid w:val="00E231C9"/>
    <w:rsid w:val="00E23379"/>
    <w:rsid w:val="00E23EBF"/>
    <w:rsid w:val="00E23FD5"/>
    <w:rsid w:val="00E24669"/>
    <w:rsid w:val="00E248B2"/>
    <w:rsid w:val="00E24C48"/>
    <w:rsid w:val="00E24D50"/>
    <w:rsid w:val="00E25981"/>
    <w:rsid w:val="00E25BC1"/>
    <w:rsid w:val="00E26141"/>
    <w:rsid w:val="00E266F5"/>
    <w:rsid w:val="00E26F90"/>
    <w:rsid w:val="00E270D3"/>
    <w:rsid w:val="00E27FC7"/>
    <w:rsid w:val="00E30700"/>
    <w:rsid w:val="00E309B8"/>
    <w:rsid w:val="00E30B60"/>
    <w:rsid w:val="00E30D87"/>
    <w:rsid w:val="00E30E57"/>
    <w:rsid w:val="00E31360"/>
    <w:rsid w:val="00E31D28"/>
    <w:rsid w:val="00E325FF"/>
    <w:rsid w:val="00E32642"/>
    <w:rsid w:val="00E32CB8"/>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CBF"/>
    <w:rsid w:val="00E40E7D"/>
    <w:rsid w:val="00E40EE4"/>
    <w:rsid w:val="00E412D3"/>
    <w:rsid w:val="00E413C6"/>
    <w:rsid w:val="00E417D1"/>
    <w:rsid w:val="00E4195F"/>
    <w:rsid w:val="00E41C4E"/>
    <w:rsid w:val="00E420D5"/>
    <w:rsid w:val="00E42517"/>
    <w:rsid w:val="00E42D55"/>
    <w:rsid w:val="00E42FFE"/>
    <w:rsid w:val="00E4316E"/>
    <w:rsid w:val="00E435AB"/>
    <w:rsid w:val="00E43785"/>
    <w:rsid w:val="00E44275"/>
    <w:rsid w:val="00E44777"/>
    <w:rsid w:val="00E4535F"/>
    <w:rsid w:val="00E45691"/>
    <w:rsid w:val="00E466BC"/>
    <w:rsid w:val="00E4686A"/>
    <w:rsid w:val="00E47538"/>
    <w:rsid w:val="00E479FD"/>
    <w:rsid w:val="00E504D6"/>
    <w:rsid w:val="00E50B6F"/>
    <w:rsid w:val="00E50DF1"/>
    <w:rsid w:val="00E50EBE"/>
    <w:rsid w:val="00E50F69"/>
    <w:rsid w:val="00E50FC6"/>
    <w:rsid w:val="00E517CD"/>
    <w:rsid w:val="00E51C36"/>
    <w:rsid w:val="00E52185"/>
    <w:rsid w:val="00E52372"/>
    <w:rsid w:val="00E52786"/>
    <w:rsid w:val="00E52C21"/>
    <w:rsid w:val="00E52F05"/>
    <w:rsid w:val="00E53785"/>
    <w:rsid w:val="00E53DB1"/>
    <w:rsid w:val="00E540CA"/>
    <w:rsid w:val="00E54B37"/>
    <w:rsid w:val="00E54DE9"/>
    <w:rsid w:val="00E55B28"/>
    <w:rsid w:val="00E56D4A"/>
    <w:rsid w:val="00E57119"/>
    <w:rsid w:val="00E5719E"/>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3F5D"/>
    <w:rsid w:val="00E642AF"/>
    <w:rsid w:val="00E644C6"/>
    <w:rsid w:val="00E64555"/>
    <w:rsid w:val="00E64595"/>
    <w:rsid w:val="00E646BB"/>
    <w:rsid w:val="00E64D24"/>
    <w:rsid w:val="00E64E69"/>
    <w:rsid w:val="00E6549C"/>
    <w:rsid w:val="00E654B9"/>
    <w:rsid w:val="00E6589D"/>
    <w:rsid w:val="00E65E8C"/>
    <w:rsid w:val="00E665E7"/>
    <w:rsid w:val="00E66C96"/>
    <w:rsid w:val="00E6703E"/>
    <w:rsid w:val="00E672AE"/>
    <w:rsid w:val="00E67F60"/>
    <w:rsid w:val="00E70130"/>
    <w:rsid w:val="00E7063F"/>
    <w:rsid w:val="00E715FC"/>
    <w:rsid w:val="00E71A45"/>
    <w:rsid w:val="00E71C21"/>
    <w:rsid w:val="00E72D84"/>
    <w:rsid w:val="00E730FC"/>
    <w:rsid w:val="00E7318D"/>
    <w:rsid w:val="00E7385A"/>
    <w:rsid w:val="00E73CE6"/>
    <w:rsid w:val="00E74780"/>
    <w:rsid w:val="00E7487D"/>
    <w:rsid w:val="00E74956"/>
    <w:rsid w:val="00E752F7"/>
    <w:rsid w:val="00E75848"/>
    <w:rsid w:val="00E759D4"/>
    <w:rsid w:val="00E76A3C"/>
    <w:rsid w:val="00E76F9B"/>
    <w:rsid w:val="00E771FC"/>
    <w:rsid w:val="00E773E5"/>
    <w:rsid w:val="00E77511"/>
    <w:rsid w:val="00E77BDD"/>
    <w:rsid w:val="00E806D3"/>
    <w:rsid w:val="00E81C34"/>
    <w:rsid w:val="00E81D83"/>
    <w:rsid w:val="00E821BB"/>
    <w:rsid w:val="00E822E9"/>
    <w:rsid w:val="00E826FE"/>
    <w:rsid w:val="00E8275E"/>
    <w:rsid w:val="00E827AF"/>
    <w:rsid w:val="00E82DE9"/>
    <w:rsid w:val="00E83253"/>
    <w:rsid w:val="00E844AB"/>
    <w:rsid w:val="00E84C97"/>
    <w:rsid w:val="00E85005"/>
    <w:rsid w:val="00E85296"/>
    <w:rsid w:val="00E8533B"/>
    <w:rsid w:val="00E8575B"/>
    <w:rsid w:val="00E85931"/>
    <w:rsid w:val="00E85E4E"/>
    <w:rsid w:val="00E862BB"/>
    <w:rsid w:val="00E86327"/>
    <w:rsid w:val="00E86DF0"/>
    <w:rsid w:val="00E87BD2"/>
    <w:rsid w:val="00E87CDC"/>
    <w:rsid w:val="00E906E0"/>
    <w:rsid w:val="00E90B33"/>
    <w:rsid w:val="00E911E0"/>
    <w:rsid w:val="00E93407"/>
    <w:rsid w:val="00E934E4"/>
    <w:rsid w:val="00E940A8"/>
    <w:rsid w:val="00E94759"/>
    <w:rsid w:val="00E947E8"/>
    <w:rsid w:val="00E9498E"/>
    <w:rsid w:val="00E94B0F"/>
    <w:rsid w:val="00E9503F"/>
    <w:rsid w:val="00E95B3C"/>
    <w:rsid w:val="00E96726"/>
    <w:rsid w:val="00E96E68"/>
    <w:rsid w:val="00E973BA"/>
    <w:rsid w:val="00E97EA1"/>
    <w:rsid w:val="00EA0BBE"/>
    <w:rsid w:val="00EA1F01"/>
    <w:rsid w:val="00EA1FBC"/>
    <w:rsid w:val="00EA20A1"/>
    <w:rsid w:val="00EA212B"/>
    <w:rsid w:val="00EA24FB"/>
    <w:rsid w:val="00EA2D44"/>
    <w:rsid w:val="00EA306E"/>
    <w:rsid w:val="00EA32F4"/>
    <w:rsid w:val="00EA33FA"/>
    <w:rsid w:val="00EA3A0E"/>
    <w:rsid w:val="00EA3A1D"/>
    <w:rsid w:val="00EA3CD7"/>
    <w:rsid w:val="00EA3E2D"/>
    <w:rsid w:val="00EA429D"/>
    <w:rsid w:val="00EA43AF"/>
    <w:rsid w:val="00EA4676"/>
    <w:rsid w:val="00EA4C7C"/>
    <w:rsid w:val="00EA4D4C"/>
    <w:rsid w:val="00EA554F"/>
    <w:rsid w:val="00EA6250"/>
    <w:rsid w:val="00EA66A4"/>
    <w:rsid w:val="00EA6819"/>
    <w:rsid w:val="00EA69E4"/>
    <w:rsid w:val="00EA6A1E"/>
    <w:rsid w:val="00EA75BD"/>
    <w:rsid w:val="00EA760C"/>
    <w:rsid w:val="00EA7C47"/>
    <w:rsid w:val="00EB0BB7"/>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9C6"/>
    <w:rsid w:val="00EC0EA5"/>
    <w:rsid w:val="00EC1056"/>
    <w:rsid w:val="00EC1470"/>
    <w:rsid w:val="00EC1F99"/>
    <w:rsid w:val="00EC222E"/>
    <w:rsid w:val="00EC2369"/>
    <w:rsid w:val="00EC25CD"/>
    <w:rsid w:val="00EC2716"/>
    <w:rsid w:val="00EC2DBB"/>
    <w:rsid w:val="00EC3107"/>
    <w:rsid w:val="00EC358E"/>
    <w:rsid w:val="00EC3B82"/>
    <w:rsid w:val="00EC3F3F"/>
    <w:rsid w:val="00EC3FD2"/>
    <w:rsid w:val="00EC4095"/>
    <w:rsid w:val="00EC43B5"/>
    <w:rsid w:val="00EC4537"/>
    <w:rsid w:val="00EC4960"/>
    <w:rsid w:val="00EC4AE3"/>
    <w:rsid w:val="00EC522B"/>
    <w:rsid w:val="00EC54EE"/>
    <w:rsid w:val="00EC59B2"/>
    <w:rsid w:val="00EC5A3B"/>
    <w:rsid w:val="00EC6BCB"/>
    <w:rsid w:val="00EC774E"/>
    <w:rsid w:val="00EC786C"/>
    <w:rsid w:val="00EC7ADD"/>
    <w:rsid w:val="00EC7E60"/>
    <w:rsid w:val="00ED04FE"/>
    <w:rsid w:val="00ED0DD0"/>
    <w:rsid w:val="00ED1989"/>
    <w:rsid w:val="00ED28F2"/>
    <w:rsid w:val="00ED3145"/>
    <w:rsid w:val="00ED3309"/>
    <w:rsid w:val="00ED356E"/>
    <w:rsid w:val="00ED3BDA"/>
    <w:rsid w:val="00ED3DA4"/>
    <w:rsid w:val="00ED4B67"/>
    <w:rsid w:val="00ED4B69"/>
    <w:rsid w:val="00ED5A3B"/>
    <w:rsid w:val="00ED5C30"/>
    <w:rsid w:val="00ED5E02"/>
    <w:rsid w:val="00ED5EED"/>
    <w:rsid w:val="00ED602B"/>
    <w:rsid w:val="00ED6B1C"/>
    <w:rsid w:val="00ED6CF7"/>
    <w:rsid w:val="00ED6F33"/>
    <w:rsid w:val="00ED741E"/>
    <w:rsid w:val="00ED7716"/>
    <w:rsid w:val="00ED7737"/>
    <w:rsid w:val="00ED7747"/>
    <w:rsid w:val="00ED7CF4"/>
    <w:rsid w:val="00EE0EA8"/>
    <w:rsid w:val="00EE1B0E"/>
    <w:rsid w:val="00EE22FB"/>
    <w:rsid w:val="00EE2407"/>
    <w:rsid w:val="00EE26AE"/>
    <w:rsid w:val="00EE29C8"/>
    <w:rsid w:val="00EE2A54"/>
    <w:rsid w:val="00EE2FC2"/>
    <w:rsid w:val="00EE39BB"/>
    <w:rsid w:val="00EE3B88"/>
    <w:rsid w:val="00EE3D97"/>
    <w:rsid w:val="00EE4B75"/>
    <w:rsid w:val="00EE4DBD"/>
    <w:rsid w:val="00EE57D6"/>
    <w:rsid w:val="00EE6025"/>
    <w:rsid w:val="00EE667A"/>
    <w:rsid w:val="00EE6AC6"/>
    <w:rsid w:val="00EE6E26"/>
    <w:rsid w:val="00EE784F"/>
    <w:rsid w:val="00EE7A1D"/>
    <w:rsid w:val="00EF0500"/>
    <w:rsid w:val="00EF07D2"/>
    <w:rsid w:val="00EF0B66"/>
    <w:rsid w:val="00EF1002"/>
    <w:rsid w:val="00EF143F"/>
    <w:rsid w:val="00EF1F88"/>
    <w:rsid w:val="00EF23D8"/>
    <w:rsid w:val="00EF2A5A"/>
    <w:rsid w:val="00EF2A87"/>
    <w:rsid w:val="00EF3A74"/>
    <w:rsid w:val="00EF3AE9"/>
    <w:rsid w:val="00EF3E7A"/>
    <w:rsid w:val="00EF3EA5"/>
    <w:rsid w:val="00EF40DC"/>
    <w:rsid w:val="00EF49FB"/>
    <w:rsid w:val="00EF4D23"/>
    <w:rsid w:val="00EF5117"/>
    <w:rsid w:val="00EF55D6"/>
    <w:rsid w:val="00EF644D"/>
    <w:rsid w:val="00EF6D29"/>
    <w:rsid w:val="00EF7138"/>
    <w:rsid w:val="00EF7149"/>
    <w:rsid w:val="00F00881"/>
    <w:rsid w:val="00F00917"/>
    <w:rsid w:val="00F01032"/>
    <w:rsid w:val="00F010BB"/>
    <w:rsid w:val="00F012C1"/>
    <w:rsid w:val="00F0175F"/>
    <w:rsid w:val="00F01C5B"/>
    <w:rsid w:val="00F03280"/>
    <w:rsid w:val="00F0362A"/>
    <w:rsid w:val="00F0385C"/>
    <w:rsid w:val="00F03ABE"/>
    <w:rsid w:val="00F03D14"/>
    <w:rsid w:val="00F04345"/>
    <w:rsid w:val="00F047A4"/>
    <w:rsid w:val="00F04F52"/>
    <w:rsid w:val="00F0510F"/>
    <w:rsid w:val="00F053FE"/>
    <w:rsid w:val="00F0563F"/>
    <w:rsid w:val="00F06239"/>
    <w:rsid w:val="00F064EF"/>
    <w:rsid w:val="00F06558"/>
    <w:rsid w:val="00F06F42"/>
    <w:rsid w:val="00F07122"/>
    <w:rsid w:val="00F074C9"/>
    <w:rsid w:val="00F07C82"/>
    <w:rsid w:val="00F07F5E"/>
    <w:rsid w:val="00F1001E"/>
    <w:rsid w:val="00F106BB"/>
    <w:rsid w:val="00F10DD5"/>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C6E"/>
    <w:rsid w:val="00F20C99"/>
    <w:rsid w:val="00F20D6C"/>
    <w:rsid w:val="00F2242D"/>
    <w:rsid w:val="00F2255F"/>
    <w:rsid w:val="00F225CF"/>
    <w:rsid w:val="00F22882"/>
    <w:rsid w:val="00F22985"/>
    <w:rsid w:val="00F22AEF"/>
    <w:rsid w:val="00F22F7A"/>
    <w:rsid w:val="00F2322E"/>
    <w:rsid w:val="00F2343C"/>
    <w:rsid w:val="00F23CFC"/>
    <w:rsid w:val="00F24076"/>
    <w:rsid w:val="00F240CB"/>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B4F"/>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760"/>
    <w:rsid w:val="00F45925"/>
    <w:rsid w:val="00F46BA6"/>
    <w:rsid w:val="00F46C97"/>
    <w:rsid w:val="00F4703E"/>
    <w:rsid w:val="00F50511"/>
    <w:rsid w:val="00F50781"/>
    <w:rsid w:val="00F50CA3"/>
    <w:rsid w:val="00F517ED"/>
    <w:rsid w:val="00F51F3F"/>
    <w:rsid w:val="00F528B5"/>
    <w:rsid w:val="00F528E7"/>
    <w:rsid w:val="00F52C8A"/>
    <w:rsid w:val="00F53615"/>
    <w:rsid w:val="00F53A91"/>
    <w:rsid w:val="00F54783"/>
    <w:rsid w:val="00F547E9"/>
    <w:rsid w:val="00F5494E"/>
    <w:rsid w:val="00F54ABE"/>
    <w:rsid w:val="00F553D2"/>
    <w:rsid w:val="00F5564F"/>
    <w:rsid w:val="00F55804"/>
    <w:rsid w:val="00F55F1A"/>
    <w:rsid w:val="00F56310"/>
    <w:rsid w:val="00F5684C"/>
    <w:rsid w:val="00F57210"/>
    <w:rsid w:val="00F577FC"/>
    <w:rsid w:val="00F602F0"/>
    <w:rsid w:val="00F6098E"/>
    <w:rsid w:val="00F60C90"/>
    <w:rsid w:val="00F619EE"/>
    <w:rsid w:val="00F61CF5"/>
    <w:rsid w:val="00F61FF9"/>
    <w:rsid w:val="00F62069"/>
    <w:rsid w:val="00F62159"/>
    <w:rsid w:val="00F6297B"/>
    <w:rsid w:val="00F62A7C"/>
    <w:rsid w:val="00F62B93"/>
    <w:rsid w:val="00F633E5"/>
    <w:rsid w:val="00F63A07"/>
    <w:rsid w:val="00F63C89"/>
    <w:rsid w:val="00F643CA"/>
    <w:rsid w:val="00F647EC"/>
    <w:rsid w:val="00F64D57"/>
    <w:rsid w:val="00F64FAB"/>
    <w:rsid w:val="00F65329"/>
    <w:rsid w:val="00F6546A"/>
    <w:rsid w:val="00F65CEA"/>
    <w:rsid w:val="00F65F15"/>
    <w:rsid w:val="00F66443"/>
    <w:rsid w:val="00F675EA"/>
    <w:rsid w:val="00F67BEB"/>
    <w:rsid w:val="00F67D42"/>
    <w:rsid w:val="00F7074A"/>
    <w:rsid w:val="00F70D9C"/>
    <w:rsid w:val="00F711A0"/>
    <w:rsid w:val="00F71687"/>
    <w:rsid w:val="00F71708"/>
    <w:rsid w:val="00F717C1"/>
    <w:rsid w:val="00F71AB3"/>
    <w:rsid w:val="00F725D3"/>
    <w:rsid w:val="00F7281E"/>
    <w:rsid w:val="00F72C1A"/>
    <w:rsid w:val="00F72C3D"/>
    <w:rsid w:val="00F73269"/>
    <w:rsid w:val="00F737AB"/>
    <w:rsid w:val="00F73BD1"/>
    <w:rsid w:val="00F74216"/>
    <w:rsid w:val="00F74F0F"/>
    <w:rsid w:val="00F75731"/>
    <w:rsid w:val="00F75841"/>
    <w:rsid w:val="00F75C63"/>
    <w:rsid w:val="00F76333"/>
    <w:rsid w:val="00F77100"/>
    <w:rsid w:val="00F77C84"/>
    <w:rsid w:val="00F8090F"/>
    <w:rsid w:val="00F8139A"/>
    <w:rsid w:val="00F82AAE"/>
    <w:rsid w:val="00F834BE"/>
    <w:rsid w:val="00F838A9"/>
    <w:rsid w:val="00F84355"/>
    <w:rsid w:val="00F849E3"/>
    <w:rsid w:val="00F84B4E"/>
    <w:rsid w:val="00F84C44"/>
    <w:rsid w:val="00F851B7"/>
    <w:rsid w:val="00F8566C"/>
    <w:rsid w:val="00F858D4"/>
    <w:rsid w:val="00F85C65"/>
    <w:rsid w:val="00F85CB4"/>
    <w:rsid w:val="00F860EB"/>
    <w:rsid w:val="00F86268"/>
    <w:rsid w:val="00F868B6"/>
    <w:rsid w:val="00F86968"/>
    <w:rsid w:val="00F86B5D"/>
    <w:rsid w:val="00F86C37"/>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630"/>
    <w:rsid w:val="00F957D2"/>
    <w:rsid w:val="00F95D94"/>
    <w:rsid w:val="00F96F86"/>
    <w:rsid w:val="00F97711"/>
    <w:rsid w:val="00F97AE2"/>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EA3"/>
    <w:rsid w:val="00FA67E3"/>
    <w:rsid w:val="00FA7157"/>
    <w:rsid w:val="00FA73A6"/>
    <w:rsid w:val="00FA7698"/>
    <w:rsid w:val="00FA78C2"/>
    <w:rsid w:val="00FA7A2D"/>
    <w:rsid w:val="00FA7B4F"/>
    <w:rsid w:val="00FA7F36"/>
    <w:rsid w:val="00FB06E7"/>
    <w:rsid w:val="00FB06E9"/>
    <w:rsid w:val="00FB0822"/>
    <w:rsid w:val="00FB09AA"/>
    <w:rsid w:val="00FB1093"/>
    <w:rsid w:val="00FB13A0"/>
    <w:rsid w:val="00FB227E"/>
    <w:rsid w:val="00FB267D"/>
    <w:rsid w:val="00FB2A18"/>
    <w:rsid w:val="00FB2BF4"/>
    <w:rsid w:val="00FB2C8D"/>
    <w:rsid w:val="00FB2DC6"/>
    <w:rsid w:val="00FB4FDE"/>
    <w:rsid w:val="00FB5E81"/>
    <w:rsid w:val="00FB6E6C"/>
    <w:rsid w:val="00FB71B0"/>
    <w:rsid w:val="00FB7ABA"/>
    <w:rsid w:val="00FB7C21"/>
    <w:rsid w:val="00FB7C46"/>
    <w:rsid w:val="00FC04E0"/>
    <w:rsid w:val="00FC0D98"/>
    <w:rsid w:val="00FC1042"/>
    <w:rsid w:val="00FC11C6"/>
    <w:rsid w:val="00FC17D8"/>
    <w:rsid w:val="00FC274E"/>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553"/>
    <w:rsid w:val="00FD0AE7"/>
    <w:rsid w:val="00FD0B44"/>
    <w:rsid w:val="00FD0F70"/>
    <w:rsid w:val="00FD2315"/>
    <w:rsid w:val="00FD29A7"/>
    <w:rsid w:val="00FD2B15"/>
    <w:rsid w:val="00FD3092"/>
    <w:rsid w:val="00FD35A1"/>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1E64"/>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5F67"/>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587"/>
    <w:rsid w:val="00FF4B2E"/>
    <w:rsid w:val="00FF4E4B"/>
    <w:rsid w:val="00FF4E4E"/>
    <w:rsid w:val="00FF5049"/>
    <w:rsid w:val="00FF5D1F"/>
    <w:rsid w:val="00FF5F95"/>
    <w:rsid w:val="00FF6126"/>
    <w:rsid w:val="00FF61F5"/>
    <w:rsid w:val="00FF624C"/>
    <w:rsid w:val="00FF62AA"/>
    <w:rsid w:val="00FF64D7"/>
    <w:rsid w:val="00FF6B6C"/>
    <w:rsid w:val="01420B2A"/>
    <w:rsid w:val="01475B40"/>
    <w:rsid w:val="01AA2C10"/>
    <w:rsid w:val="01B219C1"/>
    <w:rsid w:val="02077281"/>
    <w:rsid w:val="02077A8A"/>
    <w:rsid w:val="027B0197"/>
    <w:rsid w:val="02BF3986"/>
    <w:rsid w:val="02CB76A6"/>
    <w:rsid w:val="02D7201B"/>
    <w:rsid w:val="03253AFD"/>
    <w:rsid w:val="034A0161"/>
    <w:rsid w:val="035241C7"/>
    <w:rsid w:val="035A2E3C"/>
    <w:rsid w:val="037738D8"/>
    <w:rsid w:val="039945AA"/>
    <w:rsid w:val="03B82B2E"/>
    <w:rsid w:val="03C874C4"/>
    <w:rsid w:val="03E66A74"/>
    <w:rsid w:val="03EE579D"/>
    <w:rsid w:val="03F84D17"/>
    <w:rsid w:val="041B1A3F"/>
    <w:rsid w:val="04207E21"/>
    <w:rsid w:val="044D4EED"/>
    <w:rsid w:val="049D0218"/>
    <w:rsid w:val="04A86794"/>
    <w:rsid w:val="04CE1F73"/>
    <w:rsid w:val="04E1218F"/>
    <w:rsid w:val="05915B61"/>
    <w:rsid w:val="05A96137"/>
    <w:rsid w:val="05B53FF0"/>
    <w:rsid w:val="05B82808"/>
    <w:rsid w:val="05EA0E33"/>
    <w:rsid w:val="062C0C3A"/>
    <w:rsid w:val="06BD1E8C"/>
    <w:rsid w:val="07007A7F"/>
    <w:rsid w:val="07117EF5"/>
    <w:rsid w:val="072A0A1E"/>
    <w:rsid w:val="075F0692"/>
    <w:rsid w:val="078A2181"/>
    <w:rsid w:val="079052BE"/>
    <w:rsid w:val="084E7652"/>
    <w:rsid w:val="084F1E4E"/>
    <w:rsid w:val="087E13CA"/>
    <w:rsid w:val="08F53B23"/>
    <w:rsid w:val="09093579"/>
    <w:rsid w:val="091A7535"/>
    <w:rsid w:val="0966277A"/>
    <w:rsid w:val="09E43ECA"/>
    <w:rsid w:val="0A070656"/>
    <w:rsid w:val="0A167B24"/>
    <w:rsid w:val="0A7E1D45"/>
    <w:rsid w:val="0A8817F5"/>
    <w:rsid w:val="0A913ED8"/>
    <w:rsid w:val="0A924382"/>
    <w:rsid w:val="0AB45767"/>
    <w:rsid w:val="0ABD092B"/>
    <w:rsid w:val="0B043FF8"/>
    <w:rsid w:val="0B0D6165"/>
    <w:rsid w:val="0B24171E"/>
    <w:rsid w:val="0B61253D"/>
    <w:rsid w:val="0B995F11"/>
    <w:rsid w:val="0BB14A58"/>
    <w:rsid w:val="0BB33687"/>
    <w:rsid w:val="0BD046F5"/>
    <w:rsid w:val="0C4D19CF"/>
    <w:rsid w:val="0C5362CE"/>
    <w:rsid w:val="0C6D7114"/>
    <w:rsid w:val="0C807FF6"/>
    <w:rsid w:val="0CB169C3"/>
    <w:rsid w:val="0CD2048F"/>
    <w:rsid w:val="0CE75644"/>
    <w:rsid w:val="0D081F34"/>
    <w:rsid w:val="0D584403"/>
    <w:rsid w:val="0D610F79"/>
    <w:rsid w:val="0DB31D06"/>
    <w:rsid w:val="0DC2161C"/>
    <w:rsid w:val="0DC857B1"/>
    <w:rsid w:val="0DDA523F"/>
    <w:rsid w:val="0DEE0F90"/>
    <w:rsid w:val="0E8718B8"/>
    <w:rsid w:val="0E8B52F2"/>
    <w:rsid w:val="0ED546AC"/>
    <w:rsid w:val="0EDD4088"/>
    <w:rsid w:val="0F0F1F61"/>
    <w:rsid w:val="0F0F3E98"/>
    <w:rsid w:val="0F333B7C"/>
    <w:rsid w:val="0F361B01"/>
    <w:rsid w:val="0F454C30"/>
    <w:rsid w:val="0F582B45"/>
    <w:rsid w:val="0F825E34"/>
    <w:rsid w:val="0F8A29EF"/>
    <w:rsid w:val="0FB1301E"/>
    <w:rsid w:val="10063F4A"/>
    <w:rsid w:val="100D1BD8"/>
    <w:rsid w:val="101C0A97"/>
    <w:rsid w:val="10392996"/>
    <w:rsid w:val="10A86882"/>
    <w:rsid w:val="10C65213"/>
    <w:rsid w:val="10DB1C9F"/>
    <w:rsid w:val="10F67974"/>
    <w:rsid w:val="11333889"/>
    <w:rsid w:val="116353E3"/>
    <w:rsid w:val="117C7228"/>
    <w:rsid w:val="1182036D"/>
    <w:rsid w:val="11A77389"/>
    <w:rsid w:val="1207125C"/>
    <w:rsid w:val="12131AAA"/>
    <w:rsid w:val="12746B75"/>
    <w:rsid w:val="12D6790A"/>
    <w:rsid w:val="12EB3CF0"/>
    <w:rsid w:val="12F438A7"/>
    <w:rsid w:val="130C7B91"/>
    <w:rsid w:val="1323348A"/>
    <w:rsid w:val="132D4C2B"/>
    <w:rsid w:val="13345697"/>
    <w:rsid w:val="13482EF0"/>
    <w:rsid w:val="137155C7"/>
    <w:rsid w:val="13977E74"/>
    <w:rsid w:val="13DD55FA"/>
    <w:rsid w:val="13F605DA"/>
    <w:rsid w:val="141B7F51"/>
    <w:rsid w:val="146F2C7A"/>
    <w:rsid w:val="149E4992"/>
    <w:rsid w:val="15A217AD"/>
    <w:rsid w:val="15B42ABF"/>
    <w:rsid w:val="15C026F1"/>
    <w:rsid w:val="15C53FEF"/>
    <w:rsid w:val="161E387E"/>
    <w:rsid w:val="16F26832"/>
    <w:rsid w:val="17064457"/>
    <w:rsid w:val="172577D0"/>
    <w:rsid w:val="173F5EB1"/>
    <w:rsid w:val="1741310B"/>
    <w:rsid w:val="175D64F6"/>
    <w:rsid w:val="17D86539"/>
    <w:rsid w:val="182C52B5"/>
    <w:rsid w:val="18337073"/>
    <w:rsid w:val="185010A8"/>
    <w:rsid w:val="18686D72"/>
    <w:rsid w:val="189439F5"/>
    <w:rsid w:val="18C643E3"/>
    <w:rsid w:val="18C755D6"/>
    <w:rsid w:val="18C80D5B"/>
    <w:rsid w:val="18DC6C31"/>
    <w:rsid w:val="198A03DE"/>
    <w:rsid w:val="19A87FCC"/>
    <w:rsid w:val="19AA2BC7"/>
    <w:rsid w:val="1A2218F2"/>
    <w:rsid w:val="1A4025CB"/>
    <w:rsid w:val="1A42199C"/>
    <w:rsid w:val="1A442DE9"/>
    <w:rsid w:val="1B027D5B"/>
    <w:rsid w:val="1B4A54CA"/>
    <w:rsid w:val="1B4C426C"/>
    <w:rsid w:val="1B516D3B"/>
    <w:rsid w:val="1B7E4FCB"/>
    <w:rsid w:val="1B9F7F95"/>
    <w:rsid w:val="1C205538"/>
    <w:rsid w:val="1C3B1844"/>
    <w:rsid w:val="1C4701E9"/>
    <w:rsid w:val="1C511068"/>
    <w:rsid w:val="1C5823F6"/>
    <w:rsid w:val="1CD11C05"/>
    <w:rsid w:val="1CFF2CB4"/>
    <w:rsid w:val="1D0E51AB"/>
    <w:rsid w:val="1D13223F"/>
    <w:rsid w:val="1D321E13"/>
    <w:rsid w:val="1DC26E78"/>
    <w:rsid w:val="1DE4343C"/>
    <w:rsid w:val="1E6750EF"/>
    <w:rsid w:val="1E854FF8"/>
    <w:rsid w:val="1EB2065C"/>
    <w:rsid w:val="1F0A017C"/>
    <w:rsid w:val="1F462152"/>
    <w:rsid w:val="1F5076F3"/>
    <w:rsid w:val="1F5E77E7"/>
    <w:rsid w:val="1F6B6784"/>
    <w:rsid w:val="1F780DC2"/>
    <w:rsid w:val="1FBC2C9C"/>
    <w:rsid w:val="1FEB15EA"/>
    <w:rsid w:val="1FF80F81"/>
    <w:rsid w:val="201523AC"/>
    <w:rsid w:val="201B7B4E"/>
    <w:rsid w:val="20226C03"/>
    <w:rsid w:val="203F6DB0"/>
    <w:rsid w:val="20657BB6"/>
    <w:rsid w:val="20780ECB"/>
    <w:rsid w:val="20843D3C"/>
    <w:rsid w:val="20876837"/>
    <w:rsid w:val="20AA54EF"/>
    <w:rsid w:val="20EA2551"/>
    <w:rsid w:val="212A35AC"/>
    <w:rsid w:val="21455F84"/>
    <w:rsid w:val="21BF1162"/>
    <w:rsid w:val="221D727C"/>
    <w:rsid w:val="22391D34"/>
    <w:rsid w:val="224176AA"/>
    <w:rsid w:val="22506A46"/>
    <w:rsid w:val="22510F5E"/>
    <w:rsid w:val="228C1199"/>
    <w:rsid w:val="22A42E37"/>
    <w:rsid w:val="22B358D3"/>
    <w:rsid w:val="22C21C13"/>
    <w:rsid w:val="22C804E5"/>
    <w:rsid w:val="230C030B"/>
    <w:rsid w:val="235634BB"/>
    <w:rsid w:val="23922691"/>
    <w:rsid w:val="239C7ED9"/>
    <w:rsid w:val="23AF14AC"/>
    <w:rsid w:val="23BA3996"/>
    <w:rsid w:val="23BF2D5B"/>
    <w:rsid w:val="23E02D14"/>
    <w:rsid w:val="23E17175"/>
    <w:rsid w:val="23E35F08"/>
    <w:rsid w:val="24174AF6"/>
    <w:rsid w:val="241C39CC"/>
    <w:rsid w:val="242D24F6"/>
    <w:rsid w:val="243F6AC7"/>
    <w:rsid w:val="24507394"/>
    <w:rsid w:val="246835F6"/>
    <w:rsid w:val="24801EBF"/>
    <w:rsid w:val="24955D2C"/>
    <w:rsid w:val="24977600"/>
    <w:rsid w:val="249B3C88"/>
    <w:rsid w:val="25034EC9"/>
    <w:rsid w:val="2512691B"/>
    <w:rsid w:val="253A41A3"/>
    <w:rsid w:val="254554E2"/>
    <w:rsid w:val="254D53BD"/>
    <w:rsid w:val="25556A76"/>
    <w:rsid w:val="258424AE"/>
    <w:rsid w:val="25863C99"/>
    <w:rsid w:val="26161B10"/>
    <w:rsid w:val="264316E7"/>
    <w:rsid w:val="264B6B28"/>
    <w:rsid w:val="2669559F"/>
    <w:rsid w:val="26772F1B"/>
    <w:rsid w:val="26AA0F6E"/>
    <w:rsid w:val="26C35C0B"/>
    <w:rsid w:val="26D1553A"/>
    <w:rsid w:val="26F171D0"/>
    <w:rsid w:val="270A0791"/>
    <w:rsid w:val="272F1A96"/>
    <w:rsid w:val="274F2647"/>
    <w:rsid w:val="27AC0841"/>
    <w:rsid w:val="27D21C96"/>
    <w:rsid w:val="27E92DC7"/>
    <w:rsid w:val="28184A6F"/>
    <w:rsid w:val="28222078"/>
    <w:rsid w:val="28373D58"/>
    <w:rsid w:val="2848646B"/>
    <w:rsid w:val="285014B6"/>
    <w:rsid w:val="286072A0"/>
    <w:rsid w:val="287F6D76"/>
    <w:rsid w:val="289865D3"/>
    <w:rsid w:val="28BA7F95"/>
    <w:rsid w:val="28ED35B3"/>
    <w:rsid w:val="29094CCB"/>
    <w:rsid w:val="293A32D8"/>
    <w:rsid w:val="297B0CF7"/>
    <w:rsid w:val="2988015F"/>
    <w:rsid w:val="29A6176B"/>
    <w:rsid w:val="29BF095F"/>
    <w:rsid w:val="29E412C9"/>
    <w:rsid w:val="2A092F82"/>
    <w:rsid w:val="2A3049B2"/>
    <w:rsid w:val="2A41271B"/>
    <w:rsid w:val="2A4E4E38"/>
    <w:rsid w:val="2A51423E"/>
    <w:rsid w:val="2A557F75"/>
    <w:rsid w:val="2A663F30"/>
    <w:rsid w:val="2A846AF9"/>
    <w:rsid w:val="2AF803FA"/>
    <w:rsid w:val="2B0E58B3"/>
    <w:rsid w:val="2B1E0D76"/>
    <w:rsid w:val="2B9B6522"/>
    <w:rsid w:val="2B9F14AA"/>
    <w:rsid w:val="2B9F7D4D"/>
    <w:rsid w:val="2BB331A5"/>
    <w:rsid w:val="2BCA439B"/>
    <w:rsid w:val="2C07610B"/>
    <w:rsid w:val="2C0B389A"/>
    <w:rsid w:val="2C1A24EF"/>
    <w:rsid w:val="2C626979"/>
    <w:rsid w:val="2C8E59C0"/>
    <w:rsid w:val="2D0210E4"/>
    <w:rsid w:val="2D0D4B37"/>
    <w:rsid w:val="2D285E15"/>
    <w:rsid w:val="2DE07482"/>
    <w:rsid w:val="2DE6130D"/>
    <w:rsid w:val="2DEB3F5A"/>
    <w:rsid w:val="2E28376C"/>
    <w:rsid w:val="2E2A1F73"/>
    <w:rsid w:val="2E3A5DFF"/>
    <w:rsid w:val="2E424CB4"/>
    <w:rsid w:val="2ECD6C74"/>
    <w:rsid w:val="2EDD2DD9"/>
    <w:rsid w:val="2EFA61AC"/>
    <w:rsid w:val="2F580725"/>
    <w:rsid w:val="2F6151B4"/>
    <w:rsid w:val="2F723467"/>
    <w:rsid w:val="2FAA3476"/>
    <w:rsid w:val="2FB40A66"/>
    <w:rsid w:val="2FCE5C87"/>
    <w:rsid w:val="2FDE333C"/>
    <w:rsid w:val="2FFD5337"/>
    <w:rsid w:val="301D6BAD"/>
    <w:rsid w:val="30232088"/>
    <w:rsid w:val="306E6B23"/>
    <w:rsid w:val="309B00EC"/>
    <w:rsid w:val="309D7227"/>
    <w:rsid w:val="30BE4320"/>
    <w:rsid w:val="30ED53AB"/>
    <w:rsid w:val="30F046EE"/>
    <w:rsid w:val="31C003CA"/>
    <w:rsid w:val="31C3435E"/>
    <w:rsid w:val="31CB61B8"/>
    <w:rsid w:val="31D24A5E"/>
    <w:rsid w:val="31D50628"/>
    <w:rsid w:val="320026B1"/>
    <w:rsid w:val="322766C8"/>
    <w:rsid w:val="3238450B"/>
    <w:rsid w:val="323B5CA2"/>
    <w:rsid w:val="323D5EBE"/>
    <w:rsid w:val="32543591"/>
    <w:rsid w:val="32543C31"/>
    <w:rsid w:val="32A02B99"/>
    <w:rsid w:val="32B27BAB"/>
    <w:rsid w:val="32C739DA"/>
    <w:rsid w:val="32FB3570"/>
    <w:rsid w:val="332F5AAF"/>
    <w:rsid w:val="336169D2"/>
    <w:rsid w:val="33D414D0"/>
    <w:rsid w:val="33D8698B"/>
    <w:rsid w:val="33F425AD"/>
    <w:rsid w:val="34306095"/>
    <w:rsid w:val="347F6565"/>
    <w:rsid w:val="34AC732B"/>
    <w:rsid w:val="34F85A73"/>
    <w:rsid w:val="35240BC5"/>
    <w:rsid w:val="35490860"/>
    <w:rsid w:val="359173C8"/>
    <w:rsid w:val="35947BB2"/>
    <w:rsid w:val="35CD358A"/>
    <w:rsid w:val="35EE3516"/>
    <w:rsid w:val="36015455"/>
    <w:rsid w:val="361809FF"/>
    <w:rsid w:val="362A09EF"/>
    <w:rsid w:val="366E2AEA"/>
    <w:rsid w:val="367252A6"/>
    <w:rsid w:val="36763D7C"/>
    <w:rsid w:val="369A24FF"/>
    <w:rsid w:val="369C1105"/>
    <w:rsid w:val="36EE03B6"/>
    <w:rsid w:val="371265E8"/>
    <w:rsid w:val="371B152F"/>
    <w:rsid w:val="372F2069"/>
    <w:rsid w:val="37467D39"/>
    <w:rsid w:val="375A6BCB"/>
    <w:rsid w:val="375F040C"/>
    <w:rsid w:val="37715650"/>
    <w:rsid w:val="3797578D"/>
    <w:rsid w:val="37A62C9E"/>
    <w:rsid w:val="37D77D6E"/>
    <w:rsid w:val="37E23B07"/>
    <w:rsid w:val="38053E95"/>
    <w:rsid w:val="3809239F"/>
    <w:rsid w:val="385F359C"/>
    <w:rsid w:val="387E1403"/>
    <w:rsid w:val="38B13162"/>
    <w:rsid w:val="38FB5F12"/>
    <w:rsid w:val="39764653"/>
    <w:rsid w:val="39912D3E"/>
    <w:rsid w:val="399D36E6"/>
    <w:rsid w:val="39EC2E25"/>
    <w:rsid w:val="3A480BD6"/>
    <w:rsid w:val="3A75086F"/>
    <w:rsid w:val="3A7F2F6B"/>
    <w:rsid w:val="3A8730BD"/>
    <w:rsid w:val="3A881561"/>
    <w:rsid w:val="3A8A23C9"/>
    <w:rsid w:val="3AA30888"/>
    <w:rsid w:val="3AB25A08"/>
    <w:rsid w:val="3AB60445"/>
    <w:rsid w:val="3ABE69D2"/>
    <w:rsid w:val="3AC045E5"/>
    <w:rsid w:val="3AF11C2B"/>
    <w:rsid w:val="3B402807"/>
    <w:rsid w:val="3B7B7531"/>
    <w:rsid w:val="3BA659D8"/>
    <w:rsid w:val="3BA80B19"/>
    <w:rsid w:val="3BE63123"/>
    <w:rsid w:val="3C184C27"/>
    <w:rsid w:val="3C4240EC"/>
    <w:rsid w:val="3C8612EC"/>
    <w:rsid w:val="3CAC611A"/>
    <w:rsid w:val="3CB23005"/>
    <w:rsid w:val="3CCF1E09"/>
    <w:rsid w:val="3D1E7313"/>
    <w:rsid w:val="3DC46429"/>
    <w:rsid w:val="3DE23DBE"/>
    <w:rsid w:val="3E4444AC"/>
    <w:rsid w:val="3E997760"/>
    <w:rsid w:val="3EAE6457"/>
    <w:rsid w:val="3F3A1FEB"/>
    <w:rsid w:val="3F3C7CCE"/>
    <w:rsid w:val="3F6252F2"/>
    <w:rsid w:val="3F771D48"/>
    <w:rsid w:val="3F836EDA"/>
    <w:rsid w:val="3FAF2AA4"/>
    <w:rsid w:val="3FB87902"/>
    <w:rsid w:val="401E123E"/>
    <w:rsid w:val="405F6B9A"/>
    <w:rsid w:val="406311E6"/>
    <w:rsid w:val="40712EDE"/>
    <w:rsid w:val="40831A96"/>
    <w:rsid w:val="4087285C"/>
    <w:rsid w:val="40885740"/>
    <w:rsid w:val="40B03CFF"/>
    <w:rsid w:val="40C477AB"/>
    <w:rsid w:val="40DB31E9"/>
    <w:rsid w:val="41266EAB"/>
    <w:rsid w:val="415A0FC6"/>
    <w:rsid w:val="41803676"/>
    <w:rsid w:val="41943621"/>
    <w:rsid w:val="419F03B2"/>
    <w:rsid w:val="41CB5019"/>
    <w:rsid w:val="41EC6646"/>
    <w:rsid w:val="41F26153"/>
    <w:rsid w:val="42253D73"/>
    <w:rsid w:val="42383C58"/>
    <w:rsid w:val="423D2C52"/>
    <w:rsid w:val="428B5ADE"/>
    <w:rsid w:val="4292190E"/>
    <w:rsid w:val="42AF2A18"/>
    <w:rsid w:val="42DC0426"/>
    <w:rsid w:val="42DE0CD7"/>
    <w:rsid w:val="43104F29"/>
    <w:rsid w:val="432D7179"/>
    <w:rsid w:val="43A162E6"/>
    <w:rsid w:val="43B173DF"/>
    <w:rsid w:val="43BF32E9"/>
    <w:rsid w:val="43C76649"/>
    <w:rsid w:val="43F96D1B"/>
    <w:rsid w:val="440A3726"/>
    <w:rsid w:val="446E1F07"/>
    <w:rsid w:val="44A34DBB"/>
    <w:rsid w:val="44B63749"/>
    <w:rsid w:val="44B91A5D"/>
    <w:rsid w:val="44D41F9A"/>
    <w:rsid w:val="44F535BA"/>
    <w:rsid w:val="44FA19ED"/>
    <w:rsid w:val="452F03D4"/>
    <w:rsid w:val="45440A60"/>
    <w:rsid w:val="454B20CD"/>
    <w:rsid w:val="45525385"/>
    <w:rsid w:val="456362F5"/>
    <w:rsid w:val="459A3BBF"/>
    <w:rsid w:val="459C7125"/>
    <w:rsid w:val="45C979E9"/>
    <w:rsid w:val="4687262A"/>
    <w:rsid w:val="4691012F"/>
    <w:rsid w:val="46965745"/>
    <w:rsid w:val="47484E32"/>
    <w:rsid w:val="476051A1"/>
    <w:rsid w:val="477C71FA"/>
    <w:rsid w:val="47843179"/>
    <w:rsid w:val="47947ED7"/>
    <w:rsid w:val="47B658A1"/>
    <w:rsid w:val="48343468"/>
    <w:rsid w:val="48C53AD7"/>
    <w:rsid w:val="48E761F0"/>
    <w:rsid w:val="49282822"/>
    <w:rsid w:val="492B78FF"/>
    <w:rsid w:val="49613F0A"/>
    <w:rsid w:val="49635DB3"/>
    <w:rsid w:val="49A07007"/>
    <w:rsid w:val="49D3265A"/>
    <w:rsid w:val="49DE6203"/>
    <w:rsid w:val="49EF5898"/>
    <w:rsid w:val="4A0646DA"/>
    <w:rsid w:val="4A573306"/>
    <w:rsid w:val="4ABA0990"/>
    <w:rsid w:val="4AF875FC"/>
    <w:rsid w:val="4B0C5FAB"/>
    <w:rsid w:val="4B277966"/>
    <w:rsid w:val="4B9F16FF"/>
    <w:rsid w:val="4BDC009E"/>
    <w:rsid w:val="4BDD1680"/>
    <w:rsid w:val="4BEE0F77"/>
    <w:rsid w:val="4BF215FE"/>
    <w:rsid w:val="4BF24EAD"/>
    <w:rsid w:val="4C1B6FEB"/>
    <w:rsid w:val="4C2D08FA"/>
    <w:rsid w:val="4C770EE0"/>
    <w:rsid w:val="4CC14BE8"/>
    <w:rsid w:val="4CD40D75"/>
    <w:rsid w:val="4CDE44AC"/>
    <w:rsid w:val="4CFD651E"/>
    <w:rsid w:val="4D023BBE"/>
    <w:rsid w:val="4D243AAB"/>
    <w:rsid w:val="4D467EC5"/>
    <w:rsid w:val="4D561B91"/>
    <w:rsid w:val="4D8D78A2"/>
    <w:rsid w:val="4DC620A1"/>
    <w:rsid w:val="4E0D453F"/>
    <w:rsid w:val="4E125FF9"/>
    <w:rsid w:val="4E1553B3"/>
    <w:rsid w:val="4E4D344A"/>
    <w:rsid w:val="4E6268C7"/>
    <w:rsid w:val="4E7C5777"/>
    <w:rsid w:val="4EAC5711"/>
    <w:rsid w:val="4EB82E9F"/>
    <w:rsid w:val="4EDA0D8F"/>
    <w:rsid w:val="4EEF7699"/>
    <w:rsid w:val="4F220541"/>
    <w:rsid w:val="4F5252CE"/>
    <w:rsid w:val="4F6E5F9F"/>
    <w:rsid w:val="4F8B6063"/>
    <w:rsid w:val="4FA12074"/>
    <w:rsid w:val="50345978"/>
    <w:rsid w:val="503E6C32"/>
    <w:rsid w:val="504306EC"/>
    <w:rsid w:val="505C7478"/>
    <w:rsid w:val="50682C89"/>
    <w:rsid w:val="50C555A5"/>
    <w:rsid w:val="50CF47A9"/>
    <w:rsid w:val="50D565AD"/>
    <w:rsid w:val="51482C79"/>
    <w:rsid w:val="51B2004B"/>
    <w:rsid w:val="51BD002A"/>
    <w:rsid w:val="51E5535B"/>
    <w:rsid w:val="51F95EE1"/>
    <w:rsid w:val="52413FB3"/>
    <w:rsid w:val="525F10E1"/>
    <w:rsid w:val="527416D4"/>
    <w:rsid w:val="52796647"/>
    <w:rsid w:val="527C2D46"/>
    <w:rsid w:val="529E5241"/>
    <w:rsid w:val="52E24B9D"/>
    <w:rsid w:val="52E77A54"/>
    <w:rsid w:val="52EC1B81"/>
    <w:rsid w:val="53AA0A2F"/>
    <w:rsid w:val="53B525E6"/>
    <w:rsid w:val="53B96A69"/>
    <w:rsid w:val="53FD0BB2"/>
    <w:rsid w:val="5422450F"/>
    <w:rsid w:val="544C5786"/>
    <w:rsid w:val="547C0988"/>
    <w:rsid w:val="548B440F"/>
    <w:rsid w:val="54AA5FF5"/>
    <w:rsid w:val="54BD5977"/>
    <w:rsid w:val="550569ED"/>
    <w:rsid w:val="551B70F9"/>
    <w:rsid w:val="552476F4"/>
    <w:rsid w:val="55622629"/>
    <w:rsid w:val="557701D2"/>
    <w:rsid w:val="55822416"/>
    <w:rsid w:val="55AA2FBB"/>
    <w:rsid w:val="55D944E9"/>
    <w:rsid w:val="55E4338F"/>
    <w:rsid w:val="55EE37CD"/>
    <w:rsid w:val="55F73A99"/>
    <w:rsid w:val="563B2CEC"/>
    <w:rsid w:val="5640754F"/>
    <w:rsid w:val="567E796E"/>
    <w:rsid w:val="56F378C4"/>
    <w:rsid w:val="5726702F"/>
    <w:rsid w:val="575C550F"/>
    <w:rsid w:val="5774562F"/>
    <w:rsid w:val="5789500F"/>
    <w:rsid w:val="57A7530D"/>
    <w:rsid w:val="57CC546B"/>
    <w:rsid w:val="57F77222"/>
    <w:rsid w:val="58136BD8"/>
    <w:rsid w:val="581E2406"/>
    <w:rsid w:val="58820BC4"/>
    <w:rsid w:val="58A47CB4"/>
    <w:rsid w:val="5908638B"/>
    <w:rsid w:val="590E13D4"/>
    <w:rsid w:val="59186915"/>
    <w:rsid w:val="595126B1"/>
    <w:rsid w:val="59613991"/>
    <w:rsid w:val="59816463"/>
    <w:rsid w:val="59CA67B9"/>
    <w:rsid w:val="59D74B4C"/>
    <w:rsid w:val="59E82971"/>
    <w:rsid w:val="59EC593B"/>
    <w:rsid w:val="5A0E0D29"/>
    <w:rsid w:val="5A3A2DDD"/>
    <w:rsid w:val="5A5534F6"/>
    <w:rsid w:val="5A72571A"/>
    <w:rsid w:val="5A83365A"/>
    <w:rsid w:val="5A867E39"/>
    <w:rsid w:val="5A915389"/>
    <w:rsid w:val="5A9309F8"/>
    <w:rsid w:val="5ADF54B5"/>
    <w:rsid w:val="5AF34ABD"/>
    <w:rsid w:val="5B12540A"/>
    <w:rsid w:val="5B3B6835"/>
    <w:rsid w:val="5B5D544F"/>
    <w:rsid w:val="5B84354A"/>
    <w:rsid w:val="5BA6549C"/>
    <w:rsid w:val="5BB47782"/>
    <w:rsid w:val="5BCE4FD3"/>
    <w:rsid w:val="5BD91F04"/>
    <w:rsid w:val="5C621EFA"/>
    <w:rsid w:val="5C7F2AAC"/>
    <w:rsid w:val="5C834B58"/>
    <w:rsid w:val="5C846DB6"/>
    <w:rsid w:val="5CF27722"/>
    <w:rsid w:val="5D1648BC"/>
    <w:rsid w:val="5D201747"/>
    <w:rsid w:val="5D201945"/>
    <w:rsid w:val="5D374438"/>
    <w:rsid w:val="5D50269A"/>
    <w:rsid w:val="5D6F7FC7"/>
    <w:rsid w:val="5DA31D4F"/>
    <w:rsid w:val="5DD617DB"/>
    <w:rsid w:val="5DF76D59"/>
    <w:rsid w:val="5E0F2166"/>
    <w:rsid w:val="5E241376"/>
    <w:rsid w:val="5EB400EF"/>
    <w:rsid w:val="5EF63A66"/>
    <w:rsid w:val="5F0E3C81"/>
    <w:rsid w:val="5F58344B"/>
    <w:rsid w:val="5F6C22D4"/>
    <w:rsid w:val="5F88611B"/>
    <w:rsid w:val="5F930AF8"/>
    <w:rsid w:val="5FC008C4"/>
    <w:rsid w:val="5FD01870"/>
    <w:rsid w:val="602C5A6C"/>
    <w:rsid w:val="60447752"/>
    <w:rsid w:val="609D1CF7"/>
    <w:rsid w:val="60BC58B9"/>
    <w:rsid w:val="60DF1E53"/>
    <w:rsid w:val="611C70C4"/>
    <w:rsid w:val="61282242"/>
    <w:rsid w:val="614D6625"/>
    <w:rsid w:val="61501C31"/>
    <w:rsid w:val="61570328"/>
    <w:rsid w:val="61E50EA3"/>
    <w:rsid w:val="61F90677"/>
    <w:rsid w:val="620F48D2"/>
    <w:rsid w:val="62620EA5"/>
    <w:rsid w:val="627209BD"/>
    <w:rsid w:val="62B1767B"/>
    <w:rsid w:val="62B61661"/>
    <w:rsid w:val="62C31218"/>
    <w:rsid w:val="62C37595"/>
    <w:rsid w:val="62EC6072"/>
    <w:rsid w:val="62F53AC2"/>
    <w:rsid w:val="630930CF"/>
    <w:rsid w:val="63252E33"/>
    <w:rsid w:val="636345E0"/>
    <w:rsid w:val="63984F9D"/>
    <w:rsid w:val="63A14D89"/>
    <w:rsid w:val="63BE035D"/>
    <w:rsid w:val="641A755E"/>
    <w:rsid w:val="64441196"/>
    <w:rsid w:val="64610CE9"/>
    <w:rsid w:val="646978EA"/>
    <w:rsid w:val="64D15E6F"/>
    <w:rsid w:val="64E124D1"/>
    <w:rsid w:val="654C06D5"/>
    <w:rsid w:val="654C3747"/>
    <w:rsid w:val="656D7047"/>
    <w:rsid w:val="6582360D"/>
    <w:rsid w:val="658A04F8"/>
    <w:rsid w:val="65A2780B"/>
    <w:rsid w:val="65DD76B3"/>
    <w:rsid w:val="65F613D8"/>
    <w:rsid w:val="661B7749"/>
    <w:rsid w:val="662E4A35"/>
    <w:rsid w:val="6646724B"/>
    <w:rsid w:val="66E8749F"/>
    <w:rsid w:val="66F445BF"/>
    <w:rsid w:val="66FB6F37"/>
    <w:rsid w:val="670D3700"/>
    <w:rsid w:val="671F39CD"/>
    <w:rsid w:val="67486483"/>
    <w:rsid w:val="6767258D"/>
    <w:rsid w:val="67A535E2"/>
    <w:rsid w:val="67BA0B4B"/>
    <w:rsid w:val="68077DF9"/>
    <w:rsid w:val="6809591F"/>
    <w:rsid w:val="681C640C"/>
    <w:rsid w:val="687C4343"/>
    <w:rsid w:val="68C70FC8"/>
    <w:rsid w:val="68F71C1C"/>
    <w:rsid w:val="68FE2FAA"/>
    <w:rsid w:val="693F551F"/>
    <w:rsid w:val="694145F4"/>
    <w:rsid w:val="694330B3"/>
    <w:rsid w:val="69564B94"/>
    <w:rsid w:val="69F72C63"/>
    <w:rsid w:val="6A1011E7"/>
    <w:rsid w:val="6A2922A9"/>
    <w:rsid w:val="6A351785"/>
    <w:rsid w:val="6A3B05CC"/>
    <w:rsid w:val="6A792FEA"/>
    <w:rsid w:val="6A8E035E"/>
    <w:rsid w:val="6AF02DC7"/>
    <w:rsid w:val="6B1E6DBC"/>
    <w:rsid w:val="6B241A17"/>
    <w:rsid w:val="6B252A70"/>
    <w:rsid w:val="6B28556D"/>
    <w:rsid w:val="6B531E22"/>
    <w:rsid w:val="6B7A2359"/>
    <w:rsid w:val="6BB66E93"/>
    <w:rsid w:val="6BDA5F51"/>
    <w:rsid w:val="6C13391A"/>
    <w:rsid w:val="6C2A06CA"/>
    <w:rsid w:val="6C2E7D09"/>
    <w:rsid w:val="6C4D1355"/>
    <w:rsid w:val="6CDC3B54"/>
    <w:rsid w:val="6D2F407A"/>
    <w:rsid w:val="6D386A1A"/>
    <w:rsid w:val="6E3D61EF"/>
    <w:rsid w:val="6E911BB9"/>
    <w:rsid w:val="6E9C0F6F"/>
    <w:rsid w:val="6EBC36EB"/>
    <w:rsid w:val="6EC0460B"/>
    <w:rsid w:val="6EF53358"/>
    <w:rsid w:val="6EF54E4F"/>
    <w:rsid w:val="6EFA3169"/>
    <w:rsid w:val="6F040B33"/>
    <w:rsid w:val="6F257866"/>
    <w:rsid w:val="6F2F65B3"/>
    <w:rsid w:val="6F3B6D06"/>
    <w:rsid w:val="6F3F0FBC"/>
    <w:rsid w:val="6F5E47A3"/>
    <w:rsid w:val="6F896E47"/>
    <w:rsid w:val="6F983C7A"/>
    <w:rsid w:val="6FA86703"/>
    <w:rsid w:val="6FC13B19"/>
    <w:rsid w:val="6FEB1589"/>
    <w:rsid w:val="700B78DB"/>
    <w:rsid w:val="703A5210"/>
    <w:rsid w:val="703D6AAE"/>
    <w:rsid w:val="705F4991"/>
    <w:rsid w:val="70610D14"/>
    <w:rsid w:val="70932B72"/>
    <w:rsid w:val="70B1066E"/>
    <w:rsid w:val="70CD4C30"/>
    <w:rsid w:val="70D51036"/>
    <w:rsid w:val="70EA7B2E"/>
    <w:rsid w:val="70ED4030"/>
    <w:rsid w:val="7103031A"/>
    <w:rsid w:val="71121F70"/>
    <w:rsid w:val="71714C77"/>
    <w:rsid w:val="71915DBC"/>
    <w:rsid w:val="71997D14"/>
    <w:rsid w:val="71A30976"/>
    <w:rsid w:val="71AD7318"/>
    <w:rsid w:val="71B72167"/>
    <w:rsid w:val="722B7E58"/>
    <w:rsid w:val="726D70E7"/>
    <w:rsid w:val="72712A3F"/>
    <w:rsid w:val="727331D4"/>
    <w:rsid w:val="72900308"/>
    <w:rsid w:val="72B229EC"/>
    <w:rsid w:val="72DE57EE"/>
    <w:rsid w:val="737D520E"/>
    <w:rsid w:val="738942AA"/>
    <w:rsid w:val="73934E91"/>
    <w:rsid w:val="73952D41"/>
    <w:rsid w:val="74000613"/>
    <w:rsid w:val="744D5EC9"/>
    <w:rsid w:val="74880490"/>
    <w:rsid w:val="74B65081"/>
    <w:rsid w:val="74BD640F"/>
    <w:rsid w:val="74E62003"/>
    <w:rsid w:val="74FD5875"/>
    <w:rsid w:val="75091655"/>
    <w:rsid w:val="75466811"/>
    <w:rsid w:val="76183420"/>
    <w:rsid w:val="76261D92"/>
    <w:rsid w:val="76275962"/>
    <w:rsid w:val="765F5CE2"/>
    <w:rsid w:val="768076F4"/>
    <w:rsid w:val="76887358"/>
    <w:rsid w:val="7695128E"/>
    <w:rsid w:val="77212D94"/>
    <w:rsid w:val="773127DC"/>
    <w:rsid w:val="774676CF"/>
    <w:rsid w:val="77723505"/>
    <w:rsid w:val="77923A22"/>
    <w:rsid w:val="7799660A"/>
    <w:rsid w:val="77B128E5"/>
    <w:rsid w:val="77C00C21"/>
    <w:rsid w:val="77CC74DE"/>
    <w:rsid w:val="77F40E23"/>
    <w:rsid w:val="78002C94"/>
    <w:rsid w:val="78217857"/>
    <w:rsid w:val="782D78A1"/>
    <w:rsid w:val="78454ADC"/>
    <w:rsid w:val="785250C1"/>
    <w:rsid w:val="78EA61AB"/>
    <w:rsid w:val="79053EE1"/>
    <w:rsid w:val="79444A09"/>
    <w:rsid w:val="7947274B"/>
    <w:rsid w:val="79813367"/>
    <w:rsid w:val="798C4058"/>
    <w:rsid w:val="79E65A52"/>
    <w:rsid w:val="79F104D3"/>
    <w:rsid w:val="79FE045D"/>
    <w:rsid w:val="7A3538A9"/>
    <w:rsid w:val="7A7C4102"/>
    <w:rsid w:val="7A81764C"/>
    <w:rsid w:val="7ABB6F4D"/>
    <w:rsid w:val="7AFC6BD0"/>
    <w:rsid w:val="7B1403CC"/>
    <w:rsid w:val="7B3B2796"/>
    <w:rsid w:val="7B843A31"/>
    <w:rsid w:val="7B9429A4"/>
    <w:rsid w:val="7BCC207F"/>
    <w:rsid w:val="7C0F14DA"/>
    <w:rsid w:val="7C285CE1"/>
    <w:rsid w:val="7C315F75"/>
    <w:rsid w:val="7C3C5E6C"/>
    <w:rsid w:val="7C464F3C"/>
    <w:rsid w:val="7C744EE5"/>
    <w:rsid w:val="7C95655D"/>
    <w:rsid w:val="7C9C4E59"/>
    <w:rsid w:val="7CDF398C"/>
    <w:rsid w:val="7CF72120"/>
    <w:rsid w:val="7D641B1E"/>
    <w:rsid w:val="7D926232"/>
    <w:rsid w:val="7DC10D1E"/>
    <w:rsid w:val="7E1700E3"/>
    <w:rsid w:val="7E26070B"/>
    <w:rsid w:val="7E2F2552"/>
    <w:rsid w:val="7E3659D6"/>
    <w:rsid w:val="7E477448"/>
    <w:rsid w:val="7E5971A9"/>
    <w:rsid w:val="7E8B6C36"/>
    <w:rsid w:val="7EC65EC0"/>
    <w:rsid w:val="7ECC3251"/>
    <w:rsid w:val="7ED2669B"/>
    <w:rsid w:val="7EEA1BAF"/>
    <w:rsid w:val="7F4A5A59"/>
    <w:rsid w:val="7F87354B"/>
    <w:rsid w:val="7FCB7CEB"/>
    <w:rsid w:val="7FDB599C"/>
    <w:rsid w:val="7FE61535"/>
    <w:rsid w:val="7FF509AF"/>
    <w:rsid w:val="CFFF07AE"/>
    <w:rsid w:val="D7EBC65D"/>
    <w:rsid w:val="DFEFB16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58"/>
    <w:qFormat/>
    <w:uiPriority w:val="0"/>
    <w:pPr>
      <w:keepNext/>
      <w:keepLines/>
      <w:spacing w:before="260" w:after="260" w:line="416" w:lineRule="auto"/>
      <w:outlineLvl w:val="2"/>
    </w:pPr>
    <w:rPr>
      <w:b/>
      <w:bCs/>
      <w:kern w:val="0"/>
      <w:sz w:val="32"/>
      <w:szCs w:val="32"/>
    </w:rPr>
  </w:style>
  <w:style w:type="paragraph" w:styleId="5">
    <w:name w:val="heading 4"/>
    <w:basedOn w:val="1"/>
    <w:next w:val="1"/>
    <w:qFormat/>
    <w:uiPriority w:val="0"/>
    <w:pPr>
      <w:keepNext/>
      <w:keepLines/>
      <w:widowControl w:val="0"/>
      <w:adjustRightInd w:val="0"/>
      <w:snapToGrid w:val="0"/>
      <w:spacing w:before="120" w:after="120"/>
      <w:outlineLvl w:val="3"/>
    </w:pPr>
    <w:rPr>
      <w:rFonts w:ascii="Arial" w:hAnsi="Arial"/>
      <w:b/>
      <w:bCs/>
      <w:sz w:val="28"/>
      <w:szCs w:val="28"/>
    </w:rPr>
  </w:style>
  <w:style w:type="paragraph" w:styleId="6">
    <w:name w:val="heading 5"/>
    <w:basedOn w:val="1"/>
    <w:next w:val="7"/>
    <w:link w:val="59"/>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60"/>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61"/>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2"/>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eastAsia="宋体" w:cs="Times New Roman"/>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64"/>
    <w:unhideWhenUsed/>
    <w:qFormat/>
    <w:uiPriority w:val="99"/>
    <w:rPr>
      <w:rFonts w:ascii="宋体"/>
      <w:sz w:val="18"/>
      <w:szCs w:val="18"/>
    </w:rPr>
  </w:style>
  <w:style w:type="paragraph" w:styleId="16">
    <w:name w:val="annotation text"/>
    <w:basedOn w:val="1"/>
    <w:link w:val="65"/>
    <w:unhideWhenUsed/>
    <w:qFormat/>
    <w:uiPriority w:val="0"/>
    <w:pPr>
      <w:jc w:val="left"/>
    </w:pPr>
  </w:style>
  <w:style w:type="paragraph" w:styleId="17">
    <w:name w:val="Body Text 3"/>
    <w:basedOn w:val="1"/>
    <w:link w:val="66"/>
    <w:qFormat/>
    <w:uiPriority w:val="0"/>
    <w:pPr>
      <w:spacing w:line="500" w:lineRule="exact"/>
    </w:pPr>
    <w:rPr>
      <w:b/>
      <w:bCs/>
      <w:kern w:val="0"/>
      <w:sz w:val="24"/>
    </w:rPr>
  </w:style>
  <w:style w:type="paragraph" w:styleId="18">
    <w:name w:val="Body Text"/>
    <w:basedOn w:val="1"/>
    <w:link w:val="67"/>
    <w:qFormat/>
    <w:uiPriority w:val="99"/>
    <w:pPr>
      <w:spacing w:line="380" w:lineRule="exact"/>
    </w:pPr>
    <w:rPr>
      <w:kern w:val="0"/>
      <w:sz w:val="24"/>
    </w:rPr>
  </w:style>
  <w:style w:type="paragraph" w:styleId="19">
    <w:name w:val="Body Text Indent"/>
    <w:basedOn w:val="1"/>
    <w:link w:val="68"/>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eastAsia="宋体" w:cs="Times New Roman"/>
      <w:szCs w:val="22"/>
    </w:rPr>
  </w:style>
  <w:style w:type="paragraph" w:styleId="23">
    <w:name w:val="toc 3"/>
    <w:basedOn w:val="1"/>
    <w:next w:val="1"/>
    <w:unhideWhenUsed/>
    <w:qFormat/>
    <w:uiPriority w:val="0"/>
    <w:pPr>
      <w:ind w:left="840" w:leftChars="400"/>
    </w:pPr>
    <w:rPr>
      <w:rFonts w:ascii="Calibri" w:hAnsi="Calibri" w:eastAsia="宋体" w:cs="Times New Roman"/>
      <w:szCs w:val="22"/>
    </w:rPr>
  </w:style>
  <w:style w:type="paragraph" w:styleId="24">
    <w:name w:val="Plain Text"/>
    <w:basedOn w:val="1"/>
    <w:next w:val="5"/>
    <w:link w:val="69"/>
    <w:qFormat/>
    <w:uiPriority w:val="0"/>
    <w:rPr>
      <w:rFonts w:ascii="宋体" w:hAnsi="Courier New"/>
      <w:kern w:val="0"/>
      <w:sz w:val="20"/>
      <w:szCs w:val="21"/>
    </w:rPr>
  </w:style>
  <w:style w:type="paragraph" w:styleId="25">
    <w:name w:val="toc 8"/>
    <w:basedOn w:val="1"/>
    <w:next w:val="1"/>
    <w:unhideWhenUsed/>
    <w:qFormat/>
    <w:uiPriority w:val="39"/>
    <w:pPr>
      <w:ind w:left="2940" w:leftChars="1400"/>
    </w:pPr>
    <w:rPr>
      <w:rFonts w:ascii="Calibri" w:hAnsi="Calibri" w:eastAsia="宋体" w:cs="Times New Roman"/>
      <w:szCs w:val="22"/>
    </w:rPr>
  </w:style>
  <w:style w:type="paragraph" w:styleId="26">
    <w:name w:val="Date"/>
    <w:basedOn w:val="1"/>
    <w:next w:val="1"/>
    <w:link w:val="70"/>
    <w:qFormat/>
    <w:uiPriority w:val="0"/>
    <w:pPr>
      <w:ind w:left="100" w:leftChars="2500"/>
    </w:pPr>
    <w:rPr>
      <w:rFonts w:ascii="宋体" w:hAnsi="Courier New"/>
      <w:kern w:val="0"/>
      <w:sz w:val="20"/>
      <w:szCs w:val="21"/>
    </w:rPr>
  </w:style>
  <w:style w:type="paragraph" w:styleId="27">
    <w:name w:val="Body Text Indent 2"/>
    <w:basedOn w:val="1"/>
    <w:link w:val="71"/>
    <w:qFormat/>
    <w:uiPriority w:val="0"/>
    <w:pPr>
      <w:ind w:firstLine="630"/>
    </w:pPr>
    <w:rPr>
      <w:kern w:val="0"/>
      <w:sz w:val="32"/>
      <w:szCs w:val="20"/>
    </w:rPr>
  </w:style>
  <w:style w:type="paragraph" w:styleId="28">
    <w:name w:val="endnote text"/>
    <w:basedOn w:val="1"/>
    <w:link w:val="72"/>
    <w:unhideWhenUsed/>
    <w:qFormat/>
    <w:uiPriority w:val="99"/>
    <w:pPr>
      <w:snapToGrid w:val="0"/>
      <w:jc w:val="left"/>
    </w:pPr>
  </w:style>
  <w:style w:type="paragraph" w:styleId="29">
    <w:name w:val="Balloon Text"/>
    <w:basedOn w:val="1"/>
    <w:link w:val="73"/>
    <w:semiHidden/>
    <w:qFormat/>
    <w:uiPriority w:val="0"/>
    <w:rPr>
      <w:kern w:val="0"/>
      <w:sz w:val="18"/>
      <w:szCs w:val="18"/>
    </w:rPr>
  </w:style>
  <w:style w:type="paragraph" w:styleId="30">
    <w:name w:val="footer"/>
    <w:basedOn w:val="1"/>
    <w:link w:val="74"/>
    <w:unhideWhenUsed/>
    <w:qFormat/>
    <w:uiPriority w:val="99"/>
    <w:pPr>
      <w:tabs>
        <w:tab w:val="center" w:pos="4153"/>
        <w:tab w:val="right" w:pos="8306"/>
      </w:tabs>
      <w:snapToGrid w:val="0"/>
      <w:jc w:val="left"/>
    </w:pPr>
    <w:rPr>
      <w:kern w:val="0"/>
      <w:sz w:val="18"/>
      <w:szCs w:val="18"/>
    </w:rPr>
  </w:style>
  <w:style w:type="paragraph" w:styleId="31">
    <w:name w:val="header"/>
    <w:basedOn w:val="1"/>
    <w:link w:val="75"/>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qFormat/>
    <w:uiPriority w:val="39"/>
    <w:pPr>
      <w:ind w:left="1260" w:leftChars="600"/>
    </w:pPr>
    <w:rPr>
      <w:rFonts w:ascii="Calibri" w:hAnsi="Calibri" w:eastAsia="宋体" w:cs="Times New Roman"/>
      <w:szCs w:val="22"/>
    </w:rPr>
  </w:style>
  <w:style w:type="paragraph" w:styleId="34">
    <w:name w:val="List"/>
    <w:basedOn w:val="1"/>
    <w:qFormat/>
    <w:uiPriority w:val="0"/>
    <w:pPr>
      <w:ind w:left="200" w:hanging="200" w:hangingChars="200"/>
    </w:pPr>
    <w:rPr>
      <w:sz w:val="28"/>
    </w:rPr>
  </w:style>
  <w:style w:type="paragraph" w:styleId="35">
    <w:name w:val="footnote text"/>
    <w:basedOn w:val="1"/>
    <w:link w:val="76"/>
    <w:unhideWhenUsed/>
    <w:qFormat/>
    <w:uiPriority w:val="99"/>
    <w:pPr>
      <w:snapToGrid w:val="0"/>
      <w:jc w:val="left"/>
    </w:pPr>
    <w:rPr>
      <w:sz w:val="18"/>
      <w:szCs w:val="18"/>
    </w:rPr>
  </w:style>
  <w:style w:type="paragraph" w:styleId="36">
    <w:name w:val="toc 6"/>
    <w:basedOn w:val="1"/>
    <w:next w:val="1"/>
    <w:unhideWhenUsed/>
    <w:qFormat/>
    <w:uiPriority w:val="39"/>
    <w:pPr>
      <w:ind w:left="2100" w:leftChars="1000"/>
    </w:pPr>
    <w:rPr>
      <w:rFonts w:ascii="Calibri" w:hAnsi="Calibri" w:eastAsia="宋体" w:cs="Times New Roman"/>
      <w:szCs w:val="22"/>
    </w:rPr>
  </w:style>
  <w:style w:type="paragraph" w:styleId="37">
    <w:name w:val="Body Text Indent 3"/>
    <w:basedOn w:val="1"/>
    <w:link w:val="77"/>
    <w:qFormat/>
    <w:uiPriority w:val="0"/>
    <w:pPr>
      <w:spacing w:after="120"/>
      <w:ind w:left="420" w:leftChars="200"/>
    </w:pPr>
    <w:rPr>
      <w:kern w:val="0"/>
      <w:sz w:val="16"/>
      <w:szCs w:val="16"/>
    </w:rPr>
  </w:style>
  <w:style w:type="paragraph" w:styleId="38">
    <w:name w:val="toc 2"/>
    <w:basedOn w:val="1"/>
    <w:next w:val="1"/>
    <w:unhideWhenUsed/>
    <w:qFormat/>
    <w:uiPriority w:val="39"/>
    <w:pPr>
      <w:ind w:left="420" w:leftChars="200"/>
    </w:pPr>
  </w:style>
  <w:style w:type="paragraph" w:styleId="39">
    <w:name w:val="toc 9"/>
    <w:basedOn w:val="1"/>
    <w:next w:val="1"/>
    <w:unhideWhenUsed/>
    <w:qFormat/>
    <w:uiPriority w:val="39"/>
    <w:pPr>
      <w:ind w:left="3360" w:leftChars="1600"/>
    </w:pPr>
    <w:rPr>
      <w:rFonts w:ascii="Calibri" w:hAnsi="Calibri" w:eastAsia="宋体" w:cs="Times New Roman"/>
      <w:szCs w:val="22"/>
    </w:rPr>
  </w:style>
  <w:style w:type="paragraph" w:styleId="40">
    <w:name w:val="Body Text 2"/>
    <w:basedOn w:val="1"/>
    <w:link w:val="78"/>
    <w:qFormat/>
    <w:uiPriority w:val="0"/>
    <w:pPr>
      <w:spacing w:after="120" w:line="480" w:lineRule="auto"/>
    </w:pPr>
    <w:rPr>
      <w:kern w:val="0"/>
      <w:sz w:val="20"/>
    </w:rPr>
  </w:style>
  <w:style w:type="paragraph" w:styleId="41">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2">
    <w:name w:val="Normal (Web)"/>
    <w:basedOn w:val="1"/>
    <w:qFormat/>
    <w:uiPriority w:val="99"/>
    <w:pPr>
      <w:widowControl/>
      <w:spacing w:before="100" w:beforeAutospacing="1" w:after="100" w:afterAutospacing="1"/>
      <w:jc w:val="left"/>
    </w:pPr>
    <w:rPr>
      <w:rFonts w:ascii="宋体" w:hAnsi="宋体"/>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79"/>
    <w:qFormat/>
    <w:uiPriority w:val="10"/>
    <w:pPr>
      <w:spacing w:before="240" w:after="60"/>
      <w:jc w:val="center"/>
      <w:outlineLvl w:val="0"/>
    </w:pPr>
    <w:rPr>
      <w:rFonts w:ascii="Cambria" w:hAnsi="Cambria"/>
      <w:b/>
      <w:bCs/>
      <w:sz w:val="32"/>
      <w:szCs w:val="32"/>
    </w:rPr>
  </w:style>
  <w:style w:type="paragraph" w:styleId="45">
    <w:name w:val="annotation subject"/>
    <w:basedOn w:val="16"/>
    <w:next w:val="16"/>
    <w:link w:val="80"/>
    <w:unhideWhenUsed/>
    <w:qFormat/>
    <w:uiPriority w:val="99"/>
    <w:rPr>
      <w:b/>
      <w:bCs/>
    </w:rPr>
  </w:style>
  <w:style w:type="table" w:styleId="47">
    <w:name w:val="Table Grid"/>
    <w:basedOn w:val="46"/>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endnote reference"/>
    <w:unhideWhenUsed/>
    <w:qFormat/>
    <w:uiPriority w:val="99"/>
    <w:rPr>
      <w:vertAlign w:val="superscript"/>
    </w:rPr>
  </w:style>
  <w:style w:type="character" w:styleId="50">
    <w:name w:val="page number"/>
    <w:qFormat/>
    <w:uiPriority w:val="0"/>
  </w:style>
  <w:style w:type="character" w:styleId="51">
    <w:name w:val="FollowedHyperlink"/>
    <w:qFormat/>
    <w:uiPriority w:val="99"/>
    <w:rPr>
      <w:color w:val="800080"/>
      <w:u w:val="single"/>
    </w:rPr>
  </w:style>
  <w:style w:type="character" w:styleId="52">
    <w:name w:val="Hyperlink"/>
    <w:qFormat/>
    <w:uiPriority w:val="99"/>
    <w:rPr>
      <w:color w:val="0000FF"/>
      <w:u w:val="single"/>
    </w:rPr>
  </w:style>
  <w:style w:type="character" w:styleId="53">
    <w:name w:val="annotation reference"/>
    <w:unhideWhenUsed/>
    <w:qFormat/>
    <w:uiPriority w:val="0"/>
    <w:rPr>
      <w:sz w:val="21"/>
      <w:szCs w:val="21"/>
    </w:rPr>
  </w:style>
  <w:style w:type="character" w:styleId="54">
    <w:name w:val="footnote reference"/>
    <w:unhideWhenUsed/>
    <w:qFormat/>
    <w:uiPriority w:val="99"/>
    <w:rPr>
      <w:vertAlign w:val="superscript"/>
    </w:rPr>
  </w:style>
  <w:style w:type="character" w:styleId="55">
    <w:name w:val="HTML Sample"/>
    <w:unhideWhenUsed/>
    <w:qFormat/>
    <w:uiPriority w:val="99"/>
    <w:rPr>
      <w:rFonts w:ascii="Courier New" w:hAnsi="Courier New"/>
    </w:rPr>
  </w:style>
  <w:style w:type="character" w:customStyle="1" w:styleId="56">
    <w:name w:val="标题 1 Char1"/>
    <w:link w:val="2"/>
    <w:qFormat/>
    <w:uiPriority w:val="0"/>
    <w:rPr>
      <w:rFonts w:ascii="Times New Roman" w:hAnsi="Times New Roman" w:eastAsia="宋体" w:cs="Times New Roman"/>
      <w:b/>
      <w:bCs/>
      <w:kern w:val="44"/>
      <w:sz w:val="44"/>
      <w:szCs w:val="44"/>
    </w:rPr>
  </w:style>
  <w:style w:type="character" w:customStyle="1" w:styleId="57">
    <w:name w:val="标题 2 Char1"/>
    <w:link w:val="3"/>
    <w:qFormat/>
    <w:uiPriority w:val="0"/>
    <w:rPr>
      <w:rFonts w:ascii="Arial" w:hAnsi="Arial" w:eastAsia="黑体" w:cs="Times New Roman"/>
      <w:b/>
      <w:bCs/>
      <w:sz w:val="32"/>
      <w:szCs w:val="32"/>
    </w:rPr>
  </w:style>
  <w:style w:type="character" w:customStyle="1" w:styleId="58">
    <w:name w:val="标题 3 Char1"/>
    <w:link w:val="4"/>
    <w:qFormat/>
    <w:uiPriority w:val="0"/>
    <w:rPr>
      <w:rFonts w:ascii="Times New Roman" w:hAnsi="Times New Roman" w:eastAsia="宋体" w:cs="Times New Roman"/>
      <w:b/>
      <w:bCs/>
      <w:sz w:val="32"/>
      <w:szCs w:val="32"/>
    </w:rPr>
  </w:style>
  <w:style w:type="character" w:customStyle="1" w:styleId="59">
    <w:name w:val="标题 5 Char2"/>
    <w:link w:val="6"/>
    <w:qFormat/>
    <w:uiPriority w:val="0"/>
    <w:rPr>
      <w:b/>
      <w:kern w:val="2"/>
      <w:sz w:val="28"/>
      <w:szCs w:val="24"/>
    </w:rPr>
  </w:style>
  <w:style w:type="character" w:customStyle="1" w:styleId="60">
    <w:name w:val="标题 6 Char1"/>
    <w:link w:val="8"/>
    <w:qFormat/>
    <w:uiPriority w:val="0"/>
    <w:rPr>
      <w:rFonts w:ascii="Arial" w:hAnsi="Arial" w:eastAsia="黑体"/>
      <w:b/>
      <w:kern w:val="2"/>
      <w:sz w:val="24"/>
      <w:szCs w:val="24"/>
    </w:rPr>
  </w:style>
  <w:style w:type="character" w:customStyle="1" w:styleId="61">
    <w:name w:val="标题 7 Char1"/>
    <w:link w:val="9"/>
    <w:qFormat/>
    <w:uiPriority w:val="0"/>
    <w:rPr>
      <w:rFonts w:ascii="Times New Roman" w:hAnsi="Times New Roman"/>
      <w:b/>
      <w:kern w:val="2"/>
      <w:sz w:val="24"/>
      <w:szCs w:val="24"/>
    </w:rPr>
  </w:style>
  <w:style w:type="character" w:customStyle="1" w:styleId="62">
    <w:name w:val="标题 8 Char1"/>
    <w:link w:val="10"/>
    <w:qFormat/>
    <w:uiPriority w:val="0"/>
    <w:rPr>
      <w:rFonts w:ascii="Arial" w:hAnsi="Arial" w:eastAsia="黑体"/>
      <w:kern w:val="2"/>
      <w:sz w:val="24"/>
      <w:szCs w:val="24"/>
    </w:rPr>
  </w:style>
  <w:style w:type="character" w:customStyle="1" w:styleId="63">
    <w:name w:val="标题 9 Char1"/>
    <w:link w:val="11"/>
    <w:qFormat/>
    <w:uiPriority w:val="0"/>
    <w:rPr>
      <w:rFonts w:ascii="Arial" w:hAnsi="Arial" w:eastAsia="黑体"/>
      <w:kern w:val="2"/>
      <w:sz w:val="21"/>
      <w:szCs w:val="24"/>
    </w:rPr>
  </w:style>
  <w:style w:type="character" w:customStyle="1" w:styleId="64">
    <w:name w:val="文档结构图 Char"/>
    <w:link w:val="15"/>
    <w:semiHidden/>
    <w:qFormat/>
    <w:uiPriority w:val="99"/>
    <w:rPr>
      <w:rFonts w:ascii="宋体"/>
      <w:kern w:val="2"/>
      <w:sz w:val="18"/>
      <w:szCs w:val="18"/>
    </w:rPr>
  </w:style>
  <w:style w:type="character" w:customStyle="1" w:styleId="65">
    <w:name w:val="批注文字 Char3"/>
    <w:link w:val="16"/>
    <w:qFormat/>
    <w:uiPriority w:val="0"/>
    <w:rPr>
      <w:rFonts w:ascii="Times New Roman" w:hAnsi="Times New Roman"/>
      <w:kern w:val="2"/>
      <w:sz w:val="21"/>
      <w:szCs w:val="24"/>
    </w:rPr>
  </w:style>
  <w:style w:type="character" w:customStyle="1" w:styleId="66">
    <w:name w:val="正文文本 3 Char1"/>
    <w:link w:val="17"/>
    <w:qFormat/>
    <w:uiPriority w:val="0"/>
    <w:rPr>
      <w:rFonts w:ascii="Times New Roman" w:hAnsi="Times New Roman" w:eastAsia="宋体" w:cs="Times New Roman"/>
      <w:b/>
      <w:bCs/>
      <w:sz w:val="24"/>
      <w:szCs w:val="24"/>
    </w:rPr>
  </w:style>
  <w:style w:type="character" w:customStyle="1" w:styleId="67">
    <w:name w:val="正文文本 Char1"/>
    <w:link w:val="18"/>
    <w:qFormat/>
    <w:uiPriority w:val="99"/>
    <w:rPr>
      <w:rFonts w:ascii="Times New Roman" w:hAnsi="Times New Roman" w:eastAsia="宋体" w:cs="Times New Roman"/>
      <w:sz w:val="24"/>
      <w:szCs w:val="24"/>
    </w:rPr>
  </w:style>
  <w:style w:type="character" w:customStyle="1" w:styleId="68">
    <w:name w:val="正文文本缩进 Char1"/>
    <w:link w:val="19"/>
    <w:qFormat/>
    <w:uiPriority w:val="0"/>
    <w:rPr>
      <w:rFonts w:ascii="仿宋_GB2312" w:hAnsi="Times New Roman" w:eastAsia="仿宋_GB2312" w:cs="Times New Roman"/>
      <w:sz w:val="32"/>
      <w:szCs w:val="20"/>
    </w:rPr>
  </w:style>
  <w:style w:type="character" w:customStyle="1" w:styleId="69">
    <w:name w:val="纯文本 Char3"/>
    <w:link w:val="24"/>
    <w:qFormat/>
    <w:uiPriority w:val="0"/>
    <w:rPr>
      <w:rFonts w:ascii="宋体" w:hAnsi="Courier New" w:eastAsia="宋体" w:cs="Courier New"/>
      <w:szCs w:val="21"/>
    </w:rPr>
  </w:style>
  <w:style w:type="character" w:customStyle="1" w:styleId="70">
    <w:name w:val="日期 Char1"/>
    <w:link w:val="26"/>
    <w:qFormat/>
    <w:uiPriority w:val="0"/>
    <w:rPr>
      <w:rFonts w:ascii="宋体" w:hAnsi="Courier New" w:eastAsia="宋体" w:cs="Courier New"/>
      <w:szCs w:val="21"/>
    </w:rPr>
  </w:style>
  <w:style w:type="character" w:customStyle="1" w:styleId="71">
    <w:name w:val="正文文本缩进 2 Char1"/>
    <w:link w:val="27"/>
    <w:qFormat/>
    <w:uiPriority w:val="0"/>
    <w:rPr>
      <w:rFonts w:ascii="Times New Roman" w:hAnsi="Times New Roman" w:eastAsia="宋体" w:cs="Times New Roman"/>
      <w:sz w:val="32"/>
      <w:szCs w:val="20"/>
    </w:rPr>
  </w:style>
  <w:style w:type="character" w:customStyle="1" w:styleId="72">
    <w:name w:val="尾注文本 Char1"/>
    <w:link w:val="28"/>
    <w:qFormat/>
    <w:uiPriority w:val="99"/>
    <w:rPr>
      <w:rFonts w:ascii="Times New Roman" w:hAnsi="Times New Roman"/>
      <w:kern w:val="2"/>
      <w:sz w:val="21"/>
      <w:szCs w:val="24"/>
    </w:rPr>
  </w:style>
  <w:style w:type="character" w:customStyle="1" w:styleId="73">
    <w:name w:val="批注框文本 Char1"/>
    <w:link w:val="29"/>
    <w:semiHidden/>
    <w:qFormat/>
    <w:uiPriority w:val="0"/>
    <w:rPr>
      <w:rFonts w:ascii="Times New Roman" w:hAnsi="Times New Roman" w:eastAsia="宋体" w:cs="Times New Roman"/>
      <w:sz w:val="18"/>
      <w:szCs w:val="18"/>
    </w:rPr>
  </w:style>
  <w:style w:type="character" w:customStyle="1" w:styleId="74">
    <w:name w:val="页脚 Char1"/>
    <w:link w:val="30"/>
    <w:qFormat/>
    <w:uiPriority w:val="99"/>
    <w:rPr>
      <w:sz w:val="18"/>
      <w:szCs w:val="18"/>
    </w:rPr>
  </w:style>
  <w:style w:type="character" w:customStyle="1" w:styleId="75">
    <w:name w:val="页眉 Char1"/>
    <w:link w:val="31"/>
    <w:qFormat/>
    <w:uiPriority w:val="99"/>
    <w:rPr>
      <w:rFonts w:ascii="Times New Roman" w:hAnsi="Times New Roman"/>
      <w:kern w:val="2"/>
      <w:sz w:val="18"/>
      <w:szCs w:val="18"/>
    </w:rPr>
  </w:style>
  <w:style w:type="character" w:customStyle="1" w:styleId="76">
    <w:name w:val="脚注文本 Char1"/>
    <w:link w:val="35"/>
    <w:qFormat/>
    <w:uiPriority w:val="99"/>
    <w:rPr>
      <w:rFonts w:ascii="Times New Roman" w:hAnsi="Times New Roman"/>
      <w:kern w:val="2"/>
      <w:sz w:val="18"/>
      <w:szCs w:val="18"/>
    </w:rPr>
  </w:style>
  <w:style w:type="character" w:customStyle="1" w:styleId="77">
    <w:name w:val="正文文本缩进 3 Char1"/>
    <w:link w:val="37"/>
    <w:qFormat/>
    <w:uiPriority w:val="0"/>
    <w:rPr>
      <w:rFonts w:ascii="Times New Roman" w:hAnsi="Times New Roman" w:eastAsia="宋体" w:cs="Times New Roman"/>
      <w:sz w:val="16"/>
      <w:szCs w:val="16"/>
    </w:rPr>
  </w:style>
  <w:style w:type="character" w:customStyle="1" w:styleId="78">
    <w:name w:val="正文文本 2 Char1"/>
    <w:link w:val="40"/>
    <w:qFormat/>
    <w:uiPriority w:val="0"/>
    <w:rPr>
      <w:rFonts w:ascii="Times New Roman" w:hAnsi="Times New Roman" w:eastAsia="宋体" w:cs="Times New Roman"/>
      <w:szCs w:val="24"/>
    </w:rPr>
  </w:style>
  <w:style w:type="character" w:customStyle="1" w:styleId="79">
    <w:name w:val="标题 Char1"/>
    <w:link w:val="44"/>
    <w:qFormat/>
    <w:uiPriority w:val="10"/>
    <w:rPr>
      <w:rFonts w:ascii="Cambria" w:hAnsi="Cambria" w:cs="Times New Roman"/>
      <w:b/>
      <w:bCs/>
      <w:kern w:val="2"/>
      <w:sz w:val="32"/>
      <w:szCs w:val="32"/>
    </w:rPr>
  </w:style>
  <w:style w:type="character" w:customStyle="1" w:styleId="80">
    <w:name w:val="批注主题 Char1"/>
    <w:link w:val="45"/>
    <w:qFormat/>
    <w:uiPriority w:val="99"/>
    <w:rPr>
      <w:rFonts w:ascii="Times New Roman" w:hAnsi="Times New Roman"/>
      <w:b/>
      <w:bCs/>
      <w:kern w:val="2"/>
      <w:sz w:val="21"/>
      <w:szCs w:val="24"/>
    </w:rPr>
  </w:style>
  <w:style w:type="paragraph" w:customStyle="1" w:styleId="81">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2">
    <w:name w:val="TOC 标题2"/>
    <w:next w:val="1"/>
    <w:qFormat/>
    <w:uiPriority w:val="99"/>
    <w:pPr>
      <w:wordWrap w:val="0"/>
    </w:pPr>
    <w:rPr>
      <w:rFonts w:ascii="Calibri" w:hAnsi="Calibri" w:eastAsia="宋体" w:cs="Times New Roman"/>
      <w:sz w:val="32"/>
      <w:lang w:val="en-US" w:eastAsia="zh-CN" w:bidi="ar-SA"/>
    </w:rPr>
  </w:style>
  <w:style w:type="character" w:customStyle="1" w:styleId="83">
    <w:name w:val="纯文本 字符1"/>
    <w:qFormat/>
    <w:uiPriority w:val="0"/>
    <w:rPr>
      <w:rFonts w:ascii="宋体" w:hAnsi="Courier New"/>
    </w:rPr>
  </w:style>
  <w:style w:type="character" w:customStyle="1" w:styleId="84">
    <w:name w:val="批注文字 Char1"/>
    <w:semiHidden/>
    <w:qFormat/>
    <w:locked/>
    <w:uiPriority w:val="0"/>
    <w:rPr>
      <w:rFonts w:ascii="Times New Roman" w:hAnsi="Times New Roman"/>
      <w:kern w:val="2"/>
      <w:sz w:val="21"/>
      <w:szCs w:val="24"/>
    </w:rPr>
  </w:style>
  <w:style w:type="character" w:customStyle="1" w:styleId="85">
    <w:name w:val="headline-content4"/>
    <w:qFormat/>
    <w:uiPriority w:val="0"/>
  </w:style>
  <w:style w:type="character" w:customStyle="1" w:styleId="86">
    <w:name w:val="批注文字 字符"/>
    <w:qFormat/>
    <w:uiPriority w:val="0"/>
    <w:rPr>
      <w:rFonts w:ascii="Times New Roman" w:hAnsi="Times New Roman"/>
      <w:kern w:val="2"/>
      <w:sz w:val="21"/>
      <w:szCs w:val="24"/>
    </w:rPr>
  </w:style>
  <w:style w:type="character" w:customStyle="1" w:styleId="87">
    <w:name w:val="标题 5 Char"/>
    <w:qFormat/>
    <w:uiPriority w:val="0"/>
    <w:rPr>
      <w:b/>
      <w:kern w:val="2"/>
      <w:sz w:val="28"/>
      <w:szCs w:val="24"/>
    </w:rPr>
  </w:style>
  <w:style w:type="character" w:customStyle="1" w:styleId="8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9">
    <w:name w:val="批注文字 Char"/>
    <w:qFormat/>
    <w:uiPriority w:val="0"/>
    <w:rPr>
      <w:rFonts w:ascii="Times New Roman" w:hAnsi="Times New Roman"/>
      <w:kern w:val="2"/>
      <w:sz w:val="21"/>
      <w:szCs w:val="24"/>
    </w:rPr>
  </w:style>
  <w:style w:type="character" w:customStyle="1" w:styleId="90">
    <w:name w:val="标题 1 字符"/>
    <w:qFormat/>
    <w:uiPriority w:val="9"/>
    <w:rPr>
      <w:rFonts w:ascii="Times New Roman" w:hAnsi="Times New Roman" w:eastAsia="宋体" w:cs="Times New Roman"/>
      <w:b/>
      <w:bCs/>
      <w:kern w:val="44"/>
      <w:sz w:val="44"/>
      <w:szCs w:val="44"/>
    </w:rPr>
  </w:style>
  <w:style w:type="character" w:customStyle="1" w:styleId="91">
    <w:name w:val="apple-style-span"/>
    <w:qFormat/>
    <w:uiPriority w:val="0"/>
  </w:style>
  <w:style w:type="character" w:customStyle="1" w:styleId="92">
    <w:name w:val="正文文本缩进 字符"/>
    <w:qFormat/>
    <w:uiPriority w:val="0"/>
    <w:rPr>
      <w:rFonts w:ascii="仿宋_GB2312" w:hAnsi="Times New Roman" w:eastAsia="仿宋_GB2312" w:cs="Times New Roman"/>
      <w:sz w:val="32"/>
      <w:szCs w:val="20"/>
    </w:rPr>
  </w:style>
  <w:style w:type="character" w:customStyle="1" w:styleId="93">
    <w:name w:val="case31"/>
    <w:qFormat/>
    <w:uiPriority w:val="0"/>
    <w:rPr>
      <w:rFonts w:hint="default" w:ascii="_x000B__x000C_" w:hAnsi="_x000B__x000C_"/>
      <w:sz w:val="21"/>
      <w:szCs w:val="21"/>
    </w:rPr>
  </w:style>
  <w:style w:type="character" w:customStyle="1" w:styleId="94">
    <w:name w:val="纯文本 字符"/>
    <w:qFormat/>
    <w:uiPriority w:val="0"/>
    <w:rPr>
      <w:rFonts w:ascii="宋体" w:hAnsi="Courier New" w:eastAsia="宋体" w:cs="Courier New"/>
      <w:szCs w:val="21"/>
    </w:rPr>
  </w:style>
  <w:style w:type="character" w:customStyle="1" w:styleId="95">
    <w:name w:val="textcontents"/>
    <w:qFormat/>
    <w:uiPriority w:val="0"/>
  </w:style>
  <w:style w:type="character" w:customStyle="1" w:styleId="96">
    <w:name w:val="普通文字 Char Char2"/>
    <w:qFormat/>
    <w:uiPriority w:val="0"/>
    <w:rPr>
      <w:rFonts w:ascii="宋体" w:hAnsi="Courier New" w:eastAsia="宋体"/>
      <w:kern w:val="2"/>
      <w:sz w:val="21"/>
      <w:lang w:val="en-US" w:eastAsia="zh-CN" w:bidi="ar-SA"/>
    </w:rPr>
  </w:style>
  <w:style w:type="paragraph" w:customStyle="1" w:styleId="97">
    <w:name w:val="正文段"/>
    <w:basedOn w:val="1"/>
    <w:qFormat/>
    <w:uiPriority w:val="0"/>
    <w:pPr>
      <w:widowControl/>
      <w:snapToGrid w:val="0"/>
      <w:spacing w:after="50" w:afterLines="50"/>
      <w:ind w:firstLine="200" w:firstLineChars="200"/>
    </w:pPr>
    <w:rPr>
      <w:kern w:val="0"/>
      <w:sz w:val="24"/>
      <w:szCs w:val="20"/>
    </w:rPr>
  </w:style>
  <w:style w:type="paragraph" w:customStyle="1" w:styleId="9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99">
    <w:name w:val="默认段落字体 Para Char Char Char Char Char Char Char Char Char1 Char Char Char Char"/>
    <w:basedOn w:val="1"/>
    <w:qFormat/>
    <w:uiPriority w:val="0"/>
    <w:rPr>
      <w:rFonts w:ascii="Tahoma" w:hAnsi="Tahoma"/>
      <w:sz w:val="24"/>
      <w:szCs w:val="20"/>
    </w:rPr>
  </w:style>
  <w:style w:type="paragraph" w:customStyle="1" w:styleId="100">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01">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2">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3">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04">
    <w:name w:val="Char1"/>
    <w:basedOn w:val="1"/>
    <w:qFormat/>
    <w:uiPriority w:val="0"/>
    <w:rPr>
      <w:szCs w:val="21"/>
    </w:rPr>
  </w:style>
  <w:style w:type="paragraph" w:customStyle="1" w:styleId="105">
    <w:name w:val="正文首行缩进两字符"/>
    <w:basedOn w:val="1"/>
    <w:qFormat/>
    <w:uiPriority w:val="0"/>
    <w:pPr>
      <w:spacing w:line="360" w:lineRule="auto"/>
      <w:ind w:firstLine="200" w:firstLineChars="200"/>
    </w:pPr>
  </w:style>
  <w:style w:type="paragraph" w:customStyle="1" w:styleId="106">
    <w:name w:val="表格"/>
    <w:basedOn w:val="1"/>
    <w:qFormat/>
    <w:uiPriority w:val="0"/>
    <w:pPr>
      <w:spacing w:line="400" w:lineRule="exact"/>
    </w:pPr>
    <w:rPr>
      <w:sz w:val="24"/>
    </w:rPr>
  </w:style>
  <w:style w:type="paragraph" w:customStyle="1" w:styleId="107">
    <w:name w:val="样式 首行缩进:  2 字符"/>
    <w:basedOn w:val="1"/>
    <w:qFormat/>
    <w:uiPriority w:val="0"/>
    <w:pPr>
      <w:spacing w:line="400" w:lineRule="exact"/>
      <w:ind w:firstLine="200" w:firstLineChars="200"/>
    </w:pPr>
    <w:rPr>
      <w:rFonts w:cs="宋体"/>
      <w:sz w:val="24"/>
    </w:rPr>
  </w:style>
  <w:style w:type="paragraph" w:customStyle="1" w:styleId="108">
    <w:name w:val="Plain Text"/>
    <w:basedOn w:val="1"/>
    <w:qFormat/>
    <w:uiPriority w:val="0"/>
    <w:rPr>
      <w:rFonts w:ascii="宋体" w:hAnsi="Courier New" w:cs="Century"/>
      <w:szCs w:val="21"/>
    </w:rPr>
  </w:style>
  <w:style w:type="paragraph" w:customStyle="1" w:styleId="109">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110">
    <w:name w:val="List Paragraph"/>
    <w:basedOn w:val="1"/>
    <w:qFormat/>
    <w:uiPriority w:val="34"/>
    <w:pPr>
      <w:ind w:firstLine="420" w:firstLineChars="200"/>
    </w:pPr>
  </w:style>
  <w:style w:type="table" w:customStyle="1" w:styleId="111">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 w:type="character" w:customStyle="1" w:styleId="112">
    <w:name w:val="纯文本 Char1"/>
    <w:qFormat/>
    <w:uiPriority w:val="0"/>
    <w:rPr>
      <w:rFonts w:ascii="宋体" w:hAnsi="Courier New" w:eastAsia="宋体" w:cs="Courier New"/>
      <w:szCs w:val="21"/>
    </w:rPr>
  </w:style>
  <w:style w:type="character" w:customStyle="1" w:styleId="113">
    <w:name w:val="标题 5 Char1"/>
    <w:qFormat/>
    <w:uiPriority w:val="0"/>
    <w:rPr>
      <w:b/>
      <w:kern w:val="2"/>
      <w:sz w:val="28"/>
      <w:szCs w:val="24"/>
    </w:rPr>
  </w:style>
  <w:style w:type="character" w:customStyle="1" w:styleId="114">
    <w:name w:val="批注文字 字符2"/>
    <w:qFormat/>
    <w:uiPriority w:val="0"/>
    <w:rPr>
      <w:rFonts w:ascii="Times New Roman" w:hAnsi="Times New Roman"/>
      <w:kern w:val="2"/>
      <w:sz w:val="21"/>
      <w:szCs w:val="24"/>
    </w:rPr>
  </w:style>
  <w:style w:type="character" w:customStyle="1" w:styleId="115">
    <w:name w:val="纯文本 Char"/>
    <w:qFormat/>
    <w:uiPriority w:val="0"/>
    <w:rPr>
      <w:rFonts w:ascii="宋体" w:hAnsi="Courier New" w:eastAsia="宋体" w:cs="Courier New"/>
      <w:szCs w:val="21"/>
    </w:rPr>
  </w:style>
  <w:style w:type="paragraph" w:customStyle="1" w:styleId="116">
    <w:name w:val="正文2"/>
    <w:basedOn w:val="1"/>
    <w:qFormat/>
    <w:uiPriority w:val="0"/>
    <w:pPr>
      <w:adjustRightInd w:val="0"/>
      <w:spacing w:before="156" w:line="360" w:lineRule="auto"/>
      <w:ind w:firstLine="510" w:firstLineChars="200"/>
    </w:pPr>
    <w:rPr>
      <w:sz w:val="24"/>
      <w:szCs w:val="20"/>
    </w:rPr>
  </w:style>
  <w:style w:type="character" w:customStyle="1" w:styleId="117">
    <w:name w:val="纯文本 字符2"/>
    <w:qFormat/>
    <w:uiPriority w:val="0"/>
    <w:rPr>
      <w:rFonts w:ascii="宋体" w:hAnsi="Courier New"/>
      <w:szCs w:val="21"/>
    </w:rPr>
  </w:style>
  <w:style w:type="character" w:customStyle="1" w:styleId="118">
    <w:name w:val="页眉 Char"/>
    <w:qFormat/>
    <w:uiPriority w:val="99"/>
    <w:rPr>
      <w:sz w:val="18"/>
      <w:szCs w:val="18"/>
    </w:rPr>
  </w:style>
  <w:style w:type="character" w:customStyle="1" w:styleId="119">
    <w:name w:val="页脚 Char"/>
    <w:qFormat/>
    <w:uiPriority w:val="99"/>
    <w:rPr>
      <w:sz w:val="18"/>
      <w:szCs w:val="18"/>
    </w:rPr>
  </w:style>
  <w:style w:type="table" w:customStyle="1" w:styleId="120">
    <w:name w:val="网格型1"/>
    <w:basedOn w:val="46"/>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2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2">
    <w:name w:val="font6"/>
    <w:basedOn w:val="1"/>
    <w:qFormat/>
    <w:uiPriority w:val="0"/>
    <w:pPr>
      <w:widowControl/>
      <w:spacing w:before="100" w:beforeAutospacing="1" w:after="100" w:afterAutospacing="1"/>
      <w:jc w:val="left"/>
    </w:pPr>
    <w:rPr>
      <w:rFonts w:ascii="宋体" w:hAnsi="宋体" w:cs="宋体"/>
      <w:b/>
      <w:bCs/>
      <w:color w:val="000000"/>
      <w:kern w:val="0"/>
      <w:sz w:val="22"/>
      <w:szCs w:val="22"/>
    </w:rPr>
  </w:style>
  <w:style w:type="paragraph" w:customStyle="1" w:styleId="123">
    <w:name w:val="font7"/>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24">
    <w:name w:val="xl65"/>
    <w:basedOn w:val="1"/>
    <w:qFormat/>
    <w:uiPriority w:val="0"/>
    <w:pPr>
      <w:widowControl/>
      <w:spacing w:before="100" w:beforeAutospacing="1" w:after="100" w:afterAutospacing="1"/>
      <w:jc w:val="center"/>
    </w:pPr>
    <w:rPr>
      <w:rFonts w:ascii="宋体" w:hAnsi="宋体" w:cs="宋体"/>
      <w:b/>
      <w:bCs/>
      <w:kern w:val="0"/>
      <w:sz w:val="24"/>
    </w:rPr>
  </w:style>
  <w:style w:type="paragraph" w:customStyle="1" w:styleId="125">
    <w:name w:val="xl6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b/>
      <w:bCs/>
      <w:kern w:val="0"/>
      <w:sz w:val="24"/>
    </w:rPr>
  </w:style>
  <w:style w:type="paragraph" w:customStyle="1" w:styleId="127">
    <w:name w:val="xl6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b/>
      <w:bCs/>
      <w:kern w:val="0"/>
      <w:sz w:val="24"/>
    </w:rPr>
  </w:style>
  <w:style w:type="paragraph" w:customStyle="1" w:styleId="128">
    <w:name w:val="xl6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2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3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31">
    <w:name w:val="xl72"/>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3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33">
    <w:name w:val="xl74"/>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3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36">
    <w:name w:val="xl77"/>
    <w:basedOn w:val="1"/>
    <w:qFormat/>
    <w:uiPriority w:val="0"/>
    <w:pPr>
      <w:widowControl/>
      <w:spacing w:before="100" w:beforeAutospacing="1" w:after="100" w:afterAutospacing="1"/>
      <w:jc w:val="left"/>
    </w:pPr>
    <w:rPr>
      <w:rFonts w:ascii="宋体" w:hAnsi="宋体" w:cs="宋体"/>
      <w:kern w:val="0"/>
      <w:sz w:val="24"/>
    </w:rPr>
  </w:style>
  <w:style w:type="paragraph" w:customStyle="1" w:styleId="137">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b/>
      <w:bCs/>
      <w:kern w:val="0"/>
      <w:sz w:val="24"/>
    </w:rPr>
  </w:style>
  <w:style w:type="paragraph" w:customStyle="1" w:styleId="138">
    <w:name w:val="_Style 137"/>
    <w:unhideWhenUsed/>
    <w:qFormat/>
    <w:uiPriority w:val="99"/>
    <w:rPr>
      <w:rFonts w:ascii="Times New Roman" w:hAnsi="Times New Roman" w:eastAsia="宋体" w:cs="Times New Roman"/>
      <w:kern w:val="2"/>
      <w:sz w:val="21"/>
      <w:szCs w:val="24"/>
      <w:lang w:val="en-US" w:eastAsia="zh-CN" w:bidi="ar-SA"/>
    </w:rPr>
  </w:style>
  <w:style w:type="character" w:customStyle="1" w:styleId="139">
    <w:name w:val="标题 1 Char"/>
    <w:qFormat/>
    <w:uiPriority w:val="0"/>
    <w:rPr>
      <w:b/>
      <w:bCs/>
      <w:kern w:val="44"/>
      <w:sz w:val="44"/>
      <w:szCs w:val="44"/>
    </w:rPr>
  </w:style>
  <w:style w:type="character" w:customStyle="1" w:styleId="140">
    <w:name w:val="标题 2 Char"/>
    <w:semiHidden/>
    <w:qFormat/>
    <w:uiPriority w:val="9"/>
    <w:rPr>
      <w:rFonts w:ascii="Calibri Light" w:hAnsi="Calibri Light" w:eastAsia="宋体" w:cs="Times New Roman"/>
      <w:b/>
      <w:bCs/>
      <w:kern w:val="2"/>
      <w:sz w:val="32"/>
      <w:szCs w:val="32"/>
    </w:rPr>
  </w:style>
  <w:style w:type="character" w:customStyle="1" w:styleId="141">
    <w:name w:val="标题 3 Char"/>
    <w:semiHidden/>
    <w:qFormat/>
    <w:uiPriority w:val="9"/>
    <w:rPr>
      <w:b/>
      <w:bCs/>
      <w:kern w:val="2"/>
      <w:sz w:val="32"/>
      <w:szCs w:val="32"/>
    </w:rPr>
  </w:style>
  <w:style w:type="character" w:customStyle="1" w:styleId="142">
    <w:name w:val="标题 6 Char"/>
    <w:semiHidden/>
    <w:qFormat/>
    <w:uiPriority w:val="9"/>
    <w:rPr>
      <w:rFonts w:ascii="Calibri Light" w:hAnsi="Calibri Light" w:eastAsia="宋体" w:cs="Times New Roman"/>
      <w:b/>
      <w:bCs/>
      <w:kern w:val="2"/>
      <w:sz w:val="24"/>
      <w:szCs w:val="24"/>
    </w:rPr>
  </w:style>
  <w:style w:type="character" w:customStyle="1" w:styleId="143">
    <w:name w:val="标题 7 Char"/>
    <w:semiHidden/>
    <w:qFormat/>
    <w:uiPriority w:val="9"/>
    <w:rPr>
      <w:b/>
      <w:bCs/>
      <w:kern w:val="2"/>
      <w:sz w:val="24"/>
      <w:szCs w:val="24"/>
    </w:rPr>
  </w:style>
  <w:style w:type="character" w:customStyle="1" w:styleId="144">
    <w:name w:val="标题 8 Char"/>
    <w:semiHidden/>
    <w:qFormat/>
    <w:uiPriority w:val="9"/>
    <w:rPr>
      <w:rFonts w:ascii="Calibri Light" w:hAnsi="Calibri Light" w:eastAsia="宋体" w:cs="Times New Roman"/>
      <w:kern w:val="2"/>
      <w:sz w:val="24"/>
      <w:szCs w:val="24"/>
    </w:rPr>
  </w:style>
  <w:style w:type="character" w:customStyle="1" w:styleId="145">
    <w:name w:val="标题 9 Char"/>
    <w:semiHidden/>
    <w:qFormat/>
    <w:uiPriority w:val="9"/>
    <w:rPr>
      <w:rFonts w:ascii="Calibri Light" w:hAnsi="Calibri Light" w:eastAsia="宋体" w:cs="Times New Roman"/>
      <w:kern w:val="2"/>
      <w:sz w:val="21"/>
      <w:szCs w:val="21"/>
    </w:rPr>
  </w:style>
  <w:style w:type="paragraph" w:customStyle="1" w:styleId="146">
    <w:name w:val="_Style 143"/>
    <w:basedOn w:val="1"/>
    <w:next w:val="110"/>
    <w:qFormat/>
    <w:uiPriority w:val="34"/>
    <w:pPr>
      <w:ind w:firstLine="420" w:firstLineChars="200"/>
    </w:pPr>
  </w:style>
  <w:style w:type="character" w:customStyle="1" w:styleId="147">
    <w:name w:val="正文文本 3 Char"/>
    <w:semiHidden/>
    <w:qFormat/>
    <w:uiPriority w:val="99"/>
    <w:rPr>
      <w:kern w:val="2"/>
      <w:sz w:val="16"/>
      <w:szCs w:val="16"/>
    </w:rPr>
  </w:style>
  <w:style w:type="character" w:customStyle="1" w:styleId="148">
    <w:name w:val="正文文本 Char"/>
    <w:semiHidden/>
    <w:qFormat/>
    <w:uiPriority w:val="99"/>
    <w:rPr>
      <w:kern w:val="2"/>
      <w:sz w:val="21"/>
      <w:szCs w:val="24"/>
    </w:rPr>
  </w:style>
  <w:style w:type="character" w:customStyle="1" w:styleId="149">
    <w:name w:val="正文文本缩进 Char"/>
    <w:semiHidden/>
    <w:qFormat/>
    <w:uiPriority w:val="99"/>
    <w:rPr>
      <w:kern w:val="2"/>
      <w:sz w:val="21"/>
      <w:szCs w:val="24"/>
    </w:rPr>
  </w:style>
  <w:style w:type="character" w:customStyle="1" w:styleId="150">
    <w:name w:val="日期 Char"/>
    <w:semiHidden/>
    <w:qFormat/>
    <w:uiPriority w:val="99"/>
    <w:rPr>
      <w:kern w:val="2"/>
      <w:sz w:val="21"/>
      <w:szCs w:val="24"/>
    </w:rPr>
  </w:style>
  <w:style w:type="character" w:customStyle="1" w:styleId="151">
    <w:name w:val="正文文本缩进 2 Char"/>
    <w:semiHidden/>
    <w:qFormat/>
    <w:uiPriority w:val="99"/>
    <w:rPr>
      <w:kern w:val="2"/>
      <w:sz w:val="21"/>
      <w:szCs w:val="24"/>
    </w:rPr>
  </w:style>
  <w:style w:type="character" w:customStyle="1" w:styleId="152">
    <w:name w:val="尾注文本 Char"/>
    <w:semiHidden/>
    <w:qFormat/>
    <w:uiPriority w:val="99"/>
    <w:rPr>
      <w:kern w:val="2"/>
      <w:sz w:val="21"/>
      <w:szCs w:val="24"/>
    </w:rPr>
  </w:style>
  <w:style w:type="character" w:customStyle="1" w:styleId="153">
    <w:name w:val="批注框文本 Char"/>
    <w:semiHidden/>
    <w:qFormat/>
    <w:uiPriority w:val="99"/>
    <w:rPr>
      <w:kern w:val="2"/>
      <w:sz w:val="18"/>
      <w:szCs w:val="18"/>
    </w:rPr>
  </w:style>
  <w:style w:type="character" w:customStyle="1" w:styleId="154">
    <w:name w:val="脚注文本 Char"/>
    <w:semiHidden/>
    <w:qFormat/>
    <w:uiPriority w:val="99"/>
    <w:rPr>
      <w:kern w:val="2"/>
      <w:sz w:val="18"/>
      <w:szCs w:val="18"/>
    </w:rPr>
  </w:style>
  <w:style w:type="character" w:customStyle="1" w:styleId="155">
    <w:name w:val="正文文本缩进 3 Char"/>
    <w:semiHidden/>
    <w:qFormat/>
    <w:uiPriority w:val="99"/>
    <w:rPr>
      <w:kern w:val="2"/>
      <w:sz w:val="16"/>
      <w:szCs w:val="16"/>
    </w:rPr>
  </w:style>
  <w:style w:type="character" w:customStyle="1" w:styleId="156">
    <w:name w:val="正文文本 2 Char"/>
    <w:semiHidden/>
    <w:qFormat/>
    <w:uiPriority w:val="99"/>
    <w:rPr>
      <w:kern w:val="2"/>
      <w:sz w:val="21"/>
      <w:szCs w:val="24"/>
    </w:rPr>
  </w:style>
  <w:style w:type="character" w:customStyle="1" w:styleId="157">
    <w:name w:val="标题 Char"/>
    <w:qFormat/>
    <w:uiPriority w:val="10"/>
    <w:rPr>
      <w:rFonts w:ascii="Calibri Light" w:hAnsi="Calibri Light" w:cs="Times New Roman"/>
      <w:b/>
      <w:bCs/>
      <w:kern w:val="2"/>
      <w:sz w:val="32"/>
      <w:szCs w:val="32"/>
    </w:rPr>
  </w:style>
  <w:style w:type="character" w:customStyle="1" w:styleId="158">
    <w:name w:val="批注主题 Char"/>
    <w:semiHidden/>
    <w:qFormat/>
    <w:uiPriority w:val="99"/>
    <w:rPr>
      <w:rFonts w:ascii="Times New Roman" w:hAnsi="Times New Roman"/>
      <w:b/>
      <w:bCs/>
      <w:kern w:val="2"/>
      <w:sz w:val="21"/>
      <w:szCs w:val="24"/>
    </w:rPr>
  </w:style>
  <w:style w:type="paragraph" w:customStyle="1" w:styleId="159">
    <w:name w:val="xl79"/>
    <w:basedOn w:val="1"/>
    <w:qFormat/>
    <w:uiPriority w:val="0"/>
    <w:pPr>
      <w:widowControl/>
      <w:spacing w:before="100" w:beforeAutospacing="1" w:after="100" w:afterAutospacing="1"/>
      <w:jc w:val="center"/>
    </w:pPr>
    <w:rPr>
      <w:rFonts w:ascii="宋体" w:hAnsi="宋体" w:cs="宋体"/>
      <w:kern w:val="0"/>
      <w:sz w:val="24"/>
    </w:rPr>
  </w:style>
  <w:style w:type="table" w:customStyle="1" w:styleId="160">
    <w:name w:val="网格型2"/>
    <w:basedOn w:val="46"/>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1">
    <w:name w:val="批注文字 Char2"/>
    <w:qFormat/>
    <w:uiPriority w:val="0"/>
    <w:rPr>
      <w:rFonts w:ascii="Times New Roman" w:hAnsi="Times New Roman"/>
      <w:kern w:val="2"/>
      <w:sz w:val="21"/>
      <w:szCs w:val="24"/>
    </w:rPr>
  </w:style>
  <w:style w:type="table" w:customStyle="1" w:styleId="162">
    <w:name w:val="Table Normal1"/>
    <w:unhideWhenUsed/>
    <w:qFormat/>
    <w:uiPriority w:val="0"/>
    <w:rPr>
      <w:rFonts w:ascii="Arial" w:hAnsi="Arial" w:cs="Arial"/>
      <w:snapToGrid w:val="0"/>
      <w:color w:val="000000"/>
      <w:sz w:val="21"/>
      <w:szCs w:val="21"/>
      <w:lang w:val="en-US" w:eastAsia="en-US" w:bidi="ar-SA"/>
    </w:rPr>
    <w:tblPr>
      <w:tblCellMar>
        <w:top w:w="0" w:type="dxa"/>
        <w:left w:w="0" w:type="dxa"/>
        <w:bottom w:w="0" w:type="dxa"/>
        <w:right w:w="0" w:type="dxa"/>
      </w:tblCellMar>
    </w:tblPr>
  </w:style>
  <w:style w:type="character" w:customStyle="1" w:styleId="163">
    <w:name w:val="纯文本 Char2"/>
    <w:qFormat/>
    <w:uiPriority w:val="0"/>
    <w:rPr>
      <w:rFonts w:ascii="宋体" w:hAnsi="Courier New" w:eastAsia="宋体" w:cs="Courier New"/>
      <w:szCs w:val="21"/>
    </w:rPr>
  </w:style>
  <w:style w:type="paragraph" w:customStyle="1" w:styleId="164">
    <w:name w:val="表格文字"/>
    <w:basedOn w:val="1"/>
    <w:next w:val="18"/>
    <w:unhideWhenUsed/>
    <w:qFormat/>
    <w:uiPriority w:val="0"/>
    <w:pPr>
      <w:spacing w:before="25" w:beforeLines="0" w:after="25" w:afterLines="0"/>
      <w:jc w:val="left"/>
    </w:pPr>
    <w:rPr>
      <w:rFonts w:hint="default"/>
      <w:spacing w:val="10"/>
      <w:kern w:val="0"/>
      <w:sz w:val="24"/>
      <w:szCs w:val="24"/>
    </w:rPr>
  </w:style>
  <w:style w:type="character" w:customStyle="1" w:styleId="165">
    <w:name w:val="font31"/>
    <w:qFormat/>
    <w:uiPriority w:val="0"/>
    <w:rPr>
      <w:rFonts w:hint="eastAsia" w:ascii="宋体" w:hAnsi="宋体" w:eastAsia="宋体" w:cs="宋体"/>
      <w:color w:val="0000FF"/>
      <w:sz w:val="21"/>
      <w:szCs w:val="21"/>
      <w:u w:val="single"/>
    </w:rPr>
  </w:style>
  <w:style w:type="paragraph" w:customStyle="1" w:styleId="166">
    <w:name w:val="p15"/>
    <w:basedOn w:val="1"/>
    <w:qFormat/>
    <w:uiPriority w:val="99"/>
    <w:pPr>
      <w:widowControl/>
    </w:pPr>
    <w:rPr>
      <w:rFonts w:ascii="宋体" w:hAnsi="宋体"/>
      <w:kern w:val="0"/>
      <w:szCs w:val="21"/>
    </w:rPr>
  </w:style>
  <w:style w:type="paragraph" w:customStyle="1" w:styleId="167">
    <w:name w:val="正文-2字符首行缩进"/>
    <w:basedOn w:val="1"/>
    <w:qFormat/>
    <w:uiPriority w:val="0"/>
    <w:pPr>
      <w:widowControl/>
      <w:spacing w:line="360" w:lineRule="auto"/>
      <w:ind w:firstLine="200" w:firstLineChars="200"/>
    </w:pPr>
    <w:rPr>
      <w:rFonts w:ascii="仿宋_GB2312" w:hAnsi="Calibri" w:eastAsia="仿宋_GB2312"/>
      <w:kern w:val="0"/>
      <w:sz w:val="28"/>
      <w:szCs w:val="22"/>
    </w:rPr>
  </w:style>
  <w:style w:type="paragraph" w:customStyle="1" w:styleId="168">
    <w:name w:val="Table Text"/>
    <w:basedOn w:val="1"/>
    <w:semiHidden/>
    <w:qFormat/>
    <w:uiPriority w:val="0"/>
    <w:rPr>
      <w:rFonts w:ascii="宋体" w:hAnsi="宋体" w:eastAsia="宋体" w:cs="宋体"/>
      <w:sz w:val="25"/>
      <w:szCs w:val="25"/>
      <w:lang w:val="en-US" w:eastAsia="en-US" w:bidi="ar-SA"/>
    </w:rPr>
  </w:style>
  <w:style w:type="paragraph" w:customStyle="1" w:styleId="169">
    <w:name w:val="PlainText"/>
    <w:basedOn w:val="1"/>
    <w:qFormat/>
    <w:uiPriority w:val="0"/>
    <w:rPr>
      <w:rFonts w:ascii="宋体" w:hAnsi="Courier New"/>
      <w:szCs w:val="21"/>
    </w:rPr>
  </w:style>
  <w:style w:type="paragraph" w:customStyle="1" w:styleId="170">
    <w:name w:val="段"/>
    <w:next w:val="1"/>
    <w:qFormat/>
    <w:uiPriority w:val="99"/>
    <w:pPr>
      <w:autoSpaceDE w:val="0"/>
      <w:autoSpaceDN w:val="0"/>
      <w:ind w:firstLine="200"/>
      <w:jc w:val="both"/>
    </w:pPr>
    <w:rPr>
      <w:rFonts w:ascii="宋体" w:hAnsi="宋体"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107</Pages>
  <Words>10573</Words>
  <Characters>11552</Characters>
  <Lines>668</Lines>
  <Paragraphs>188</Paragraphs>
  <TotalTime>49</TotalTime>
  <ScaleCrop>false</ScaleCrop>
  <LinksUpToDate>false</LinksUpToDate>
  <CharactersWithSpaces>11714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2025-03-08T11:01:00Z</dcterms:created>
  <dc:creator>番茄花园</dc:creator>
  <cp:lastModifiedBy>HHL</cp:lastModifiedBy>
  <cp:lastPrinted>2025-05-07T16:31:00Z</cp:lastPrinted>
  <dcterms:modified xsi:type="dcterms:W3CDTF">2026-05-08T09:12:33Z</dcterms:modified>
  <dc:title>公开招标采购文件范本</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A588D7490CBF46C58CBF690BC2810CDF_13</vt:lpwstr>
  </property>
  <property fmtid="{D5CDD505-2E9C-101B-9397-08002B2CF9AE}" pid="4" name="KSOTemplateDocerSaveRecord">
    <vt:lpwstr>eyJoZGlkIjoiYjA2YWJmMGIxNDM0OTE0ZDI1N2MyY2Y2Y2ZhODI5M2UiLCJ1c2VySWQiOiIyMjkwMzg1MTcifQ==</vt:lpwstr>
  </property>
</Properties>
</file>